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D1AD" w14:textId="77777777" w:rsidR="000F3D1B" w:rsidRDefault="00000000">
      <w:pPr>
        <w:spacing w:after="60" w:before="0" w:line="264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szCs w:val="19"/>
          <w:lang w:eastAsia="zh-CN"/>
        </w:rPr>
        <w:t>市场与竞争调研</w:t>
      </w:r>
    </w:p>
    <w:p w14:paraId="17B09B30" w14:textId="77777777" w:rsidR="000F3D1B" w:rsidRDefault="00000000">
      <w:pPr>
        <w:pStyle w:val="Title"/>
        <w:spacing w:before="0" w:after="60" w:line="264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智能自适应触发传感</w:t>
      </w:r>
    </w:p>
    <w:p w14:paraId="6D3E42E5" w14:textId="77777777" w:rsidR="000F3D1B" w:rsidRDefault="00000000">
      <w:pPr>
        <w:pStyle w:val="Subtitle"/>
        <w:spacing w:before="0" w:after="60" w:line="264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面向基础设施、工业设备、医疗穿戴与环境物联网的市场、需求、竞品机理与商业化路径</w:t>
      </w:r>
    </w:p>
    <w:p w14:paraId="08994FD1" w14:textId="77777777" w:rsidR="000F3D1B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口径说明：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已在无线结构健康监测场景完成实验验证，其技术适用范围为动态环境中的低功耗事件感知。跨行业市场依据技术适配条件筛选并分别测算；公开市场值、行业适配比例、收入归因比例及可获得市场采用独立口径，不直接加总行业母市场。</w:t>
      </w:r>
    </w:p>
    <w:p w14:paraId="7C97CBE1" w14:textId="77777777" w:rsidR="000F3D1B" w:rsidRDefault="00000000">
      <w:pPr>
        <w:pStyle w:val="Heading1"/>
        <w:keepNext/>
        <w:spacing w:before="200" w:after="80"/>
        <w:ind w:left="0" w:right="0"/>
      </w:pPr>
      <w:r>
        <w:rPr>
          <w:rFonts w:ascii="Times New Roman" w:hAnsi="Times New Roman" w:eastAsia="SimSun"/>
          <w:b/>
          <w:color w:val="000000"/>
          <w:sz w:val="28"/>
        </w:rPr>
        <w:t>执行摘要</w:t>
      </w:r>
    </w:p>
    <w:p w14:paraId="66757777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适用于电池或算力受限、需要捕获稀少突发事件且背景条件动态变化的无线设备。按基础设施、工业状态监测、跌倒与异常事件穿戴设备、无线环境监测四个可量化行业测算，全球年度软件、固件及许可增量市场约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800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万至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6,600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万美元，基准约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2,800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万美元。</w:t>
      </w:r>
    </w:p>
    <w:p w14:paraId="4374EC78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跨行业需求呈现一致特征：固定阈值过低将增加误报、能耗及无效数据传输；阈值过高则提高高后果事件漏检风险。环境、个体、设备工况及季节变化还会增加人工调参需求。核心采购价值包括事件捕获可靠性、无效响应减少及设备续航提升。</w:t>
      </w:r>
    </w:p>
    <w:p w14:paraId="77A08212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基础设施、工业、穿戴及环境传感产品已广泛采用阈值、持续时间、传感器融合和低功耗唤醒机制；公开资料中尚少见依据现场反馈在线优化参数的产品。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的差异化能力为闭环调整触发条件，并联合约束漏报、误报、能耗与计算开销。</w:t>
      </w:r>
    </w:p>
    <w:p w14:paraId="63AADB82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 w:rsidRPr="0032220A">
        <w:rPr>
          <w:rFonts w:ascii="Times New Roman" w:hAnsi="Times New Roman" w:eastAsia="SimSun"/>
          <w:b w:val="0"/>
          <w:color w:val="000000"/>
          <w:sz w:val="21"/>
          <w:highlight w:val="yellow"/>
          <w:lang w:eastAsia="zh-CN"/>
        </w:rPr>
        <w:t>建议产品形态为通用</w:t>
      </w:r>
      <w:r w:rsidRPr="0032220A">
        <w:rPr>
          <w:rFonts w:ascii="Times New Roman" w:hAnsi="Times New Roman" w:eastAsia="SimSun"/>
          <w:b w:val="0"/>
          <w:color w:val="000000"/>
          <w:sz w:val="21"/>
          <w:highlight w:val="yellow"/>
          <w:lang w:eastAsia="zh-CN"/>
        </w:rPr>
        <w:t>SATM</w:t>
      </w:r>
      <w:r w:rsidRPr="0032220A">
        <w:rPr>
          <w:rFonts w:ascii="Times New Roman" w:hAnsi="Times New Roman" w:eastAsia="SimSun"/>
          <w:b w:val="0"/>
          <w:color w:val="000000"/>
          <w:sz w:val="21"/>
          <w:highlight w:val="yellow"/>
          <w:lang w:eastAsia="zh-CN"/>
        </w:rPr>
        <w:t>固件或软件开发包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，并选择单一重点场景完成首轮商业化。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具备论文、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LiftNode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及领域知识基础，适合作为首个验证市场；工业无线振动监测的事件频率和投资回报可量化程度较高，建议与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并行完成客户验证后确定首发方向。医疗、汽车及消费穿戴以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OEM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授权路径为主。</w:t>
      </w:r>
    </w:p>
    <w:tbl>
      <w:tblPr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0F3D1B" w14:paraId="51C8A691" w14:textId="77777777">
        <w:trPr>
          <w:tblHeader/>
          <w:cantSplit/>
        </w:trPr>
        <w:tc>
          <w:tcPr>
            <w:tcW w:w="493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CB3E484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一句话定位</w:t>
            </w:r>
          </w:p>
        </w:tc>
        <w:tc>
          <w:tcPr>
            <w:tcW w:w="493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C527113" w14:textId="77777777" w:rsidR="000F3D1B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面向动态环境中的低功耗设备，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依据现场反馈优化高精度传感、处理或通信的唤醒条件，并联合控制漏报、误报和能耗。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为首个验证场景。</w:t>
            </w:r>
          </w:p>
        </w:tc>
      </w:tr>
    </w:tbl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136"/>
        <w:gridCol w:w="3830"/>
        <w:gridCol w:w="4900"/>
      </w:tblGrid>
      <w:tr w:rsidR="00BD7590" w14:paraId="1E039ED6" w14:textId="77777777">
        <w:trPr>
          <w:tblHeader/>
          <w:cantSplit/>
        </w:trPr>
        <w:tc>
          <w:tcPr>
            <w:tcW w:w="113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9AAD927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步骤</w:t>
            </w:r>
          </w:p>
        </w:tc>
        <w:tc>
          <w:tcPr>
            <w:tcW w:w="383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A5963C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核心问题</w:t>
            </w:r>
          </w:p>
        </w:tc>
        <w:tc>
          <w:tcPr>
            <w:tcW w:w="490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256262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本报告输出</w:t>
            </w:r>
          </w:p>
        </w:tc>
      </w:tr>
      <w:tr w:rsidR="00BD7590" w14:paraId="70340ED8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BF12F58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1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技术边界</w:t>
            </w:r>
          </w:p>
        </w:tc>
        <w:tc>
          <w:tcPr>
            <w:tcW w:w="383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B1EDE7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哪些设备与事件场景适合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？</w:t>
            </w:r>
          </w:p>
        </w:tc>
        <w:tc>
          <w:tcPr>
            <w:tcW w:w="490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B0093D4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七项适配条件，排除普通周期采样</w:t>
            </w:r>
          </w:p>
        </w:tc>
      </w:tr>
      <w:tr w:rsidR="00BD7590" w14:paraId="51F9FB8D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82A64B7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2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市场规模</w:t>
            </w:r>
          </w:p>
        </w:tc>
        <w:tc>
          <w:tcPr>
            <w:tcW w:w="383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D6677DB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四个优先行业的可收费空间有多大？</w:t>
            </w:r>
          </w:p>
        </w:tc>
        <w:tc>
          <w:tcPr>
            <w:tcW w:w="490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F10C8F3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统一口径的分行业测算与跨行业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TAM</w:t>
            </w:r>
          </w:p>
        </w:tc>
      </w:tr>
      <w:tr w:rsidR="00BD7590" w14:paraId="538E5313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E3431E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3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商业落地</w:t>
            </w:r>
          </w:p>
        </w:tc>
        <w:tc>
          <w:tcPr>
            <w:tcW w:w="383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6C4BE8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谁承担损失、谁采购、为什么付费？</w:t>
            </w:r>
          </w:p>
        </w:tc>
        <w:tc>
          <w:tcPr>
            <w:tcW w:w="490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CA8D208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的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SAM/SOM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及跨行业付费证据</w:t>
            </w:r>
          </w:p>
        </w:tc>
      </w:tr>
      <w:tr w:rsidR="00BD7590" w14:paraId="7706C08C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15D56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4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竞争差距</w:t>
            </w:r>
          </w:p>
        </w:tc>
        <w:tc>
          <w:tcPr>
            <w:tcW w:w="383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EA86732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现有产品如何触发，自适应做到哪一级？</w:t>
            </w:r>
          </w:p>
        </w:tc>
        <w:tc>
          <w:tcPr>
            <w:tcW w:w="490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D8BCB64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L3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机制比较与可替代性判断</w:t>
            </w:r>
          </w:p>
        </w:tc>
      </w:tr>
      <w:tr w:rsidR="00BD7590" w14:paraId="283E88C0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915B99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5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首发决策</w:t>
            </w:r>
          </w:p>
        </w:tc>
        <w:tc>
          <w:tcPr>
            <w:tcW w:w="383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7CA926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与工业状态监测谁更适合先做？</w:t>
            </w:r>
          </w:p>
        </w:tc>
        <w:tc>
          <w:tcPr>
            <w:tcW w:w="490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71D67F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付费试点并行验证，收敛为一个首发产品</w:t>
            </w:r>
          </w:p>
        </w:tc>
      </w:tr>
    </w:tbl>
    <w:p w14:paraId="5F5D800E" w14:textId="77777777" w:rsidR="000F3D1B" w:rsidRDefault="00000000">
      <w:pPr>
        <w:pStyle w:val="Heading1"/>
        <w:keepNext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  <w:lang w:eastAsia="zh-CN"/>
        </w:rPr>
        <w:t xml:space="preserve">1. </w:t>
      </w:r>
      <w:r>
        <w:rPr>
          <w:rFonts w:ascii="Times New Roman" w:hAnsi="Times New Roman" w:eastAsia="SimSun"/>
          <w:b/>
          <w:color w:val="000000"/>
          <w:sz w:val="28"/>
          <w:lang w:eastAsia="zh-CN"/>
        </w:rPr>
        <w:t>市场规模：从无线传感网络到跨行业</w:t>
      </w:r>
      <w:r>
        <w:rPr>
          <w:rFonts w:ascii="Times New Roman" w:hAnsi="Times New Roman" w:eastAsia="SimSun"/>
          <w:b/>
          <w:color w:val="000000"/>
          <w:sz w:val="28"/>
          <w:lang w:eastAsia="zh-CN"/>
        </w:rPr>
        <w:t>SATM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298"/>
        <w:gridCol w:w="3462"/>
        <w:gridCol w:w="2380"/>
        <w:gridCol w:w="2726"/>
      </w:tblGrid>
      <w:tr w:rsidR="00BD7590" w14:paraId="10FA3B01" w14:textId="77777777">
        <w:trPr>
          <w:tblHeader/>
          <w:cantSplit/>
        </w:trPr>
        <w:tc>
          <w:tcPr>
            <w:tcW w:w="129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068CA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层级</w:t>
            </w:r>
          </w:p>
        </w:tc>
        <w:tc>
          <w:tcPr>
            <w:tcW w:w="3462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34DCA6B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市场边界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A5B1AC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规模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结果</w:t>
            </w:r>
          </w:p>
        </w:tc>
        <w:tc>
          <w:tcPr>
            <w:tcW w:w="272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41E1437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本层用途</w:t>
            </w:r>
          </w:p>
        </w:tc>
      </w:tr>
      <w:tr w:rsidR="00BD7590" w14:paraId="4C5C7523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B6519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L1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母市场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F6582A5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全球无线传感器网络：节点、网关、软件与服务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451DDE4" w14:textId="77777777" w:rsidR="00BD7590" w:rsidRDefault="00000000">
            <w:pPr>
              <w:spacing w:after="0" w:line="240" w:lineRule="auto" w:before="0"/>
            </w:pPr>
            <w:hyperlink r:id="rId8">
              <w:r>
                <w:rPr>
                  <w:color w:val="0563C1"/>
                  <w:sz w:val="17"/>
                  <w:szCs w:val="17"/>
                  <w:u w:val="single"/>
                </w:rPr>
                <w:t>2025</w:t>
              </w:r>
              <w:r>
                <w:rPr>
                  <w:color w:val="0563C1"/>
                  <w:sz w:val="17"/>
                  <w:szCs w:val="17"/>
                  <w:u w:val="single"/>
                </w:rPr>
                <w:t>年</w:t>
              </w:r>
              <w:r>
                <w:rPr>
                  <w:color w:val="0563C1"/>
                  <w:sz w:val="17"/>
                  <w:szCs w:val="17"/>
                  <w:u w:val="single"/>
                </w:rPr>
                <w:t>189.3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3BA47AC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说明跨行业空间，不直接计为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TAM</w:t>
            </w:r>
          </w:p>
        </w:tc>
      </w:tr>
      <w:tr w:rsidR="00BD7590" w14:paraId="0CBC3054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206B00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L2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优先行业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59C077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基础设施、工业状态监测、医疗异常事件、无线环境监测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DD70A90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四个可量化行业；相邻行业暂不补数</w:t>
            </w:r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DBD2833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锁定可比较、可追溯的市场边界</w:t>
            </w:r>
          </w:p>
        </w:tc>
      </w:tr>
      <w:tr w:rsidR="00BD7590" w14:paraId="5454F4E0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A96CD7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L3 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适配支出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655755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仅计低功耗守候、稀少事件升级且误报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漏报有成本的设备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782A6E0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各行业分别采用事件支出或适配比例</w:t>
            </w:r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A48C25A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从母市场剥离不适配收入</w:t>
            </w:r>
          </w:p>
        </w:tc>
      </w:tr>
      <w:tr w:rsidR="00BD7590" w14:paraId="68E06175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L4 软件授权TAM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8FF0A69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四行业年度增量固件、软件或许可价值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B3F489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830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/2,790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/6,620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5D1B382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GAP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申请的全球技术机会</w:t>
            </w:r>
          </w:p>
        </w:tc>
      </w:tr>
      <w:tr w:rsidR="00BD7590" w14:paraId="7D70F64D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307C08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L5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首个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SAM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B722B59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生态内近期可能采购且技术适配的节点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5F5DE8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84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270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466F927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当前证据最充分的可服务市场</w:t>
            </w:r>
          </w:p>
        </w:tc>
      </w:tr>
      <w:tr w:rsidR="00BD7590" w14:paraId="37BF2990" w14:textId="77777777">
        <w:trPr>
          <w:cantSplit/>
        </w:trPr>
        <w:tc>
          <w:tcPr>
            <w:tcW w:w="129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A5DD75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lastRenderedPageBreak/>
              <w:t xml:space="preserve">L6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三年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SOM</w:t>
            </w:r>
          </w:p>
        </w:tc>
        <w:tc>
          <w:tcPr>
            <w:tcW w:w="346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32DCA84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取得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家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或集成商入口后实际付费部署</w:t>
            </w:r>
          </w:p>
        </w:tc>
        <w:tc>
          <w:tcPr>
            <w:tcW w:w="238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EBEEAEB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16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D46FF5B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项目期内可检验的商业目标</w:t>
            </w:r>
          </w:p>
        </w:tc>
      </w:tr>
    </w:tbl>
    <w:p w14:paraId="3BAA5B8B" w14:textId="77777777" w:rsidR="000F3D1B" w:rsidRDefault="000F3D1B">
      <w:pPr>
        <w:pStyle w:val="Heading2"/>
        <w:keepNext/>
        <w:spacing w:after="60" w:before="14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1.1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跨行业市场边界与价值收敛</w:t>
      </w:r>
    </w:p>
    <w:p w14:paraId="1186C25C" w14:textId="77777777" w:rsidR="000F3D1B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市场口径：全球无线传感器网络及四个行业母市场采用公开报告数据；行业适配比例、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15%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重叠扣减及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1.3%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至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4.0%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收入归因比例属于模型假设；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的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与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SOM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采用节点法测算。跨行业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TAM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与首发产品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分别用于技术平台规模和近期商业机会评估。</w:t>
      </w:r>
    </w:p>
    <w:p w14:paraId="79DAF53F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1.2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分行业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SATM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测算矩阵</w:t>
      </w:r>
    </w:p>
    <w:p w14:paraId="5FFF6A12" w14:textId="77777777" w:rsidR="00BD7590" w:rsidRDefault="00000000">
      <w:pPr>
        <w:pStyle w:val="EvidenceNote"/>
        <w:keepLines/>
        <w:spacing w:before="80" w:after="80" w:line="252" w:lineRule="auto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指标口径：论文中约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30%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的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F-beta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提升属于技术性能指标；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1.3%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至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4.0%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属于收入归因比例，用于估算完整事件型无线监测支出中可由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单独获取的收入。</w:t>
      </w:r>
      <w:r>
        <w:rPr>
          <w:rFonts w:ascii="Times New Roman" w:hAnsi="Times New Roman" w:eastAsia="SimSun"/>
          <w:b w:val="0"/>
          <w:color w:val="000000"/>
          <w:sz w:val="18"/>
        </w:rPr>
        <w:t>两项指标分别用于技术验证和市场测算。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136"/>
        <w:gridCol w:w="1882"/>
        <w:gridCol w:w="1601"/>
        <w:gridCol w:w="1493"/>
        <w:gridCol w:w="2434"/>
        <w:gridCol w:w="1320"/>
      </w:tblGrid>
      <w:tr w:rsidR="00BD7590" w14:paraId="690F3B77" w14:textId="77777777">
        <w:trPr>
          <w:tblHeader/>
          <w:cantSplit/>
        </w:trPr>
        <w:tc>
          <w:tcPr>
            <w:tcW w:w="113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951BD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行业</w:t>
            </w:r>
          </w:p>
        </w:tc>
        <w:tc>
          <w:tcPr>
            <w:tcW w:w="1882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75AD9A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2025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母市场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事件支出</w:t>
            </w:r>
          </w:p>
        </w:tc>
        <w:tc>
          <w:tcPr>
            <w:tcW w:w="1601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35BE85B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SATM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适配比例</w:t>
            </w:r>
          </w:p>
        </w:tc>
        <w:tc>
          <w:tcPr>
            <w:tcW w:w="149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7EDAFF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收入归因比例</w:t>
            </w:r>
          </w:p>
        </w:tc>
        <w:tc>
          <w:tcPr>
            <w:tcW w:w="243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485814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SATM TAM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（保守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基准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积极）</w:t>
            </w:r>
          </w:p>
        </w:tc>
        <w:tc>
          <w:tcPr>
            <w:tcW w:w="132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0BE8C0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证据等级</w:t>
            </w:r>
          </w:p>
        </w:tc>
      </w:tr>
      <w:tr w:rsidR="00BD7590" w14:paraId="3C15F141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8692A4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基础设施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587F521" w14:textId="77777777" w:rsidR="00BD7590" w:rsidRDefault="00000000">
            <w:pPr>
              <w:spacing w:after="0" w:line="240" w:lineRule="auto" w:before="0"/>
            </w:pPr>
            <w:hyperlink r:id="rId9">
              <w:r>
                <w:rPr>
                  <w:color w:val="0563C1"/>
                  <w:sz w:val="17"/>
                  <w:szCs w:val="17"/>
                  <w:u w:val="single"/>
                </w:rPr>
                <w:t>2.51/4.31/6.10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BD3DF3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事件型支出已直接估算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A25F30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CE83A8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330/1,080/2,440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41A9D6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B</w:t>
            </w:r>
          </w:p>
        </w:tc>
      </w:tr>
      <w:tr w:rsidR="00BD7590" w14:paraId="3D62BA14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0D52D4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工业状态监测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D37788C" w14:textId="77777777" w:rsidR="00BD7590" w:rsidRDefault="00000000">
            <w:pPr>
              <w:spacing w:after="0" w:line="240" w:lineRule="auto" w:before="0"/>
            </w:pPr>
            <w:hyperlink r:id="rId10">
              <w:r>
                <w:rPr>
                  <w:color w:val="0563C1"/>
                  <w:sz w:val="17"/>
                  <w:szCs w:val="17"/>
                  <w:u w:val="single"/>
                </w:rPr>
                <w:t>9.03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4189F0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20%/30%/40%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F9A89D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6A7E2C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230/680/1,440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B5254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B</w:t>
            </w:r>
          </w:p>
        </w:tc>
      </w:tr>
      <w:tr w:rsidR="00BD7590" w14:paraId="0E9F1D5C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F896317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医疗跌倒检测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4AB2A52" w14:textId="77777777" w:rsidR="00BD7590" w:rsidRDefault="00000000">
            <w:pPr>
              <w:spacing w:after="0" w:line="240" w:lineRule="auto" w:before="0"/>
            </w:pPr>
            <w:hyperlink r:id="rId11">
              <w:r>
                <w:rPr>
                  <w:color w:val="0563C1"/>
                  <w:sz w:val="17"/>
                  <w:szCs w:val="17"/>
                  <w:u w:val="single"/>
                </w:rPr>
                <w:t>4.68/5.76/6.85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58351C5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40%/55%/70%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9E4E56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D42984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240/790/1,920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ED7FA04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C</w:t>
            </w:r>
          </w:p>
        </w:tc>
      </w:tr>
      <w:tr w:rsidR="00BD7590" w14:paraId="178C49C0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3604D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无线环境监测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864DC09" w14:textId="77777777" w:rsidR="00BD7590" w:rsidRDefault="00000000">
            <w:pPr>
              <w:spacing w:after="0" w:line="240" w:lineRule="auto" w:before="0"/>
            </w:pPr>
            <w:hyperlink r:id="rId12">
              <w:r>
                <w:rPr>
                  <w:color w:val="0563C1"/>
                  <w:sz w:val="17"/>
                  <w:szCs w:val="17"/>
                  <w:u w:val="single"/>
                </w:rPr>
                <w:t>26.0/29.5/33.05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05A31F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5%/10%/15%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F3CA654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4C5C22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170/740/1,980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B7142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C</w:t>
            </w:r>
          </w:p>
        </w:tc>
      </w:tr>
      <w:tr w:rsidR="00BD7590" w14:paraId="12E999F8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BF605B7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扣重前合计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8463BD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上述四行业</w:t>
            </w:r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97157A1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医疗已扣除不适配产品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C3B96B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51326B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970/3,280/7,780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AC1ABD4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模型结果</w:t>
            </w:r>
          </w:p>
        </w:tc>
      </w:tr>
      <w:tr w:rsidR="00BD7590" w14:paraId="16DEC735" w14:textId="77777777">
        <w:trPr>
          <w:cantSplit/>
        </w:trPr>
        <w:tc>
          <w:tcPr>
            <w:tcW w:w="113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6C46A2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跨行业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TAM</w:t>
            </w:r>
          </w:p>
        </w:tc>
        <w:tc>
          <w:tcPr>
            <w:tcW w:w="1882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82A2B3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合计后扣除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口径重叠</w:t>
            </w:r>
          </w:p>
        </w:tc>
        <w:tc>
          <w:tcPr>
            <w:tcW w:w="1601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C7F7C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不对未量化行业补数</w:t>
            </w:r>
          </w:p>
        </w:tc>
        <w:tc>
          <w:tcPr>
            <w:tcW w:w="1493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67871B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5B05C9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830/2,790/6,620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DBF8A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模型结果</w:t>
            </w:r>
          </w:p>
        </w:tc>
      </w:tr>
    </w:tbl>
    <w:p w14:paraId="7B8CF9FE" w14:textId="77777777" w:rsidR="00BD7590" w:rsidRDefault="00000000">
      <w:pPr>
        <w:pStyle w:val="Heading2"/>
        <w:keepNext/>
        <w:spacing w:before="140" w:after="60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 xml:space="preserve">1.3 </w:t>
      </w:r>
      <w:r>
        <w:rPr>
          <w:rFonts w:ascii="Times New Roman" w:hAnsi="Times New Roman" w:eastAsia="SimSun"/>
          <w:b/>
          <w:color w:val="000000"/>
          <w:sz w:val="24"/>
        </w:rPr>
        <w:t>参数依据与收入归因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515"/>
        <w:gridCol w:w="2975"/>
        <w:gridCol w:w="2488"/>
        <w:gridCol w:w="1569"/>
        <w:gridCol w:w="1319"/>
      </w:tblGrid>
      <w:tr w:rsidR="00BD7590" w14:paraId="10D0C1B1" w14:textId="77777777">
        <w:trPr>
          <w:tblHeader/>
          <w:cantSplit/>
        </w:trPr>
        <w:tc>
          <w:tcPr>
            <w:tcW w:w="1515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5F78E3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推导步骤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BAD80CB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依据</w:t>
            </w:r>
          </w:p>
        </w:tc>
        <w:tc>
          <w:tcPr>
            <w:tcW w:w="248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A32CDE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计算原则</w:t>
            </w:r>
          </w:p>
        </w:tc>
        <w:tc>
          <w:tcPr>
            <w:tcW w:w="156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11EEF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采用参数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结果</w:t>
            </w:r>
          </w:p>
        </w:tc>
        <w:tc>
          <w:tcPr>
            <w:tcW w:w="131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D091753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证据性质</w:t>
            </w:r>
          </w:p>
        </w:tc>
      </w:tr>
      <w:tr w:rsidR="00BD7590" w14:paraId="2B0F8606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A36490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技术性能不等于收入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E55CA2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论文在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LiftNode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上报告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F-beta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约提高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，这是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实验条件下的检测性能。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C39B60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不能把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直接乘市场规模；跨行业还需重新训练、标定和验证。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D080AC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性能证据保留，收入另算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893040F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论文事实</w:t>
            </w:r>
          </w:p>
        </w:tc>
      </w:tr>
      <w:tr w:rsidR="00BD7590" w14:paraId="3FBEE53B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D954E1A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收入归因方式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E1FE9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通常作为节点固件、边缘模块或软件开发包嵌入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产品。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WIPO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说明许可费常按被许可产品销售额比例计算。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FF06A6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以事件型适配产品收入为基数，而非整个行业收入。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52DD352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产品收入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 xml:space="preserve"> ×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许可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增量价值比例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10C0BE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许可方法</w:t>
            </w:r>
          </w:p>
        </w:tc>
      </w:tr>
      <w:tr w:rsidR="00BD7590" w14:paraId="44B8A9EE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96CE8B8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外部许可校准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2289DF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许可协议样本中，软件技术用于硬件设备的裸专利许可中位数约</w:t>
            </w:r>
            <w:hyperlink r:id="rId13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1.3%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，用于软件产品约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4.0%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B41766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位于硬件固件与软件模块之间，采用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1.3%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4.0%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2.5%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694868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1.3%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4.0%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70BA4A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历史跨行业样本，仅作校准</w:t>
            </w:r>
          </w:p>
        </w:tc>
      </w:tr>
      <w:tr w:rsidR="00BD7590" w14:paraId="336DD77A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B5BF4B0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行业适配比例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1C6ECF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基础设施、工业、环境市场中并非每个节点都需要稀少事件触发；医疗跌倒检测本身就是事件产品。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7E72D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分别采用：基础设施事件支出直接估算；工业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40%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；环境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；跌倒检测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40%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70%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90950A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分行业设置，不使用统一比例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568756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模型假设；需访谈验证</w:t>
            </w:r>
          </w:p>
        </w:tc>
      </w:tr>
      <w:tr w:rsidR="00BD7590" w14:paraId="26989D6C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F026FC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跨行业汇总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31445D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四个行业可能在工业环境、建筑与基础设施定义上重叠。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BC8676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各行业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价值求和后统一扣除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；未计入行业不补数。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234B976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6,600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BBB96E5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模型结果</w:t>
            </w:r>
          </w:p>
        </w:tc>
      </w:tr>
    </w:tbl>
    <w:p w14:paraId="47DBF4A0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证据等级：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A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＝公开采购或部署数量可直接验证；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B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＝公开市场规模与产品机制可验证，但适配比例需访谈；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C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＝母市场可验证，适配比例、监管或采购路径仍需重点验证。</w:t>
      </w:r>
    </w:p>
    <w:p w14:paraId="5C448766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lastRenderedPageBreak/>
        <w:t>1.4 SHM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切入市场的节点法交叉验证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796"/>
        <w:gridCol w:w="3310"/>
        <w:gridCol w:w="2380"/>
        <w:gridCol w:w="2380"/>
      </w:tblGrid>
      <w:tr w:rsidR="00BD7590" w14:paraId="14043F67" w14:textId="77777777">
        <w:trPr>
          <w:tblHeader/>
          <w:cantSplit/>
        </w:trPr>
        <w:tc>
          <w:tcPr>
            <w:tcW w:w="179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C0B35C3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收敛步骤</w:t>
            </w:r>
          </w:p>
        </w:tc>
        <w:tc>
          <w:tcPr>
            <w:tcW w:w="331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51A4E48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公开事实或假设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3A153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计算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84BEE5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结果</w:t>
            </w:r>
          </w:p>
        </w:tc>
      </w:tr>
      <w:tr w:rsidR="00BD7590" w14:paraId="0D040BC9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2010F30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公开安装基础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DB063D3" w14:textId="77777777" w:rsidR="00BD7590" w:rsidRDefault="00000000">
            <w:pPr>
              <w:spacing w:after="0" w:line="240" w:lineRule="auto" w:before="0"/>
            </w:pPr>
            <w:hyperlink r:id="rId14">
              <w:r>
                <w:rPr>
                  <w:color w:val="0563C1"/>
                  <w:sz w:val="17"/>
                  <w:szCs w:val="17"/>
                  <w:u w:val="single"/>
                </w:rPr>
                <w:t>Worldsensing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20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万个连接端点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；</w:t>
            </w:r>
            <w:hyperlink r:id="rId15">
              <w:r>
                <w:rPr>
                  <w:color w:val="0563C1"/>
                  <w:sz w:val="17"/>
                  <w:szCs w:val="17"/>
                  <w:u w:val="single"/>
                </w:rPr>
                <w:t>Senceive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万只坡体无线传感器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2F2891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两个公开生态合计，并为项目或节点重叠留出余量。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D83313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23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万个端点；不是全部可升级。</w:t>
            </w:r>
          </w:p>
        </w:tc>
      </w:tr>
      <w:tr w:rsidR="00BD7590" w14:paraId="1CBB54A9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F44DAB5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技术适配节点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F8756E7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Senceive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坡体节点视为事件相关；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Worldsensing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仅取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作为事件敏感比例。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61DAD37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 + 20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 × 10%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B8AF3E3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7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万个节点。</w:t>
            </w:r>
          </w:p>
        </w:tc>
      </w:tr>
      <w:tr w:rsidR="00BD7590" w14:paraId="521CCA74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9ABA159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近期采购窗口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859B7E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假设其中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正在经历误报、漏报、换电、改造或新项目采购。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4F0502A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7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 × 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24026C9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1.05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万个节点。</w:t>
            </w:r>
          </w:p>
        </w:tc>
      </w:tr>
      <w:tr w:rsidR="00BD7590" w14:paraId="1CBE2A30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58FB163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增量年费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94F65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每节点每年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80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新元；这是待报价验证的假设。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BC07A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仅计算自适应触发的软件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固件增量，不含新硬件。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57D8E0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基准取每节点每年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新元。</w:t>
            </w:r>
          </w:p>
        </w:tc>
      </w:tr>
      <w:tr w:rsidR="00BD7590" w14:paraId="0B745F5F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6653B25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SAM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49ACDC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近期采购节点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 xml:space="preserve"> × 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增量年费。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D48B15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1.05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 xml:space="preserve"> × 80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新元。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E864EB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84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270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万新元。</w:t>
            </w:r>
          </w:p>
        </w:tc>
      </w:tr>
      <w:tr w:rsidR="00BD7590" w14:paraId="63FCED5E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7B6461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渠道约束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AC69EC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原厂通常控制固件和远程配置。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0C6F5D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无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集成商授权时，可见安装量不等于可销售节点。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BD20B0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首个里程碑是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家渠道伙伴。</w:t>
            </w:r>
          </w:p>
        </w:tc>
      </w:tr>
    </w:tbl>
    <w:p w14:paraId="792B1E57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1.5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跨行业市场口径（暂定）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2055"/>
        <w:gridCol w:w="2218"/>
        <w:gridCol w:w="2921"/>
        <w:gridCol w:w="2672"/>
      </w:tblGrid>
      <w:tr w:rsidR="00BD7590" w14:paraId="1AE7DFC5" w14:textId="77777777">
        <w:trPr>
          <w:tblHeader/>
          <w:cantSplit/>
        </w:trPr>
        <w:tc>
          <w:tcPr>
            <w:tcW w:w="2055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637DEB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口径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868476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建议数字</w:t>
            </w:r>
          </w:p>
        </w:tc>
        <w:tc>
          <w:tcPr>
            <w:tcW w:w="2921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3893A33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定义</w:t>
            </w:r>
          </w:p>
        </w:tc>
        <w:tc>
          <w:tcPr>
            <w:tcW w:w="2672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28A9E4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申请表述</w:t>
            </w:r>
          </w:p>
        </w:tc>
      </w:tr>
      <w:tr w:rsidR="00BD7590" w14:paraId="4B154C67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软件授权TAM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E97DA27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6,600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2,800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万美元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298F05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四个可量化行业中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固件、软件开发包或许可的年度价值，已扣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重叠。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04A3D0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用于回答技术平台全球市场；明确不含尚未量化的汽车、安防、农业和消费电子。</w:t>
            </w:r>
          </w:p>
        </w:tc>
      </w:tr>
      <w:tr w:rsidR="00BD7590" w14:paraId="02F1F3E3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B20F11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：首个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年度可服务市场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CE1238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84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270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9DA26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两个公开部署生态中近期有采购窗口的适配节点；尚未加入工业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76CC5E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用于回答当前项目首先能卖给谁；提交前与工业访谈结果比较。</w:t>
            </w:r>
          </w:p>
        </w:tc>
      </w:tr>
      <w:tr w:rsidR="00BD7590" w14:paraId="02BCA574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25F654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SOM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：三年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可获得年收入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667A419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16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万新元；基准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0F2AA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三年内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2,000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10,000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个付费节点；依赖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家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集成商。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DE4EF4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属于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首发路径；若工业被选为首发方向，需重新测算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SOM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</w:tbl>
    <w:p w14:paraId="1A241634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口径状态：各行业的事件型适配比例、收入归因、产品监管及渠道条件均需分别验证；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采购率、价格及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SOM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渠道转化率需通过数据回放和带价试点更新。申请材料中的相关数字应由同一假设表统一维护。</w:t>
      </w:r>
    </w:p>
    <w:p w14:paraId="7574922B" w14:textId="77777777" w:rsidR="00BD7590" w:rsidRDefault="00000000">
      <w:pPr>
        <w:pStyle w:val="Heading2"/>
        <w:keepNext/>
        <w:spacing w:before="140" w:line="276" w:lineRule="auto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1.6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首个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SHM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切入市场的代表客户与付款人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BD7590" w14:paraId="4A8C7415" w14:textId="77777777">
        <w:trPr>
          <w:tblHeader/>
          <w:cantSplit/>
        </w:trPr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418853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对象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BBA6F2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公开部署证据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4740E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适配依据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90A81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优先销售路径</w:t>
            </w:r>
          </w:p>
        </w:tc>
      </w:tr>
      <w:tr w:rsidR="00BD7590" w14:paraId="353BEA2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4E36A7" w14:textId="77777777" w:rsidR="00BD7590" w:rsidRDefault="00000000">
            <w:pPr>
              <w:spacing w:after="0" w:line="240" w:lineRule="auto" w:before="0"/>
            </w:pPr>
            <w:hyperlink r:id="rId16">
              <w:r>
                <w:rPr>
                  <w:color w:val="0563C1"/>
                  <w:sz w:val="17"/>
                  <w:szCs w:val="17"/>
                </w:rPr>
                <w:t>Network Rail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893632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Senceive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称其为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InfraGuard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最大用户；到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2026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年监测超过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60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公里高风险铁路边坡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94FE21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已有突发运动触发、相机核验和分级响应，痛点是阈值及误报信任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8A1E0D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通过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Senceive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或铁路监测承包商合作；适合作为标杆验证客户</w:t>
            </w:r>
          </w:p>
        </w:tc>
      </w:tr>
      <w:tr w:rsidR="00BD7590" w14:paraId="52495FF9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691D325" w14:textId="77777777" w:rsidR="00BD7590" w:rsidRDefault="00000000">
            <w:pPr>
              <w:spacing w:after="0" w:line="240" w:lineRule="auto" w:before="0"/>
            </w:pPr>
            <w:hyperlink r:id="rId17">
              <w:r>
                <w:rPr>
                  <w:color w:val="0563C1"/>
                  <w:sz w:val="17"/>
                  <w:szCs w:val="17"/>
                </w:rPr>
                <w:t>West Virginia DOT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5E2682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East Huntington Bridge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部署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57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只电池无线传感器，并包含船舶碰撞检测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F80A9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桥梁撞击是明确瞬态事件，已有无线节点和主动响应需求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FBA1F22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Move Solutions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、工程顾问和高校项目团队联合试点</w:t>
            </w:r>
          </w:p>
        </w:tc>
      </w:tr>
      <w:tr w:rsidR="00BD7590" w14:paraId="6FD919AE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3F3C0C7" w14:textId="77777777" w:rsidR="00BD7590" w:rsidRDefault="00000000">
            <w:pPr>
              <w:spacing w:after="0" w:line="240" w:lineRule="auto" w:before="0"/>
            </w:pPr>
            <w:hyperlink r:id="rId18">
              <w:r>
                <w:rPr>
                  <w:color w:val="0563C1"/>
                  <w:sz w:val="17"/>
                  <w:szCs w:val="17"/>
                </w:rPr>
                <w:t>PennDOT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MDOT SHA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NASA Kennedy Space Center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9376CA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Resensys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公开项目库列出多座桥梁的无线应变、倾角和关键构件监测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E50451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已有事件阈值、超载或关键构件监测，是固件升级的近邻场景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87872C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先与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Resensys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或其集成伙伴合作，再进入资产所有者采购</w:t>
            </w:r>
          </w:p>
        </w:tc>
      </w:tr>
      <w:tr w:rsidR="00BD7590" w14:paraId="625DC8B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6BB2809" w14:textId="77777777" w:rsidR="00BD7590" w:rsidRDefault="00000000">
            <w:pPr>
              <w:spacing w:after="0" w:line="240" w:lineRule="auto" w:before="0"/>
            </w:pPr>
            <w:hyperlink r:id="rId19">
              <w:r>
                <w:rPr>
                  <w:color w:val="0563C1"/>
                  <w:sz w:val="17"/>
                  <w:szCs w:val="17"/>
                </w:rPr>
                <w:t>Agincourt Resources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4FBDCF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Martabe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金矿部署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36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个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Worldsensing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节点，监测边坡和尾矿坝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D59387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区域难进入，要求低功耗、少人工干预和风险预警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2D7F84E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通过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Solusi Monitoring Indonesia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或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Worldsensing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开展矿山试点</w:t>
            </w:r>
          </w:p>
        </w:tc>
      </w:tr>
      <w:tr w:rsidR="00BD7590" w14:paraId="3CB031D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2E8E79F" w14:textId="77777777" w:rsidR="00BD7590" w:rsidRDefault="00000000">
            <w:pPr>
              <w:spacing w:after="0" w:line="240" w:lineRule="auto" w:before="0"/>
            </w:pPr>
            <w:hyperlink r:id="rId20">
              <w:r>
                <w:rPr>
                  <w:color w:val="0563C1"/>
                  <w:sz w:val="17"/>
                  <w:szCs w:val="17"/>
                </w:rPr>
                <w:t>Mineração Rio do Norte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C0A96E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巴西铝土矿在约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公里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×5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公里雨林区域部署远程尾矿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设施预警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4B009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大范围、遮挡和高后果事件使误报、漏报与能耗权衡更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突出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1628C62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lastRenderedPageBreak/>
              <w:t>通过当地监测集成商和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Worldsensing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渠道进入</w:t>
            </w:r>
          </w:p>
        </w:tc>
      </w:tr>
      <w:tr w:rsidR="00BD7590" w14:paraId="5858B71A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E73EAD4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直接渠道买家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004AC65" w14:textId="77777777" w:rsidR="00BD7590" w:rsidRDefault="00000000">
            <w:pPr>
              <w:spacing w:after="0" w:line="240" w:lineRule="auto" w:before="0"/>
            </w:pPr>
            <w:hyperlink r:id="rId21">
              <w:r>
                <w:rPr>
                  <w:color w:val="0563C1"/>
                  <w:sz w:val="17"/>
                  <w:szCs w:val="17"/>
                </w:rPr>
                <w:t>Senceive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、</w:t>
            </w:r>
            <w:hyperlink r:id="rId22">
              <w:r>
                <w:rPr>
                  <w:color w:val="0563C1"/>
                  <w:sz w:val="17"/>
                  <w:szCs w:val="17"/>
                </w:rPr>
                <w:t>Worldsensing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、</w:t>
            </w:r>
            <w:hyperlink r:id="rId23">
              <w:r>
                <w:rPr>
                  <w:color w:val="0563C1"/>
                  <w:sz w:val="17"/>
                  <w:szCs w:val="17"/>
                </w:rPr>
                <w:t>Move Solutions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、</w:t>
            </w:r>
            <w:hyperlink r:id="rId24">
              <w:r>
                <w:rPr>
                  <w:color w:val="0563C1"/>
                  <w:sz w:val="17"/>
                  <w:szCs w:val="17"/>
                </w:rPr>
                <w:t>Resensys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已有事件型无线产品和客户基础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E566F5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它们能修改固件、批量部署和承担售后，是比单一业主更直接的许可买家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4F93AF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优先争取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家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联合验证或软件开发包授权</w:t>
            </w:r>
          </w:p>
        </w:tc>
      </w:tr>
    </w:tbl>
    <w:p w14:paraId="5E754D51" w14:textId="77777777" w:rsidR="00BD7590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商业路径：首批销售对象以无线传感器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OEM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和大型监测集成商为主，通过固件或软件接口进入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Network Rail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、交通部门及矿山业主的高风险站点。业主提供价值验证，渠道伙伴决定规模化部署与收费能力。</w:t>
      </w:r>
    </w:p>
    <w:p w14:paraId="5523F357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本节结论：跨行业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SATM TAM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约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830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万至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6,620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万美元，基准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2,790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万美元；当前可验证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来自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，工业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须通过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OEM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和工厂访谈建立。</w:t>
      </w:r>
    </w:p>
    <w:p w14:paraId="5F3B456B" w14:textId="77777777" w:rsidR="000F3D1B" w:rsidRDefault="00000000">
      <w:pPr>
        <w:pStyle w:val="Heading1"/>
        <w:keepNext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  <w:lang w:eastAsia="zh-CN"/>
        </w:rPr>
        <w:t xml:space="preserve">2. </w:t>
      </w:r>
      <w:r>
        <w:rPr>
          <w:rFonts w:ascii="Times New Roman" w:hAnsi="Times New Roman" w:eastAsia="SimSun"/>
          <w:b/>
          <w:color w:val="000000"/>
          <w:sz w:val="28"/>
          <w:lang w:eastAsia="zh-CN"/>
        </w:rPr>
        <w:t>跨行业用户痛点、付费理由和预算归属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03DE78C2" w14:textId="77777777">
        <w:trPr>
          <w:tblHeader/>
          <w:cantSplit/>
        </w:trPr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FE2FA86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现场问题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B1F305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现行处理方式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2C4E8E5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造成的成本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727907A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应验证的价值</w:t>
            </w:r>
          </w:p>
        </w:tc>
      </w:tr>
      <w:tr w:rsidR="000F3D1B" w14:paraId="3226C0BB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8CB5530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偶发事件可能发生在休眠期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B8FDA7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提高采样率或把阈值设得很低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8BC103E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电池消耗快、通信量大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C809A4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在不降低事件捕获率的前提下降低能耗（</w:t>
            </w:r>
            <w:hyperlink r:id="rId25">
              <w:r w:rsidR="000F3D1B">
                <w:rPr>
                  <w:color w:val="0563C1"/>
                  <w:sz w:val="17"/>
                  <w:szCs w:val="17"/>
                  <w:lang w:eastAsia="zh-CN"/>
                </w:rPr>
                <w:t>论文：漏触发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/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误触发与能耗权衡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2A3BA132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3BC8BD8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背景振动随交通、施工、天气变化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34DA30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工程师靠经验反复改阈值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473266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误报多；现场或远程调参费时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095B489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环境变化后自动找到合适参数（</w:t>
            </w:r>
            <w:hyperlink r:id="rId26">
              <w:r w:rsidR="000F3D1B">
                <w:rPr>
                  <w:color w:val="0563C1"/>
                  <w:sz w:val="17"/>
                  <w:szCs w:val="17"/>
                  <w:lang w:eastAsia="zh-CN"/>
                </w:rPr>
                <w:t>论文依据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；</w:t>
            </w:r>
            <w:hyperlink r:id="rId27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厂商承认低阈值会削弱告警信任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55B571E5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CA3C232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单个节点先发现事件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5DD97F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各节点独立采样，或用固定规则联动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86DB51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事件前后数据不完整、节点不同步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C989B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触发后联动节点并保留事件证据（</w:t>
            </w:r>
            <w:hyperlink r:id="rId28">
              <w:r w:rsidR="000F3D1B">
                <w:rPr>
                  <w:color w:val="0563C1"/>
                  <w:sz w:val="17"/>
                  <w:szCs w:val="17"/>
                  <w:lang w:eastAsia="zh-CN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网络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/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相机联动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；</w:t>
            </w:r>
            <w:hyperlink r:id="rId29">
              <w:r w:rsidR="000F3D1B">
                <w:rPr>
                  <w:color w:val="0563C1"/>
                  <w:sz w:val="17"/>
                  <w:szCs w:val="17"/>
                  <w:lang w:eastAsia="zh-CN"/>
                </w:rPr>
                <w:t>Resensys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超载车辆取证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58DF72D6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CDF496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事件发生后还要人工判断真假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D103E94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查看波形、照片和多个节点数据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33D69C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响应慢，误报会削弱信任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61042CD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提供置信度和可追溯原因（</w:t>
            </w:r>
            <w:hyperlink r:id="rId30">
              <w:r w:rsidR="000F3D1B">
                <w:rPr>
                  <w:color w:val="0563C1"/>
                  <w:sz w:val="17"/>
                  <w:szCs w:val="17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</w:rPr>
                <w:t>用照片核验真假告警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</w:tr>
    </w:tbl>
    <w:p w14:paraId="0F4556B5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2.1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跨行业需求全景与进入优先级</w:t>
      </w:r>
    </w:p>
    <w:p w14:paraId="721C24DC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市场进入依据由技术适配性和可量化付费痛点共同构成。优先级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A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表示适合本轮客户发现；优先级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B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表示适合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OEM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合作验证；优先级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C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表示市场需求存在，但资格、监管或竞争成本暂不支持首轮进入。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136"/>
        <w:gridCol w:w="1839"/>
        <w:gridCol w:w="1839"/>
        <w:gridCol w:w="2272"/>
        <w:gridCol w:w="1352"/>
        <w:gridCol w:w="1428"/>
      </w:tblGrid>
      <w:tr w:rsidR="00BD7590" w14:paraId="4219C619" w14:textId="77777777">
        <w:trPr>
          <w:tblHeader/>
          <w:cantSplit/>
        </w:trPr>
        <w:tc>
          <w:tcPr>
            <w:tcW w:w="113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CBEF43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行业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4AC028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SATM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工作流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5EABEE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固定策略痛点</w:t>
            </w:r>
          </w:p>
        </w:tc>
        <w:tc>
          <w:tcPr>
            <w:tcW w:w="2272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9A9878B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市场与买方证据</w:t>
            </w:r>
          </w:p>
        </w:tc>
        <w:tc>
          <w:tcPr>
            <w:tcW w:w="1352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7C1B61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技术匹配</w:t>
            </w:r>
          </w:p>
        </w:tc>
        <w:tc>
          <w:tcPr>
            <w:tcW w:w="142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D744F7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进入优先级</w:t>
            </w:r>
          </w:p>
        </w:tc>
      </w:tr>
      <w:tr w:rsidR="00BD7590" w14:paraId="75078B39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D1918F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工业旋转设备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FCA0B0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振动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声学异常先由低功耗传感器识别，再唤醒高分辨率波形和诊断。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51674A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转速、载荷和工艺变化使固定阈值误报；连续高频采集又耗电和带宽。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985BB0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无线状态监测约</w:t>
            </w:r>
            <w:hyperlink r:id="rId31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9.03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亿美元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；买方为设备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、可靠性与维护团队。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A63DFC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高：与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架构直接匹配，事件多、可快速获得标签。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8C4A3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并行验证，可能形成优先商业化方向。</w:t>
            </w:r>
          </w:p>
        </w:tc>
      </w:tr>
      <w:tr w:rsidR="00BD7590" w14:paraId="3F1AFCF2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74FDD9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基础设施与矿山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C3B364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撞击、超载、滑坡、地震、爆破后唤醒多节点、相机和通信。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9E812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高后果事件少、背景随交通天气变化；误报会派工、限速或停工。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9CDD84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当前已完成详细测算；买方为业主、监测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和工程集成商。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8EF52E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最高：已有论文、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LiftNode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和行业知识。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04CD88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：最成熟验证场景，但采购周期较长。</w:t>
            </w:r>
          </w:p>
        </w:tc>
      </w:tr>
      <w:tr w:rsidR="00BD7590" w14:paraId="6A0BE0A9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66A436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医疗与安全穿戴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1B66C5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跌倒、碰撞、癫痫或心律异常触发更高频采集、确认和求助。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E67B68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个体差异和活动变化造成误报警；漏报又直接关系人身安全和责任。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BD1255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跌倒检测约</w:t>
            </w:r>
            <w:hyperlink r:id="rId32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4.68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亿至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6.85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亿美元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；买方为穿戴设备和医疗器械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1934AF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中：技术高度匹配，但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实验不能替代临床验证。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AF819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B/C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：优先授权合作，不做首轮独立医疗产品。</w:t>
            </w:r>
          </w:p>
        </w:tc>
      </w:tr>
      <w:tr w:rsidR="00BD7590" w14:paraId="52237E55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B6ACE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环境与自然灾害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F14F1C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烟气、水质、泄漏、洪水、声学或野生动物事件触发高频记录、相机和上报。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8BB4B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季节、天气和场地基线变化；偏远部署要求低功耗，固定阈值易漂移。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A1638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无线环境监测约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26.0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亿至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33.05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亿美元，但只有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假设为事件型。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5749DD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中高：远程低功耗匹配，事件定义因行业而异。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5D832D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B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：找环境传感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，不直接覆盖全部市场。</w:t>
            </w:r>
          </w:p>
        </w:tc>
      </w:tr>
      <w:tr w:rsidR="00BD7590" w14:paraId="0032A047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6B25201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lastRenderedPageBreak/>
              <w:t>智能建筑与安防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200C302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入侵、玻璃破碎、漏水、烟气、异常占用触发相机、告警或设备控制。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2460AF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人员活动与背景噪声变化导致误报；大量电池节点关注续航。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41FFE58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Monnit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、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Milesight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等已有阈值告警和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年以上电池产品，市场拥挤。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6D7AE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中高：技术匹配，但价格敏感且平台封闭。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5105FA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B/C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：仅通过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开发包切入，暂不计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TAM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  <w:tr w:rsidR="00BD7590" w14:paraId="4114AC6D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3B7B0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汽车、航空与移动设备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1EB1D4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碰撞、道路冲击、异常振动或运动模式触发高频记录和紧急动作。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3CEDFF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工况、用户和路面差异大；安全误报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漏报代价高。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2730941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Apple Watch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已用低功耗运动处理与碰撞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跌倒算法验证需求。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236EC7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中：传感融合相近，功能安全与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认证周期长。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01B443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C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：长期许可市场，暂不计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TAM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  <w:tr w:rsidR="00BD7590" w14:paraId="4F2EFD0E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1279F2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农业、动物与生态声学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8114E9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设备故障、动物异常行为、虫害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鸟兽声学或灌溉泄漏触发记录与上报。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B0001B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昼夜、季节和物种差异使固定阈值迁移性差；现场换电困难。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A4FB39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公开事件型细分市场和付费价格不足。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AA3C7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中：技术可行，商业需求分散。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3DF78E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C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：先做合作研究，不计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TAM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</w:tbl>
    <w:p w14:paraId="58AEDD92" w14:textId="77777777" w:rsidR="00BD7590" w:rsidRDefault="00000000">
      <w:pPr>
        <w:pStyle w:val="Heading2"/>
        <w:keepNext/>
        <w:spacing w:before="140" w:after="60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 xml:space="preserve">2.2 </w:t>
      </w:r>
      <w:r>
        <w:rPr>
          <w:rFonts w:ascii="Times New Roman" w:hAnsi="Times New Roman" w:eastAsia="SimSun"/>
          <w:b/>
          <w:color w:val="000000"/>
          <w:sz w:val="24"/>
        </w:rPr>
        <w:t>首发候选场景对比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406"/>
        <w:gridCol w:w="2878"/>
        <w:gridCol w:w="2878"/>
        <w:gridCol w:w="2704"/>
      </w:tblGrid>
      <w:tr w:rsidR="00BD7590" w14:paraId="419F5B5B" w14:textId="77777777">
        <w:trPr>
          <w:tblHeader/>
          <w:cantSplit/>
        </w:trPr>
        <w:tc>
          <w:tcPr>
            <w:tcW w:w="140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77721E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比较维度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05D4C8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SHM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64E93B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工业状态监测</w:t>
            </w:r>
          </w:p>
        </w:tc>
        <w:tc>
          <w:tcPr>
            <w:tcW w:w="270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F84B84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决策意义</w:t>
            </w:r>
          </w:p>
        </w:tc>
      </w:tr>
      <w:tr w:rsidR="00BD7590" w14:paraId="1541FC21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98095C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技术证据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4FF3727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已有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LiftNode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论文验证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DF3CC06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需完成跨域数据重放与节点验证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CE701F0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技术成熟度领先</w:t>
            </w:r>
          </w:p>
        </w:tc>
      </w:tr>
      <w:tr w:rsidR="00BD7590" w14:paraId="5B2B6589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F722A5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事件频率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9CF602F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冲击、失稳等事件少，验证周期较长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3A9F2B2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异常、启停与工况变化较频繁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D067D0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工业更利于快速迭代</w:t>
            </w:r>
          </w:p>
        </w:tc>
      </w:tr>
      <w:tr w:rsidR="00BD7590" w14:paraId="3634C2ED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AE323D8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数据可得性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6E2DE99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真实危险事件与标签较难获得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8827836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设备历史波形、报警和工单较易配对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04A8749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工业更利于量化误报成本</w:t>
            </w:r>
          </w:p>
        </w:tc>
      </w:tr>
      <w:tr w:rsidR="00BD7590" w14:paraId="273E7FEF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26DBE9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付费价值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CF3D01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降低漏报风险、巡检与通信成本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B643485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减少非计划停机、人工复核与电池维护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3F8E2F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两者均有明确预算锚点</w:t>
            </w:r>
          </w:p>
        </w:tc>
      </w:tr>
      <w:tr w:rsidR="00BD7590" w14:paraId="7C471A5E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3BECC04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销售周期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9A58746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业主、工程顾问与集成商链条较长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E436FC2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可经设备监测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或工厂维护部门进入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C232B76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工业可能更快形成试点</w:t>
            </w:r>
          </w:p>
        </w:tc>
      </w:tr>
      <w:tr w:rsidR="00BD7590" w14:paraId="4755DDF7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ECB737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验证门槛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E18BA72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工程安全责任与长期可靠性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5B5A60B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工业可靠性、系统兼容与现场网络安全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AFCCEF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均需先限定为辅助决策</w:t>
            </w:r>
          </w:p>
        </w:tc>
      </w:tr>
      <w:tr w:rsidR="00BD7590" w14:paraId="0B710072" w14:textId="77777777">
        <w:trPr>
          <w:cantSplit/>
        </w:trPr>
        <w:tc>
          <w:tcPr>
            <w:tcW w:w="1406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431313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首发判断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E39AE59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优先级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：技术证明最强</w:t>
            </w:r>
          </w:p>
        </w:tc>
        <w:tc>
          <w:tcPr>
            <w:tcW w:w="2878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5E25BFA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优先级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：商业验证优先</w:t>
            </w:r>
          </w:p>
        </w:tc>
        <w:tc>
          <w:tcPr>
            <w:tcW w:w="2704" w:type="dxa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7EF8940" w14:textId="77777777" w:rsidR="00BD7590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两条试点线并行，按付费证据收敛为一个产品</w:t>
            </w:r>
          </w:p>
        </w:tc>
      </w:tr>
    </w:tbl>
    <w:p w14:paraId="092ABEA1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2.3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基础设施事件触发需求</w:t>
      </w:r>
    </w:p>
    <w:p w14:paraId="47DFD638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证据分四级：已付费部署和法规要求最强；可量化运营损失次之；厂商案例能证明价值方向；技术论文只能证明机理需要。以下数字不直接等于本产品收入。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731"/>
        <w:gridCol w:w="2618"/>
        <w:gridCol w:w="2564"/>
        <w:gridCol w:w="1763"/>
      </w:tblGrid>
      <w:tr w:rsidR="00BD7590" w14:paraId="0AA033E4" w14:textId="77777777">
        <w:trPr>
          <w:tblHeader/>
          <w:cantSplit/>
        </w:trPr>
        <w:tc>
          <w:tcPr>
            <w:tcW w:w="119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29F0DE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场景</w:t>
            </w:r>
          </w:p>
        </w:tc>
        <w:tc>
          <w:tcPr>
            <w:tcW w:w="1731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0A5C4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报警后处置</w:t>
            </w:r>
          </w:p>
        </w:tc>
        <w:tc>
          <w:tcPr>
            <w:tcW w:w="261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582CB5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可量化需求证据</w:t>
            </w:r>
          </w:p>
        </w:tc>
        <w:tc>
          <w:tcPr>
            <w:tcW w:w="256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5C071D8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固定阈值局限</w:t>
            </w:r>
          </w:p>
        </w:tc>
        <w:tc>
          <w:tcPr>
            <w:tcW w:w="176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2DC5B1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付款人与优先级</w:t>
            </w:r>
          </w:p>
        </w:tc>
      </w:tr>
      <w:tr w:rsidR="00BD7590" w14:paraId="1F4691CD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F368E7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铁路桥梁撞击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B0C2CC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撞击后立即确认结构状态，决定是否限速、停运或派工程师；需要波形、时间和影像取证。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1F87D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Network Rail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：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2024/25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年</w:t>
            </w:r>
            <w:hyperlink r:id="rId33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1,666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次撞击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，约每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小时一次；造成约</w:t>
            </w:r>
            <w:hyperlink r:id="rId34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12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百万英镑延误与取消成本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。英国创新竞赛把年度铁路成本写为</w:t>
            </w:r>
            <w:hyperlink r:id="rId35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20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百万英镑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DAC2FD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车辆、速度、桥型与环境噪声变化大。阈值低会把普通交通当撞击，阈值高会漏掉真正事件；目标是把检查时间由小时压到秒级。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1B4C717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买方：铁路业主、桥梁运维承包商、监测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。优先级：最高。已有明确损失、应急动作和创新采购预算。</w:t>
            </w:r>
          </w:p>
        </w:tc>
      </w:tr>
      <w:tr w:rsidR="00BD7590" w14:paraId="5F00B135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543425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铁路边坡与落石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6616501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突发位移后唤醒邻近节点和相机，按工程师复核、现场检查、限速或停车分级响应。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6CB10E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Senceive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称全球已有</w:t>
            </w:r>
            <w:hyperlink r:id="rId36"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50,000</w:t>
              </w:r>
              <w:r>
                <w:rPr>
                  <w:color w:val="0563C1"/>
                  <w:sz w:val="17"/>
                  <w:szCs w:val="17"/>
                  <w:u w:val="single"/>
                </w:rPr>
                <w:t>只坡体无线传感器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；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Network Rail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到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2026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年将用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InfraGuard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覆盖</w:t>
            </w:r>
            <w:hyperlink r:id="rId37"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60</w:t>
              </w:r>
              <w:r>
                <w:rPr>
                  <w:color w:val="0563C1"/>
                  <w:sz w:val="17"/>
                  <w:szCs w:val="17"/>
                  <w:u w:val="single"/>
                </w:rPr>
                <w:t>公里高风险边坡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，典型告警延迟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分钟。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1D129D2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降雨、季节、施工和基线缓慢漂移会改变正常范围。官方资料明确说低阈值造成误报并削弱信任，说明长期人工设参是现存痛点。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03E3EE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买方：铁路资产管理、地质监测承包商、无线节点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。优先级：最高。安装基础大，动作链清楚。</w:t>
            </w:r>
          </w:p>
        </w:tc>
      </w:tr>
      <w:tr w:rsidR="00BD7590" w14:paraId="59EC2230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89B376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公路桥梁超载、船撞与关键构件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5A9AC5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应变或冲击越界后同步多节点、触发相机、识别车辆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船舶，并决定检查与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交通管制。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45160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美国有</w:t>
            </w:r>
            <w:hyperlink r:id="rId38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624,193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座桥梁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，但只有少部分适合事件触发。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West Virginia DOT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一座桥已部署</w:t>
            </w:r>
            <w:hyperlink r:id="rId39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57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只无线传感器并做船撞检测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MDSHA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单点超高预警系统公开成本为</w:t>
            </w:r>
            <w:hyperlink r:id="rId40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146,000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美元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A6A68D2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不同车辆、温度和交通背景使固定应变阈值难以兼顾误报与漏报。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Resensys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已证明阈值触发相机是付费功能，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自适应价值仍需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A/B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验证。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F444A8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买方：交通部门、桥梁业主、工程顾问、监测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。优先级：高。事件明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lastRenderedPageBreak/>
              <w:t>确，但销售周期较长。</w:t>
            </w:r>
          </w:p>
        </w:tc>
      </w:tr>
      <w:tr w:rsidR="00BD7590" w14:paraId="6CBC7D89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2E88306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lastRenderedPageBreak/>
              <w:t>尾矿库、露天矿边坡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CF7531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异常运动后提高采样、通知责任人并按触发行动响应计划采取检查、疏散或停产措施。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73CB336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全球尾矿门户记录</w:t>
            </w:r>
            <w:hyperlink r:id="rId41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1,805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座设施、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692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个矿区、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222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家矿企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GISTM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要求综合监测，并要求偏离性能指标后按</w:t>
            </w:r>
            <w:hyperlink r:id="rId42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触发行动响应计划及时处理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Martabe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金矿已有</w:t>
            </w:r>
            <w:hyperlink r:id="rId43">
              <w:r>
                <w:rPr>
                  <w:color w:val="0563C1"/>
                  <w:sz w:val="17"/>
                  <w:szCs w:val="17"/>
                  <w:u w:val="single"/>
                </w:rPr>
                <w:t>36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个无线节点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EB40E7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降雨、爆破、温度和长期形变叠加；偏远点位又要求少换电。自适应必须受工程上限约束，不能让算法越过安全阈值。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C9C8C3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买方：矿山业主、尾矿设施负责人、监测集成商。优先级：高。法规驱动强，但认证和责任要求高。</w:t>
            </w:r>
          </w:p>
        </w:tc>
      </w:tr>
      <w:tr w:rsidR="00BD7590" w14:paraId="335E13A6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28E34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施工振动与邻近资产保护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9A349C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超过预警值即通知工程师；超过停工值则停工、调查、纠正并向监管方报告。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852E363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纽约公开监测方案使用</w:t>
            </w:r>
            <w:hyperlink r:id="rId44">
              <w:r>
                <w:rPr>
                  <w:color w:val="0563C1"/>
                  <w:sz w:val="17"/>
                  <w:szCs w:val="17"/>
                  <w:u w:val="single"/>
                </w:rPr>
                <w:t>0.2 in/s</w:t>
              </w:r>
              <w:r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>
                <w:rPr>
                  <w:color w:val="0563C1"/>
                  <w:sz w:val="17"/>
                  <w:szCs w:val="17"/>
                  <w:u w:val="single"/>
                </w:rPr>
                <w:t>0.5 in/s</w:t>
              </w:r>
              <w:r>
                <w:rPr>
                  <w:color w:val="0563C1"/>
                  <w:sz w:val="17"/>
                  <w:szCs w:val="17"/>
                  <w:u w:val="single"/>
                </w:rPr>
                <w:t>停工阈值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；英国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Sea Link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方案采用</w:t>
            </w:r>
            <w:hyperlink r:id="rId45">
              <w:r>
                <w:rPr>
                  <w:color w:val="0563C1"/>
                  <w:sz w:val="17"/>
                  <w:szCs w:val="17"/>
                  <w:u w:val="single"/>
                </w:rPr>
                <w:t>5 mm/s</w:t>
              </w:r>
              <w:r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>
                <w:rPr>
                  <w:color w:val="0563C1"/>
                  <w:sz w:val="17"/>
                  <w:szCs w:val="17"/>
                  <w:u w:val="single"/>
                </w:rPr>
                <w:t>12.5 mm/s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上限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EEA235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设备启停和工序变化使背景噪声快速变化，但法规硬上限不能自适应。机会是动态预警层与事件分类，而不是修改法定停工线。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75B447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买方：总包、爆破承包商、邻近资产业主、监测服务商。优先级：中高。项目预算明确，但多为短周期项目。</w:t>
            </w:r>
          </w:p>
        </w:tc>
      </w:tr>
      <w:tr w:rsidR="00BD7590" w14:paraId="126A2994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B24844C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地震与震后快速评估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2F42BE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地震后自动唤醒、计算需求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损伤指标并排序检查对象，减少全量人工巡检。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C45240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ShakeCast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案例显示，在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3,407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座桥中检查</w:t>
            </w:r>
            <w:hyperlink r:id="rId46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14%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即可找出约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80%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中度损伤桥梁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HayWired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情景评估</w:t>
            </w:r>
            <w:hyperlink r:id="rId47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4,216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座桥，其中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2,734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座超过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0.1g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83AB4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事件极少、训练样本稀缺且后果很高。应采用保守边界和事件后评估；不宜把在线探索作为主卖点。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D4DF2D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买方：交通部门、应急管理机构、大型设施业主。优先级：中。价值高但事件稀少、验证周期长。</w:t>
            </w:r>
          </w:p>
        </w:tc>
      </w:tr>
    </w:tbl>
    <w:p w14:paraId="0DC9D5D4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2.4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自适应能力要求与量化指标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569"/>
        <w:gridCol w:w="2661"/>
        <w:gridCol w:w="2888"/>
        <w:gridCol w:w="2748"/>
      </w:tblGrid>
      <w:tr w:rsidR="00BD7590" w14:paraId="1DF860F2" w14:textId="77777777">
        <w:trPr>
          <w:tblHeader/>
          <w:cantSplit/>
        </w:trPr>
        <w:tc>
          <w:tcPr>
            <w:tcW w:w="156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31CEF4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需求维度</w:t>
            </w:r>
          </w:p>
        </w:tc>
        <w:tc>
          <w:tcPr>
            <w:tcW w:w="2661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81502CF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固定阈值的限制</w:t>
            </w:r>
          </w:p>
        </w:tc>
        <w:tc>
          <w:tcPr>
            <w:tcW w:w="288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919B4FD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产品必须做到</w:t>
            </w:r>
          </w:p>
        </w:tc>
        <w:tc>
          <w:tcPr>
            <w:tcW w:w="274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A411611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试点可量化指标</w:t>
            </w:r>
          </w:p>
        </w:tc>
      </w:tr>
      <w:tr w:rsidR="00BD7590" w14:paraId="6C1AC58B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CABE46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动态基线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67127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交通、风、温度、降雨、工序或爆破改变正常信号；同一固定阈值会在不同时间失效。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23D775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在不越过工程安全上限的前提下，按环境与近期数据更新预警阈值和持续时间。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B1913D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分季节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工况的事件捕获率、每站点每月误报数、人工改阈值次数。</w:t>
            </w:r>
          </w:p>
        </w:tc>
      </w:tr>
      <w:tr w:rsidR="00BD7590" w14:paraId="659ADB39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A19464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漏报与误报权衡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AAEBE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只压低误报会提高漏报；只追求捕获会造成无效派工和告警疲劳。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6283D3B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联合优化捕获率、误触发和后果权重；高后果场景保留硬阈值兜底。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0C1CB2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真实事件捕获率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≥95%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；误触发较人工阈值下降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≥30%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；重大事件零漏报作为试点门槛。</w:t>
            </w:r>
          </w:p>
        </w:tc>
      </w:tr>
      <w:tr w:rsidR="00BD7590" w14:paraId="11D1D5FF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0D90DE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能耗与数据预算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F7E60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低阈值会增加高频采样、无线传输和换电；偏远矿山与边坡进场代价尤其高。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3FBB5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把能耗和数据量纳入目标函数，按剩余电量、通信质量和事件风险调整采样窗口。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E01B03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每日能耗、每月上传数据量、预计电池寿命、每年现场换电次数。</w:t>
            </w:r>
          </w:p>
        </w:tc>
      </w:tr>
      <w:tr w:rsidR="00BD7590" w14:paraId="2BA39DC9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A0B4AF7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多节点与相机联动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E47A977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单点噪声容易误报，单节点波形又不足以判断事件位置和严重度。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E3D1BD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首个节点触发后唤醒邻近节点与相机；用空间一致性决定升级或撤销告警。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62BAC4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联动延迟、同步误差、有效事件证据完整率、相机有效取证率。</w:t>
            </w:r>
          </w:p>
        </w:tc>
      </w:tr>
      <w:tr w:rsidR="00BD7590" w14:paraId="084F26B4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EE904C8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可审计与安全边界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C69418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铁路、桥梁和尾矿告警会触发限速、停工或疏散，客户不能接受不可解释的自动漂移。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D049058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记录每次参数变化、原因和版本；工程师设硬上限、回退策略和人工锁定。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3225CCD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参数变更可追溯率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100%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；回退时间；未经批准越过安全边界次数为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  <w:tr w:rsidR="00BD7590" w14:paraId="3830B261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F8C6F2D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少样本快速适配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991FC7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撞击、滑坡和地震样本少，不能等大量事故发生后才训练。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090643C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部署前用历史数据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数字模型粗调，部署后小步更新；用保守先验限制探索。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E62324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达到目标性能所需事件数、上线调试天数、每次更新计算量；对比人工设参。</w:t>
            </w:r>
          </w:p>
        </w:tc>
      </w:tr>
    </w:tbl>
    <w:p w14:paraId="3F37F720" w14:textId="77777777" w:rsidR="00BD7590" w:rsidRDefault="00000000">
      <w:pPr>
        <w:spacing w:before="0" w:after="60" w:line="264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低优先级市场包括：市电供电并持续全量采集的系统；以缓慢沉降或温度趋势为核心的点位；背景稳定且长期无需调参的站点。这些场景中的触发节能和自适应增量价值有限。</w:t>
      </w:r>
    </w:p>
    <w:p w14:paraId="61104FD4" w14:textId="77777777" w:rsidR="000F3D1B" w:rsidRDefault="00000000">
      <w:pPr>
        <w:pStyle w:val="Heading2"/>
        <w:keepNext/>
        <w:spacing w:before="140" w:line="276" w:lineRule="auto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2.5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市场需求证据</w:t>
      </w:r>
    </w:p>
    <w:p w14:paraId="49D3639D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公开资料已证实事件及其损失。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Network Rail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报告显示，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2024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年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4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月至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2025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年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3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月全网记录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1,666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次桥梁撞击；相关成本包括桥梁检查、修复及列车延误赔偿。该证据支持高后果事件及时捕获的运营价值，但不直接用于推导本方案售价。</w:t>
      </w:r>
    </w:p>
    <w:p w14:paraId="4DA15194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lastRenderedPageBreak/>
        <w:t>阈值问题有技术和商业双重证据。</w:t>
      </w:r>
      <w:hyperlink r:id="rId48">
        <w:r w:rsidR="000F3D1B">
          <w:rPr>
            <w:color w:val="0563C1"/>
            <w:lang w:eastAsia="zh-CN"/>
          </w:rPr>
          <w:t>本项目已发表论文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指出经验阈值在变化环境中存在漏触发、误触发和能耗之间的权衡；</w:t>
      </w:r>
      <w:hyperlink r:id="rId49">
        <w:r w:rsidR="000F3D1B">
          <w:rPr>
            <w:color w:val="0563C1"/>
            <w:lang w:eastAsia="zh-CN"/>
          </w:rPr>
          <w:t>Senceive</w:t>
        </w:r>
        <w:r w:rsidR="000F3D1B">
          <w:rPr>
            <w:color w:val="0563C1"/>
            <w:lang w:eastAsia="zh-CN"/>
          </w:rPr>
          <w:t>官方资料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则明确提醒，阈值过低造成的频繁误报会降低用户对系统的信任。</w:t>
      </w:r>
    </w:p>
    <w:p w14:paraId="40C388E9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少进场和长续航已经影响采购。</w:t>
      </w:r>
      <w:hyperlink r:id="rId50">
        <w:r w:rsidR="000F3D1B">
          <w:rPr>
            <w:color w:val="0563C1"/>
            <w:lang w:eastAsia="zh-CN"/>
          </w:rPr>
          <w:t>Worldsensing</w:t>
        </w:r>
        <w:r w:rsidR="000F3D1B">
          <w:rPr>
            <w:color w:val="0563C1"/>
            <w:lang w:eastAsia="zh-CN"/>
          </w:rPr>
          <w:t>加拿大尾矿坝案例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把无需技术人员现场抄读、最长约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10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年电池寿命列为降本和降风险收益；其</w:t>
      </w:r>
      <w:hyperlink r:id="rId51">
        <w:r w:rsidR="000F3D1B">
          <w:rPr>
            <w:color w:val="0563C1"/>
            <w:lang w:eastAsia="zh-CN"/>
          </w:rPr>
          <w:t>加拿大油砂案例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还报告数据频率提高近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40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倍和一年内回本。两者均为厂商案例，应作为价值信号，而非独立审计后的节省。</w:t>
      </w:r>
    </w:p>
    <w:p w14:paraId="28682CEF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触发后联动和事件取证已有真实产品需求。</w:t>
      </w:r>
      <w:hyperlink r:id="rId52">
        <w:r w:rsidR="000F3D1B">
          <w:rPr>
            <w:color w:val="0563C1"/>
            <w:lang w:eastAsia="zh-CN"/>
          </w:rPr>
          <w:t>Senceive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会联动同网节点、相机和响应级别；</w:t>
      </w:r>
      <w:hyperlink r:id="rId53">
        <w:r w:rsidR="000F3D1B">
          <w:rPr>
            <w:color w:val="0563C1"/>
            <w:lang w:eastAsia="zh-CN"/>
          </w:rPr>
          <w:t>Resensys</w:t>
        </w:r>
        <w:r w:rsidR="000F3D1B">
          <w:rPr>
            <w:color w:val="0563C1"/>
            <w:lang w:eastAsia="zh-CN"/>
          </w:rPr>
          <w:t>应用说明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用应变阈值触发相机记录超载车辆。这证明客户需要可信事件证据，尚不能证明其愿为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“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自适应调参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”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单独付费。</w:t>
      </w:r>
    </w:p>
    <w:p w14:paraId="3F90A1F1" w14:textId="77777777" w:rsidR="000F3D1B" w:rsidRDefault="00000000">
      <w:pPr>
        <w:pStyle w:val="Heading2"/>
        <w:keepNext/>
        <w:spacing w:before="140" w:line="276" w:lineRule="auto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2.6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损失承担者与采购决策者</w:t>
      </w:r>
    </w:p>
    <w:p w14:paraId="2AA18194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采购链条必须拆开看：监测工程师是使用者，运维团队承受日常成本，资产业主或项目负责人通常才是预算决策者。产品必须同时让前者少干活、让后者少担风险。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2C94251E" w14:textId="77777777">
        <w:trPr>
          <w:tblHeader/>
          <w:cantSplit/>
        </w:trPr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0F4DB3E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角色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C8B9026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现在承担的损失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25C53E" w14:textId="77777777" w:rsidR="000F3D1B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lang w:eastAsia="zh-CN"/>
              </w:rPr>
              <w:t>采购触发条件（待访谈验证）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10CA149" w14:textId="77777777" w:rsidR="000F3D1B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  <w:lang w:eastAsia="zh-CN"/>
              </w:rPr>
              <w:t>预算与付费单位（待报价验证）</w:t>
            </w:r>
          </w:p>
        </w:tc>
      </w:tr>
      <w:tr w:rsidR="000F3D1B" w14:paraId="250704CE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A60C132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铁路、公路、桥梁或矿山业主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CE07812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漏掉事件会带来检查、修复、运营中断及责任风险（</w:t>
            </w:r>
            <w:hyperlink r:id="rId54">
              <w:r w:rsidR="000F3D1B">
                <w:rPr>
                  <w:color w:val="0563C1"/>
                  <w:sz w:val="17"/>
                  <w:szCs w:val="17"/>
                  <w:lang w:eastAsia="zh-CN"/>
                </w:rPr>
                <w:t>Network Rail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公开成本构成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A6B53B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近期发生撞击、超载、滑坡；新建监测项目；监管或保险要求提高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2781D4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安全、风险或监测预算；按站点年费或固定价试点</w:t>
            </w:r>
          </w:p>
        </w:tc>
      </w:tr>
      <w:tr w:rsidR="000F3D1B" w14:paraId="083BBFEC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9502389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运维与监测团队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2700A4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误报告警复核、现场访问和换电（</w:t>
            </w:r>
            <w:hyperlink r:id="rId55">
              <w:r w:rsidR="000F3D1B">
                <w:rPr>
                  <w:color w:val="0563C1"/>
                  <w:sz w:val="17"/>
                  <w:szCs w:val="17"/>
                  <w:lang w:eastAsia="zh-CN"/>
                </w:rPr>
                <w:t>Worldsensing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尾矿坝案例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F47E30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误报已经造成无效派工；点位难进入；电池寿命不达标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3DE0A3E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运维预算；按节点年费或站点服务费</w:t>
            </w:r>
          </w:p>
        </w:tc>
      </w:tr>
      <w:tr w:rsidR="000F3D1B" w14:paraId="6E80D53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73E7A93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系统集成商与监测服务商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2F1624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安装、配置和维护工时会影响项目成本（</w:t>
            </w:r>
            <w:hyperlink r:id="rId56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厂商案例报告工时下降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40%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）；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“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调参侵蚀毛利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”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仍需访谈验证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154D20D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在运节点多、参数维护频繁、客户要求更高数据可用性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E0B31C2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项目软件或研发预算；固件授权、软件开发包或转售分成</w:t>
            </w:r>
          </w:p>
        </w:tc>
      </w:tr>
      <w:tr w:rsidR="000F3D1B" w14:paraId="73DEDA97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F7F79FD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顾问工程师与技术负责人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877B9F3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工程师需要核验告警真假并决定是否进场、限速或停车（</w:t>
            </w:r>
            <w:hyperlink r:id="rId57">
              <w:r w:rsidR="000F3D1B">
                <w:rPr>
                  <w:color w:val="0563C1"/>
                  <w:sz w:val="17"/>
                  <w:szCs w:val="17"/>
                  <w:lang w:eastAsia="zh-CN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公开响应流程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）；专业责任和实际金额需访谈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256D5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需要可审计的事件证据和统一的判断规则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E0F9E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项目专业服务预算；站点许可通常由业主批准</w:t>
            </w:r>
          </w:p>
        </w:tc>
      </w:tr>
    </w:tbl>
    <w:p w14:paraId="4774D95A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已有价值证据：</w:t>
      </w:r>
      <w:hyperlink r:id="rId58">
        <w:r w:rsidR="000F3D1B">
          <w:rPr>
            <w:color w:val="0563C1"/>
            <w:lang w:eastAsia="zh-CN"/>
          </w:rPr>
          <w:t>Senceive</w:t>
        </w:r>
        <w:r w:rsidR="000F3D1B">
          <w:rPr>
            <w:color w:val="0563C1"/>
            <w:lang w:eastAsia="zh-CN"/>
          </w:rPr>
          <w:t>公开的铁路边坡流程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显示，告警可能逐级触发工程师核验、现场访问、限速，直至停车或谨慎放行。因此客户为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“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更可信的触发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”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付费，本质上是在减少漏报风险和无效响应，而不是购买一个算法名词。</w:t>
      </w:r>
    </w:p>
    <w:p w14:paraId="68C32D55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成本侧也有直接信号。</w:t>
      </w:r>
      <w:hyperlink r:id="rId59">
        <w:r w:rsidR="000F3D1B">
          <w:rPr>
            <w:color w:val="0563C1"/>
            <w:lang w:eastAsia="zh-CN"/>
          </w:rPr>
          <w:t>Worldsensing</w:t>
        </w:r>
        <w:r w:rsidR="000F3D1B">
          <w:rPr>
            <w:color w:val="0563C1"/>
            <w:lang w:eastAsia="zh-CN"/>
          </w:rPr>
          <w:t>加拿大油砂案例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称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200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多个节点把数据频率从每周人工读取提高近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40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倍，并在一年内收回投资；</w:t>
      </w:r>
      <w:hyperlink r:id="rId60">
        <w:r w:rsidR="000F3D1B">
          <w:rPr>
            <w:color w:val="0563C1"/>
            <w:lang w:eastAsia="zh-CN"/>
          </w:rPr>
          <w:t>加拿大尾矿坝案例</w:t>
        </w:r>
      </w:hyperlink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强调减少人员进场和最长约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10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年电池寿命。两者均为厂商案例，只能证明客户重视少进场、长续航和连续数据，不能直接证明客户会按同样价格购买本方案。</w:t>
      </w:r>
    </w:p>
    <w:p w14:paraId="22AEF557" w14:textId="77777777" w:rsidR="000F3D1B" w:rsidRDefault="00000000">
      <w:pPr>
        <w:pStyle w:val="Heading2"/>
        <w:keepNext/>
        <w:spacing w:before="140" w:line="276" w:lineRule="auto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2.7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付费意愿验证方法</w:t>
      </w:r>
    </w:p>
    <w:p w14:paraId="2D06CDD1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付费意愿验证应基于实际记录和带价方案。访谈需获取最近一次误报、漏报、换电或现场访问记录，并分别报价数据回放评估、限定节点固件试点及按站点或节点计费的年度许可。有效付费信号包括试点费用、成本共担或包含预算与时间表的合作意向书。</w:t>
      </w:r>
    </w:p>
    <w:p w14:paraId="7912A224" w14:textId="77777777" w:rsidR="000F3D1B" w:rsidRDefault="00000000">
      <w:pPr>
        <w:spacing w:after="60" w:line="264" w:lineRule="auto" w:before="0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客户侧年度价值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 xml:space="preserve"> = 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少做的现场访问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 xml:space="preserve"> + 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节省的调参与复核工时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 xml:space="preserve"> + 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少发生的误报响应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 xml:space="preserve"> + 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风险调整后的事故损失下降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 xml:space="preserve"> - 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新增软硬件成本。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其中事故损失下降只能作为概率项，不能写成保证节省。试点的付款门槛应是：真实事件捕获率不低于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95%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，误触发至少下降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30%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，并把节省换算成每站点每年的金额。</w:t>
      </w:r>
    </w:p>
    <w:p w14:paraId="57B824AA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本节结论：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SHM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与工业状态监测均为优先级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A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；前者技术证据更强，后者事件频率与投资回报验证条件更好。</w:t>
      </w:r>
    </w:p>
    <w:p>
      <w:pPr>
        <w:pStyle w:val="Heading2"/>
        <w:keepNext/>
        <w:spacing w:before="140" w:after="60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2.8 SATM年度客户价值与可收费范围估算</w:t>
      </w:r>
    </w:p>
    <w:p>
      <w:pPr>
        <w:spacing w:before="0" w:after="60" w:line="264" w:lineRule="auto"/>
        <w:ind w:left="0" w:right="0"/>
      </w:pPr>
      <w:r>
        <w:rPr>
          <w:rFonts w:ascii="Times New Roman" w:hAnsi="Times New Roman" w:eastAsia="SimSun"/>
          <w:b w:val="0"/>
          <w:color w:val="000000"/>
          <w:sz w:val="21"/>
        </w:rPr>
        <w:t>以下数字用于判断价值量级，不代表客户已确认的节省。所有假设须用客户日志、工单和报价替换。</w:t>
      </w:r>
    </w:p>
    <w:tbl>
      <w:tblPr>
        <w:tblStyle w:val="TableGrid"/>
        <w:tblW w:type="dxa" w:w="9866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677"/>
        <w:gridCol w:w="2867"/>
        <w:gridCol w:w="2434"/>
        <w:gridCol w:w="2888"/>
      </w:tblGrid>
      <w:tr>
        <w:trPr>
          <w:tblHeader/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价值项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SHM：50节点/站点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工业：100测点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验证口径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现场与误报响应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4至12次现场访问×S$800至1,500；2至8次误报响应×S$1,000至3,000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12至48次误报响应×S$150至500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15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用报警记录、派工单和现场访问成本验证</w:t>
              </w:r>
            </w:hyperlink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调参与复核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40至120小时×S$60至100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80至240小时×S$60至100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用工程师工时和外包费率验证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数据、电池与维护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S$1,000至6,000/年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S$2,000至10,000/年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60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用通信账单、换电和维护记录验证</w:t>
              </w:r>
            </w:hyperlink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风险调整损失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事件概率下降0.1%至0.5%×损失S$200,000至1,000,000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减少停机1至4小时×S$1,000至5,000/小时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仅作概率价值，不得写成保证节省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收费边界</w:t>
            </w:r>
          </w:p>
        </w:tc>
        <w:tc>
          <w:tcPr>
            <w:tcW w:type="dxa" w:w="28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50节点×S$80至200/年</w:t>
            </w:r>
          </w:p>
        </w:tc>
        <w:tc>
          <w:tcPr>
            <w:tcW w:type="dxa" w:w="243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100测点×S$80至200/年</w:t>
            </w:r>
          </w:p>
        </w:tc>
        <w:tc>
          <w:tcPr>
            <w:tcW w:type="dxa" w:w="28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收费＝毛价值×10%至30%，且不超过节点价格上限；比例为报价测试假设</w:t>
            </w:r>
          </w:p>
        </w:tc>
      </w:tr>
    </w:tbl>
    <w:p>
      <w:pPr>
        <w:spacing w:before="0" w:after="60" w:line="264" w:lineRule="auto"/>
        <w:ind w:left="0" w:right="0"/>
      </w:pPr>
      <w:r>
        <w:rPr>
          <w:rFonts w:ascii="Times New Roman" w:hAnsi="Times New Roman" w:eastAsia="SimSun"/>
          <w:b w:val="0"/>
          <w:color w:val="000000"/>
          <w:sz w:val="21"/>
        </w:rPr>
        <w:t>基准计算：SHM＝6×S$1,000＋80×S$80＋4×S$1,500＋S$2,500＋0.25%×S$500,000＝S$22,200/站点/年；工业＝24×S$250＋160×S$80＋S$5,000＋2×S$2,500＝S$28,800/100测点/年。</w:t>
      </w:r>
    </w:p>
    <w:p>
      <w:pPr>
        <w:spacing w:before="0" w:after="60" w:line="264" w:lineRule="auto"/>
        <w:ind w:left="0" w:right="0"/>
      </w:pPr>
      <w:r>
        <w:rPr>
          <w:rFonts w:ascii="Times New Roman" w:hAnsi="Times New Roman" w:eastAsia="SimSun"/>
          <w:b w:val="0"/>
          <w:color w:val="000000"/>
          <w:sz w:val="21"/>
        </w:rPr>
        <w:t>收费口径：年度收费取以下两者中的较低值：客户毛价值×10%/20%/30%；节点或测点数×S$80至200。价值分享比例是报价测试假设，须由带价试点验证。</w:t>
      </w:r>
    </w:p>
    <w:tbl>
      <w:tblPr>
        <w:tblStyle w:val="TableGrid"/>
        <w:tblW w:type="dxa" w:w="9866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055"/>
        <w:gridCol w:w="2618"/>
        <w:gridCol w:w="2596"/>
        <w:gridCol w:w="2597"/>
      </w:tblGrid>
      <w:tr>
        <w:trPr>
          <w:tblHeader/>
          <w:cantSplit/>
        </w:trPr>
        <w:tc>
          <w:tcPr>
            <w:tcW w:type="dxa" w:w="205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6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客户年度毛价值</w:t>
            </w:r>
          </w:p>
        </w:tc>
        <w:tc>
          <w:tcPr>
            <w:tcW w:type="dxa" w:w="25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可测试年度收费</w:t>
            </w:r>
          </w:p>
        </w:tc>
        <w:tc>
          <w:tcPr>
            <w:tcW w:type="dxa" w:w="25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客户扣费后净价值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SHM：50节点/站点</w:t>
            </w:r>
          </w:p>
        </w:tc>
        <w:tc>
          <w:tcPr>
            <w:tcW w:type="dxa" w:w="26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S$8,800至65,000；基准S$22,200</w:t>
            </w:r>
          </w:p>
        </w:tc>
        <w:tc>
          <w:tcPr>
            <w:tcW w:type="dxa" w:w="25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S$900至10,000；基准S$4,400</w:t>
            </w:r>
          </w:p>
        </w:tc>
        <w:tc>
          <w:tcPr>
            <w:tcW w:type="dxa" w:w="25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S$7,900至55,000；基准S$17,800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工业：100测点</w:t>
            </w:r>
          </w:p>
        </w:tc>
        <w:tc>
          <w:tcPr>
            <w:tcW w:type="dxa" w:w="26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S$9,600至78,000；基准S$28,800</w:t>
            </w:r>
          </w:p>
        </w:tc>
        <w:tc>
          <w:tcPr>
            <w:tcW w:type="dxa" w:w="25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S$1,000至20,000；基准S$5,800</w:t>
            </w:r>
          </w:p>
        </w:tc>
        <w:tc>
          <w:tcPr>
            <w:tcW w:type="dxa" w:w="259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S$8,600至58,000；基准S$23,000</w:t>
            </w:r>
          </w:p>
        </w:tc>
      </w:tr>
    </w:tbl>
    <w:p>
      <w:pPr>
        <w:pStyle w:val="EvidenceNote"/>
        <w:keepLines/>
        <w:spacing w:before="80" w:after="80" w:line="252" w:lineRule="auto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</w:rPr>
        <w:t>本节结论：SATM年度毛价值的示例基准为SHM站点约S$22,000、工业100测点约S$29,000；首轮年度等值报价宜从S$4,000至6,000测试，并用真实成本记录修正。</w:t>
      </w:r>
    </w:p>
    <w:p w14:paraId="4E637C34" w14:textId="77777777" w:rsidR="000F3D1B" w:rsidRDefault="00000000">
      <w:pPr>
        <w:pStyle w:val="Heading1"/>
        <w:keepNext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  <w:lang w:eastAsia="zh-CN"/>
        </w:rPr>
        <w:lastRenderedPageBreak/>
        <w:t xml:space="preserve">3. </w:t>
      </w:r>
      <w:r>
        <w:rPr>
          <w:rFonts w:ascii="Times New Roman" w:hAnsi="Times New Roman" w:eastAsia="SimSun"/>
          <w:b/>
          <w:color w:val="000000"/>
          <w:sz w:val="28"/>
          <w:lang w:eastAsia="zh-CN"/>
        </w:rPr>
        <w:t>跨行业竞品触发机制</w:t>
      </w:r>
    </w:p>
    <w:p w14:paraId="59A0A6B0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3.1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跨行业产品与需求验证</w:t>
      </w:r>
    </w:p>
    <w:p w14:paraId="032798F0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自适应等级：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L0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＝固定阈值；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L1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＝按场景规则切换；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L2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＝离线模型或周期更新；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L3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＝依据现场反馈在线闭环优化（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目标）。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893"/>
        <w:gridCol w:w="1136"/>
        <w:gridCol w:w="2759"/>
        <w:gridCol w:w="2218"/>
        <w:gridCol w:w="1860"/>
      </w:tblGrid>
      <w:tr w:rsidR="00BD7590" w14:paraId="457AEC2B" w14:textId="77777777">
        <w:trPr>
          <w:tblHeader/>
          <w:cantSplit/>
        </w:trPr>
        <w:tc>
          <w:tcPr>
            <w:tcW w:w="189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122F15A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公司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产品</w:t>
            </w:r>
          </w:p>
        </w:tc>
        <w:tc>
          <w:tcPr>
            <w:tcW w:w="1136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491CC15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行业</w:t>
            </w:r>
          </w:p>
        </w:tc>
        <w:tc>
          <w:tcPr>
            <w:tcW w:w="2759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84F2FEC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触发机理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0EE58F6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商业验证</w:t>
            </w:r>
          </w:p>
        </w:tc>
        <w:tc>
          <w:tcPr>
            <w:tcW w:w="1860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2D7A252" w14:textId="77777777" w:rsidR="00BD7590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SATM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机会</w:t>
            </w:r>
          </w:p>
        </w:tc>
      </w:tr>
      <w:tr w:rsidR="00BD7590" w14:paraId="6DAAB8FA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C3194C" w14:textId="77777777" w:rsidR="00BD7590" w:rsidRDefault="00000000">
            <w:pPr>
              <w:spacing w:after="0" w:line="240" w:lineRule="auto" w:before="0"/>
            </w:pPr>
            <w:hyperlink r:id="rId61">
              <w:r>
                <w:rPr>
                  <w:color w:val="0563C1"/>
                  <w:sz w:val="17"/>
                  <w:szCs w:val="17"/>
                  <w:u w:val="single"/>
                </w:rPr>
                <w:t>Emerson AMS Wireless Vibration Monitor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2AE2CC3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工业设备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EF7F880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电池无线监测；高频高分辨率波形按计划或按需获取，频谱上传。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A05212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官方称正常条件下电池约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年，证明高保真波形与续航需权衡。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1D619D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L0-L1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｜未见节点根据误报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漏报反馈自动优化触发条件。</w:t>
            </w:r>
          </w:p>
        </w:tc>
      </w:tr>
      <w:tr w:rsidR="00BD7590" w14:paraId="486E1A28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874788" w14:textId="77777777" w:rsidR="00BD7590" w:rsidRDefault="00000000">
            <w:pPr>
              <w:spacing w:after="0" w:line="240" w:lineRule="auto" w:before="0"/>
            </w:pPr>
            <w:hyperlink r:id="rId62">
              <w:r>
                <w:rPr>
                  <w:color w:val="0563C1"/>
                  <w:sz w:val="17"/>
                  <w:szCs w:val="17"/>
                  <w:u w:val="single"/>
                </w:rPr>
                <w:t>Apple Watch Fall/Crash Detection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5CFF7DB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医疗穿戴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移动安全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6648963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加速度计、陀螺仪和运动算法识别跌倒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碰撞；跌倒后约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分钟不动再升级求助。低功耗运动协处理器减少主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SoC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唤醒。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9F78C5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Apple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明确提示可能漏检或把高冲击活动误判为跌倒，证明错误权衡真实存在。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8CF6BF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L1-L2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｜算法会按活动类型更新，但未公开个体在线闭环调参；监管与数据壁垒高。</w:t>
            </w:r>
          </w:p>
        </w:tc>
      </w:tr>
      <w:tr w:rsidR="00BD7590" w14:paraId="37D8936C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2EE3D2F" w14:textId="77777777" w:rsidR="00BD7590" w:rsidRDefault="00000000">
            <w:pPr>
              <w:spacing w:after="0" w:line="240" w:lineRule="auto" w:before="0"/>
            </w:pPr>
            <w:hyperlink r:id="rId63">
              <w:r>
                <w:rPr>
                  <w:color w:val="0563C1"/>
                  <w:sz w:val="17"/>
                  <w:szCs w:val="17"/>
                  <w:u w:val="single"/>
                </w:rPr>
                <w:t>Monnit ALTA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8AE06F2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环境、设施、农业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74D47B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用户在云端设置温湿度、气体、漏水、运动等阈值；越界后短信、邮件或语音告警。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AC4C3C5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80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多类传感器、最长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年以上电池，证明跨行业阈值告警与低功耗需求。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9972E4F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｜阈值和上报频率主要靠人工配置，适合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SATM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作为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OEM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增强模块。</w:t>
            </w:r>
          </w:p>
        </w:tc>
      </w:tr>
      <w:tr w:rsidR="00BD7590" w14:paraId="3F514E0E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9C607E" w14:textId="77777777" w:rsidR="00BD7590" w:rsidRDefault="00000000">
            <w:pPr>
              <w:spacing w:after="0" w:line="240" w:lineRule="auto" w:before="0"/>
            </w:pPr>
            <w:hyperlink r:id="rId64">
              <w:r>
                <w:rPr>
                  <w:color w:val="0563C1"/>
                  <w:sz w:val="17"/>
                  <w:szCs w:val="17"/>
                  <w:u w:val="single"/>
                </w:rPr>
                <w:t>Milesight EM300-TH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C2E757A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环境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冷链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建筑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D5D898A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周期采集；温湿度越过设定阈值时立即上传，恢复后才能再次触发。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87219CB" w14:textId="77777777" w:rsidR="00BD7590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阈值告警、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LoRaWAN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和最长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年电池已商品化。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C54767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｜固定阈值，不公开在线适应环境与误报反馈。</w:t>
            </w:r>
          </w:p>
        </w:tc>
      </w:tr>
      <w:tr w:rsidR="00BD7590" w14:paraId="68972D1A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D2C49FA" w14:textId="77777777" w:rsidR="00BD7590" w:rsidRDefault="00000000">
            <w:pPr>
              <w:spacing w:after="0" w:line="240" w:lineRule="auto" w:before="0"/>
            </w:pPr>
            <w:hyperlink r:id="rId65">
              <w:r>
                <w:rPr>
                  <w:color w:val="0563C1"/>
                  <w:sz w:val="17"/>
                  <w:szCs w:val="17"/>
                  <w:u w:val="single"/>
                </w:rPr>
                <w:t>Bosch BMA400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71EBBF6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穿戴、物联网、设备唤醒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11D926E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低功耗加速度计用可配置唤醒阈值和超时计数，从低功耗模式切换到正常模式并中断主机。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6873312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在芯片层直接证明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“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哨兵传感器唤醒主处理器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”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是通用架构。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BBEFA59" w14:textId="77777777" w:rsidR="00BD7590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L0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lang w:eastAsia="zh-CN"/>
              </w:rPr>
              <w:t>｜只提供可配置硬件条件，不负责跨环境闭环优化。</w:t>
            </w:r>
          </w:p>
        </w:tc>
      </w:tr>
    </w:tbl>
    <w:p w14:paraId="0AAA398E" w14:textId="77777777" w:rsidR="00BD7590" w:rsidRDefault="00000000">
      <w:pPr>
        <w:pStyle w:val="Heading2"/>
        <w:keepNext/>
        <w:spacing w:before="140" w:after="6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4"/>
          <w:lang w:eastAsia="zh-CN"/>
        </w:rPr>
        <w:t xml:space="preserve">3.2 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基础设施与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SHM</w:t>
      </w:r>
      <w:r>
        <w:rPr>
          <w:rFonts w:ascii="Times New Roman" w:hAnsi="Times New Roman" w:eastAsia="SimSun"/>
          <w:b/>
          <w:color w:val="000000"/>
          <w:sz w:val="24"/>
          <w:lang w:eastAsia="zh-CN"/>
        </w:rPr>
        <w:t>竞品深入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4"/>
      </w:tblGrid>
      <w:tr w:rsidR="000F3D1B" w14:paraId="2C14FBF4" w14:textId="77777777">
        <w:trPr>
          <w:tblHeader/>
          <w:cantSplit/>
        </w:trPr>
        <w:tc>
          <w:tcPr>
            <w:tcW w:w="197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F6EC0C5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公司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/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产品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E62AA6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监测对象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6FED70F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触发机理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8D0921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触发后动作</w:t>
            </w:r>
          </w:p>
        </w:tc>
        <w:tc>
          <w:tcPr>
            <w:tcW w:w="197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2A4170C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人工配置环节</w:t>
            </w:r>
          </w:p>
        </w:tc>
      </w:tr>
      <w:tr w:rsidR="000F3D1B" w14:paraId="26AC0B6A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C129C41" w14:textId="77777777" w:rsidR="000F3D1B" w:rsidRDefault="000F3D1B">
            <w:pPr>
              <w:spacing w:after="0" w:line="240" w:lineRule="auto" w:before="0"/>
            </w:pPr>
            <w:hyperlink r:id="rId66">
              <w:r>
                <w:rPr>
                  <w:color w:val="0563C1"/>
                  <w:sz w:val="17"/>
                  <w:szCs w:val="17"/>
                  <w:u w:val="single"/>
                </w:rPr>
                <w:t>Worldsensing Vibration 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013092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三轴加速度及其振动指标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5B12B68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节点先从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4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千赫兹原始信号计算峰值速度、峰值加速度或频谱等指标，再与设定阈值比较。</w:t>
            </w:r>
            <w:hyperlink r:id="rId67">
              <w:r w:rsidR="000F3D1B">
                <w:rPr>
                  <w:color w:val="0563C1"/>
                  <w:sz w:val="17"/>
                  <w:szCs w:val="17"/>
                  <w:u w:val="single"/>
                </w:rPr>
                <w:t>技术页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8DAEA8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越界后快速上报，并在本地保存相关原始波形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16339C6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阈值、模式和上报周期由用户配置；未见在线自动寻优</w:t>
            </w:r>
          </w:p>
        </w:tc>
      </w:tr>
      <w:tr w:rsidR="000F3D1B" w14:paraId="0B8373DF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13EBAF9" w14:textId="77777777" w:rsidR="000F3D1B" w:rsidRDefault="000F3D1B">
            <w:pPr>
              <w:spacing w:after="0" w:line="240" w:lineRule="auto" w:before="0"/>
            </w:pPr>
            <w:hyperlink r:id="rId68">
              <w:r>
                <w:rPr>
                  <w:color w:val="0563C1"/>
                  <w:sz w:val="17"/>
                  <w:szCs w:val="17"/>
                  <w:u w:val="single"/>
                </w:rPr>
                <w:t>Worldsensing G7 Tiltmeter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E97B7A6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低功耗加速度计监测地震或地面运动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D6D494D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低功耗副传感器长期守候，检测到运动后唤醒主倾角测量；事件模式延迟低于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2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秒。</w:t>
            </w:r>
            <w:hyperlink r:id="rId69">
              <w:r w:rsidR="000F3D1B">
                <w:rPr>
                  <w:color w:val="0563C1"/>
                  <w:sz w:val="17"/>
                  <w:szCs w:val="17"/>
                  <w:u w:val="single"/>
                </w:rPr>
                <w:t>发布资料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4A1DB53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唤醒主传感器并发出实时事件告警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067DC83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触发条件仍需预先设定</w:t>
            </w:r>
          </w:p>
        </w:tc>
      </w:tr>
      <w:tr w:rsidR="000F3D1B" w14:paraId="434C1BA1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D00E32A" w14:textId="77777777" w:rsidR="000F3D1B" w:rsidRDefault="000F3D1B">
            <w:pPr>
              <w:spacing w:after="0" w:line="240" w:lineRule="auto" w:before="0"/>
            </w:pPr>
            <w:hyperlink r:id="rId70">
              <w:r>
                <w:rPr>
                  <w:color w:val="0563C1"/>
                  <w:sz w:val="17"/>
                  <w:szCs w:val="17"/>
                  <w:u w:val="single"/>
                </w:rPr>
                <w:t>Senceive InfraGuard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617A218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倾角变化速度；典型突变阈值为每秒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度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3B23268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倾角节点在现场持续判断旋转速度。超过阈值时，一个节点会叫醒同一网络内其他节点。</w:t>
            </w:r>
            <w:hyperlink r:id="rId71">
              <w:r w:rsidR="000F3D1B">
                <w:rPr>
                  <w:color w:val="0563C1"/>
                  <w:sz w:val="17"/>
                  <w:szCs w:val="17"/>
                  <w:u w:val="single"/>
                </w:rPr>
                <w:t>官方机理说明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644A8C2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提高采样频率、立即上传、触发相机并发送告警；典型延迟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1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5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分钟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0AE050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用户预设阈值和响应级别；官网也提醒阈值过低会造成误报</w:t>
            </w:r>
          </w:p>
        </w:tc>
      </w:tr>
      <w:tr w:rsidR="000F3D1B" w14:paraId="4361DC95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9CCBCAA" w14:textId="77777777" w:rsidR="000F3D1B" w:rsidRDefault="000F3D1B">
            <w:pPr>
              <w:spacing w:after="0" w:line="240" w:lineRule="auto" w:before="0"/>
            </w:pPr>
            <w:hyperlink r:id="rId72">
              <w:r>
                <w:rPr>
                  <w:color w:val="0563C1"/>
                  <w:sz w:val="17"/>
                  <w:szCs w:val="17"/>
                  <w:u w:val="single"/>
                </w:rPr>
                <w:t>Resensys Enhanced Strain Gauge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E6EA30C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桥梁应变突变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571BC4F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把应变变化与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8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至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512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微应变的用户阈值比较。任一节点越界，就无线通知其他节点同步突发采样。</w:t>
            </w:r>
            <w:hyperlink r:id="rId73">
              <w:r w:rsidR="000F3D1B">
                <w:rPr>
                  <w:color w:val="0563C1"/>
                  <w:sz w:val="17"/>
                  <w:szCs w:val="17"/>
                  <w:u w:val="single"/>
                </w:rPr>
                <w:t>产品技术资料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751D7F9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多节点同步记录高采样数据，并可触发相机拍摄车辆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9D74AEB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阈值由用户远程设置，需要在事件数量和电池寿命之间取舍</w:t>
            </w:r>
          </w:p>
        </w:tc>
      </w:tr>
      <w:tr w:rsidR="000F3D1B" w14:paraId="631FCDA7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1C581759" w14:textId="77777777" w:rsidR="000F3D1B" w:rsidRDefault="000F3D1B">
            <w:pPr>
              <w:spacing w:after="0" w:line="240" w:lineRule="auto" w:before="0"/>
            </w:pPr>
            <w:hyperlink r:id="rId74">
              <w:r>
                <w:rPr>
                  <w:color w:val="0563C1"/>
                  <w:sz w:val="17"/>
                  <w:szCs w:val="17"/>
                  <w:u w:val="single"/>
                </w:rPr>
                <w:t>Move Solutions DECK002-X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A84754A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桥面或接缝的动态位移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6948E6B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传感器持续读取位移，越过阈值即认定事件；缓存保留触发前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12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秒。</w:t>
            </w:r>
            <w:hyperlink r:id="rId75">
              <w:r w:rsidR="000F3D1B">
                <w:rPr>
                  <w:color w:val="0563C1"/>
                  <w:sz w:val="17"/>
                  <w:szCs w:val="17"/>
                  <w:u w:val="single"/>
                </w:rPr>
                <w:t>用户手册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C28867F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再记录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20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秒，以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50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赫兹形成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32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秒事件数据并无线发送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9BC97FE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手册明确要求用户按场景设置阈值；低阈值事件多但更耗电</w:t>
            </w:r>
          </w:p>
        </w:tc>
      </w:tr>
      <w:tr w:rsidR="000F3D1B" w14:paraId="7D6369AF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6216C76" w14:textId="77777777" w:rsidR="000F3D1B" w:rsidRDefault="000F3D1B">
            <w:pPr>
              <w:spacing w:after="0" w:line="240" w:lineRule="auto" w:before="0"/>
            </w:pPr>
            <w:hyperlink r:id="rId76">
              <w:r>
                <w:rPr>
                  <w:color w:val="0563C1"/>
                  <w:sz w:val="17"/>
                  <w:szCs w:val="17"/>
                  <w:u w:val="single"/>
                </w:rPr>
                <w:t>Campbell Scientific CR9000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5B4AE12D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任意接入传感器、时间或人工按钮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2AD7448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高速采集器使用传感器输出、定时或人工命令作为触发条件，同时用循环缓存保留触发前数据。</w:t>
            </w:r>
            <w:hyperlink r:id="rId77">
              <w:r w:rsidR="000F3D1B">
                <w:rPr>
                  <w:color w:val="0563C1"/>
                  <w:sz w:val="17"/>
                  <w:szCs w:val="17"/>
                  <w:u w:val="single"/>
                </w:rPr>
                <w:t>产品资料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3352CE7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触发后以最高每秒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10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万次采样保存高分辨率数据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0AC68831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规则灵活，但触发逻辑和阈值仍由工程师编程</w:t>
            </w:r>
          </w:p>
        </w:tc>
      </w:tr>
      <w:tr w:rsidR="000F3D1B" w14:paraId="0F8468EE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9DA4D04" w14:textId="77777777" w:rsidR="000F3D1B" w:rsidRDefault="000F3D1B">
            <w:pPr>
              <w:spacing w:after="0" w:line="240" w:lineRule="auto" w:before="0"/>
            </w:pPr>
            <w:hyperlink r:id="rId78">
              <w:r>
                <w:rPr>
                  <w:color w:val="0563C1"/>
                  <w:sz w:val="17"/>
                  <w:szCs w:val="17"/>
                  <w:u w:val="single"/>
                </w:rPr>
                <w:t>DewesoftX Triggered Storing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76C988C3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原始值、平均值、均方根、最大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最小值或频谱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C9099C7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软件支持越过阈值、进入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/</w:t>
            </w: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离开窗口、脉冲持续时间和斜率等规则；还可设重新武装阈值抑制噪声反复触发。</w:t>
            </w:r>
            <w:hyperlink r:id="rId79">
              <w:r w:rsidR="000F3D1B">
                <w:rPr>
                  <w:color w:val="0563C1"/>
                  <w:sz w:val="17"/>
                  <w:szCs w:val="17"/>
                  <w:u w:val="single"/>
                </w:rPr>
                <w:t>官方手册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268215D" w14:textId="77777777" w:rsidR="000F3D1B" w:rsidRDefault="00000000">
            <w:pPr>
              <w:spacing w:after="0" w:line="240" w:lineRule="auto" w:before="0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保存触发前后数据块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2FD4BDDC" w14:textId="77777777" w:rsidR="000F3D1B" w:rsidRDefault="00000000">
            <w:pPr>
              <w:spacing w:after="0" w:line="240" w:lineRule="auto" w:before="0"/>
              <w:rPr>
                <w:lang w:eastAsia="zh-CN"/>
              </w:rPr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  <w:lang w:eastAsia="zh-CN"/>
              </w:rPr>
              <w:t>触发规则很多，但参数仍靠用户设置，不面向低功耗节点自学习</w:t>
            </w:r>
          </w:p>
        </w:tc>
      </w:tr>
    </w:tbl>
    <w:p w14:paraId="34817501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竞品部署表明，固定阈值、事件前缓存、网络联动和相机联动均已形成实际需求；基础触发功能已属于市场通用能力。</w:t>
      </w:r>
    </w:p>
    <w:p w14:paraId="65726926" w14:textId="77777777" w:rsidR="000F3D1B" w:rsidRDefault="00000000">
      <w:pPr>
        <w:pStyle w:val="ListBullet"/>
        <w:spacing w:before="0" w:after="40" w:line="259" w:lineRule="auto"/>
        <w:ind w:left="340" w:hanging="170" w:right="0"/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竞品的共同局限是触发阈值仍依赖人工经验。</w:t>
      </w:r>
      <w:r>
        <w:rPr>
          <w:rFonts w:ascii="Times New Roman" w:hAnsi="Times New Roman" w:eastAsia="SimSun"/>
          <w:b w:val="0"/>
          <w:color w:val="000000"/>
          <w:sz w:val="21"/>
        </w:rPr>
        <w:t>Senceive</w:t>
      </w:r>
      <w:r>
        <w:rPr>
          <w:rFonts w:ascii="Times New Roman" w:hAnsi="Times New Roman" w:eastAsia="SimSun"/>
          <w:b w:val="0"/>
          <w:color w:val="000000"/>
          <w:sz w:val="21"/>
        </w:rPr>
        <w:t>和</w:t>
      </w:r>
      <w:r>
        <w:rPr>
          <w:rFonts w:ascii="Times New Roman" w:hAnsi="Times New Roman" w:eastAsia="SimSun"/>
          <w:b w:val="0"/>
          <w:color w:val="000000"/>
          <w:sz w:val="21"/>
        </w:rPr>
        <w:t>Move Solutions</w:t>
      </w:r>
      <w:r>
        <w:rPr>
          <w:rFonts w:ascii="Times New Roman" w:hAnsi="Times New Roman" w:eastAsia="SimSun"/>
          <w:b w:val="0"/>
          <w:color w:val="000000"/>
          <w:sz w:val="21"/>
        </w:rPr>
        <w:t>的公开资料均提及阈值过低引起误报增加和电池消耗的问题。</w:t>
      </w:r>
    </w:p>
    <w:p w14:paraId="7138C313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本项目的核心差异化能力是闭环参数优化：系统依据漏检、误触发及能耗反馈，自动更新阈值和持续时间。</w:t>
      </w:r>
    </w:p>
    <w:p w14:paraId="29A09BCD" w14:textId="77777777" w:rsidR="00BD7590" w:rsidRDefault="00000000">
      <w:pPr>
        <w:pStyle w:val="EvidenceNote"/>
        <w:keepLines/>
        <w:spacing w:before="80" w:after="80" w:line="252" w:lineRule="auto"/>
        <w:ind w:left="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18"/>
          <w:lang w:eastAsia="zh-CN"/>
        </w:rPr>
        <w:t>本节结论：公开产品已证明事件触发、低功耗和告警需求，但依据现场反馈在线闭环优化触发参数的公开产品较少。</w:t>
      </w:r>
    </w:p>
    <w:p w14:paraId="1185D088" w14:textId="77777777" w:rsidR="000F3D1B" w:rsidRDefault="00000000">
      <w:pPr>
        <w:pStyle w:val="Heading1"/>
        <w:keepNext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</w:rPr>
        <w:t>4. SATM</w:t>
      </w:r>
      <w:r>
        <w:rPr>
          <w:rFonts w:ascii="Times New Roman" w:hAnsi="Times New Roman" w:eastAsia="SimSun"/>
          <w:b/>
          <w:color w:val="000000"/>
          <w:sz w:val="28"/>
        </w:rPr>
        <w:t>通用工作机理</w:t>
      </w:r>
    </w:p>
    <w:p w14:paraId="559DA8B4" w14:textId="77777777" w:rsidR="000F3D1B" w:rsidRDefault="00000000">
      <w:pPr>
        <w:pStyle w:val="ListNumber"/>
        <w:spacing w:before="0" w:after="40" w:line="259" w:lineRule="auto"/>
        <w:ind w:left="397" w:hanging="198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低功耗哨兵传感器一直醒着，只做简单事件筛查；高精度传感器、主处理器、相机或高功耗通信平时休眠。</w:t>
      </w:r>
    </w:p>
    <w:p w14:paraId="1C5DDD2E" w14:textId="77777777" w:rsidR="000F3D1B" w:rsidRDefault="00000000">
      <w:pPr>
        <w:pStyle w:val="ListNumber"/>
        <w:spacing w:before="0" w:after="40" w:line="259" w:lineRule="auto"/>
        <w:ind w:left="397" w:hanging="198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哨兵传感器根据幅值、持续时间、变化率或多个信号的组合，判断是否值得唤醒主系统；输入可以是振动、声音、运动、生理或环境信号。</w:t>
      </w:r>
    </w:p>
    <w:p w14:paraId="57FAF4BE" w14:textId="77777777" w:rsidR="000F3D1B" w:rsidRDefault="00000000">
      <w:pPr>
        <w:pStyle w:val="ListNumber"/>
        <w:spacing w:before="0" w:after="40" w:line="259" w:lineRule="auto"/>
        <w:ind w:left="397" w:hanging="198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主系统醒来后记录高质量数据并判断刚才是有效事件、误触发还是可能漏掉的事件；不同行业使用不同验证标签。</w:t>
      </w:r>
    </w:p>
    <w:p w14:paraId="518BFE5B" w14:textId="77777777" w:rsidR="000F3D1B" w:rsidRDefault="00000000">
      <w:pPr>
        <w:pStyle w:val="ListNumber"/>
        <w:spacing w:before="0" w:after="40" w:line="259" w:lineRule="auto"/>
        <w:ind w:left="397" w:hanging="198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szCs w:val="21"/>
          <w:lang w:eastAsia="zh-CN"/>
        </w:rPr>
        <w:t>反馈控制器把检测结果和能耗放在一起评分；贝叶斯优化用较少试验寻找更合适的阈值和持续时间。</w:t>
      </w:r>
    </w:p>
    <w:p w14:paraId="02A9C107" w14:textId="77777777" w:rsidR="000F3D1B" w:rsidRDefault="00000000">
      <w:pPr>
        <w:pStyle w:val="ListNumber"/>
        <w:spacing w:before="0" w:after="40" w:line="259" w:lineRule="auto"/>
        <w:ind w:left="397" w:hanging="198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部署前用数字孪生、历史数据或实验数据粗调，部署后用少量现场反馈微调；每个新行业都要重新定义事件、损失权重和安全边界。</w:t>
      </w:r>
    </w:p>
    <w:tbl>
      <w:tblPr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0F3D1B" w14:paraId="1CDFFC07" w14:textId="77777777">
        <w:trPr>
          <w:tblHeader/>
          <w:cantSplit/>
        </w:trPr>
        <w:tc>
          <w:tcPr>
            <w:tcW w:w="493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455EE676" w14:textId="77777777" w:rsidR="000F3D1B" w:rsidRDefault="00000000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现有证据</w:t>
            </w:r>
          </w:p>
        </w:tc>
        <w:tc>
          <w:tcPr>
            <w:tcW w:w="493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 w14:paraId="64BC0A32" w14:textId="77777777" w:rsidR="000F3D1B" w:rsidRDefault="00000000">
            <w:pPr>
              <w:spacing w:after="0" w:line="240" w:lineRule="auto" w:before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  <w:lang w:eastAsia="zh-CN"/>
              </w:rPr>
              <w:t>论文在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  <w:lang w:eastAsia="zh-CN"/>
              </w:rPr>
              <w:t>LiftNode</w:t>
            </w: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  <w:lang w:eastAsia="zh-CN"/>
              </w:rPr>
              <w:t>上验证：相对保守人工设参，</w:t>
            </w:r>
            <w:hyperlink r:id="rId80"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兼顾漏检和误触发的综合评分约提高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30%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；相对穷举法，计算开销低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100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至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1000</w:t>
              </w:r>
              <w:r w:rsidR="000F3D1B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倍</w:t>
              </w:r>
            </w:hyperlink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  <w:lang w:eastAsia="zh-CN"/>
              </w:rPr>
              <w:t>。这说明算法值得进入场景化试点，但还不能直接等同于商业节省。</w:t>
            </w:r>
          </w:p>
        </w:tc>
      </w:tr>
    </w:tbl>
    <w:p>
      <w:pPr>
        <w:pStyle w:val="Heading1"/>
        <w:pageBreakBefore/>
        <w:ind w:left="0" w:right="0"/>
      </w:pPr>
      <w:r>
        <w:rPr>
          <w:rFonts w:ascii="Times New Roman" w:hAnsi="Times New Roman" w:eastAsia="SimSun"/>
          <w:b/>
          <w:color w:val="000000"/>
          <w:sz w:val="28"/>
        </w:rPr>
        <w:t>5. 模块化产品形态与嵌入式商业化</w:t>
      </w:r>
    </w:p>
    <w:p>
      <w:pPr>
        <w:ind w:left="0" w:right="0"/>
      </w:pPr>
      <w:r>
        <w:rPr>
          <w:rFonts w:ascii="Times New Roman" w:hAnsi="Times New Roman" w:eastAsia="SimSun"/>
          <w:b w:val="0"/>
          <w:color w:val="000000"/>
          <w:sz w:val="21"/>
        </w:rPr>
        <w:t>推荐形态是“软件定义触发模块”：低功耗协处理模块负责事件筛查、缓存、唤醒和受约束的参数自适应，宿主产品继续使用原有传感器、主控制器和4G/LoRa/BLE通信。硬件降低集成门槛，SATM Core SDK与配置、回放工具保留可扩展的软件收入。</w:t>
      </w:r>
    </w:p>
    <w:p>
      <w:pPr>
        <w:pStyle w:val="Heading2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5.1 产品边界与软硬件组合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0"/>
        <w:gridCol w:w="3300"/>
        <w:gridCol w:w="2916"/>
        <w:gridCol w:w="2000"/>
      </w:tblGrid>
      <w:tr>
        <w:trPr>
          <w:tblHeader/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产品层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交付内容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客户价值</w:t>
            </w:r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收入方式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SATM Core SDK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可移植C/C++内核、硬件抽象层、目标函数与约束接口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87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可嵌入客户现有MCU；类似嵌入式SDK的交付方式</w:t>
              </w:r>
            </w:hyperlink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一次性集成费＋按设备许可＋维护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SATM Edge Module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低功耗MCU、环形缓存、时间戳、功率开关、ADC/GPIO/I²C/SPI/UART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客户不必修改主板核心架构；模块输出唤醒、事件等级和证据摘要</w:t>
            </w:r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模块销售＋随模块软件许可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Host API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类似通信模块命令集：配置、布防、读事件、反馈标签、更新与回滚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缩短OEM集成与测试周期，避免客户依赖内部算法细节</w:t>
            </w:r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包含在SDK或模块许可中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配置与回放工具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导入波形/日志、复现实验、比较参数、生成签名配置包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88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参考Edge Impulse将模型编译为嵌入式C++的工具链形态</w:t>
              </w:r>
            </w:hyperlink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工程席位或年度订阅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OEM生命周期服务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版本锁定、漏洞响应、长期维护、兼容性和验证报告</w:t>
            </w:r>
          </w:p>
        </w:tc>
        <w:tc>
          <w:tcPr>
            <w:tcW w:type="dxa" w:w="29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满足工业客户对可追溯版本与长期供货的要求</w:t>
            </w:r>
          </w:p>
        </w:tc>
        <w:tc>
          <w:tcPr>
            <w:tcW w:type="dxa" w:w="2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年度维护或企业合同</w:t>
            </w:r>
          </w:p>
        </w:tc>
      </w:tr>
    </w:tbl>
    <w:p>
      <w:pPr>
        <w:pStyle w:val="EvidenceNote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</w:rPr>
        <w:t>首版不建议自研芯片或集成无线电。无无线电模块可复用客户既有通信认证并降低供应链复杂度；待同一硬件在多个OEM形成稳定批量后，再评估SiP、LGA或定制芯片。</w:t>
      </w:r>
    </w:p>
    <w:p>
      <w:pPr>
        <w:pStyle w:val="Heading2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5.2 模块设计必须满足的八项门槛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5166"/>
        <w:gridCol w:w="3000"/>
      </w:tblGrid>
      <w:tr>
        <w:trPr>
          <w:tblHeader/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设计门槛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必须做到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验收方法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接口与集成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提供ADC、GPIO、I²C、SPI、UART及独立唤醒/电源控制；协议和引脚版本化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两周内接入两种宿主MCU；更换传感器只改驱动层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功耗与时延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模块待机功耗不超过宿主原基线的10%；唤醒时延不超过最短有效事件上升时间的10%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89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逐状态测量功耗与延迟；参考Zephyr运行时设备电源管理</w:t>
              </w:r>
            </w:hyperlink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事件证据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保留可配置的触发前后环形缓存、统一时间戳、参数版本和事件原因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每个告警可复放并追溯到当时配置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受约束自适应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参数只能在OEM设定范围内更新；安全阈值、变化速率和最小样本数不可被学习过程突破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越界更新被拒绝；每次更新可解释、可审计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失效安全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支持旁路、看门狗、固定阈值降级模式和远程回滚；模块故障不得阻断宿主基本功能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断电、卡死、传感器异常和错误配置注入测试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安全与更新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安全启动、签名固件/配置、访问控制、版本回滚、软件物料清单和漏洞响应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90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欧盟《网络韧性法》明确覆盖单独销售的软硬件组件及更新责任</w:t>
              </w:r>
            </w:hyperlink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行业合规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基础模块只作辅助决策；医疗、汽车或安全仪表功能采用独立版本和验证边界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hyperlink r:id="rId91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工业版本按IEC 62443-4-1安全开发生命周期留存证据</w:t>
              </w:r>
            </w:hyperlink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制造与生命周期</w:t>
            </w:r>
          </w:p>
        </w:tc>
        <w:tc>
          <w:tcPr>
            <w:tcW w:type="dxa" w:w="51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设计测试点、校准流程、序列号、器件替代规则和不少于目标客户寿命的维护计划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小批试产良率、温度/振动测试、变更通知和停产预案</w:t>
            </w:r>
          </w:p>
        </w:tc>
      </w:tr>
    </w:tbl>
    <w:p>
      <w:pPr>
        <w:pStyle w:val="Heading2"/>
        <w:pageBreakBefore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5.3 现有产品形态与SATM的差异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50"/>
        <w:gridCol w:w="2960"/>
        <w:gridCol w:w="3300"/>
        <w:gridCol w:w="1756"/>
      </w:tblGrid>
      <w:tr>
        <w:trPr>
          <w:tblHeader/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形态与已验证能力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与SATM的关系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可借鉴之处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hyperlink r:id="rId92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Syntiant NDP120</w:t>
              </w:r>
            </w:hyperlink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常开语音与多传感器融合处理器，面向电池受限设备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证明低功耗触发协处理器可形成芯片/模块产品；公开重点是推理，不是漏报、误报和能耗的现场闭环优化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协处理器边界、模型部署和主机唤醒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hyperlink r:id="rId93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QuickLogic EOS S3</w:t>
              </w:r>
            </w:hyperlink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传感器管理器、低功耗DSP、Cortex-M4及SPI/I²C/UART接口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证明分层常开感知与主处理器休眠具有OEM价值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多传感器接口、分层功耗和主机SPI接口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hyperlink r:id="rId88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Edge Impulse EON</w:t>
              </w:r>
            </w:hyperlink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将模型编译为硬件优化的C++源代码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软件交付可覆盖多种MCU；SATM可沿用其部署思路但加入在线受约束调参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跨硬件编译、性能估算和开发者工具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hyperlink r:id="rId94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SensiML Toolkit/SDK</w:t>
              </w:r>
            </w:hyperlink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数据采集、标注、建模、Knowledge Pack和C/C++ SDK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证明软件工具＋嵌入式运行库是成熟产品形态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数据回放、事件分段、SDK与订阅组合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hyperlink r:id="rId95">
              <w:r>
                <w:rPr>
                  <w:rFonts w:ascii="Times New Roman" w:hAnsi="Times New Roman" w:eastAsia="SimSun"/>
                  <w:color w:val="0563C1"/>
                  <w:u w:val="single"/>
                  <w:sz w:val="17"/>
                  <w:szCs w:val="17"/>
                </w:rPr>
                <w:t>Nordic nRF9160 SiP</w:t>
              </w:r>
            </w:hyperlink>
          </w:p>
        </w:tc>
        <w:tc>
          <w:tcPr>
            <w:tcW w:type="dxa" w:w="29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处理器、接口、电源、安全更新及认证整合为可嵌入SiP</w:t>
            </w:r>
          </w:p>
        </w:tc>
        <w:tc>
          <w:tcPr>
            <w:tcW w:type="dxa" w:w="33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不是触发竞品，但说明模块成功依赖标准接口、预集成、安全和认证减负</w:t>
            </w:r>
          </w:p>
        </w:tc>
        <w:tc>
          <w:tcPr>
            <w:tcW w:type="dxa" w:w="17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模块文档、长期固件、第三方模块生态和认证清单</w:t>
            </w:r>
          </w:p>
        </w:tc>
      </w:tr>
    </w:tbl>
    <w:p>
      <w:pPr>
        <w:pStyle w:val="EvidenceNote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</w:rPr>
        <w:t>差异化不应表述为“又一个低功耗AI模块”。可销售的核心是：在OEM规定的安全边界内，根据现场反馈自动调整触发条件，并同时优化漏报、误报和能耗；该能力可交付为SDK，也可预装在模块中。</w:t>
      </w:r>
    </w:p>
    <w:p>
      <w:pPr>
        <w:pStyle w:val="Heading2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5.4 模块化形态的市场规模</w:t>
      </w:r>
    </w:p>
    <w:p>
      <w:pPr>
        <w:ind w:left="0" w:right="0"/>
      </w:pPr>
      <w:r>
        <w:rPr>
          <w:rFonts w:ascii="Times New Roman" w:hAnsi="Times New Roman" w:eastAsia="SimSun"/>
          <w:b w:val="0"/>
          <w:color w:val="000000"/>
          <w:sz w:val="21"/>
        </w:rPr>
        <w:t>模块化收入与现有软件授权TAM是替代关系，不能相加。估算先由软件授权价值反推兼容宿主产品收入，再计算模块、固件、工具权利和支持在宿主产品中的合计内容价值。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50"/>
        <w:gridCol w:w="1450"/>
        <w:gridCol w:w="1450"/>
        <w:gridCol w:w="1550"/>
        <w:gridCol w:w="3466"/>
      </w:tblGrid>
      <w:tr>
        <w:trPr>
          <w:tblHeader/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测算层级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保守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基准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积极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公式与含义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现有软件授权TAM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830万美元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2,790万美元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6,620万美元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沿用第1节；收入归因比例1.3%/2.5%/4.0%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兼容宿主产品收入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6.38亿美元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11.16亿美元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16.55亿美元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软件授权TAM÷对应收入归因比例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模块＋软件内容占比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3%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5%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8%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包含模块、固件、工具权利和支持；属于报价与BOM访谈假设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全球模块化TAM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约1,900万美元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约5,600万美元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约1.32亿美元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兼容宿主产品收入×内容占比；替代软件授权TAM，不与其相加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首个SHM年度新销售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约68万新元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约210万新元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约495万新元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1.05万/2万/3万节点×S$60/100/150＋OEM集成费；不含后续续费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SHM安装基数年度软件维护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约21万新元</w:t>
            </w:r>
          </w:p>
        </w:tc>
        <w:tc>
          <w:tcPr>
            <w:tcW w:type="dxa" w:w="14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约60万新元</w:t>
            </w:r>
          </w:p>
        </w:tc>
        <w:tc>
          <w:tcPr>
            <w:tcW w:type="dxa" w:w="15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约150万新元</w:t>
            </w:r>
          </w:p>
        </w:tc>
        <w:tc>
          <w:tcPr>
            <w:tcW w:type="dxa" w:w="34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对应节点×S$20/30/50；只有续约后才形成经常性收入</w:t>
            </w:r>
          </w:p>
        </w:tc>
      </w:tr>
    </w:tbl>
    <w:p>
      <w:pPr>
        <w:pStyle w:val="EvidenceNote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</w:rPr>
        <w:t>市场含义：模块化全球年收入机会约1,900万至1.32亿美元，基准约5,600万美元；但硬件收入包含器件、制造、库存、质保和认证成本，不能按软件毛利理解。首发仍应选择基础设施或工业OEM，以S$60至150/节点的模块＋软件首年价格和S$20至50/节点/年的维护费进行带价验证。</w:t>
      </w:r>
    </w:p>
    <w:p>
      <w:pPr>
        <w:pStyle w:val="EvidenceNote"/>
        <w:ind w:left="0" w:right="0"/>
      </w:pPr>
      <w:r>
        <w:rPr>
          <w:rFonts w:ascii="Times New Roman" w:hAnsi="Times New Roman" w:eastAsia="SimSun"/>
          <w:b w:val="0"/>
          <w:color w:val="000000"/>
          <w:sz w:val="18"/>
        </w:rPr>
        <w:t>推荐GAP交付物：一个SATM Core SDK、一块无无线电参考模块、一套配置/回放工具，以及在SHM和工业状态监测各完成一次OEM嵌入验证。首轮不以量产硬件收入为成功标准，而以集成周期、事件捕获率、误触发下降、能耗下降和带价意向验证产品边界。</w:t>
      </w:r>
    </w:p>
    <w:p w14:paraId="0A6EBFB6" w14:textId="77777777" w:rsidR="000F3D1B" w:rsidRDefault="00000000">
      <w:pPr>
        <w:pStyle w:val="Heading1"/>
        <w:keepNext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</w:rPr>
        <w:t>6. 市场份额与部署规模口径</w:t>
      </w:r>
    </w:p>
    <w:p w14:paraId="55BD5B18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目前没有公开数据库把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或自适应触发单列为市场。它横跨基础设施、工业、医疗、环境和消费设备，因此不存在一个可信的统一销售额分母，也不能把任一行业玩家的部署量称为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SATM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市场份额。</w:t>
      </w:r>
    </w:p>
    <w:p w14:paraId="5C5C877A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可以比较分行业规模信号，但必须注明口径：基础设施看在运无线节点，工业看受监测资产和无线振动点位，穿戴设备看活跃设备与事件功能启用量，环境监测看事件型节点而非全部温湿度传感器。</w:t>
      </w:r>
    </w:p>
    <w:p w14:paraId="64C63267" w14:textId="77777777" w:rsidR="000F3D1B" w:rsidRDefault="00000000">
      <w:pPr>
        <w:pStyle w:val="ListBullet"/>
        <w:spacing w:before="0" w:after="40" w:line="259" w:lineRule="auto"/>
        <w:ind w:left="340" w:hanging="170" w:right="0"/>
        <w:rPr>
          <w:lang w:eastAsia="zh-CN"/>
        </w:rPr>
      </w:pP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后续应向各行业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OEM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和最终买方收集：在运设备数、事件型设备占比、每设备软件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/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固件收入、误报与漏报成本、续费率、认证要求和固件控制权。只有拿到同口径数据后，才能分别计算行业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SAM</w:t>
      </w:r>
      <w:r>
        <w:rPr>
          <w:rFonts w:ascii="Times New Roman" w:hAnsi="Times New Roman" w:eastAsia="SimSun"/>
          <w:b w:val="0"/>
          <w:color w:val="000000"/>
          <w:sz w:val="21"/>
          <w:lang w:eastAsia="zh-CN"/>
        </w:rPr>
        <w:t>并确定首发重点产品。</w:t>
      </w:r>
    </w:p>
    <w:p w14:paraId="22888684" w14:textId="77777777" w:rsidR="000F3D1B" w:rsidRDefault="00000000">
      <w:pPr>
        <w:pStyle w:val="Heading1"/>
        <w:keepNext/>
        <w:pageBreakBefore/>
        <w:spacing w:before="200" w:after="80"/>
        <w:ind w:left="0" w:right="0"/>
        <w:rPr>
          <w:lang w:eastAsia="zh-CN"/>
        </w:rPr>
      </w:pPr>
      <w:r>
        <w:rPr>
          <w:rFonts w:ascii="Times New Roman" w:hAnsi="Times New Roman" w:eastAsia="SimSun"/>
          <w:b/>
          <w:color w:val="000000"/>
          <w:sz w:val="28"/>
        </w:rPr>
        <w:t>7. 市场验证与首发场景决策</w:t>
      </w:r>
    </w:p>
    <w:tbl>
      <w:tblPr>
        <w:tblStyle w:val="TableGrid"/>
        <w:tblW w:w="9866" w:type="dxa"/>
        <w:jc w:val="left"/>
        <w:tblInd w:w="0" w:type="dxa"/>
        <w:tblLayout w:type="fixed"/>
        <w:tblLook w:val="04A0" w:firstRow="1" w:lastRow="0" w:firstColumn="1" w:lastColumn="0" w:noHBand="0" w:noVBand="1"/>
      </w:tblPr>
      <w:tblGrid>
        <w:gridCol w:w="1244"/>
        <w:gridCol w:w="3624"/>
        <w:gridCol w:w="2975"/>
        <w:gridCol w:w="2023"/>
      </w:tblGrid>
      <w:tr w:rsidR="00BD7590" w14:paraId="51D84C10" w14:textId="77777777">
        <w:trPr>
          <w:tblHeader/>
          <w:cantSplit/>
        </w:trPr>
        <w:tc>
          <w:tcPr>
            <w:tcW w:w="124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阶段</w:t>
            </w:r>
          </w:p>
        </w:tc>
        <w:tc>
          <w:tcPr>
            <w:tcW w:w="3624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重点工作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希望获得的证据</w:t>
            </w:r>
          </w:p>
        </w:tc>
        <w:tc>
          <w:tcPr>
            <w:tcW w:w="2023" w:type="dxa"/>
            <w:shd w:val="clear" w:color="auto" w:fill="000000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阶段性判断</w:t>
            </w:r>
          </w:p>
        </w:tc>
      </w:tr>
      <w:tr w:rsidR="00BD7590" w14:paraId="7204FB60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客户发现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围绕SHM与工业状态监测开展针对性交流，并根据合作方可接触程度调整范围。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典型痛点、现有工作流、采购角色、预算来源及数据可得性。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识别优先场景和有继续交流意愿的潜在合作方。</w:t>
            </w:r>
          </w:p>
        </w:tc>
      </w:tr>
      <w:tr w:rsidR="00BD7590" w14:paraId="3DB15D28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场景证据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在允许条件下收集波形、报警日志、维护记录或代表性案例；必要时以公开、历史或模拟数据补充。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事件特征、误报与漏报情形、人工处理、能耗或通信限制。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判断现有证据是否足以支持进一步技术验证。</w:t>
            </w:r>
          </w:p>
        </w:tc>
      </w:tr>
      <w:tr w:rsidR="00BD7590" w14:paraId="52EFED82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原型验证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在代表性场景演示SATM内核、参考模块或数据回放流程，并与客户现有触发方式比较。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检测效果、误触发、资源开销、集成难度及客户反馈的方向性变化。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确认技术适配性；具体指标依据基线、数据质量和场景风险确定。</w:t>
            </w:r>
          </w:p>
        </w:tc>
      </w:tr>
      <w:tr w:rsidR="00BD7590" w14:paraId="72AC1EFA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商业讨论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与意向方讨论试点范围、集成边界、数据与知识产权安排，以及可接受的收费方式。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数据开放意愿、联合验证兴趣、内部审批路径、初步预算或非约束性反馈。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  <w:start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综合技术、数据和商业信号提出首发方向建议，并保留备选路径。</w:t>
            </w:r>
          </w:p>
        </w:tc>
      </w:tr>
    </w:tbl>
    <w:sectPr w:rsidR="000F3D1B" w:rsidSect="00034616">
      <w:headerReference w:type="default" r:id="rId81"/>
      <w:footerReference w:type="default" r:id="rId82"/>
      <w:headerReference w:type="first" r:id="rId83"/>
      <w:footerReference w:type="first" r:id="rId84"/>
      <w:pgSz w:w="11906" w:h="16838"/>
      <w:pgMar w:top="964" w:right="1020" w:bottom="907" w:left="1020" w:header="397" w:footer="397" w:gutter="0"/>
      <w:cols w:space="720"/>
      <w:titlePg/>
      <w:docGrid w:linePitch="360"/>
    </w:sectPr>
    <w:p>
      <w:pPr>
        <w:pStyle w:val="Heading1"/>
        <w:keepNext/>
        <w:pageBreakBefore/>
        <w:spacing w:before="200" w:after="80"/>
        <w:ind w:left="0" w:right="0"/>
      </w:pPr>
      <w:r>
        <w:rPr>
          <w:rFonts w:ascii="Times New Roman" w:hAnsi="Times New Roman" w:eastAsia="SimSun"/>
          <w:b/>
          <w:color w:val="000000"/>
          <w:sz w:val="28"/>
        </w:rPr>
        <w:t>8. 结论与决策摘要</w:t>
      </w:r>
    </w:p>
    <w:p>
      <w:pPr>
        <w:pStyle w:val="EvidenceNote"/>
        <w:spacing w:before="0" w:after="60" w:line="264" w:lineRule="auto"/>
        <w:ind w:left="0" w:right="0"/>
      </w:pPr>
      <w:r>
        <w:rPr>
          <w:rFonts w:ascii="Times New Roman" w:hAnsi="Times New Roman" w:eastAsia="SimSun"/>
          <w:color w:val="000000"/>
          <w:sz w:val="18"/>
        </w:rPr>
        <w:t>一句话结论：SATM具备跨行业技术价值，但GAP阶段应聚焦一个可嵌入、可报价、可验证的首发产品；推荐以Core SDK为核心、无无线电触发模块为集成载体，并通过SHM与工业状态监测的阶段性验证逐步收敛优先首发方向。</w:t>
      </w:r>
    </w:p>
    <w:p>
      <w:pPr>
        <w:pStyle w:val="Heading2"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8.1 完整结论矩阵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2900"/>
        <w:gridCol w:w="3000"/>
        <w:gridCol w:w="2616"/>
      </w:tblGrid>
      <w:tr>
        <w:trPr>
          <w:tblHeader/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汇报问题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核心结论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主要依据与限制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对GAP申请的含义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技术本质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SATM根据现场反馈调整触发条件，同时约束漏报、误报和能耗。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LiftNode实验中综合评分约提高30%；跨行业仍需重新定义事件和安全边界。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申请重点应是闭环触发优化能力，不是普通阈值报警。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产品形态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Core SDK＋无无线电触发模块＋配置/回放工具。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硬件降低OEM集成门槛；软件内核、工具和维护形成可扩展收入。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首版不自研芯片、不集成无线电，先完成两个OEM嵌入验证。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目标市场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技术可覆盖基础设施、工业状态监测、医疗事件和环境监测。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四行业需分别验证事件比例、法规、固件权限和购买路径。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技术平台可以跨行业，首发产品必须聚焦一个行业和一个工作流。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首发候选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SHM技术证据最强；工业状态监测更容易获得高频事件、日志和投资回报数据。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两者均为优先级A；医疗监管门槛高，环境市场预算较分散。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SHM与工业并行开展客户发现，根据技术适配、数据条件和商业反馈逐步收敛首发方向。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客户与痛点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监测工程师需要少调参，运维团队需要少派工，业主需要降低漏报风险和无效响应。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公开案例证明客户重视连续监测、长续航、少进场和可信事件证据；付费金额仍需访谈。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销售表达围绕工单、现场访问、误报响应和风险成本，而不是算法名称。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客户价值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示例基准：50节点SHM站点约S$22,000/年；100测点工业场景约S$29,000/年。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数字由访问、工时、误报、维护和风险调整项构成，全部属于待客户记录校准的情景估算。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首轮年度等值报价从S$4,000至6,000测试，不把估算写成保证节省。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市场规模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软件授权TAM约830万至6,620万美元；模块＋软件TAM约1,900万至1.32亿美元。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模块估算由兼容宿主产品收入×3%至8%内容占比得到；占比为BOM和报价访谈假设。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两种变现形态不能相加；申请中建议同时呈现范围、公式和假设。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首个可服务市场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SHM模块＋软件年度新销售约68万至495万新元，基准210万新元。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基于1.05万至3万节点、S$60至150/节点及OEM集成费；尚未获得客户订单。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作为近期SAM情景，不代表全部跨行业机会。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竞争格局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固定阈值、规则切换、事件缓存和低功耗协处理已商品化；现场反馈闭环优化公开较少。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Senceive、Move Solutions、Syntiant、QuickLogic、Edge Impulse和SensiML分别验证需求或产品形态。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差异化必须落在受约束在线调参、可审计证据和OEM嵌入效率。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商业模式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模块销售提供进入渠道；设备许可、工具订阅、集成费和年度维护形成收入组合。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硬件收入包含器件、制造、库存、质保和认证成本，不能按软件毛利理解。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GAP阶段先验证价格和集成周期，再决定长期以SDK还是模块为主。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主要风险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风险集中在跨行业迁移、真实标签不足、安全责任、客户固件权限、硬件毛利和销售周期。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当前市场比例、模块内容占比、价值分享比例及采购转化率均为模型假设。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报告中的数字必须由同一假设表维护，并在每轮访谈后更新。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GAP交付与决策</w:t>
            </w:r>
          </w:p>
        </w:tc>
        <w:tc>
          <w:tcPr>
            <w:tcW w:type="dxa" w:w="29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形成Core SDK、参考模块和配置/回放工具原型，并在条件成熟的代表场景推进嵌入或联合验证。</w:t>
            </w:r>
          </w:p>
        </w:tc>
        <w:tc>
          <w:tcPr>
            <w:tcW w:type="dxa" w:w="30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评价指标依据客户现有基线、可获得数据和场景风险确定；商业证据可包括数据开放、联合验证兴趣、试点讨论或非约束性意向。</w:t>
            </w:r>
          </w:p>
        </w:tc>
        <w:tc>
          <w:tcPr>
            <w:tcW w:type="dxa" w:w="2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项目期内形成有依据的首发方向建议，并为后续产品化和量产决策保留调整空间。</w:t>
            </w:r>
          </w:p>
        </w:tc>
      </w:tr>
    </w:tbl>
    <w:p>
      <w:pPr>
        <w:pStyle w:val="Heading2"/>
        <w:pageBreakBefore/>
        <w:ind w:left="0" w:right="0"/>
      </w:pPr>
      <w:r>
        <w:rPr>
          <w:rFonts w:ascii="Times New Roman" w:hAnsi="Times New Roman" w:eastAsia="SimSun"/>
          <w:b/>
          <w:color w:val="000000"/>
          <w:sz w:val="24"/>
        </w:rPr>
        <w:t>8.2 建议汇报顺序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50"/>
        <w:gridCol w:w="2500"/>
        <w:gridCol w:w="3616"/>
        <w:gridCol w:w="2700"/>
      </w:tblGrid>
      <w:tr>
        <w:trPr>
          <w:tblHeader/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首先回答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建议重点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17"/>
              </w:rPr>
              <w:t>避免的表述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1 痛点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为什么现有固定触发不够？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漏报、误报、能耗和人工调参之间存在真实成本权衡。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避免从算法名称或整个SHM市场开始。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2 产品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具体准备卖什么？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Core SDK＋无无线电参考模块＋配置/回放工具，嵌入OEM现有产品。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避免同时承诺芯片、通信、云平台和多个行业成品。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3 市场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谁先付费、市场多大？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先讲SHM与工业首发候选，再讲软件TAM和模块化TAM及其计算公式。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避免把母市场、软件TAM和模块TAM相加。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4 证据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为什么相信客户会购买？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公开部署证据＋客户价值估算＋带价试点计划；明确哪些是事实、哪些是假设。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避免把论文性能提升直接等同于收入。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5 决策</w:t>
            </w:r>
          </w:p>
        </w:tc>
        <w:tc>
          <w:tcPr>
            <w:tcW w:type="dxa" w:w="25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GAP资金解决什么不确定性？</w:t>
            </w:r>
          </w:p>
        </w:tc>
        <w:tc>
          <w:tcPr>
            <w:tcW w:type="dxa" w:w="3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利用项目周期形成可演示的嵌入式产品和阶段性市场证据，逐步明确优先首发方向。</w:t>
            </w:r>
          </w:p>
        </w:tc>
        <w:tc>
          <w:tcPr>
            <w:tcW w:type="dxa" w:w="27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</w:rPr>
              <w:t>避免在合作条件和客户证据尚未明确前承诺固定数量、刚性指标或量产时间。</w:t>
            </w:r>
          </w:p>
        </w:tc>
      </w:tr>
    </w:tbl>
    <w:p>
      <w:pPr>
        <w:pStyle w:val="EvidenceNote"/>
        <w:keepLines/>
        <w:spacing w:before="80" w:after="80" w:line="252" w:lineRule="auto"/>
        <w:ind w:left="0" w:right="0"/>
      </w:pPr>
      <w:r>
        <w:rPr>
          <w:rFonts w:ascii="Times New Roman" w:hAnsi="Times New Roman" w:eastAsia="SimSun"/>
          <w:color w:val="000000"/>
          <w:sz w:val="18"/>
        </w:rPr>
        <w:t>申请策略建议：以“软件定义触发模块”为重点产品，以SHM和工业状态监测为两条验证线，根据技术适配、数据可得性和商业反馈逐步收敛首发方向；医疗、环境及消费场景保留为后续授权扩展。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5702" w14:textId="77777777" w:rsidR="002040FE" w:rsidRDefault="002040FE">
      <w:pPr>
        <w:spacing w:after="0" w:line="240" w:lineRule="auto"/>
      </w:pPr>
      <w:r>
        <w:separator/>
      </w:r>
    </w:p>
  </w:endnote>
  <w:endnote w:type="continuationSeparator" w:id="0">
    <w:p w14:paraId="0EF2FA0D" w14:textId="77777777" w:rsidR="002040FE" w:rsidRDefault="0020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F097" w14:textId="77777777" w:rsidR="000F3D1B" w:rsidRDefault="00000000">
    <w:pPr>
      <w:pStyle w:val="Footer"/>
      <w:jc w:val="center"/>
    </w:pPr>
    <w:proofErr w:type="spellStart"/>
    <w:r>
      <w:rPr>
        <w:sz w:val="17"/>
        <w:szCs w:val="17"/>
      </w:rPr>
      <w:t>NTUitive</w:t>
    </w:r>
    <w:proofErr w:type="spellEnd"/>
    <w:r>
      <w:rPr>
        <w:sz w:val="17"/>
        <w:szCs w:val="17"/>
      </w:rPr>
      <w:t xml:space="preserve"> GAP Fund | </w:t>
    </w:r>
    <w:proofErr w:type="spellStart"/>
    <w:r>
      <w:rPr>
        <w:sz w:val="17"/>
        <w:szCs w:val="17"/>
      </w:rPr>
      <w:t>市场调研简报</w:t>
    </w:r>
    <w:proofErr w:type="spellEnd"/>
    <w:r>
      <w:rPr>
        <w:sz w:val="17"/>
        <w:szCs w:val="17"/>
      </w:rPr>
      <w:t xml:space="preserve"> | 2026-08-21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498F" w14:textId="77777777" w:rsidR="000F3D1B" w:rsidRDefault="000F3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2BF6" w14:textId="77777777" w:rsidR="002040FE" w:rsidRDefault="002040FE">
      <w:pPr>
        <w:spacing w:after="0" w:line="240" w:lineRule="auto"/>
      </w:pPr>
      <w:r>
        <w:separator/>
      </w:r>
    </w:p>
  </w:footnote>
  <w:footnote w:type="continuationSeparator" w:id="0">
    <w:p w14:paraId="7AAA4B78" w14:textId="77777777" w:rsidR="002040FE" w:rsidRDefault="0020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6282" w14:textId="77777777" w:rsidR="000F3D1B" w:rsidRDefault="00000000">
    <w:pPr>
      <w:pStyle w:val="Header"/>
      <w:rPr>
        <w:lang w:eastAsia="zh-CN"/>
      </w:rPr>
    </w:pPr>
    <w:r>
      <w:rPr>
        <w:b/>
        <w:sz w:val="17"/>
        <w:szCs w:val="17"/>
        <w:lang w:eastAsia="zh-CN"/>
      </w:rPr>
      <w:t>智能自适应触发传感触发传感市场与竞争研究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F57" w14:textId="77777777" w:rsidR="000F3D1B" w:rsidRDefault="000F3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0506">
    <w:abstractNumId w:val="8"/>
  </w:num>
  <w:num w:numId="2" w16cid:durableId="1714305531">
    <w:abstractNumId w:val="6"/>
  </w:num>
  <w:num w:numId="3" w16cid:durableId="482166076">
    <w:abstractNumId w:val="5"/>
  </w:num>
  <w:num w:numId="4" w16cid:durableId="1795369264">
    <w:abstractNumId w:val="4"/>
  </w:num>
  <w:num w:numId="5" w16cid:durableId="1212619701">
    <w:abstractNumId w:val="7"/>
  </w:num>
  <w:num w:numId="6" w16cid:durableId="1247374589">
    <w:abstractNumId w:val="3"/>
  </w:num>
  <w:num w:numId="7" w16cid:durableId="2008706891">
    <w:abstractNumId w:val="2"/>
  </w:num>
  <w:num w:numId="8" w16cid:durableId="546724299">
    <w:abstractNumId w:val="1"/>
  </w:num>
  <w:num w:numId="9" w16cid:durableId="27232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1B"/>
    <w:rsid w:val="0015074B"/>
    <w:rsid w:val="00153312"/>
    <w:rsid w:val="002040FE"/>
    <w:rsid w:val="0029639D"/>
    <w:rsid w:val="0032220A"/>
    <w:rsid w:val="00326F90"/>
    <w:rsid w:val="004524ED"/>
    <w:rsid w:val="00AA1D8D"/>
    <w:rsid w:val="00B47730"/>
    <w:rsid w:val="00BD7590"/>
    <w:rsid w:val="00CB0664"/>
    <w:rsid w:val="00E74E45"/>
    <w:rsid w:val="00E7721B"/>
    <w:rsid w:val="00FC5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C100"/>
  <w14:defaultImageDpi w14:val="300"/>
  <w15:docId w15:val="{00A2B589-D30E-46D0-A3A9-81D73F88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eastAsia="宋体" w:hAnsi="Times New Roman" w:cs="Times New Roman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b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line="252" w:lineRule="auto"/>
    </w:pPr>
    <w:rPr>
      <w:i/>
      <w:iCs/>
      <w:spacing w:val="15"/>
      <w:sz w:val="23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720"/>
      <w:contextualSpacing/>
    </w:pPr>
    <w:rPr>
      <w:szCs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720"/>
      <w:contextualSpacing/>
    </w:pPr>
    <w:rPr>
      <w:szCs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80" w:line="252" w:lineRule="auto"/>
      <w:ind w:left="0" w:right="0"/>
    </w:pPr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www.sciencedirect.com/science/article/pii/S0888327025012385" TargetMode="External"/><Relationship Id="rId21" Type="http://schemas.openxmlformats.org/officeDocument/2006/relationships/hyperlink" Target="https://www.senceive.com/products/infraguard" TargetMode="External"/><Relationship Id="rId42" Type="http://schemas.openxmlformats.org/officeDocument/2006/relationships/hyperlink" Target="https://globaltailingsreview.org/wp-content/uploads/2020/08/global-industry-standard-on-tailings-management.pdf?v=062510" TargetMode="External"/><Relationship Id="rId47" Type="http://schemas.openxmlformats.org/officeDocument/2006/relationships/hyperlink" Target="https://pubs.usgs.gov/sir/2017/5013/vol3/t/sir20175013t_ver1.1.pdf" TargetMode="External"/><Relationship Id="rId63" Type="http://schemas.openxmlformats.org/officeDocument/2006/relationships/hyperlink" Target="https://www.monnit.com/" TargetMode="External"/><Relationship Id="rId68" Type="http://schemas.openxmlformats.org/officeDocument/2006/relationships/hyperlink" Target="https://www.worldsensing.com/news/worldsensing-launches-g7-tiltmeter-at-tech-exchange-emea-in-barcelona/" TargetMode="External"/><Relationship Id="rId84" Type="http://schemas.openxmlformats.org/officeDocument/2006/relationships/footer" Target="footer2.xml"/><Relationship Id="rId16" Type="http://schemas.openxmlformats.org/officeDocument/2006/relationships/hyperlink" Target="https://www.senceive.com/products/infraguard" TargetMode="External"/><Relationship Id="rId11" Type="http://schemas.openxmlformats.org/officeDocument/2006/relationships/hyperlink" Target="https://www.emergenresearch.com/industry-report/fall-detection-systems-market" TargetMode="External"/><Relationship Id="rId32" Type="http://schemas.openxmlformats.org/officeDocument/2006/relationships/hyperlink" Target="https://www.emergenresearch.com/industry-report/fall-detection-systems-market" TargetMode="External"/><Relationship Id="rId37" Type="http://schemas.openxmlformats.org/officeDocument/2006/relationships/hyperlink" Target="https://www.senceive.com/products/infraguard" TargetMode="External"/><Relationship Id="rId53" Type="http://schemas.openxmlformats.org/officeDocument/2006/relationships/hyperlink" Target="https://resensys.com/documents/Monitoring-Overweight-Loads-Application-Note-v10.pdf" TargetMode="External"/><Relationship Id="rId58" Type="http://schemas.openxmlformats.org/officeDocument/2006/relationships/hyperlink" Target="https://www.senceive.com/products/infraguard" TargetMode="External"/><Relationship Id="rId74" Type="http://schemas.openxmlformats.org/officeDocument/2006/relationships/hyperlink" Target="https://www.movesolutions.it/wireless-sensors/deck002-h-2-0" TargetMode="External"/><Relationship Id="rId79" Type="http://schemas.openxmlformats.org/officeDocument/2006/relationships/hyperlink" Target="https://manual.dewesoft.com/x/setupmodule/modules/general/storing/triggersetup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www.worldsensing.com/success-story/using-wireless-monitoring-to-improve-mine-worker-safety/" TargetMode="External"/><Relationship Id="rId14" Type="http://schemas.openxmlformats.org/officeDocument/2006/relationships/hyperlink" Target="https://www.worldsensing.com/" TargetMode="External"/><Relationship Id="rId22" Type="http://schemas.openxmlformats.org/officeDocument/2006/relationships/hyperlink" Target="https://www.worldsensing.com/" TargetMode="External"/><Relationship Id="rId27" Type="http://schemas.openxmlformats.org/officeDocument/2006/relationships/hyperlink" Target="https://www.senceive.com/products/infraguard" TargetMode="External"/><Relationship Id="rId30" Type="http://schemas.openxmlformats.org/officeDocument/2006/relationships/hyperlink" Target="https://www.senceive.com/products/infraguard" TargetMode="External"/><Relationship Id="rId35" Type="http://schemas.openxmlformats.org/officeDocument/2006/relationships/hyperlink" Target="https://apply-for-innovation-funding.service.gov.uk/competition/2159/overview/077c60a6-4469-4da0-8558-b4975ef4dff5" TargetMode="External"/><Relationship Id="rId43" Type="http://schemas.openxmlformats.org/officeDocument/2006/relationships/hyperlink" Target="https://www.worldsensing.com/success-story/using-wireless-monitoring-to-improve-mine-worker-safety/" TargetMode="External"/><Relationship Id="rId48" Type="http://schemas.openxmlformats.org/officeDocument/2006/relationships/hyperlink" Target="https://www.sciencedirect.com/science/article/pii/S0888327025012385" TargetMode="External"/><Relationship Id="rId56" Type="http://schemas.openxmlformats.org/officeDocument/2006/relationships/hyperlink" Target="https://www.worldsensing.com/wp-content/uploads/2024/08/SS-Cut-tailings-dams-Mozambique-1.pdf" TargetMode="External"/><Relationship Id="rId64" Type="http://schemas.openxmlformats.org/officeDocument/2006/relationships/hyperlink" Target="https://www.milesight.com/iot/product/lorawan-sensor/em300-th" TargetMode="External"/><Relationship Id="rId69" Type="http://schemas.openxmlformats.org/officeDocument/2006/relationships/hyperlink" Target="https://www.worldsensing.com/news/worldsensing-launches-g7-tiltmeter-at-tech-exchange-emea-in-barcelona/" TargetMode="External"/><Relationship Id="rId77" Type="http://schemas.openxmlformats.org/officeDocument/2006/relationships/hyperlink" Target="https://s.campbellsci.com/documents/us/product-brochures/b_cr9000.pdf" TargetMode="External"/><Relationship Id="rId8" Type="http://schemas.openxmlformats.org/officeDocument/2006/relationships/hyperlink" Target="https://www.fortunebusinessinsights.com/wireless-sensor-network-market-102625" TargetMode="External"/><Relationship Id="rId51" Type="http://schemas.openxmlformats.org/officeDocument/2006/relationships/hyperlink" Target="https://www.worldsensing.com/success-story/monitoring-cuts-tailings-dam-risk-canadian-oil-sands-operator-in-extreme-weather-conditions/" TargetMode="External"/><Relationship Id="rId72" Type="http://schemas.openxmlformats.org/officeDocument/2006/relationships/hyperlink" Target="https://resensys.com/documents/Resensys_Enhanced_IoT_StrainGauge-v5.pdf" TargetMode="External"/><Relationship Id="rId80" Type="http://schemas.openxmlformats.org/officeDocument/2006/relationships/hyperlink" Target="https://doi.org/10.1016/j.ymssp.2025.113537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wiseguyreports.com/reports/wireless-environmental-monitoring-sensor-market" TargetMode="External"/><Relationship Id="rId17" Type="http://schemas.openxmlformats.org/officeDocument/2006/relationships/hyperlink" Target="https://www.movesolutions.it/case-study/transforming-bridge-safety-with-real-time-structural-health-monitoring-in-west-virginia" TargetMode="External"/><Relationship Id="rId25" Type="http://schemas.openxmlformats.org/officeDocument/2006/relationships/hyperlink" Target="https://www.sciencedirect.com/science/article/pii/S0888327025012385" TargetMode="External"/><Relationship Id="rId33" Type="http://schemas.openxmlformats.org/officeDocument/2006/relationships/hyperlink" Target="https://www.networkrail.co.uk/our-work/looking-after-the-railway/bridges-tunnels-and-viaducts/the-risk-of-bridge-strikes/" TargetMode="External"/><Relationship Id="rId38" Type="http://schemas.openxmlformats.org/officeDocument/2006/relationships/hyperlink" Target="https://infobridge.fhwa.dot.gov/Data/Dashboard" TargetMode="External"/><Relationship Id="rId46" Type="http://schemas.openxmlformats.org/officeDocument/2006/relationships/hyperlink" Target="https://earthquake.usgs.gov/static/lfs/data/pager/Wald_et_al_%282008%29_Specta_ShakeCast.pdf" TargetMode="External"/><Relationship Id="rId59" Type="http://schemas.openxmlformats.org/officeDocument/2006/relationships/hyperlink" Target="https://www.worldsensing.com/success-story/monitoring-cuts-tailings-dam-risk-canadian-oil-sands-operator-in-extreme-weather-conditions/" TargetMode="External"/><Relationship Id="rId67" Type="http://schemas.openxmlformats.org/officeDocument/2006/relationships/hyperlink" Target="https://www.worldsensing.com/product/vibration-meter/" TargetMode="External"/><Relationship Id="rId20" Type="http://schemas.openxmlformats.org/officeDocument/2006/relationships/hyperlink" Target="https://www.worldsensing.com/success-story/using-a-cloud-based-warning-system-to-protect-the-amazon/" TargetMode="External"/><Relationship Id="rId41" Type="http://schemas.openxmlformats.org/officeDocument/2006/relationships/hyperlink" Target="https://tailing.grida.no/" TargetMode="External"/><Relationship Id="rId54" Type="http://schemas.openxmlformats.org/officeDocument/2006/relationships/hyperlink" Target="https://www.networkrail.co.uk/our-work/looking-after-the-railway/bridges-tunnels-and-viaducts/the-risk-of-bridge-strikes/" TargetMode="External"/><Relationship Id="rId62" Type="http://schemas.openxmlformats.org/officeDocument/2006/relationships/hyperlink" Target="https://www.apple.com/healthcare/home-care/" TargetMode="External"/><Relationship Id="rId70" Type="http://schemas.openxmlformats.org/officeDocument/2006/relationships/hyperlink" Target="https://www.senceive.com/products/infraguard" TargetMode="External"/><Relationship Id="rId75" Type="http://schemas.openxmlformats.org/officeDocument/2006/relationships/hyperlink" Target="https://www.movesolutions.it/wireless-sensors/deck002-h-2-0" TargetMode="External"/><Relationship Id="rId83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senceive.com/applications/slopes" TargetMode="External"/><Relationship Id="rId23" Type="http://schemas.openxmlformats.org/officeDocument/2006/relationships/hyperlink" Target="https://www.movesolutions.it/" TargetMode="External"/><Relationship Id="rId28" Type="http://schemas.openxmlformats.org/officeDocument/2006/relationships/hyperlink" Target="https://www.senceive.com/products/infraguard" TargetMode="External"/><Relationship Id="rId36" Type="http://schemas.openxmlformats.org/officeDocument/2006/relationships/hyperlink" Target="https://www.senceive.com/applications/slopes" TargetMode="External"/><Relationship Id="rId49" Type="http://schemas.openxmlformats.org/officeDocument/2006/relationships/hyperlink" Target="https://www.senceive.com/products/infraguard" TargetMode="External"/><Relationship Id="rId57" Type="http://schemas.openxmlformats.org/officeDocument/2006/relationships/hyperlink" Target="https://www.senceive.com/products/infraguard" TargetMode="External"/><Relationship Id="rId10" Type="http://schemas.openxmlformats.org/officeDocument/2006/relationships/hyperlink" Target="https://straitsresearch.com/report/wireless-condition-monitoring-systems-market" TargetMode="External"/><Relationship Id="rId31" Type="http://schemas.openxmlformats.org/officeDocument/2006/relationships/hyperlink" Target="https://straitsresearch.com/report/wireless-condition-monitoring-systems-market" TargetMode="External"/><Relationship Id="rId44" Type="http://schemas.openxmlformats.org/officeDocument/2006/relationships/hyperlink" Target="https://www.nyc.gov/assets/lpc/downloads/pdf/presentation-materials/20260317/27-East-4th-Street.pdf" TargetMode="External"/><Relationship Id="rId52" Type="http://schemas.openxmlformats.org/officeDocument/2006/relationships/hyperlink" Target="https://www.senceive.com/products/infraguard" TargetMode="External"/><Relationship Id="rId60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65" Type="http://schemas.openxmlformats.org/officeDocument/2006/relationships/hyperlink" Target="https://www.bosch-sensortec.com/media/boschsensortec/downloads/datasheets/bst-bma400-ds000.pdf" TargetMode="External"/><Relationship Id="rId73" Type="http://schemas.openxmlformats.org/officeDocument/2006/relationships/hyperlink" Target="https://resensys.com/documents/Resensys_Enhanced_IoT_StrainGauge-v5.pdf" TargetMode="External"/><Relationship Id="rId78" Type="http://schemas.openxmlformats.org/officeDocument/2006/relationships/hyperlink" Target="https://manual.dewesoft.com/x/setupmodule/modules/general/storing/triggersetup" TargetMode="External"/><Relationship Id="rId81" Type="http://schemas.openxmlformats.org/officeDocument/2006/relationships/header" Target="header1.xm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horizon/statistics/structural-health-monitoring-market/technology/wireless-shm/global" TargetMode="External"/><Relationship Id="rId13" Type="http://schemas.openxmlformats.org/officeDocument/2006/relationships/hyperlink" Target="https://lesi.org/wp-content/uploads/2024/04/technology-royalty-rates-in-sec-filings.pdf" TargetMode="External"/><Relationship Id="rId18" Type="http://schemas.openxmlformats.org/officeDocument/2006/relationships/hyperlink" Target="https://www.resensys.com/Blog/project-category/wireless-strain-sensor/" TargetMode="External"/><Relationship Id="rId39" Type="http://schemas.openxmlformats.org/officeDocument/2006/relationships/hyperlink" Target="https://www.movesolutions.it/case-study/transforming-bridge-safety-with-real-time-structural-health-monitoring-in-west-virginia" TargetMode="External"/><Relationship Id="rId34" Type="http://schemas.openxmlformats.org/officeDocument/2006/relationships/hyperlink" Target="https://www.networkrail.co.uk/stories/a-vehicle-hits-a-rail-bridge-every-five-hours/" TargetMode="External"/><Relationship Id="rId50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55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76" Type="http://schemas.openxmlformats.org/officeDocument/2006/relationships/hyperlink" Target="https://s.campbellsci.com/documents/us/product-brochures/b_cr9000.pd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senceive.com/products/infraguar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esensys.com/documents/Monitoring-Overweight-Loads-Application-Note-v10.pdf" TargetMode="External"/><Relationship Id="rId24" Type="http://schemas.openxmlformats.org/officeDocument/2006/relationships/hyperlink" Target="https://resensys.com/r20/wireless-sensor-document-application/wireless-monitoring-instances-overweight-truck-load-bridge-strain-camera-solar-structural-health.html" TargetMode="External"/><Relationship Id="rId40" Type="http://schemas.openxmlformats.org/officeDocument/2006/relationships/hyperlink" Target="https://ops.fhwa.dot.gov/publications/fhwahop14032/ch9.htm" TargetMode="External"/><Relationship Id="rId45" Type="http://schemas.openxmlformats.org/officeDocument/2006/relationships/hyperlink" Target="https://nsip-documents.planninginspectorate.gov.uk/published-documents/EN020026-000802-7.5.8.2%20%28B%29%20Outline%20Construction%20Noise%20and%20Vibration%20Management%20Plan%20-%20Kent%20%28Tracked%20Changes%29.pdf" TargetMode="External"/><Relationship Id="rId66" Type="http://schemas.openxmlformats.org/officeDocument/2006/relationships/hyperlink" Target="https://www.worldsensing.com/product/vibration-meter/" TargetMode="External"/><Relationship Id="rId61" Type="http://schemas.openxmlformats.org/officeDocument/2006/relationships/hyperlink" Target="https://www.emerson.com/en/automation-systems/asset-performance-management/machinery-health-management/ams-wireless-vibration-monitor" TargetMode="External"/><Relationship Id="rId82" Type="http://schemas.openxmlformats.org/officeDocument/2006/relationships/footer" Target="footer1.xml"/><Relationship Id="rId87" Type="http://schemas.openxmlformats.org/officeDocument/2006/relationships/hyperlink" Target="https://sensiml.com/documentation/knowledge-packs/sensiml-embedded-sdk.html" TargetMode="External"/><Relationship Id="rId88" Type="http://schemas.openxmlformats.org/officeDocument/2006/relationships/hyperlink" Target="https://docs.edgeimpulse.com/studio/projects/deployment/eon-compiler" TargetMode="External"/><Relationship Id="rId89" Type="http://schemas.openxmlformats.org/officeDocument/2006/relationships/hyperlink" Target="https://docs.zephyrproject.org/latest/services/pm/device_runtime.html" TargetMode="External"/><Relationship Id="rId90" Type="http://schemas.openxmlformats.org/officeDocument/2006/relationships/hyperlink" Target="https://eur-lex.europa.eu/eli/reg/2024/2847/2024-11-20/eng" TargetMode="External"/><Relationship Id="rId91" Type="http://schemas.openxmlformats.org/officeDocument/2006/relationships/hyperlink" Target="https://webstore.iec.ch/en/publication/33615" TargetMode="External"/><Relationship Id="rId92" Type="http://schemas.openxmlformats.org/officeDocument/2006/relationships/hyperlink" Target="https://www.syntiant.com/ndp120" TargetMode="External"/><Relationship Id="rId93" Type="http://schemas.openxmlformats.org/officeDocument/2006/relationships/hyperlink" Target="https://shop.quicklogic.com/products/eos-s3/" TargetMode="External"/><Relationship Id="rId94" Type="http://schemas.openxmlformats.org/officeDocument/2006/relationships/hyperlink" Target="https://sensiml.com/documentation/" TargetMode="External"/><Relationship Id="rId95" Type="http://schemas.openxmlformats.org/officeDocument/2006/relationships/hyperlink" Target="https://www.nordicsemi.com/Products/nRF9160/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3109</Words>
  <Characters>17725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智能自适应触发传感_市场与竞争调研</vt:lpstr>
    </vt:vector>
  </TitlesOfParts>
  <Manager/>
  <Company/>
  <LinksUpToDate>false</LinksUpToDate>
  <CharactersWithSpaces>20793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智能自适应触发传感_市场与竞争调研</dc:title>
  <dc:subject>Quantitative market and competitive brief for smart adaptive trigger sensing</dc:subject>
  <dc:creator>NTU GAP Fund project team</dc:creator>
  <cp:keywords>market research, structural health monitoring, edge intelligence</cp:keywords>
  <dc:description>generated by python-docx</dc:description>
  <cp:lastModifiedBy>#CUI SHUAIWEN#</cp:lastModifiedBy>
  <cp:revision>3</cp:revision>
  <dcterms:created xsi:type="dcterms:W3CDTF">2026-08-21T00:00:00Z</dcterms:created>
  <dcterms:modified xsi:type="dcterms:W3CDTF">2026-08-22T05:32:00Z</dcterms:modified>
  <cp:category/>
</cp:coreProperties>
</file>