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 w:cs="Times New Roman" w:eastAsia="SimSun"/>
          <w:b/>
          <w:color w:val="000000"/>
          <w:sz w:val="19"/>
          <w:szCs w:val="19"/>
        </w:rPr>
        <w:t>市场与竞争调研</w:t>
      </w:r>
    </w:p>
    <w:p>
      <w:pPr>
        <w:pStyle w:val="Title"/>
      </w:pPr>
      <w:r>
        <w:rPr>
          <w:rFonts w:ascii="Times New Roman" w:hAnsi="Times New Roman" w:eastAsia="SimSun"/>
          <w:sz w:val="44"/>
          <w:szCs w:val="44"/>
        </w:rPr>
        <w:t>传感器数据自主诊断与修复</w:t>
      </w:r>
    </w:p>
    <w:p>
      <w:pPr>
        <w:pStyle w:val="Subtitle"/>
      </w:pPr>
      <w:r>
        <w:rPr>
          <w:rFonts w:ascii="Times New Roman" w:hAnsi="Times New Roman" w:eastAsia="SimSun"/>
          <w:sz w:val="23"/>
          <w:szCs w:val="23"/>
        </w:rPr>
        <w:t>面向无线结构健康监测的数据可信度、竞品机理与产品化路径</w:t>
      </w:r>
    </w:p>
    <w:p>
      <w:pPr>
        <w:pStyle w:val="EvidenceNote"/>
      </w:pPr>
      <w:r>
        <w:rPr>
          <w:rFonts w:ascii="Times New Roman" w:hAnsi="Times New Roman" w:cs="Times New Roman" w:eastAsia="SimSun"/>
          <w:color w:val="000000"/>
          <w:sz w:val="18"/>
          <w:szCs w:val="18"/>
        </w:rPr>
        <w:t>阅读方式：关键数字和产品名称可直接点击查看原始资料。市场规模来自公开摘要，产品机理优先采用厂商技术资料或论文。无法核验的公司份额不做猜测。</w:t>
      </w:r>
    </w:p>
    <w:p>
      <w:pPr>
        <w:pStyle w:val="Heading1"/>
      </w:pPr>
      <w:r>
        <w:rPr>
          <w:rFonts w:ascii="Times New Roman" w:hAnsi="Times New Roman" w:eastAsia="SimSun"/>
          <w:sz w:val="28"/>
          <w:szCs w:val="28"/>
        </w:rPr>
        <w:t>先说结论</w:t>
      </w:r>
    </w:p>
    <w:p>
      <w:pPr>
        <w:pStyle w:val="ListBullet"/>
        <w:ind w:left="340" w:hanging="170"/>
      </w:pPr>
      <w:r>
        <w:rPr>
          <w:rFonts w:ascii="Times New Roman" w:hAnsi="Times New Roman" w:eastAsia="SimSun"/>
          <w:b w:val="0"/>
          <w:color w:val="000000"/>
          <w:sz w:val="21"/>
          <w:szCs w:val="21"/>
        </w:rPr>
        <w:t>客户买的不是一个“异常检测算法”，而是少做现场排障、少换错传感器、少出错误告警，并且在长期监测报告和安全决策中敢于相信数据。真正会批准预算的人关心的是派工成本、服务承诺、停工风险和责任，而不是模型名称。</w:t>
      </w:r>
    </w:p>
    <w:p>
      <w:pPr>
        <w:pStyle w:val="ListBullet"/>
        <w:ind w:left="340" w:hanging="170"/>
      </w:pPr>
      <w:r>
        <w:rPr>
          <w:rFonts w:ascii="Times New Roman" w:hAnsi="Times New Roman" w:cs="Times New Roman" w:eastAsia="SimSun"/>
          <w:color w:val="000000"/>
          <w:sz w:val="21"/>
          <w:szCs w:val="21"/>
        </w:rPr>
        <w:t>这个方向没有独立市场统计。最接近的直接预算池是结构健康监测，2025年公开估计约</w:t>
      </w:r>
      <w:hyperlink r:id="rId11">
        <w:r>
          <w:rPr>
            <w:rFonts w:ascii="Times New Roman" w:hAnsi="Times New Roman" w:cs="Times New Roman" w:eastAsia="SimSun"/>
            <w:color w:val="0563C1"/>
            <w:sz w:val="21"/>
            <w:szCs w:val="21"/>
            <w:u w:val="single"/>
          </w:rPr>
          <w:t>27亿至51亿美元</w:t>
        </w:r>
      </w:hyperlink>
      <w:r>
        <w:rPr>
          <w:rFonts w:ascii="Times New Roman" w:hAnsi="Times New Roman" w:cs="Times New Roman" w:eastAsia="SimSun"/>
          <w:color w:val="000000"/>
          <w:sz w:val="21"/>
          <w:szCs w:val="21"/>
        </w:rPr>
        <w:t>；状态监测市场约</w:t>
      </w:r>
      <w:hyperlink r:id="rId14">
        <w:r>
          <w:rPr>
            <w:rFonts w:ascii="Times New Roman" w:hAnsi="Times New Roman" w:cs="Times New Roman" w:eastAsia="SimSun"/>
            <w:color w:val="0563C1"/>
            <w:sz w:val="21"/>
            <w:szCs w:val="21"/>
            <w:u w:val="single"/>
          </w:rPr>
          <w:t>44亿美元</w:t>
        </w:r>
      </w:hyperlink>
      <w:r>
        <w:rPr>
          <w:rFonts w:ascii="Times New Roman" w:hAnsi="Times New Roman" w:cs="Times New Roman" w:eastAsia="SimSun"/>
          <w:color w:val="000000"/>
          <w:sz w:val="21"/>
          <w:szCs w:val="21"/>
        </w:rPr>
        <w:t>。两者有重叠，不能相加。</w:t>
      </w:r>
    </w:p>
    <w:p>
      <w:pPr>
        <w:pStyle w:val="ListBullet"/>
        <w:ind w:left="340" w:hanging="170"/>
      </w:pPr>
      <w:r>
        <w:rPr>
          <w:rFonts w:ascii="Times New Roman" w:hAnsi="Times New Roman" w:cs="Times New Roman" w:eastAsia="SimSun"/>
          <w:color w:val="000000"/>
          <w:sz w:val="21"/>
          <w:szCs w:val="21"/>
        </w:rPr>
        <w:t>大多数商业产品能发现掉线、平线、噪声或阈值越界，也能发告警和工单；但它们通常不会进一步判断是量程、供电、信道还是安装出了问题，更不会自动调整硬件并复检。</w:t>
      </w:r>
    </w:p>
    <w:p>
      <w:pPr>
        <w:pStyle w:val="ListBullet"/>
        <w:ind w:left="340" w:hanging="170"/>
      </w:pPr>
      <w:r>
        <w:rPr>
          <w:rFonts w:ascii="Times New Roman" w:hAnsi="Times New Roman" w:cs="Times New Roman" w:eastAsia="SimSun"/>
          <w:color w:val="000000"/>
          <w:sz w:val="21"/>
          <w:szCs w:val="21"/>
        </w:rPr>
        <w:t>你们的论文把流程做成闭环：先把异常分为7类，再用规则推断物理根因，执行恢复动作，然后重新检查。</w:t>
      </w:r>
      <w:hyperlink r:id="rId28">
        <w:r>
          <w:rPr>
            <w:rFonts w:ascii="Times New Roman" w:hAnsi="Times New Roman" w:cs="Times New Roman" w:eastAsia="SimSun"/>
            <w:color w:val="0563C1"/>
            <w:sz w:val="21"/>
            <w:szCs w:val="21"/>
            <w:u w:val="single"/>
          </w:rPr>
          <w:t>论文已经完成实验室测试和物联网节点部署</w:t>
        </w:r>
      </w:hyperlink>
      <w:r>
        <w:rPr>
          <w:rFonts w:ascii="Times New Roman" w:hAnsi="Times New Roman" w:cs="Times New Roman" w:eastAsia="SimSun"/>
          <w:color w:val="000000"/>
          <w:sz w:val="21"/>
          <w:szCs w:val="21"/>
        </w:rPr>
        <w:t>。</w:t>
      </w:r>
    </w:p>
    <w:tbl>
      <w:tblPr>
        <w:tblW w:type="dxa" w:w="9354"/>
        <w:tblLayout w:type="fixed"/>
        <w:tblLook w:firstColumn="1" w:firstRow="1" w:lastColumn="0" w:lastRow="0" w:noHBand="0" w:noVBand="1" w:val="04A0"/>
        <w:tblInd w:type="dxa" w:w="115"/>
      </w:tblPr>
      <w:tblGrid>
        <w:gridCol w:w="1417"/>
        <w:gridCol w:w="7937"/>
      </w:tblGrid>
      <w:tr>
        <w:trPr>
          <w:tblHeader w:val="true"/>
        </w:trPr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val="clear" w:color="auto" w:fill="000000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一句话定位</w:t>
            </w:r>
          </w:p>
        </w:tc>
        <w:tc>
          <w:tcPr>
            <w:tcW w:type="dxa" w:w="793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val="clear" w:color="auto" w:fill="FFFFFF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像给每个传感节点配一名值班工程师：先判断数据为什么不对，能安全自修就自修，不能自修再把证据交给人。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SimSun"/>
          <w:sz w:val="28"/>
          <w:szCs w:val="28"/>
        </w:rPr>
        <w:t>1. 钱从哪里来</w:t>
      </w:r>
    </w:p>
    <w:tbl>
      <w:tblPr>
        <w:tblStyle w:val="TableGrid"/>
        <w:tblW w:type="dxa" w:w="9411"/>
        <w:tblLayout w:type="fixed"/>
        <w:tblLook w:firstColumn="1" w:firstRow="1" w:lastColumn="0" w:lastRow="0" w:noHBand="0" w:noVBand="1" w:val="04A0"/>
        <w:tblInd w:type="dxa" w:w="95"/>
      </w:tblPr>
      <w:tblGrid>
        <w:gridCol w:w="1814"/>
        <w:gridCol w:w="1701"/>
        <w:gridCol w:w="2891"/>
        <w:gridCol w:w="3005"/>
      </w:tblGrid>
      <w:tr>
        <w:trPr>
          <w:tblHeader w:val="true"/>
        </w:trPr>
        <w:tc>
          <w:tcPr>
            <w:tcW w:type="dxa" w:w="1814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预算池</w:t>
            </w:r>
          </w:p>
        </w:tc>
        <w:tc>
          <w:tcPr>
            <w:tcW w:type="dxa" w:w="170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2025年规模</w:t>
            </w:r>
          </w:p>
        </w:tc>
        <w:tc>
          <w:tcPr>
            <w:tcW w:type="dxa" w:w="289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为什么相关</w:t>
            </w:r>
          </w:p>
        </w:tc>
        <w:tc>
          <w:tcPr>
            <w:tcW w:type="dxa" w:w="3005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为什么不能直接算成我们的市场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结构健康监测</w:t>
              </w:r>
            </w:hyperlink>
          </w:p>
        </w:tc>
        <w:tc>
          <w:tcPr>
            <w:tcW w:type="dxa" w:w="170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27亿至51亿美元</w:t>
              </w:r>
            </w:hyperlink>
          </w:p>
        </w:tc>
        <w:tc>
          <w:tcPr>
            <w:tcW w:type="dxa" w:w="289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直接对应桥梁、隧道、边坡等长期监测项目</w:t>
            </w:r>
          </w:p>
        </w:tc>
        <w:tc>
          <w:tcPr>
            <w:tcW w:type="dxa" w:w="300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公开报告没有单列数据可靠性或故障修复模块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4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状态监测</w:t>
              </w:r>
            </w:hyperlink>
          </w:p>
        </w:tc>
        <w:tc>
          <w:tcPr>
            <w:tcW w:type="dxa" w:w="170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4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44亿美元</w:t>
              </w:r>
            </w:hyperlink>
          </w:p>
        </w:tc>
        <w:tc>
          <w:tcPr>
            <w:tcW w:type="dxa" w:w="289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客户已经为设备状态分析和预测维护付费</w:t>
            </w:r>
          </w:p>
        </w:tc>
        <w:tc>
          <w:tcPr>
            <w:tcW w:type="dxa" w:w="300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其中大量收入来自旋转机械，不属于土木结构监测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25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物联网传感器</w:t>
              </w:r>
            </w:hyperlink>
          </w:p>
        </w:tc>
        <w:tc>
          <w:tcPr>
            <w:tcW w:type="dxa" w:w="170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25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204.2亿美元</w:t>
              </w:r>
            </w:hyperlink>
          </w:p>
        </w:tc>
        <w:tc>
          <w:tcPr>
            <w:tcW w:type="dxa" w:w="289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说明传感器和边缘设备是大预算池</w:t>
            </w:r>
          </w:p>
        </w:tc>
        <w:tc>
          <w:tcPr>
            <w:tcW w:type="dxa" w:w="300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范围覆盖消费、汽车、医疗等行业，远大于目标场景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6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物联网分析</w:t>
              </w:r>
            </w:hyperlink>
          </w:p>
        </w:tc>
        <w:tc>
          <w:tcPr>
            <w:tcW w:type="dxa" w:w="170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6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422.2亿美元</w:t>
              </w:r>
            </w:hyperlink>
          </w:p>
        </w:tc>
        <w:tc>
          <w:tcPr>
            <w:tcW w:type="dxa" w:w="289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说明客户愿意为数据质量和分析软件付费</w:t>
            </w:r>
          </w:p>
        </w:tc>
        <w:tc>
          <w:tcPr>
            <w:tcW w:type="dxa" w:w="300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与状态监测、结构健康监测高度重叠，不能重复相加</w:t>
            </w:r>
          </w:p>
        </w:tc>
      </w:tr>
    </w:tbl>
    <w:p>
      <w:pPr>
        <w:spacing w:after="0"/>
      </w:pPr>
    </w:p>
    <w:p>
      <w:pPr>
        <w:pStyle w:val="EvidenceNote"/>
      </w:pPr>
      <w:r>
        <w:rPr>
          <w:rFonts w:ascii="Times New Roman" w:hAnsi="Times New Roman" w:cs="Times New Roman" w:eastAsia="SimSun"/>
          <w:color w:val="000000"/>
          <w:sz w:val="18"/>
          <w:szCs w:val="18"/>
        </w:rPr>
        <w:t>真正可销售的市场应这样算：目标客户在运节点数 × 每节点年费，或目标站点数 × 每站点软件许可费。下一轮访谈必须拿到节点数、故障频率和现场排障成本。</w:t>
      </w:r>
    </w:p>
    <w:p>
      <w:pPr>
        <w:pStyle w:val="Heading1"/>
      </w:pPr>
      <w:r>
        <w:rPr>
          <w:rFonts w:ascii="Times New Roman" w:hAnsi="Times New Roman" w:eastAsia="SimSun"/>
          <w:b w:val="0"/>
          <w:color w:val="000000"/>
          <w:sz w:val="28"/>
          <w:szCs w:val="28"/>
        </w:rPr>
        <w:t>2. 用户痛点、付费理由和预算归属</w:t>
      </w:r>
    </w:p>
    <w:tbl>
      <w:tblPr>
        <w:tblStyle w:val="TableGrid"/>
        <w:tblW w:type="dxa" w:w="9411"/>
        <w:tblLayout w:type="fixed"/>
        <w:tblLook w:firstColumn="1" w:firstRow="1" w:lastColumn="0" w:lastRow="0" w:noHBand="0" w:noVBand="1" w:val="04A0"/>
        <w:tblInd w:type="dxa" w:w="95"/>
      </w:tblPr>
      <w:tblGrid>
        <w:gridCol w:w="2041"/>
        <w:gridCol w:w="2268"/>
        <w:gridCol w:w="2551"/>
        <w:gridCol w:w="2551"/>
      </w:tblGrid>
      <w:tr>
        <w:trPr>
          <w:tblHeader w:val="true"/>
        </w:trPr>
        <w:tc>
          <w:tcPr>
            <w:tcW w:type="dxa" w:w="204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问题</w:t>
            </w:r>
          </w:p>
        </w:tc>
        <w:tc>
          <w:tcPr>
            <w:tcW w:type="dxa" w:w="2268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表面现象</w:t>
            </w:r>
          </w:p>
        </w:tc>
        <w:tc>
          <w:tcPr>
            <w:tcW w:type="dxa" w:w="255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业务后果</w:t>
            </w:r>
          </w:p>
        </w:tc>
        <w:tc>
          <w:tcPr>
            <w:tcW w:type="dxa" w:w="255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客户愿意为哪种结果付费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传感器掉线或通信不稳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缺数、长时间平线、间歇中断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监测报告不完整；工程师要查网关、信道和供电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自动定位并尽量远程恢复（</w:t>
            </w:r>
            <w:hyperlink r:id="rId37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无线SHM数据丢失会影响分析和决策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量程或分辨率不合适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小信号看不见，或大信号削顶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真实结构响应被漏掉或失真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节点调整量程并保留变更记录（</w:t>
            </w:r>
            <w:hyperlink r:id="rId38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本项目论文的量程/分辨率故障机理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温度、供电或安装引入偏差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漂移、偏置、趋势或离群值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可能被误判为结构损伤，导致误报警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区分环境、传感器问题和真实结构变化（</w:t>
            </w:r>
            <w:hyperlink r:id="rId39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传感器故障综述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；</w:t>
            </w:r>
            <w:hyperlink r:id="rId38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本项目物理根因映射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云端只修数据，不修设备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插值后曲线看起来正常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根因仍在，后续数据继续坏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修复物理原因；失败时生成带证据工单（</w:t>
            </w:r>
            <w:hyperlink r:id="rId38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本项目论文对数据中心方法的局限分析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；</w:t>
            </w:r>
            <w:hyperlink r:id="rId34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IBM传感器到工单流程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Times New Roman" w:hAnsi="Times New Roman" w:eastAsia="SimSun"/>
          <w:b/>
          <w:color w:val="000000"/>
          <w:sz w:val="24"/>
          <w:szCs w:val="24"/>
        </w:rPr>
        <w:t>2.1 痛点证据：公开资料已经证明什么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/>
          <w:color w:val="000000"/>
          <w:sz w:val="21"/>
          <w:szCs w:val="21"/>
        </w:rPr>
        <w:t>坏数据会直接影响结构判断。</w:t>
      </w:r>
      <w:hyperlink r:id="rId37">
        <w:r>
          <w:rPr>
            <w:rFonts w:ascii="Times New Roman" w:hAnsi="Times New Roman" w:eastAsia="SimSun"/>
            <w:color w:val="0563C1"/>
            <w:sz w:val="21"/>
            <w:szCs w:val="21"/>
          </w:rPr>
          <w:t>无线结构监测数据丢失研究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指出，传输丢数造成的误差会影响结构数据分析和后续决策；</w:t>
      </w:r>
      <w:hyperlink r:id="rId40">
        <w:r>
          <w:rPr>
            <w:rFonts w:ascii="Times New Roman" w:hAnsi="Times New Roman" w:eastAsia="SimSun"/>
            <w:color w:val="0563C1"/>
            <w:sz w:val="21"/>
            <w:szCs w:val="21"/>
          </w:rPr>
          <w:t>DependSHM研究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进一步显示，传感器故障可能把无损位置判为损伤，也可能漏掉真实损伤。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/>
          <w:color w:val="000000"/>
          <w:sz w:val="21"/>
          <w:szCs w:val="21"/>
        </w:rPr>
        <w:t>误报和漏报具有经济后果。</w:t>
      </w:r>
      <w:hyperlink r:id="rId39">
        <w:r>
          <w:rPr>
            <w:rFonts w:ascii="Times New Roman" w:hAnsi="Times New Roman" w:eastAsia="SimSun"/>
            <w:color w:val="0563C1"/>
            <w:sz w:val="21"/>
            <w:szCs w:val="21"/>
          </w:rPr>
          <w:t>2017年SHM传感器验证综述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明确把传感器故障与误报、漏检联系起来，并指出误报可导致不必要的运营中断和结构维护。该综述支持痛点存在，但没有给出统一的每次损失金额。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/>
          <w:color w:val="000000"/>
          <w:sz w:val="21"/>
          <w:szCs w:val="21"/>
        </w:rPr>
        <w:t>少进场和自动工单已有采购案例。</w:t>
      </w:r>
      <w:hyperlink r:id="rId34">
        <w:r>
          <w:rPr>
            <w:rFonts w:ascii="Times New Roman" w:hAnsi="Times New Roman" w:eastAsia="SimSun"/>
            <w:color w:val="0563C1"/>
            <w:sz w:val="21"/>
            <w:szCs w:val="21"/>
          </w:rPr>
          <w:t>IBM Ellevio案例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把传感器数据接入资产和工单，目标包括减少工程师访问、降低成本、延长资产寿命并降低人员风险。这是电网资产案例，不是桥梁SHM报价，但能证明“少派工、快定位”对应真实预算。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/>
          <w:color w:val="000000"/>
          <w:sz w:val="21"/>
          <w:szCs w:val="21"/>
        </w:rPr>
        <w:t>物理根因和闭环恢复的缺口有论文依据。</w:t>
      </w:r>
      <w:hyperlink r:id="rId38">
        <w:r>
          <w:rPr>
            <w:rFonts w:ascii="Times New Roman" w:hAnsi="Times New Roman" w:eastAsia="SimSun"/>
            <w:color w:val="0563C1"/>
            <w:sz w:val="21"/>
            <w:szCs w:val="21"/>
          </w:rPr>
          <w:t>本项目2025年论文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指出，现有数据中心方法通常只分类或修正读数，没有追到量程、分辨率、供电和干扰等物理源头；论文已验证端侧诊断、动作和复检闭环。商业付费意愿仍需现场试点确认。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SimSun"/>
          <w:b/>
          <w:color w:val="000000"/>
          <w:sz w:val="24"/>
          <w:szCs w:val="24"/>
        </w:rPr>
        <w:t>2.2 谁在承担损失，谁会批准采购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 w:val="0"/>
          <w:color w:val="000000"/>
          <w:sz w:val="21"/>
          <w:szCs w:val="21"/>
        </w:rPr>
        <w:t>这个方向的付费者不一定是每天清洗数据的人。需要把“发现问题的人”“承担故障成本的人”和“批准预算的人”分别访谈，否则很容易得到很多技术认可，却拿不到采购。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2900"/>
        <w:gridCol w:w="2160"/>
      </w:tblGrid>
      <w:tr>
        <w:trPr>
          <w:tblHeader w:val="true"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0000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角色</w:t>
            </w:r>
          </w:p>
        </w:tc>
        <w:tc>
          <w:tcPr>
            <w:tcW w:type="dxa" w:w="28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0000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现在承担的损失</w:t>
            </w:r>
          </w:p>
        </w:tc>
        <w:tc>
          <w:tcPr>
            <w:tcW w:type="dxa" w:w="2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0000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出现什么情况会买（销售假设，待访谈）</w:t>
            </w:r>
          </w:p>
        </w:tc>
        <w:tc>
          <w:tcPr>
            <w:tcW w:type="dxa" w:w="2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0000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/>
                <w:color w:val="FFFFFF"/>
                <w:sz w:val="17"/>
                <w:szCs w:val="17"/>
              </w:rPr>
              <w:t>预算与付费单位（待报价验证）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基础设施业主或运营方</w:t>
            </w:r>
          </w:p>
        </w:tc>
        <w:tc>
          <w:tcPr>
            <w:tcW w:type="dxa" w:w="28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误报会导致不必要中断和维护，漏报会影响安全判断（</w:t>
            </w:r>
            <w:hyperlink r:id="rId39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SHM传感器验证综述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</w:t>
            </w:r>
          </w:p>
        </w:tc>
        <w:tc>
          <w:tcPr>
            <w:tcW w:type="dxa" w:w="2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长期网络频繁缺数或漂移；合同要求数据可用率；点位偏远</w:t>
            </w:r>
          </w:p>
        </w:tc>
        <w:tc>
          <w:tcPr>
            <w:tcW w:type="dxa" w:w="2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监测、运维或风险预算；按站点年费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监测服务商与系统集成商</w:t>
            </w:r>
          </w:p>
        </w:tc>
        <w:tc>
          <w:tcPr>
            <w:tcW w:type="dxa" w:w="28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现场检查、告警转工单和工程师工作量是可见成本（</w:t>
            </w:r>
            <w:hyperlink r:id="rId34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IBM Ellevio案例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）；服务毛利和违约金额仍需访谈</w:t>
            </w:r>
          </w:p>
        </w:tc>
        <w:tc>
          <w:tcPr>
            <w:tcW w:type="dxa" w:w="2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管理大量节点；支持工单持续上升；客户要求更快恢复</w:t>
            </w:r>
          </w:p>
        </w:tc>
        <w:tc>
          <w:tcPr>
            <w:tcW w:type="dxa" w:w="2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项目软件或服务交付预算；按节点年费或平台许可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传感器与记录器厂商</w:t>
            </w:r>
          </w:p>
        </w:tc>
        <w:tc>
          <w:tcPr>
            <w:tcW w:type="dxa" w:w="28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售后工单、误退换和质保成本属于合理商业假设，但当前未找到可核验的SHM厂商公开金额，必须访谈验证。</w:t>
            </w:r>
          </w:p>
        </w:tc>
        <w:tc>
          <w:tcPr>
            <w:tcW w:type="dxa" w:w="2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希望把诊断能力内置到新一代节点，减少技术支持压力</w:t>
            </w:r>
          </w:p>
        </w:tc>
        <w:tc>
          <w:tcPr>
            <w:tcW w:type="dxa" w:w="2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产品研发预算；软件开发包、固件授权或按出货量许可</w:t>
            </w:r>
          </w:p>
        </w:tc>
      </w:tr>
      <w:t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顾问工程师与数据分析人员</w:t>
            </w:r>
          </w:p>
        </w:tc>
        <w:tc>
          <w:tcPr>
            <w:tcW w:type="dxa" w:w="28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故障传感器可能造成损伤误判或漏判（</w:t>
            </w:r>
            <w:hyperlink r:id="rId40">
              <w:r>
                <w:rPr>
                  <w:rFonts w:ascii="Times New Roman" w:hAnsi="Times New Roman" w:eastAsia="SimSun"/>
                  <w:color w:val="0563C1"/>
                  <w:sz w:val="17"/>
                  <w:szCs w:val="17"/>
                </w:rPr>
                <w:t>DependSHM研究</w:t>
              </w:r>
            </w:hyperlink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）；专业责任和付费金额需访谈</w:t>
            </w:r>
          </w:p>
        </w:tc>
        <w:tc>
          <w:tcPr>
            <w:tcW w:type="dxa" w:w="2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报告需要完整审计链；现有平台只告警、不解释根因</w:t>
            </w:r>
          </w:p>
        </w:tc>
        <w:tc>
          <w:tcPr>
            <w:tcW w:type="dxa" w:w="2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7"/>
                <w:szCs w:val="17"/>
              </w:rPr>
              <w:t>项目专业服务预算；通常影响采购但不单独付款</w:t>
            </w:r>
          </w:p>
        </w:tc>
      </w:tr>
    </w:tbl>
    <w:p>
      <w:pPr>
        <w:spacing w:before="0" w:after="100" w:line="276" w:lineRule="auto"/>
      </w:pPr>
      <w:r>
        <w:rPr>
          <w:rFonts w:ascii="Times New Roman" w:hAnsi="Times New Roman" w:eastAsia="SimSun"/>
          <w:b/>
          <w:color w:val="000000"/>
          <w:sz w:val="21"/>
          <w:szCs w:val="21"/>
        </w:rPr>
        <w:t>已有价值证据：</w:t>
      </w:r>
      <w:hyperlink r:id="rId34">
        <w:r>
          <w:rPr>
            <w:rFonts w:ascii="Times New Roman" w:hAnsi="Times New Roman" w:eastAsia="SimSun"/>
            <w:color w:val="0563C1"/>
            <w:sz w:val="21"/>
            <w:szCs w:val="21"/>
          </w:rPr>
          <w:t>IBM为电网运营商Ellevio提供的案例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把传感器异常直接连接到工单，预期结果包括减少工程师现场访问、降低成本并延长资产寿命。这与本方案最接近的付费理由，是“更快定位、少跑现场、把证据交给工单”，而不是单纯提高异常分类准确率。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 w:val="0"/>
          <w:color w:val="000000"/>
          <w:sz w:val="21"/>
          <w:szCs w:val="21"/>
        </w:rPr>
        <w:t>更广泛的工业预测维护市场也说明，高代价停机能够形成明确预算。</w:t>
      </w:r>
      <w:hyperlink r:id="rId35">
        <w:r>
          <w:rPr>
            <w:rFonts w:ascii="Times New Roman" w:hAnsi="Times New Roman" w:eastAsia="SimSun"/>
            <w:color w:val="0563C1"/>
            <w:sz w:val="21"/>
            <w:szCs w:val="21"/>
          </w:rPr>
          <w:t>Siemens全球汽车制造案例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覆盖约1万台机器，厂商称节省数千万并在3个月内收回投资；</w:t>
      </w:r>
      <w:hyperlink r:id="rId36">
        <w:r>
          <w:rPr>
            <w:rFonts w:ascii="Times New Roman" w:hAnsi="Times New Roman" w:eastAsia="SimSun"/>
            <w:color w:val="0563C1"/>
            <w:sz w:val="21"/>
            <w:szCs w:val="21"/>
          </w:rPr>
          <w:t>BlueScope案例</w:t>
        </w:r>
      </w:hyperlink>
      <w:r>
        <w:rPr>
          <w:rFonts w:ascii="Times New Roman" w:hAnsi="Times New Roman" w:eastAsia="SimSun"/>
          <w:b w:val="0"/>
          <w:color w:val="000000"/>
          <w:sz w:val="21"/>
          <w:szCs w:val="21"/>
        </w:rPr>
        <w:t>则把“避免的停机时间”作为向管理层证明试点价值的关键指标。这些是工业设备和厂商案例，不能直接当作结构监测收入预测，但说明销售必须把技术指标翻译成避免派工、停机或服务违约的金额。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SimSun"/>
          <w:b/>
          <w:color w:val="000000"/>
          <w:sz w:val="24"/>
          <w:szCs w:val="24"/>
        </w:rPr>
        <w:t>2.3 付费意愿要用真实故障和报价验证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 w:val="0"/>
          <w:color w:val="000000"/>
          <w:sz w:val="21"/>
          <w:szCs w:val="21"/>
        </w:rPr>
        <w:t>访谈时要求客户拿出最近一次“数据不可信”的事件：谁发现、查了多久、是否派工、换了什么、停了多久、谁批准费用。随后给出三档方案：只提供健康评分与告警；增加根因诊断和经批准的自动恢复；再增加多站点管理、接口、审计记录和厂商软件开发包。不要先猜最终价格，用两份带价格的试点报价测试预算归属和采购阻力。</w:t>
      </w:r>
    </w:p>
    <w:p>
      <w:pPr>
        <w:spacing w:before="0" w:after="100" w:line="276" w:lineRule="auto"/>
      </w:pPr>
      <w:r>
        <w:rPr>
          <w:rFonts w:ascii="Times New Roman" w:hAnsi="Times New Roman" w:eastAsia="SimSun"/>
          <w:b/>
          <w:color w:val="000000"/>
          <w:sz w:val="21"/>
          <w:szCs w:val="21"/>
        </w:rPr>
        <w:t>客户侧年度价值 = 避免的现场派工 + 节省的数据清洗与排障工时 + 避免的错误更换 + 减少的误报警处置或服务违约 - 软件、集成与验证成本。</w:t>
      </w:r>
      <w:r>
        <w:rPr>
          <w:rFonts w:ascii="Times New Roman" w:hAnsi="Times New Roman" w:eastAsia="SimSun"/>
          <w:b w:val="0"/>
          <w:color w:val="000000"/>
          <w:sz w:val="21"/>
          <w:szCs w:val="21"/>
        </w:rPr>
        <w:t>试点付款门槛应同时包含技术与商业指标：根因判断准确率至少90%、错误自动动作必须为0，并证明每100个节点每年能少多少工时、派工和换件。</w:t>
      </w:r>
    </w:p>
    <w:p>
      <w:pPr>
        <w:spacing w:after="0"/>
      </w:pPr>
    </w:p>
    <w:p>
      <w:pPr>
        <w:pStyle w:val="Heading1"/>
      </w:pPr>
      <w:r>
        <w:rPr>
          <w:rFonts w:ascii="Times New Roman" w:hAnsi="Times New Roman" w:eastAsia="SimSun"/>
          <w:sz w:val="28"/>
          <w:szCs w:val="28"/>
        </w:rPr>
        <w:t>3. 竞品怎么判断故障</w:t>
      </w:r>
    </w:p>
    <w:tbl>
      <w:tblPr>
        <w:tblStyle w:val="TableGrid"/>
        <w:tblW w:type="dxa" w:w="9411"/>
        <w:tblLayout w:type="fixed"/>
        <w:tblLook w:firstColumn="1" w:firstRow="1" w:lastColumn="0" w:lastRow="0" w:noHBand="0" w:noVBand="1" w:val="04A0"/>
        <w:tblInd w:type="dxa" w:w="95"/>
      </w:tblPr>
      <w:tblGrid>
        <w:gridCol w:w="1757"/>
        <w:gridCol w:w="3515"/>
        <w:gridCol w:w="2268"/>
        <w:gridCol w:w="1871"/>
      </w:tblGrid>
      <w:tr>
        <w:trPr>
          <w:tblHeader w:val="true"/>
        </w:trPr>
        <w:tc>
          <w:tcPr>
            <w:tcW w:type="dxa" w:w="1757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公司/产品</w:t>
            </w:r>
          </w:p>
        </w:tc>
        <w:tc>
          <w:tcPr>
            <w:tcW w:type="dxa" w:w="3515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机理</w:t>
            </w:r>
          </w:p>
        </w:tc>
        <w:tc>
          <w:tcPr>
            <w:tcW w:type="dxa" w:w="2268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能做到什么</w:t>
            </w:r>
          </w:p>
        </w:tc>
        <w:tc>
          <w:tcPr>
            <w:tcW w:type="dxa" w:w="187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做不到什么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3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Campbell Scientific VSPECT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先激励振弦，再采集振动衰减波形；用傅里叶变换把时域信号转成频谱，从频谱峰值找共振频率，同时计算信号幅值、信噪比和干扰频率。</w:t>
            </w:r>
            <w:hyperlink r:id="rId3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机理说明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可把传感器响应与电噪声分开；频率分辨率由传统时域法约0.01赫兹提高到</w:t>
            </w:r>
            <w:hyperlink r:id="rId3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0.001赫兹</w:t>
              </w:r>
            </w:hyperlink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主要针对振弦传感器；不是跨传感器类型的根因诊断和自修复系统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19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Worldsensing G7振弦记录器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用振弦测量算法增强抗噪；检查传感器连通性；壳体内压力、温度和湿度用于发现密封或外壳问题；低功耗加速度计负责事件唤醒。</w:t>
            </w:r>
            <w:hyperlink r:id="rId19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官方技术页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可主动减噪、发现连接和外壳状态问题，并做事件触发测量</w:t>
            </w:r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公开资料没有说明会自动切换信道、调量程或根据复检结果迭代恢复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22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IBM Maximo Monitor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先做数据质量检查。异常模型可以用已标注的故障数据学习，也可以只学习正常数据的常见模式。部分模型把数据切成连续小窗口，再把新窗口与已有模式比较；无数据告警则根据最后一条数据的时间戳判断掉线。</w:t>
            </w:r>
            <w:hyperlink r:id="rId22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异常检测说明</w:t>
              </w:r>
            </w:hyperlink>
            <w:hyperlink r:id="rId32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滑动窗口机理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能发现缺数、平线、噪声、偏离预测值，并把告警推送成工单</w:t>
            </w:r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重点是数据与工作流；不会直接修改传感器量程、信道或供电状态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2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Bentley iTwin IoT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三类规则：传感器数值超过安全阈值、传感网络状态异常、两个指标不符合设定的线性或二次关系。</w:t>
            </w:r>
            <w:hyperlink r:id="rId21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产品资料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适合把多源数据、网络状态和告警放在数字孪生界面中统一管理</w:t>
            </w:r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本质是规则和可视化平台；公开资料没有物理根因诊断和自动恢复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26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Siemens Senseye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对设备时间序列和振动数据寻找异常、趋势、阈值越界、退化和历史故障相似模式；再把多个发现汇总成0到1的关注度评分。缺数和平线被单列为数据问题。</w:t>
            </w:r>
            <w:hyperlink r:id="rId26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官方术语与机理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能在大规模工业设备上做预测维护和问题优先级排序</w:t>
            </w:r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官网明确把缺数和平线当作数据问题，它们本身不会生成维护案例；也未说明传感器自动修复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33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学术界的数据重建方法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利用故障前的正常应变数据训练一种神经网络，再根据相邻测点和时间规律重建缺失数据。</w:t>
            </w:r>
            <w:hyperlink r:id="rId33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论文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可以补回缺失曲线，帮助后续分析继续运行</w:t>
            </w:r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修复的是数据，不是导致缺数的通信、供电或传感器问题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hyperlink r:id="rId28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南洋理工大学方案</w:t>
              </w:r>
            </w:hyperlink>
          </w:p>
        </w:tc>
        <w:tc>
          <w:tcPr>
            <w:tcW w:type="dxa" w:w="351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轻量模型先把异常分成7类；规则库再把异常映射到信道、量程/分辨率、供电、温度或安装等物理原因；执行动作后重新检测，直到恢复或升级处理。</w:t>
            </w:r>
            <w:hyperlink r:id="rId28">
              <w:r>
                <w:rPr>
                  <w:rFonts w:ascii="Times New Roman" w:hAnsi="Times New Roman" w:cs="Times New Roman" w:eastAsia="SimSun"/>
                  <w:color w:val="0563C1"/>
                  <w:sz w:val="17"/>
                  <w:szCs w:val="17"/>
                  <w:u w:val="single"/>
                </w:rPr>
                <w:t>论文</w:t>
              </w:r>
            </w:hyperlink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把异常检测、根因判断、系统动作和复检连成闭环，并部署在资源受限节点上</w:t>
            </w:r>
          </w:p>
        </w:tc>
        <w:tc>
          <w:tcPr>
            <w:tcW w:type="dxa" w:w="187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目前主要是实验验证；商业化前还要证明错误动作率、长期稳定性和安全边界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SimSun"/>
          <w:sz w:val="28"/>
          <w:szCs w:val="28"/>
        </w:rPr>
        <w:t>4. 我们的恢复机理</w:t>
      </w:r>
    </w:p>
    <w:tbl>
      <w:tblPr>
        <w:tblStyle w:val="TableGrid"/>
        <w:tblW w:type="dxa" w:w="9410"/>
        <w:tblLayout w:type="fixed"/>
        <w:tblLook w:firstColumn="1" w:firstRow="1" w:lastColumn="0" w:lastRow="0" w:noHBand="0" w:noVBand="1" w:val="04A0"/>
        <w:tblInd w:type="dxa" w:w="95"/>
      </w:tblPr>
      <w:tblGrid>
        <w:gridCol w:w="1814"/>
        <w:gridCol w:w="2494"/>
        <w:gridCol w:w="2551"/>
        <w:gridCol w:w="2551"/>
      </w:tblGrid>
      <w:tr>
        <w:trPr>
          <w:tblHeader w:val="true"/>
        </w:trPr>
        <w:tc>
          <w:tcPr>
            <w:tcW w:type="dxa" w:w="1814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看到的数据异常</w:t>
            </w:r>
          </w:p>
        </w:tc>
        <w:tc>
          <w:tcPr>
            <w:tcW w:type="dxa" w:w="2494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系统先怀疑什么</w:t>
            </w:r>
          </w:p>
        </w:tc>
        <w:tc>
          <w:tcPr>
            <w:tcW w:type="dxa" w:w="255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可执行动作</w:t>
            </w:r>
          </w:p>
        </w:tc>
        <w:tc>
          <w:tcPr>
            <w:tcW w:type="dxa" w:w="2551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动作后的检查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数据缺失或长时间不变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无线信道、连接或节点掉线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切换可用信道；重新建立通信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确认数据流恢复且采样率正常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微小变化看不出来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量程过宽、分辨率不足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缩小量程或调整采集配置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确认噪声没有被同时放大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波形削顶或呈方波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信号超出量程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增大量程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确认峰值完整且未再次饱和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离群值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温度突变、供电波动、接触或电噪声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读取辅助温度/电压，再选择补偿、重测或告警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复测并比较异常是否消失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持续趋势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温度效应或真实缓慢变化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先做温度补偿；保留原始数据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补偿后仍有趋势则交给结构分析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漂移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电池或充电状态异常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调整工作模式并发出维护提醒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检查电压是否稳定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整体偏置</w:t>
            </w:r>
          </w:p>
        </w:tc>
        <w:tc>
          <w:tcPr>
            <w:tcW w:type="dxa" w:w="2494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安装旋转、零点或供电偏差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姿态/电压检查和零点校正</w:t>
            </w:r>
          </w:p>
        </w:tc>
        <w:tc>
          <w:tcPr>
            <w:tcW w:type="dxa" w:w="2551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确认校正后基线恢复</w:t>
            </w:r>
          </w:p>
        </w:tc>
      </w:tr>
    </w:tbl>
    <w:p>
      <w:pPr>
        <w:spacing w:after="0"/>
      </w:pPr>
    </w:p>
    <w:p>
      <w:pPr>
        <w:pStyle w:val="EvidenceNote"/>
      </w:pPr>
      <w:r>
        <w:rPr>
          <w:rFonts w:ascii="Times New Roman" w:hAnsi="Times New Roman" w:cs="Times New Roman" w:eastAsia="SimSun"/>
          <w:color w:val="000000"/>
          <w:sz w:val="18"/>
          <w:szCs w:val="18"/>
        </w:rPr>
        <w:t>这张表来自</w:t>
      </w:r>
      <w:hyperlink r:id="rId28">
        <w:r>
          <w:rPr>
            <w:rFonts w:ascii="Times New Roman" w:hAnsi="Times New Roman" w:cs="Times New Roman" w:eastAsia="SimSun"/>
            <w:color w:val="0563C1"/>
            <w:sz w:val="18"/>
            <w:szCs w:val="18"/>
            <w:u w:val="single"/>
          </w:rPr>
          <w:t>项目论文的异常—根因—恢复映射</w:t>
        </w:r>
      </w:hyperlink>
      <w:r>
        <w:rPr>
          <w:rFonts w:ascii="Times New Roman" w:hAnsi="Times New Roman" w:cs="Times New Roman" w:eastAsia="SimSun"/>
          <w:color w:val="000000"/>
          <w:sz w:val="18"/>
          <w:szCs w:val="18"/>
        </w:rPr>
        <w:t>。产品化时必须把动作分为“可自动执行”“需要人工批准”“只能告警”三类，不能让算法无边界地改传感器设置。</w:t>
      </w:r>
    </w:p>
    <w:p>
      <w:pPr>
        <w:pStyle w:val="Heading1"/>
      </w:pPr>
      <w:r>
        <w:rPr>
          <w:rFonts w:ascii="Times New Roman" w:hAnsi="Times New Roman" w:eastAsia="SimSun"/>
          <w:sz w:val="28"/>
          <w:szCs w:val="28"/>
        </w:rPr>
        <w:t>5. 市场份额怎么说</w:t>
      </w:r>
    </w:p>
    <w:p>
      <w:pPr>
        <w:pStyle w:val="ListBullet"/>
        <w:ind w:left="340" w:hanging="170"/>
      </w:pPr>
      <w:r>
        <w:rPr>
          <w:rFonts w:ascii="Times New Roman" w:hAnsi="Times New Roman" w:cs="Times New Roman" w:eastAsia="SimSun"/>
          <w:color w:val="000000"/>
          <w:sz w:val="21"/>
          <w:szCs w:val="21"/>
        </w:rPr>
        <w:t>公开资料没有把“传感器自主诊断与修复”作为独立市场，因此也没有Campbell、IBM、Bentley或Siemens在这个窄品类中的可核验份额。</w:t>
      </w:r>
    </w:p>
    <w:p>
      <w:pPr>
        <w:pStyle w:val="ListBullet"/>
        <w:ind w:left="340" w:hanging="170"/>
      </w:pPr>
      <w:r>
        <w:rPr>
          <w:rFonts w:ascii="Times New Roman" w:hAnsi="Times New Roman" w:cs="Times New Roman" w:eastAsia="SimSun"/>
          <w:color w:val="000000"/>
          <w:sz w:val="21"/>
          <w:szCs w:val="21"/>
        </w:rPr>
        <w:t>不能拿整个预测性维护市场的公司排名来代替本项目份额，因为其主要对象是电机、泵和生产线，不是长期无线结构监测。</w:t>
      </w:r>
    </w:p>
    <w:p>
      <w:pPr>
        <w:pStyle w:val="ListBullet"/>
        <w:ind w:left="340" w:hanging="170"/>
      </w:pPr>
      <w:r>
        <w:rPr>
          <w:rFonts w:ascii="Times New Roman" w:hAnsi="Times New Roman" w:cs="Times New Roman" w:eastAsia="SimSun"/>
          <w:color w:val="000000"/>
          <w:sz w:val="21"/>
          <w:szCs w:val="21"/>
        </w:rPr>
        <w:t>可以比较产品覆盖层级：Campbell强在振弦测量质量；IBM/Bentley强在平台和告警；Siemens强在工业设备预测维护；你们的差异是端侧物理根因诊断和闭环恢复。</w:t>
      </w:r>
    </w:p>
    <w:p>
      <w:pPr>
        <w:pStyle w:val="Heading1"/>
      </w:pPr>
      <w:r>
        <w:rPr>
          <w:rFonts w:ascii="Times New Roman" w:hAnsi="Times New Roman" w:eastAsia="SimSun"/>
          <w:sz w:val="28"/>
          <w:szCs w:val="28"/>
        </w:rPr>
        <w:t>6. 下一步市场调研</w:t>
      </w:r>
    </w:p>
    <w:tbl>
      <w:tblPr>
        <w:tblStyle w:val="TableGrid"/>
        <w:tblW w:type="dxa" w:w="9411"/>
        <w:tblLayout w:type="fixed"/>
        <w:tblLook w:firstColumn="1" w:firstRow="1" w:lastColumn="0" w:lastRow="0" w:noHBand="0" w:noVBand="1" w:val="04A0"/>
        <w:tblInd w:type="dxa" w:w="95"/>
      </w:tblPr>
      <w:tblGrid>
        <w:gridCol w:w="850"/>
        <w:gridCol w:w="3118"/>
        <w:gridCol w:w="3175"/>
        <w:gridCol w:w="2268"/>
      </w:tblGrid>
      <w:tr>
        <w:trPr>
          <w:tblHeader w:val="true"/>
        </w:trPr>
        <w:tc>
          <w:tcPr>
            <w:tcW w:type="dxa" w:w="850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时间</w:t>
            </w:r>
          </w:p>
        </w:tc>
        <w:tc>
          <w:tcPr>
            <w:tcW w:type="dxa" w:w="3118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要问/要测什么</w:t>
            </w:r>
          </w:p>
        </w:tc>
        <w:tc>
          <w:tcPr>
            <w:tcW w:type="dxa" w:w="3175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关键数字</w:t>
            </w:r>
          </w:p>
        </w:tc>
        <w:tc>
          <w:tcPr>
            <w:tcW w:type="dxa" w:w="2268"/>
            <w:shd w:val="clear" w:color="auto" w:fill="0000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b/>
                <w:color w:val="FFFFFF"/>
                <w:sz w:val="17"/>
                <w:szCs w:val="17"/>
              </w:rPr>
              <w:t>继续标准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第1周</w:t>
            </w:r>
          </w:p>
        </w:tc>
        <w:tc>
          <w:tcPr>
            <w:tcW w:type="dxa" w:w="311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建立20个目标账号名单；整理最近一年传感器故障记录</w:t>
            </w:r>
          </w:p>
        </w:tc>
        <w:tc>
          <w:tcPr>
            <w:tcW w:type="dxa" w:w="317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节点数、故障类型、故障频率、平均修复时间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至少5个账号有长期无线监测网络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第2周</w:t>
            </w:r>
          </w:p>
        </w:tc>
        <w:tc>
          <w:tcPr>
            <w:tcW w:type="dxa" w:w="311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访谈业主、集成商、设备厂商和数据分析人员，不少于10次</w:t>
            </w:r>
          </w:p>
        </w:tc>
        <w:tc>
          <w:tcPr>
            <w:tcW w:type="dxa" w:w="317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一次现场派工成本、人工清洗时间、误报造成的停工/检查成本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至少4家每月都要处理数据故障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第3周</w:t>
            </w:r>
          </w:p>
        </w:tc>
        <w:tc>
          <w:tcPr>
            <w:tcW w:type="dxa" w:w="311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盲测单一故障和组合故障；限制自动动作权限</w:t>
            </w:r>
          </w:p>
        </w:tc>
        <w:tc>
          <w:tcPr>
            <w:tcW w:type="dxa" w:w="317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根因判断准确率、恢复成功率、平均修复时间、错误动作数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根因判断≥90%；错误动作必须为0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第4周</w:t>
            </w:r>
          </w:p>
        </w:tc>
        <w:tc>
          <w:tcPr>
            <w:tcW w:type="dxa" w:w="311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给两家客户提交带价格的试点方案</w:t>
            </w:r>
          </w:p>
        </w:tc>
        <w:tc>
          <w:tcPr>
            <w:tcW w:type="dxa" w:w="3175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站点许可费或节点年费、客户可接受的部署范围</w:t>
            </w:r>
          </w:p>
        </w:tc>
        <w:tc>
          <w:tcPr>
            <w:tcW w:type="dxa" w:w="2268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Times New Roman" w:hAnsi="Times New Roman" w:cs="Times New Roman" w:eastAsia="SimSun"/>
                <w:color w:val="000000"/>
                <w:sz w:val="17"/>
                <w:szCs w:val="17"/>
              </w:rPr>
              <w:t>至少1份付费或成本共担的合作意向书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29"/>
      <w:footerReference w:type="first" r:id="rId30"/>
      <w:pgSz w:w="11906" w:h="16838"/>
      <w:pgMar w:top="964" w:right="1020" w:bottom="907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cs="Times New Roman" w:eastAsia="SimSun"/>
        <w:color w:val="000000"/>
        <w:sz w:val="17"/>
        <w:szCs w:val="17"/>
      </w:rPr>
      <w:t>NTUitive GAP Fund | 市场调研简报 | 2026-08-21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SimSun" w:cs="Times New Roman"/>
        <w:b/>
        <w:i w:val="0"/>
        <w:color w:val="000000"/>
        <w:sz w:val="17"/>
        <w:szCs w:val="17"/>
      </w:rPr>
      <w:t>传感器自主诊断与修复市场研究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Times New Roman" w:hAnsi="Times New Roman" w:eastAsia="SimSun" w:cs="Times New Roman"/>
      <w:b w:val="0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rFonts w:ascii="Times New Roman" w:hAnsi="Times New Roman" w:eastAsia="SimSu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="Times New Roman" w:hAnsi="Times New Roman" w:eastAsia="SimSu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SimSun" w:cs="Times New Roman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="Times New Roman" w:hAnsi="Times New Roman" w:eastAsia="SimSun" w:cs="Times New Roman"/>
      <w:b/>
      <w:color w:val="000000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52" w:lineRule="auto"/>
    </w:pPr>
    <w:rPr>
      <w:rFonts w:ascii="Times New Roman" w:hAnsi="Times New Roman" w:eastAsia="SimSun" w:cs="Times New Roman"/>
      <w:b w:val="0"/>
      <w:i/>
      <w:iCs/>
      <w:color w:val="000000"/>
      <w:spacing w:val="15"/>
      <w:sz w:val="23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720" w:hanging="360"/>
      <w:contextualSpacing/>
    </w:pPr>
    <w:rPr>
      <w:rFonts w:ascii="Times New Roman" w:hAnsi="Times New Roman" w:eastAsia="SimSun" w:cs="Times New Roman"/>
      <w:b w:val="0"/>
      <w:color w:val="000000"/>
      <w:sz w:val="21"/>
      <w:szCs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720" w:hanging="360"/>
      <w:contextualSpacing/>
    </w:pPr>
    <w:rPr>
      <w:rFonts w:ascii="Times New Roman" w:hAnsi="Times New Roman" w:eastAsia="SimSun" w:cs="Times New Roman"/>
      <w:b w:val="0"/>
      <w:color w:val="000000"/>
      <w:sz w:val="21"/>
      <w:szCs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80" w:line="252" w:lineRule="auto"/>
      <w:ind w:left="142" w:right="142"/>
    </w:pPr>
    <w:rPr>
      <w:rFonts w:ascii="Times New Roman" w:hAnsi="Times New Roman" w:eastAsia="SimSun" w:cs="Times New Roman"/>
      <w:b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marcgroup.com/structural-health-monitoring-market" TargetMode="External"/><Relationship Id="rId12" Type="http://schemas.openxmlformats.org/officeDocument/2006/relationships/hyperlink" Target="https://www.grandviewresearch.com/industry-analysis/structural-health-monitoring-shm-market" TargetMode="External"/><Relationship Id="rId13" Type="http://schemas.openxmlformats.org/officeDocument/2006/relationships/hyperlink" Target="https://www.fortunebusinessinsights.com/structural-health-monitoring-market-112921" TargetMode="External"/><Relationship Id="rId14" Type="http://schemas.openxmlformats.org/officeDocument/2006/relationships/hyperlink" Target="https://www.futuremarketinsights.com/reports/condition-monitoring-system-market" TargetMode="External"/><Relationship Id="rId15" Type="http://schemas.openxmlformats.org/officeDocument/2006/relationships/hyperlink" Target="https://www.marketresearch.com/Expert-Market-Research-v4220/Condition-Monitoring-Equipment-Size-Share-45374434/" TargetMode="External"/><Relationship Id="rId16" Type="http://schemas.openxmlformats.org/officeDocument/2006/relationships/hyperlink" Target="https://www.fortunebusinessinsights.com/iot-analytics-market-114206" TargetMode="External"/><Relationship Id="rId17" Type="http://schemas.openxmlformats.org/officeDocument/2006/relationships/hyperlink" Target="https://www.campbellsci.com/vspect" TargetMode="External"/><Relationship Id="rId18" Type="http://schemas.openxmlformats.org/officeDocument/2006/relationships/hyperlink" Target="https://www.campbellsci.com/structural-health-monitoring" TargetMode="External"/><Relationship Id="rId19" Type="http://schemas.openxmlformats.org/officeDocument/2006/relationships/hyperlink" Target="https://www.worldsensing.com/product/vibrating-wire-data-acquisition/" TargetMode="External"/><Relationship Id="rId20" Type="http://schemas.openxmlformats.org/officeDocument/2006/relationships/hyperlink" Target="https://www.worldsensing.com/" TargetMode="External"/><Relationship Id="rId21" Type="http://schemas.openxmlformats.org/officeDocument/2006/relationships/hyperlink" Target="https://ja.bentley.com/wp-content/uploads/pds-itwin-iot-ltr-en-lr.pdf" TargetMode="External"/><Relationship Id="rId22" Type="http://schemas.openxmlformats.org/officeDocument/2006/relationships/hyperlink" Target="https://www.ibm.com/docs/en/masv-and-l/maximo-monitor/cd?topic=data-detecting-anomalies" TargetMode="External"/><Relationship Id="rId23" Type="http://schemas.openxmlformats.org/officeDocument/2006/relationships/hyperlink" Target="https://www.siemens.com/en-gb/products/industrial-digitalization-services/senseye-cloud-application/" TargetMode="External"/><Relationship Id="rId24" Type="http://schemas.openxmlformats.org/officeDocument/2006/relationships/hyperlink" Target="Project source: Reference/sensor-fault.pdf" TargetMode="External"/><Relationship Id="rId25" Type="http://schemas.openxmlformats.org/officeDocument/2006/relationships/hyperlink" Target="https://www.fortunebusinessinsights.com/iot-sensors-market-114092" TargetMode="External"/><Relationship Id="rId26" Type="http://schemas.openxmlformats.org/officeDocument/2006/relationships/hyperlink" Target="https://developer.siemens.com/senseye/introduction/terminology.html" TargetMode="External"/><Relationship Id="rId27" Type="http://schemas.openxmlformats.org/officeDocument/2006/relationships/hyperlink" Target="https://www.dex.siemens.com/senseye-predictive-maintenance?cclcl=en_GB" TargetMode="External"/><Relationship Id="rId28" Type="http://schemas.openxmlformats.org/officeDocument/2006/relationships/hyperlink" Target="https://doi.org/10.1016/j.measurement.2025.119994" TargetMode="External"/><Relationship Id="rId29" Type="http://schemas.openxmlformats.org/officeDocument/2006/relationships/header" Target="header2.xml"/><Relationship Id="rId30" Type="http://schemas.openxmlformats.org/officeDocument/2006/relationships/footer" Target="footer2.xml"/><Relationship Id="rId31" Type="http://schemas.openxmlformats.org/officeDocument/2006/relationships/hyperlink" Target="https://www.campbellsci.com/vspect/spectral-analysis" TargetMode="External"/><Relationship Id="rId32" Type="http://schemas.openxmlformats.org/officeDocument/2006/relationships/hyperlink" Target="https://www.ibm.com/docs/en/masv-and-l/maximo-monitor/cd?topic=detectors-window-size-scheduling-frequency" TargetMode="External"/><Relationship Id="rId33" Type="http://schemas.openxmlformats.org/officeDocument/2006/relationships/hyperlink" Target="https://doi.org/10.1177/1475921719897571" TargetMode="External"/><Relationship Id="rId34" Type="http://schemas.openxmlformats.org/officeDocument/2006/relationships/hyperlink" Target="https://www.ibm.com/case-studies/ellevio" TargetMode="External"/><Relationship Id="rId35" Type="http://schemas.openxmlformats.org/officeDocument/2006/relationships/hyperlink" Target="https://references.siemens.com/en/reference/33433?id=33433" TargetMode="External"/><Relationship Id="rId36" Type="http://schemas.openxmlformats.org/officeDocument/2006/relationships/hyperlink" Target="https://blog.siemens.com/2023/10/magnify-transforming-operational-efficiency-for-a-global-steel-producer-with-senseye-predictive-maintenance/" TargetMode="External"/><Relationship Id="rId37" Type="http://schemas.openxmlformats.org/officeDocument/2006/relationships/hyperlink" Target="https://journals.sagepub.com/doi/pdf/10.1177/1475921712462936" TargetMode="External"/><Relationship Id="rId38" Type="http://schemas.openxmlformats.org/officeDocument/2006/relationships/hyperlink" Target="https://www.sciencedirect.com/science/article/pii/S0263224125033536" TargetMode="External"/><Relationship Id="rId39" Type="http://schemas.openxmlformats.org/officeDocument/2006/relationships/hyperlink" Target="https://www.sciencedirect.com/science/article/pii/S0263224117303718" TargetMode="External"/><Relationship Id="rId40" Type="http://schemas.openxmlformats.org/officeDocument/2006/relationships/hyperlink" Target="https://ira.lib.polyu.edu.hk/handle/10397/1056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自主诊断与修复_市场与竞争调研</dc:title>
  <dc:subject>Quantitative market and competitive brief for autonomous sensor diagnosis and recovery</dc:subject>
  <dc:creator>NTU GAP Fund project team</dc:creator>
  <cp:keywords>market research, structural health monitoring, edge intelligence</cp:keywords>
  <dc:description>generated by python-docx</dc:description>
  <cp:lastModifiedBy/>
  <cp:revision>1</cp:revision>
  <dcterms:created xsi:type="dcterms:W3CDTF">2026-08-21T00:00:00Z</dcterms:created>
  <dcterms:modified xsi:type="dcterms:W3CDTF">2013-12-23T23:15:00Z</dcterms:modified>
  <cp:category/>
</cp:coreProperties>
</file>