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CB883" w14:textId="77777777" w:rsidR="00AC318E" w:rsidRPr="004B30EA" w:rsidRDefault="00AC318E" w:rsidP="00F84C77">
      <w:pPr>
        <w:spacing w:after="200"/>
        <w:jc w:val="both"/>
      </w:pPr>
      <w:r w:rsidRPr="004B30EA">
        <w:rPr>
          <w:b/>
          <w:sz w:val="22"/>
        </w:rPr>
        <w:t xml:space="preserve">Kindly fill in the following sections and submit the completed form to NTUitive via email </w:t>
      </w:r>
      <w:hyperlink r:id="rId8" w:history="1">
        <w:r w:rsidR="00053CD9" w:rsidRPr="00210800">
          <w:rPr>
            <w:rStyle w:val="Hyperlink"/>
          </w:rPr>
          <w:t>gap_fund@ntu.edu.sg</w:t>
        </w:r>
      </w:hyperlink>
    </w:p>
    <w:p w14:paraId="7A5F6183" w14:textId="77777777" w:rsidR="00AC318E" w:rsidRPr="004B30EA" w:rsidRDefault="00AC318E" w:rsidP="00AC318E"/>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6462"/>
      </w:tblGrid>
      <w:tr w:rsidR="00AC318E" w:rsidRPr="004B30EA" w14:paraId="0AF2729D" w14:textId="77777777" w:rsidTr="00AD5A81">
        <w:trPr>
          <w:trHeight w:val="398"/>
        </w:trPr>
        <w:tc>
          <w:tcPr>
            <w:tcW w:w="3114" w:type="dxa"/>
            <w:tcBorders>
              <w:bottom w:val="single" w:sz="4" w:space="0" w:color="auto"/>
            </w:tcBorders>
            <w:vAlign w:val="center"/>
          </w:tcPr>
          <w:p w14:paraId="382CDC52" w14:textId="77777777" w:rsidR="00AC318E" w:rsidRPr="004B30EA" w:rsidRDefault="00E4627E" w:rsidP="00352D26">
            <w:pPr>
              <w:widowControl w:val="0"/>
              <w:rPr>
                <w:b/>
              </w:rPr>
            </w:pPr>
            <w:r w:rsidRPr="004B30EA">
              <w:rPr>
                <w:b/>
              </w:rPr>
              <w:t>Project Title</w:t>
            </w:r>
            <w:r w:rsidR="00AC318E" w:rsidRPr="004B30EA">
              <w:rPr>
                <w:b/>
              </w:rPr>
              <w:t>:</w:t>
            </w:r>
          </w:p>
        </w:tc>
        <w:tc>
          <w:tcPr>
            <w:tcW w:w="6462" w:type="dxa"/>
            <w:tcBorders>
              <w:bottom w:val="single" w:sz="4" w:space="0" w:color="auto"/>
            </w:tcBorders>
            <w:vAlign w:val="center"/>
          </w:tcPr>
          <w:p>
            <w:pPr>
              <w:spacing w:after="60"/>
              <w:jc w:val="left"/>
            </w:pPr>
            <w:r/>
            <w:r>
              <w:rPr>
                <w:b w:val="0"/>
                <w:sz w:val="22"/>
              </w:rPr>
              <w:t>CatchWise: Edge-AI Event &amp; Anomaly Capture for Monitoring Systems</w:t>
            </w:r>
          </w:p>
        </w:tc>
      </w:tr>
      <w:tr w:rsidR="00AC318E" w:rsidRPr="004B30EA" w14:paraId="039059C5" w14:textId="77777777" w:rsidTr="00AD5A81">
        <w:trPr>
          <w:trHeight w:val="398"/>
        </w:trPr>
        <w:tc>
          <w:tcPr>
            <w:tcW w:w="3114" w:type="dxa"/>
            <w:tcBorders>
              <w:bottom w:val="nil"/>
            </w:tcBorders>
            <w:vAlign w:val="center"/>
          </w:tcPr>
          <w:p w14:paraId="1223AAA8" w14:textId="77777777" w:rsidR="00AC318E" w:rsidRPr="004B30EA" w:rsidRDefault="00AC318E" w:rsidP="00AC318E">
            <w:pPr>
              <w:widowControl w:val="0"/>
              <w:rPr>
                <w:sz w:val="22"/>
                <w:szCs w:val="22"/>
              </w:rPr>
            </w:pPr>
            <w:r w:rsidRPr="004B30EA">
              <w:rPr>
                <w:szCs w:val="22"/>
              </w:rPr>
              <w:t>Name of Lead PI:</w:t>
            </w:r>
          </w:p>
        </w:tc>
        <w:tc>
          <w:tcPr>
            <w:tcW w:w="6462" w:type="dxa"/>
            <w:tcBorders>
              <w:bottom w:val="nil"/>
            </w:tcBorders>
            <w:vAlign w:val="center"/>
          </w:tcPr>
          <w:p w14:paraId="7D56BCA7" w14:textId="77777777" w:rsidR="00AC318E" w:rsidRPr="004B30EA" w:rsidRDefault="00AC318E" w:rsidP="00352D26">
            <w:pPr>
              <w:widowControl w:val="0"/>
              <w:rPr>
                <w:b/>
                <w:sz w:val="22"/>
                <w:szCs w:val="22"/>
              </w:rPr>
            </w:pPr>
            <w:r>
              <w:t>Fu Yuguang</w:t>
            </w:r>
          </w:p>
        </w:tc>
      </w:tr>
      <w:tr w:rsidR="00AC318E" w:rsidRPr="004B30EA" w14:paraId="083D4E81" w14:textId="77777777" w:rsidTr="00AD5A81">
        <w:trPr>
          <w:trHeight w:val="398"/>
        </w:trPr>
        <w:tc>
          <w:tcPr>
            <w:tcW w:w="3114" w:type="dxa"/>
            <w:tcBorders>
              <w:top w:val="nil"/>
              <w:bottom w:val="nil"/>
            </w:tcBorders>
            <w:vAlign w:val="center"/>
          </w:tcPr>
          <w:p w14:paraId="53D07ADC" w14:textId="77777777" w:rsidR="00AC318E" w:rsidRPr="004B30EA" w:rsidRDefault="00AC318E" w:rsidP="00AC318E">
            <w:pPr>
              <w:widowControl w:val="0"/>
              <w:rPr>
                <w:sz w:val="22"/>
                <w:szCs w:val="22"/>
              </w:rPr>
            </w:pPr>
            <w:r w:rsidRPr="004B30EA">
              <w:rPr>
                <w:szCs w:val="22"/>
              </w:rPr>
              <w:t>School/Institute:</w:t>
            </w:r>
          </w:p>
        </w:tc>
        <w:tc>
          <w:tcPr>
            <w:tcW w:w="6462" w:type="dxa"/>
            <w:tcBorders>
              <w:top w:val="nil"/>
              <w:bottom w:val="nil"/>
            </w:tcBorders>
            <w:vAlign w:val="center"/>
          </w:tcPr>
          <w:p w14:paraId="00062EC8" w14:textId="77777777" w:rsidR="00AC318E" w:rsidRPr="004B30EA" w:rsidRDefault="00AC318E" w:rsidP="00352D26">
            <w:pPr>
              <w:widowControl w:val="0"/>
              <w:rPr>
                <w:b/>
                <w:sz w:val="22"/>
                <w:szCs w:val="22"/>
              </w:rPr>
            </w:pPr>
            <w:r>
              <w:t>School of Civil and Environmental Engineering</w:t>
            </w:r>
          </w:p>
        </w:tc>
      </w:tr>
      <w:tr w:rsidR="00AC318E" w:rsidRPr="004B30EA" w14:paraId="1002818E" w14:textId="77777777" w:rsidTr="00AD5A81">
        <w:trPr>
          <w:trHeight w:val="398"/>
        </w:trPr>
        <w:tc>
          <w:tcPr>
            <w:tcW w:w="3114" w:type="dxa"/>
            <w:tcBorders>
              <w:top w:val="nil"/>
              <w:bottom w:val="nil"/>
            </w:tcBorders>
            <w:vAlign w:val="center"/>
          </w:tcPr>
          <w:p w14:paraId="32F965E9" w14:textId="77777777" w:rsidR="00AC318E" w:rsidRPr="004B30EA" w:rsidRDefault="00AC318E" w:rsidP="00352D26">
            <w:pPr>
              <w:widowControl w:val="0"/>
              <w:rPr>
                <w:sz w:val="22"/>
                <w:szCs w:val="22"/>
              </w:rPr>
            </w:pPr>
            <w:r w:rsidRPr="004B30EA">
              <w:rPr>
                <w:szCs w:val="22"/>
              </w:rPr>
              <w:t>Email:</w:t>
            </w:r>
          </w:p>
        </w:tc>
        <w:tc>
          <w:tcPr>
            <w:tcW w:w="6462" w:type="dxa"/>
            <w:tcBorders>
              <w:top w:val="nil"/>
              <w:bottom w:val="nil"/>
            </w:tcBorders>
            <w:vAlign w:val="center"/>
          </w:tcPr>
          <w:p w14:paraId="24C761E0" w14:textId="77777777" w:rsidR="00AC318E" w:rsidRPr="004B30EA" w:rsidRDefault="00AC318E" w:rsidP="00352D26">
            <w:pPr>
              <w:widowControl w:val="0"/>
              <w:rPr>
                <w:sz w:val="22"/>
                <w:szCs w:val="22"/>
              </w:rPr>
            </w:pPr>
            <w:r>
              <w:t>yuguang.fu@ntu.edu.sg</w:t>
            </w:r>
          </w:p>
        </w:tc>
      </w:tr>
      <w:tr w:rsidR="00AC318E" w:rsidRPr="004B30EA" w14:paraId="4D28D40C" w14:textId="77777777" w:rsidTr="00AD5A81">
        <w:trPr>
          <w:trHeight w:val="398"/>
        </w:trPr>
        <w:tc>
          <w:tcPr>
            <w:tcW w:w="3114" w:type="dxa"/>
            <w:tcBorders>
              <w:top w:val="nil"/>
            </w:tcBorders>
            <w:vAlign w:val="center"/>
          </w:tcPr>
          <w:p w14:paraId="4B30DA62" w14:textId="77777777" w:rsidR="00AC318E" w:rsidRPr="004B30EA" w:rsidRDefault="00C85B29" w:rsidP="00AC318E">
            <w:pPr>
              <w:widowControl w:val="0"/>
              <w:rPr>
                <w:sz w:val="22"/>
                <w:szCs w:val="22"/>
              </w:rPr>
            </w:pPr>
            <w:r>
              <w:rPr>
                <w:szCs w:val="22"/>
              </w:rPr>
              <w:t>Contact number</w:t>
            </w:r>
            <w:r w:rsidR="00AC318E" w:rsidRPr="004B30EA">
              <w:rPr>
                <w:szCs w:val="22"/>
              </w:rPr>
              <w:t>:</w:t>
            </w:r>
          </w:p>
        </w:tc>
        <w:tc>
          <w:tcPr>
            <w:tcW w:w="6462" w:type="dxa"/>
            <w:tcBorders>
              <w:top w:val="nil"/>
            </w:tcBorders>
            <w:vAlign w:val="center"/>
          </w:tcPr>
          <w:p w14:paraId="2C36CB7A" w14:textId="77777777" w:rsidR="00AC318E" w:rsidRPr="004B30EA" w:rsidRDefault="00AC318E" w:rsidP="00352D26">
            <w:pPr>
              <w:widowControl w:val="0"/>
              <w:rPr>
                <w:sz w:val="22"/>
                <w:szCs w:val="22"/>
              </w:rPr>
            </w:pPr>
            <w:r>
              <w:t>+65 67905298</w:t>
            </w:r>
          </w:p>
        </w:tc>
      </w:tr>
      <w:tr w:rsidR="00AD5A81" w:rsidRPr="004B30EA" w14:paraId="0781D5EC" w14:textId="77777777" w:rsidTr="00AD5A81">
        <w:trPr>
          <w:trHeight w:val="303"/>
        </w:trPr>
        <w:tc>
          <w:tcPr>
            <w:tcW w:w="3114" w:type="dxa"/>
            <w:tcBorders>
              <w:top w:val="nil"/>
            </w:tcBorders>
            <w:vAlign w:val="center"/>
          </w:tcPr>
          <w:p w14:paraId="325BAA33" w14:textId="77777777" w:rsidR="00AD5A81" w:rsidRPr="004B30EA" w:rsidRDefault="00AD5A81" w:rsidP="00AC318E">
            <w:pPr>
              <w:widowControl w:val="0"/>
              <w:rPr>
                <w:sz w:val="22"/>
                <w:szCs w:val="22"/>
              </w:rPr>
            </w:pPr>
            <w:r>
              <w:rPr>
                <w:szCs w:val="22"/>
              </w:rPr>
              <w:t>Name of Co-PI (if any)</w:t>
            </w:r>
          </w:p>
        </w:tc>
        <w:tc>
          <w:tcPr>
            <w:tcW w:w="6462" w:type="dxa"/>
            <w:tcBorders>
              <w:top w:val="nil"/>
            </w:tcBorders>
            <w:vAlign w:val="center"/>
          </w:tcPr>
          <w:p w14:paraId="019D3834" w14:textId="77777777" w:rsidR="00AD5A81" w:rsidRPr="004B30EA" w:rsidRDefault="00AD5A81" w:rsidP="00352D26">
            <w:pPr>
              <w:widowControl w:val="0"/>
              <w:rPr>
                <w:sz w:val="22"/>
                <w:szCs w:val="22"/>
              </w:rPr>
            </w:pPr>
            <w:r>
              <w:t>None</w:t>
            </w:r>
          </w:p>
        </w:tc>
      </w:tr>
      <w:tr w:rsidR="001338B9" w:rsidRPr="004B30EA" w14:paraId="7099365E" w14:textId="77777777" w:rsidTr="00AD5A81">
        <w:trPr>
          <w:trHeight w:val="323"/>
        </w:trPr>
        <w:tc>
          <w:tcPr>
            <w:tcW w:w="3114" w:type="dxa"/>
            <w:vAlign w:val="center"/>
          </w:tcPr>
          <w:p w14:paraId="1AF8669A" w14:textId="77777777" w:rsidR="001338B9" w:rsidRPr="004B30EA" w:rsidRDefault="001338B9" w:rsidP="00AD5A81">
            <w:pPr>
              <w:widowControl w:val="0"/>
              <w:rPr>
                <w:sz w:val="22"/>
                <w:szCs w:val="22"/>
              </w:rPr>
            </w:pPr>
            <w:r w:rsidRPr="004B30EA">
              <w:rPr>
                <w:szCs w:val="22"/>
              </w:rPr>
              <w:t>Other Team Members (if any)</w:t>
            </w:r>
          </w:p>
        </w:tc>
        <w:tc>
          <w:tcPr>
            <w:tcW w:w="6462" w:type="dxa"/>
            <w:vAlign w:val="center"/>
          </w:tcPr>
          <w:p w14:paraId="4684D2D6" w14:textId="77777777" w:rsidR="001338B9" w:rsidRPr="004B30EA" w:rsidRDefault="001338B9" w:rsidP="00352D26">
            <w:pPr>
              <w:widowControl w:val="0"/>
              <w:rPr>
                <w:sz w:val="22"/>
                <w:szCs w:val="22"/>
              </w:rPr>
            </w:pPr>
            <w:r>
              <w:t>Li Jianfeng, Cui Shuaiwen</w:t>
            </w:r>
          </w:p>
        </w:tc>
      </w:tr>
    </w:tbl>
    <w:p w14:paraId="40C79568" w14:textId="77777777" w:rsidR="00AC318E" w:rsidRPr="004B30EA" w:rsidRDefault="00AC318E" w:rsidP="000227C1">
      <w:pPr>
        <w:pStyle w:val="Title"/>
        <w:spacing w:before="0"/>
        <w:jc w:val="left"/>
        <w:rPr>
          <w:sz w:val="22"/>
          <w:szCs w:val="22"/>
        </w:rPr>
      </w:pPr>
    </w:p>
    <w:p w14:paraId="43BB87EE" w14:textId="77777777" w:rsidR="00AC318E" w:rsidRPr="004B30EA" w:rsidRDefault="00AC318E" w:rsidP="00AC318E">
      <w:pPr>
        <w:rPr>
          <w:vanish/>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576"/>
      </w:tblGrid>
      <w:tr w:rsidR="00AC318E" w:rsidRPr="004B30EA" w14:paraId="0785828E" w14:textId="77777777" w:rsidTr="00352D26">
        <w:tc>
          <w:tcPr>
            <w:tcW w:w="9576" w:type="dxa"/>
          </w:tcPr>
          <w:p w14:paraId="0C5A8470" w14:textId="77777777" w:rsidR="00AC318E" w:rsidRPr="004B30EA" w:rsidRDefault="00AC318E" w:rsidP="00352D26">
            <w:pPr>
              <w:widowControl w:val="0"/>
            </w:pPr>
            <w:r w:rsidRPr="004B30EA">
              <w:t>Kindly check where applicable</w:t>
            </w:r>
          </w:p>
          <w:p w14:paraId="07978167" w14:textId="77777777" w:rsidR="00AC318E" w:rsidRPr="004B30EA" w:rsidRDefault="00AC318E" w:rsidP="00352D26">
            <w:pPr>
              <w:widowControl w:val="0"/>
            </w:pPr>
          </w:p>
          <w:p w14:paraId="5A4BEF2F" w14:textId="04289277" w:rsidR="00AC318E" w:rsidRPr="004B30EA" w:rsidRDefault="00AC318E" w:rsidP="00332BEC">
            <w:pPr>
              <w:pStyle w:val="ListParagraph"/>
              <w:widowControl w:val="0"/>
              <w:numPr>
                <w:ilvl w:val="0"/>
                <w:numId w:val="2"/>
              </w:numPr>
              <w:rPr>
                <w:sz w:val="24"/>
                <w:szCs w:val="24"/>
              </w:rPr>
            </w:pPr>
            <w:r>
              <w:rPr>
                <w:sz w:val="24"/>
              </w:rPr>
              <w:t xml:space="preserve">Is this proposal covered by any existing IP? </w:t>
            </w:r>
            <w:r>
              <w:rPr>
                <w:sz w:val="24"/>
              </w:rPr>
              <w:tab/>
            </w:r>
            <w:r>
              <w:rPr>
                <w:sz w:val="24"/>
              </w:rPr>
              <w:tab/>
            </w:r>
            <w:r>
              <w:rPr>
                <w:sz w:val="24"/>
              </w:rPr>
              <w:tab/>
            </w:r>
            <w:r>
              <w:rPr>
                <w:sz w:val="24"/>
              </w:rPr>
              <w:tab/>
              <w:t xml:space="preserve"> </w:t>
            </w:r>
            <w:sdt>
              <w:sdtPr>
                <w:rPr>
                  <w:sz w:val="28"/>
                  <w:szCs w:val="28"/>
                </w:rPr>
                <w:id w:val="1090586028"/>
                <w14:checkbox>
                  <w14:checked w14:val="1"/>
                  <w14:checkedState w14:val="2611" w14:font="Aptos Narrow"/>
                  <w14:uncheckedState w14:val="2610" w14:font="MS Gothic"/>
                </w14:checkbox>
              </w:sdtPr>
              <w:sdtContent>
                <w:r w:rsidR="00F07163">
                  <w:rPr>
                    <w:rFonts w:ascii="Aptos Narrow" w:hAnsi="Aptos Narrow"/>
                    <w:sz w:val="28"/>
                    <w:szCs w:val="28"/>
                  </w:rPr>
                  <w:t>☑</w:t>
                </w:r>
              </w:sdtContent>
            </w:sdt>
            <w:r w:rsidR="00F07163" w:rsidRPr="004B30EA">
              <w:rPr>
                <w:sz w:val="24"/>
                <w:szCs w:val="24"/>
              </w:rPr>
              <w:t xml:space="preserve"> </w:t>
            </w:r>
            <w:r>
              <w:rPr>
                <w:sz w:val="24"/>
              </w:rPr>
              <w:t xml:space="preserve">Yes   </w:t>
            </w:r>
            <w:sdt>
              <w:sdtPr>
                <w:rPr>
                  <w:sz w:val="28"/>
                  <w:szCs w:val="28"/>
                </w:rPr>
                <w:id w:val="1237285552"/>
                <w14:checkbox>
                  <w14:checked w14:val="0"/>
                  <w14:checkedState w14:val="2611" w14:font="Aptos Narrow"/>
                  <w14:uncheckedState w14:val="2610" w14:font="MS Gothic"/>
                </w14:checkbox>
              </w:sdtPr>
              <w:sdtContent>
                <w:r w:rsidR="00F07163">
                  <w:rPr>
                    <w:rFonts w:ascii="MS Gothic" w:eastAsia="MS Gothic" w:hAnsi="MS Gothic" w:hint="eastAsia"/>
                    <w:sz w:val="28"/>
                    <w:szCs w:val="28"/>
                  </w:rPr>
                  <w:t>☐</w:t>
                </w:r>
              </w:sdtContent>
            </w:sdt>
            <w:r w:rsidR="00F07163" w:rsidRPr="004B30EA">
              <w:rPr>
                <w:sz w:val="24"/>
                <w:szCs w:val="24"/>
              </w:rPr>
              <w:t xml:space="preserve">  </w:t>
            </w:r>
            <w:r>
              <w:rPr>
                <w:sz w:val="24"/>
              </w:rPr>
              <w:t>No</w:t>
            </w:r>
          </w:p>
          <w:p w14:paraId="2102E380" w14:textId="77777777" w:rsidR="00E7649E" w:rsidRDefault="00AC318E" w:rsidP="00352D26">
            <w:pPr>
              <w:pStyle w:val="ListParagraph"/>
              <w:widowControl w:val="0"/>
              <w:rPr>
                <w:rFonts w:eastAsiaTheme="minorEastAsia"/>
                <w:sz w:val="24"/>
              </w:rPr>
            </w:pPr>
            <w:r>
              <w:rPr>
                <w:sz w:val="24"/>
              </w:rPr>
              <w:t xml:space="preserve">If NTU IP, please state: </w:t>
            </w:r>
          </w:p>
          <w:p w14:paraId="2E23C2B4" w14:textId="5F74DB03" w:rsidR="00AC318E" w:rsidRPr="004B30EA" w:rsidRDefault="00AC318E" w:rsidP="00352D26">
            <w:pPr>
              <w:pStyle w:val="ListParagraph"/>
              <w:widowControl w:val="0"/>
              <w:rPr>
                <w:sz w:val="24"/>
                <w:szCs w:val="24"/>
              </w:rPr>
            </w:pPr>
            <w:r>
              <w:rPr>
                <w:sz w:val="24"/>
              </w:rPr>
              <w:t>Adaptive Triggering Mechanism for Time-Series Data Sensing on Edge Devices, Singapore provisional patent application no. 10202502426R, 2025. [TD: to be confirmed with NTUitive]</w:t>
            </w:r>
          </w:p>
          <w:p w14:paraId="3FD945DB" w14:textId="77777777" w:rsidR="00AC318E" w:rsidRPr="004257CD" w:rsidRDefault="00AC318E" w:rsidP="004257CD">
            <w:pPr>
              <w:pStyle w:val="ListParagraph"/>
              <w:widowControl w:val="0"/>
              <w:rPr>
                <w:i/>
                <w:sz w:val="24"/>
                <w:szCs w:val="24"/>
              </w:rPr>
            </w:pPr>
            <w:r w:rsidRPr="004B30EA">
              <w:rPr>
                <w:i/>
                <w:sz w:val="24"/>
                <w:szCs w:val="24"/>
              </w:rPr>
              <w:t>*If a Technology Disclosure (TD) has previously been submitted to N</w:t>
            </w:r>
            <w:r w:rsidR="00BA527B">
              <w:rPr>
                <w:i/>
                <w:sz w:val="24"/>
                <w:szCs w:val="24"/>
              </w:rPr>
              <w:t>TUitive</w:t>
            </w:r>
            <w:r w:rsidRPr="004B30EA">
              <w:rPr>
                <w:i/>
                <w:sz w:val="24"/>
                <w:szCs w:val="24"/>
              </w:rPr>
              <w:t xml:space="preserve"> on any invention related to this </w:t>
            </w:r>
            <w:r w:rsidR="004E1454">
              <w:rPr>
                <w:i/>
                <w:sz w:val="24"/>
                <w:szCs w:val="24"/>
              </w:rPr>
              <w:t>Gap Fund</w:t>
            </w:r>
            <w:r w:rsidRPr="004B30EA">
              <w:rPr>
                <w:i/>
                <w:sz w:val="24"/>
                <w:szCs w:val="24"/>
              </w:rPr>
              <w:t xml:space="preserve"> project</w:t>
            </w:r>
            <w:r w:rsidR="004257CD">
              <w:rPr>
                <w:i/>
                <w:sz w:val="24"/>
                <w:szCs w:val="24"/>
              </w:rPr>
              <w:t xml:space="preserve">. If a new Technology Disclosure will be submitted to NTUitive, please write in the above: </w:t>
            </w:r>
            <w:r w:rsidR="004257CD" w:rsidRPr="004257CD">
              <w:rPr>
                <w:b/>
                <w:i/>
                <w:sz w:val="24"/>
                <w:szCs w:val="24"/>
              </w:rPr>
              <w:t>New TD under Submission.</w:t>
            </w:r>
            <w:r w:rsidR="004257CD">
              <w:rPr>
                <w:i/>
                <w:sz w:val="24"/>
                <w:szCs w:val="24"/>
              </w:rPr>
              <w:t xml:space="preserve"> </w:t>
            </w:r>
            <w:r w:rsidRPr="004257CD">
              <w:rPr>
                <w:sz w:val="24"/>
                <w:szCs w:val="24"/>
              </w:rPr>
              <w:t xml:space="preserve"> </w:t>
            </w:r>
          </w:p>
          <w:p w14:paraId="0D59C05F" w14:textId="77777777" w:rsidR="00AC318E" w:rsidRPr="004B30EA" w:rsidRDefault="00AC318E" w:rsidP="00352D26">
            <w:pPr>
              <w:pStyle w:val="ListParagraph"/>
              <w:widowControl w:val="0"/>
              <w:rPr>
                <w:sz w:val="24"/>
                <w:szCs w:val="24"/>
              </w:rPr>
            </w:pPr>
            <w:r w:rsidRPr="004B30EA">
              <w:rPr>
                <w:sz w:val="24"/>
                <w:szCs w:val="24"/>
              </w:rPr>
              <w:t>If non-NTU IP, kindly state: __________________________________</w:t>
            </w:r>
          </w:p>
          <w:p w14:paraId="4735BFDF" w14:textId="77777777" w:rsidR="00AC318E" w:rsidRPr="004B30EA" w:rsidRDefault="00AC318E" w:rsidP="00352D26">
            <w:pPr>
              <w:pStyle w:val="ListParagraph"/>
              <w:widowControl w:val="0"/>
              <w:rPr>
                <w:i/>
                <w:sz w:val="24"/>
                <w:szCs w:val="24"/>
              </w:rPr>
            </w:pPr>
            <w:r w:rsidRPr="004B30EA">
              <w:rPr>
                <w:i/>
                <w:sz w:val="24"/>
                <w:szCs w:val="24"/>
              </w:rPr>
              <w:t>Kindly also elaborate for non-NTU IPs, whether the IP has been returned to you by NTU or whether it is your own IP.</w:t>
            </w:r>
          </w:p>
          <w:p w14:paraId="740EB329" w14:textId="77777777" w:rsidR="00AC318E" w:rsidRPr="004B30EA" w:rsidRDefault="00AC318E" w:rsidP="00352D26">
            <w:pPr>
              <w:pStyle w:val="ListParagraph"/>
              <w:widowControl w:val="0"/>
              <w:rPr>
                <w:sz w:val="24"/>
                <w:szCs w:val="24"/>
              </w:rPr>
            </w:pPr>
          </w:p>
          <w:p w14:paraId="72FC3456" w14:textId="62E9C63C" w:rsidR="00AC318E" w:rsidRPr="004B30EA" w:rsidRDefault="00AC318E" w:rsidP="00332BEC">
            <w:pPr>
              <w:pStyle w:val="ListParagraph"/>
              <w:widowControl w:val="0"/>
              <w:numPr>
                <w:ilvl w:val="0"/>
                <w:numId w:val="2"/>
              </w:numPr>
              <w:rPr>
                <w:sz w:val="24"/>
                <w:szCs w:val="24"/>
              </w:rPr>
            </w:pPr>
            <w:r>
              <w:rPr>
                <w:sz w:val="24"/>
              </w:rPr>
              <w:t xml:space="preserve">Has the research of this application been completed? </w:t>
            </w:r>
            <w:r>
              <w:rPr>
                <w:sz w:val="24"/>
              </w:rPr>
              <w:tab/>
            </w:r>
            <w:r>
              <w:rPr>
                <w:sz w:val="24"/>
              </w:rPr>
              <w:tab/>
              <w:t xml:space="preserve">  </w:t>
            </w:r>
            <w:sdt>
              <w:sdtPr>
                <w:rPr>
                  <w:sz w:val="28"/>
                  <w:szCs w:val="28"/>
                </w:rPr>
                <w:id w:val="-1113524243"/>
                <w14:checkbox>
                  <w14:checked w14:val="0"/>
                  <w14:checkedState w14:val="2611" w14:font="Aptos Narrow"/>
                  <w14:uncheckedState w14:val="2610" w14:font="MS Gothic"/>
                </w14:checkbox>
              </w:sdtPr>
              <w:sdtContent>
                <w:r w:rsidR="00F07163">
                  <w:rPr>
                    <w:rFonts w:ascii="MS Gothic" w:eastAsia="MS Gothic" w:hAnsi="MS Gothic" w:hint="eastAsia"/>
                    <w:sz w:val="28"/>
                    <w:szCs w:val="28"/>
                  </w:rPr>
                  <w:t>☐</w:t>
                </w:r>
              </w:sdtContent>
            </w:sdt>
            <w:r w:rsidR="00F07163" w:rsidRPr="004B30EA">
              <w:rPr>
                <w:sz w:val="24"/>
                <w:szCs w:val="24"/>
              </w:rPr>
              <w:t xml:space="preserve">  </w:t>
            </w:r>
            <w:r>
              <w:rPr>
                <w:sz w:val="24"/>
              </w:rPr>
              <w:t xml:space="preserve">Yes    </w:t>
            </w:r>
            <w:sdt>
              <w:sdtPr>
                <w:rPr>
                  <w:sz w:val="28"/>
                  <w:szCs w:val="28"/>
                </w:rPr>
                <w:id w:val="1829091693"/>
                <w14:checkbox>
                  <w14:checked w14:val="1"/>
                  <w14:checkedState w14:val="2611" w14:font="Aptos Narrow"/>
                  <w14:uncheckedState w14:val="2610" w14:font="MS Gothic"/>
                </w14:checkbox>
              </w:sdtPr>
              <w:sdtContent>
                <w:r w:rsidR="00F07163">
                  <w:rPr>
                    <w:rFonts w:ascii="Aptos Narrow" w:hAnsi="Aptos Narrow"/>
                    <w:sz w:val="28"/>
                    <w:szCs w:val="28"/>
                  </w:rPr>
                  <w:t>☑</w:t>
                </w:r>
              </w:sdtContent>
            </w:sdt>
            <w:r w:rsidR="00F07163" w:rsidRPr="004B30EA">
              <w:rPr>
                <w:sz w:val="24"/>
                <w:szCs w:val="24"/>
              </w:rPr>
              <w:t xml:space="preserve">  </w:t>
            </w:r>
            <w:r>
              <w:rPr>
                <w:sz w:val="24"/>
              </w:rPr>
              <w:t>No</w:t>
            </w:r>
          </w:p>
          <w:p w14:paraId="5070BE9A" w14:textId="1B21C3CD" w:rsidR="00AC318E" w:rsidRPr="004B30EA" w:rsidRDefault="000227C1" w:rsidP="00352D26">
            <w:pPr>
              <w:pStyle w:val="ListParagraph"/>
              <w:widowControl w:val="0"/>
              <w:rPr>
                <w:sz w:val="24"/>
                <w:szCs w:val="24"/>
              </w:rPr>
            </w:pPr>
            <w:r>
              <w:rPr>
                <w:sz w:val="24"/>
              </w:rPr>
              <w:t>Has any proof-of-principle been obtained?</w:t>
            </w:r>
            <w:r>
              <w:rPr>
                <w:sz w:val="24"/>
              </w:rPr>
              <w:tab/>
            </w:r>
            <w:r>
              <w:rPr>
                <w:sz w:val="24"/>
              </w:rPr>
              <w:tab/>
            </w:r>
            <w:r>
              <w:rPr>
                <w:sz w:val="24"/>
              </w:rPr>
              <w:tab/>
            </w:r>
            <w:r>
              <w:rPr>
                <w:sz w:val="24"/>
              </w:rPr>
              <w:tab/>
              <w:t xml:space="preserve">  </w:t>
            </w:r>
            <w:sdt>
              <w:sdtPr>
                <w:rPr>
                  <w:sz w:val="28"/>
                  <w:szCs w:val="28"/>
                </w:rPr>
                <w:id w:val="1559354835"/>
                <w14:checkbox>
                  <w14:checked w14:val="1"/>
                  <w14:checkedState w14:val="2611" w14:font="Aptos Narrow"/>
                  <w14:uncheckedState w14:val="2610" w14:font="MS Gothic"/>
                </w14:checkbox>
              </w:sdtPr>
              <w:sdtContent>
                <w:r w:rsidR="00F07163">
                  <w:rPr>
                    <w:rFonts w:ascii="Aptos Narrow" w:hAnsi="Aptos Narrow"/>
                    <w:sz w:val="28"/>
                    <w:szCs w:val="28"/>
                  </w:rPr>
                  <w:t>☑</w:t>
                </w:r>
              </w:sdtContent>
            </w:sdt>
            <w:r w:rsidR="00F07163" w:rsidRPr="004B30EA">
              <w:rPr>
                <w:sz w:val="24"/>
                <w:szCs w:val="24"/>
              </w:rPr>
              <w:t xml:space="preserve">  </w:t>
            </w:r>
            <w:r>
              <w:rPr>
                <w:sz w:val="24"/>
              </w:rPr>
              <w:t xml:space="preserve">Yes    </w:t>
            </w:r>
            <w:sdt>
              <w:sdtPr>
                <w:rPr>
                  <w:sz w:val="28"/>
                  <w:szCs w:val="28"/>
                </w:rPr>
                <w:id w:val="1076784412"/>
                <w14:checkbox>
                  <w14:checked w14:val="0"/>
                  <w14:checkedState w14:val="2611" w14:font="Aptos Narrow"/>
                  <w14:uncheckedState w14:val="2610" w14:font="MS Gothic"/>
                </w14:checkbox>
              </w:sdtPr>
              <w:sdtContent>
                <w:r w:rsidR="00F07163">
                  <w:rPr>
                    <w:rFonts w:ascii="MS Gothic" w:eastAsia="MS Gothic" w:hAnsi="MS Gothic" w:hint="eastAsia"/>
                    <w:sz w:val="28"/>
                    <w:szCs w:val="28"/>
                  </w:rPr>
                  <w:t>☐</w:t>
                </w:r>
              </w:sdtContent>
            </w:sdt>
            <w:r w:rsidR="00F07163" w:rsidRPr="004B30EA">
              <w:rPr>
                <w:sz w:val="24"/>
                <w:szCs w:val="24"/>
              </w:rPr>
              <w:t xml:space="preserve">  </w:t>
            </w:r>
            <w:r>
              <w:rPr>
                <w:sz w:val="24"/>
              </w:rPr>
              <w:t>No</w:t>
            </w:r>
          </w:p>
          <w:p w14:paraId="104D016D" w14:textId="6A796272" w:rsidR="00AC318E" w:rsidRPr="004B30EA" w:rsidRDefault="000227C1" w:rsidP="00352D26">
            <w:pPr>
              <w:pStyle w:val="ListParagraph"/>
              <w:widowControl w:val="0"/>
              <w:rPr>
                <w:sz w:val="24"/>
                <w:szCs w:val="24"/>
              </w:rPr>
            </w:pPr>
            <w:r>
              <w:rPr>
                <w:sz w:val="24"/>
              </w:rPr>
              <w:t xml:space="preserve">Has any paper on this technology been published? </w:t>
            </w:r>
            <w:r>
              <w:rPr>
                <w:sz w:val="24"/>
              </w:rPr>
              <w:tab/>
            </w:r>
            <w:r>
              <w:rPr>
                <w:sz w:val="24"/>
              </w:rPr>
              <w:tab/>
            </w:r>
            <w:r>
              <w:rPr>
                <w:sz w:val="24"/>
              </w:rPr>
              <w:tab/>
              <w:t xml:space="preserve"> </w:t>
            </w:r>
            <w:sdt>
              <w:sdtPr>
                <w:rPr>
                  <w:sz w:val="28"/>
                  <w:szCs w:val="28"/>
                </w:rPr>
                <w:id w:val="1642920289"/>
                <w14:checkbox>
                  <w14:checked w14:val="1"/>
                  <w14:checkedState w14:val="2611" w14:font="Aptos Narrow"/>
                  <w14:uncheckedState w14:val="2610" w14:font="MS Gothic"/>
                </w14:checkbox>
              </w:sdtPr>
              <w:sdtContent>
                <w:r w:rsidR="00F07163">
                  <w:rPr>
                    <w:rFonts w:ascii="Aptos Narrow" w:hAnsi="Aptos Narrow"/>
                    <w:sz w:val="28"/>
                    <w:szCs w:val="28"/>
                  </w:rPr>
                  <w:t>☑</w:t>
                </w:r>
              </w:sdtContent>
            </w:sdt>
            <w:r w:rsidR="00F07163" w:rsidRPr="004B30EA">
              <w:rPr>
                <w:sz w:val="24"/>
                <w:szCs w:val="24"/>
              </w:rPr>
              <w:t xml:space="preserve">  </w:t>
            </w:r>
            <w:r>
              <w:rPr>
                <w:sz w:val="24"/>
              </w:rPr>
              <w:t xml:space="preserve">Yes    </w:t>
            </w:r>
            <w:sdt>
              <w:sdtPr>
                <w:rPr>
                  <w:sz w:val="28"/>
                  <w:szCs w:val="28"/>
                </w:rPr>
                <w:id w:val="-1302615405"/>
                <w14:checkbox>
                  <w14:checked w14:val="0"/>
                  <w14:checkedState w14:val="2611" w14:font="Aptos Narrow"/>
                  <w14:uncheckedState w14:val="2610" w14:font="MS Gothic"/>
                </w14:checkbox>
              </w:sdtPr>
              <w:sdtContent>
                <w:r w:rsidR="00F07163">
                  <w:rPr>
                    <w:rFonts w:ascii="MS Gothic" w:eastAsia="MS Gothic" w:hAnsi="MS Gothic" w:hint="eastAsia"/>
                    <w:sz w:val="28"/>
                    <w:szCs w:val="28"/>
                  </w:rPr>
                  <w:t>☐</w:t>
                </w:r>
              </w:sdtContent>
            </w:sdt>
            <w:r w:rsidR="00F07163" w:rsidRPr="004B30EA">
              <w:rPr>
                <w:sz w:val="24"/>
                <w:szCs w:val="24"/>
              </w:rPr>
              <w:t xml:space="preserve">  </w:t>
            </w:r>
            <w:r>
              <w:rPr>
                <w:sz w:val="24"/>
              </w:rPr>
              <w:t>No</w:t>
            </w:r>
          </w:p>
          <w:p w14:paraId="753C6027" w14:textId="77777777" w:rsidR="00AC318E" w:rsidRPr="004B30EA" w:rsidRDefault="00AC318E" w:rsidP="00352D26">
            <w:pPr>
              <w:pStyle w:val="ListParagraph"/>
              <w:widowControl w:val="0"/>
              <w:rPr>
                <w:sz w:val="24"/>
                <w:szCs w:val="24"/>
              </w:rPr>
            </w:pPr>
          </w:p>
          <w:p w14:paraId="2841A2CB" w14:textId="77777777" w:rsidR="00D041D9" w:rsidRDefault="0001668F" w:rsidP="00332BEC">
            <w:pPr>
              <w:pStyle w:val="ListParagraph"/>
              <w:widowControl w:val="0"/>
              <w:numPr>
                <w:ilvl w:val="0"/>
                <w:numId w:val="2"/>
              </w:numPr>
              <w:rPr>
                <w:sz w:val="24"/>
                <w:szCs w:val="24"/>
              </w:rPr>
            </w:pPr>
            <w:r>
              <w:rPr>
                <w:sz w:val="24"/>
              </w:rPr>
              <w:t>Have you previously applied for previous NTUitive Gap Fund calls?</w:t>
            </w:r>
          </w:p>
          <w:p w14:paraId="790F0B80" w14:textId="429DCFB6" w:rsidR="008E4EB9" w:rsidRPr="004B30EA" w:rsidRDefault="004257CD" w:rsidP="004257CD">
            <w:pPr>
              <w:pStyle w:val="ListParagraph"/>
              <w:widowControl w:val="0"/>
              <w:rPr>
                <w:sz w:val="24"/>
                <w:szCs w:val="24"/>
              </w:rPr>
            </w:pPr>
            <w:r>
              <w:rPr>
                <w:sz w:val="24"/>
              </w:rPr>
              <w:tab/>
            </w:r>
            <w:r>
              <w:rPr>
                <w:sz w:val="24"/>
              </w:rPr>
              <w:tab/>
            </w:r>
            <w:r>
              <w:rPr>
                <w:sz w:val="24"/>
              </w:rPr>
              <w:tab/>
              <w:t xml:space="preserve">                                                              </w:t>
            </w:r>
            <w:r>
              <w:rPr>
                <w:sz w:val="24"/>
              </w:rPr>
              <w:tab/>
              <w:t xml:space="preserve"> </w:t>
            </w:r>
            <w:sdt>
              <w:sdtPr>
                <w:rPr>
                  <w:sz w:val="28"/>
                  <w:szCs w:val="28"/>
                </w:rPr>
                <w:id w:val="166531617"/>
                <w14:checkbox>
                  <w14:checked w14:val="0"/>
                  <w14:checkedState w14:val="2611" w14:font="Aptos Narrow"/>
                  <w14:uncheckedState w14:val="2610" w14:font="MS Gothic"/>
                </w14:checkbox>
              </w:sdtPr>
              <w:sdtContent>
                <w:r w:rsidR="00E7649E">
                  <w:rPr>
                    <w:rFonts w:ascii="MS Gothic" w:eastAsia="MS Gothic" w:hAnsi="MS Gothic" w:hint="eastAsia"/>
                    <w:sz w:val="28"/>
                    <w:szCs w:val="28"/>
                  </w:rPr>
                  <w:t>☐</w:t>
                </w:r>
              </w:sdtContent>
            </w:sdt>
            <w:r w:rsidR="00E7649E">
              <w:rPr>
                <w:sz w:val="24"/>
              </w:rPr>
              <w:t xml:space="preserve"> </w:t>
            </w:r>
            <w:r>
              <w:rPr>
                <w:sz w:val="24"/>
              </w:rPr>
              <w:t xml:space="preserve">Yes  </w:t>
            </w:r>
            <w:sdt>
              <w:sdtPr>
                <w:rPr>
                  <w:sz w:val="28"/>
                  <w:szCs w:val="28"/>
                </w:rPr>
                <w:id w:val="-181358633"/>
                <w14:checkbox>
                  <w14:checked w14:val="1"/>
                  <w14:checkedState w14:val="2611" w14:font="Aptos Narrow"/>
                  <w14:uncheckedState w14:val="2610" w14:font="MS Gothic"/>
                </w14:checkbox>
              </w:sdtPr>
              <w:sdtContent>
                <w:r w:rsidR="00E7649E">
                  <w:rPr>
                    <w:rFonts w:ascii="Aptos Narrow" w:hAnsi="Aptos Narrow"/>
                    <w:sz w:val="28"/>
                    <w:szCs w:val="28"/>
                  </w:rPr>
                  <w:t>☑</w:t>
                </w:r>
              </w:sdtContent>
            </w:sdt>
            <w:r>
              <w:rPr>
                <w:sz w:val="24"/>
              </w:rPr>
              <w:t xml:space="preserve"> No</w:t>
            </w:r>
          </w:p>
          <w:p w14:paraId="513931D3" w14:textId="77777777" w:rsidR="00AC318E" w:rsidRDefault="006649B7" w:rsidP="008E4EB9">
            <w:pPr>
              <w:pStyle w:val="ListParagraph"/>
              <w:widowControl w:val="0"/>
              <w:rPr>
                <w:sz w:val="24"/>
                <w:szCs w:val="24"/>
              </w:rPr>
            </w:pPr>
            <w:r>
              <w:rPr>
                <w:sz w:val="24"/>
                <w:szCs w:val="24"/>
              </w:rPr>
              <w:t xml:space="preserve">If yes, </w:t>
            </w:r>
            <w:r w:rsidR="00761106">
              <w:rPr>
                <w:sz w:val="24"/>
                <w:szCs w:val="24"/>
              </w:rPr>
              <w:t>was it successful in the previous grant call</w:t>
            </w:r>
            <w:r>
              <w:rPr>
                <w:sz w:val="24"/>
                <w:szCs w:val="24"/>
              </w:rPr>
              <w:t xml:space="preserve">? </w:t>
            </w:r>
            <w:r w:rsidR="00F84C77">
              <w:rPr>
                <w:sz w:val="24"/>
                <w:szCs w:val="24"/>
              </w:rPr>
              <w:tab/>
            </w:r>
            <w:r w:rsidR="00F84C77">
              <w:rPr>
                <w:sz w:val="24"/>
                <w:szCs w:val="24"/>
              </w:rPr>
              <w:tab/>
            </w:r>
            <w:r w:rsidR="00F84C77">
              <w:rPr>
                <w:sz w:val="24"/>
                <w:szCs w:val="24"/>
              </w:rPr>
              <w:tab/>
            </w:r>
            <w:sdt>
              <w:sdtPr>
                <w:rPr>
                  <w:sz w:val="28"/>
                  <w:szCs w:val="28"/>
                </w:rPr>
                <w:id w:val="-353340259"/>
                <w14:checkbox>
                  <w14:checked w14:val="0"/>
                  <w14:checkedState w14:val="2611" w14:font="Aptos Narrow"/>
                  <w14:uncheckedState w14:val="2610" w14:font="MS Gothic"/>
                </w14:checkbox>
              </w:sdtPr>
              <w:sdtContent>
                <w:r w:rsidR="00BF4F8F">
                  <w:rPr>
                    <w:rFonts w:ascii="MS Gothic" w:eastAsia="MS Gothic" w:hAnsi="MS Gothic" w:hint="eastAsia"/>
                    <w:sz w:val="28"/>
                    <w:szCs w:val="28"/>
                  </w:rPr>
                  <w:t>☐</w:t>
                </w:r>
              </w:sdtContent>
            </w:sdt>
            <w:r w:rsidRPr="004B30EA">
              <w:rPr>
                <w:sz w:val="24"/>
                <w:szCs w:val="24"/>
              </w:rPr>
              <w:t xml:space="preserve">  Yes  </w:t>
            </w:r>
            <w:sdt>
              <w:sdtPr>
                <w:rPr>
                  <w:sz w:val="28"/>
                  <w:szCs w:val="28"/>
                </w:rPr>
                <w:id w:val="-715046467"/>
                <w14:checkbox>
                  <w14:checked w14:val="0"/>
                  <w14:checkedState w14:val="2611" w14:font="Aptos Narrow"/>
                  <w14:uncheckedState w14:val="2610" w14:font="MS Gothic"/>
                </w14:checkbox>
              </w:sdtPr>
              <w:sdtContent>
                <w:r w:rsidR="00BF4F8F">
                  <w:rPr>
                    <w:rFonts w:ascii="MS Gothic" w:eastAsia="MS Gothic" w:hAnsi="MS Gothic" w:hint="eastAsia"/>
                    <w:sz w:val="28"/>
                    <w:szCs w:val="28"/>
                  </w:rPr>
                  <w:t>☐</w:t>
                </w:r>
              </w:sdtContent>
            </w:sdt>
            <w:r w:rsidRPr="004B30EA">
              <w:rPr>
                <w:sz w:val="24"/>
                <w:szCs w:val="24"/>
              </w:rPr>
              <w:t xml:space="preserve">  No</w:t>
            </w:r>
          </w:p>
          <w:p w14:paraId="1A393D1A" w14:textId="77777777" w:rsidR="00761106" w:rsidRDefault="006649B7" w:rsidP="008E4EB9">
            <w:pPr>
              <w:pStyle w:val="ListParagraph"/>
              <w:widowControl w:val="0"/>
              <w:rPr>
                <w:sz w:val="24"/>
                <w:szCs w:val="24"/>
              </w:rPr>
            </w:pPr>
            <w:r>
              <w:rPr>
                <w:sz w:val="24"/>
                <w:szCs w:val="24"/>
              </w:rPr>
              <w:t xml:space="preserve">If </w:t>
            </w:r>
            <w:r w:rsidR="00761106">
              <w:rPr>
                <w:sz w:val="24"/>
                <w:szCs w:val="24"/>
              </w:rPr>
              <w:t>no</w:t>
            </w:r>
            <w:r>
              <w:rPr>
                <w:sz w:val="24"/>
                <w:szCs w:val="24"/>
              </w:rPr>
              <w:t xml:space="preserve">, </w:t>
            </w:r>
            <w:r w:rsidR="00761106">
              <w:rPr>
                <w:sz w:val="24"/>
                <w:szCs w:val="24"/>
              </w:rPr>
              <w:t>at which stage was it rejected?</w:t>
            </w:r>
            <w:r w:rsidR="006419F0">
              <w:rPr>
                <w:sz w:val="24"/>
                <w:szCs w:val="24"/>
              </w:rPr>
              <w:t xml:space="preserve"> Please complete </w:t>
            </w:r>
            <w:r w:rsidR="006419F0" w:rsidRPr="006419F0">
              <w:rPr>
                <w:sz w:val="24"/>
                <w:szCs w:val="24"/>
              </w:rPr>
              <w:t>Section 7.</w:t>
            </w:r>
            <w:r w:rsidR="00F84C77">
              <w:rPr>
                <w:sz w:val="24"/>
                <w:szCs w:val="24"/>
              </w:rPr>
              <w:tab/>
            </w:r>
            <w:r w:rsidR="00761106">
              <w:rPr>
                <w:sz w:val="24"/>
                <w:szCs w:val="24"/>
              </w:rPr>
              <w:tab/>
            </w:r>
            <w:r w:rsidR="00761106">
              <w:rPr>
                <w:sz w:val="24"/>
                <w:szCs w:val="24"/>
              </w:rPr>
              <w:tab/>
            </w:r>
            <w:r w:rsidR="00761106">
              <w:rPr>
                <w:sz w:val="24"/>
                <w:szCs w:val="24"/>
              </w:rPr>
              <w:tab/>
            </w:r>
          </w:p>
          <w:p w14:paraId="20E9D2EF" w14:textId="77777777" w:rsidR="00761106" w:rsidRPr="00761106" w:rsidRDefault="00000000" w:rsidP="00761106">
            <w:pPr>
              <w:pStyle w:val="ListParagraph"/>
              <w:widowControl w:val="0"/>
              <w:rPr>
                <w:sz w:val="24"/>
                <w:szCs w:val="24"/>
              </w:rPr>
            </w:pPr>
            <w:sdt>
              <w:sdtPr>
                <w:rPr>
                  <w:sz w:val="28"/>
                  <w:szCs w:val="28"/>
                </w:rPr>
                <w:id w:val="-1451850525"/>
                <w14:checkbox>
                  <w14:checked w14:val="0"/>
                  <w14:checkedState w14:val="2611" w14:font="Aptos Narrow"/>
                  <w14:uncheckedState w14:val="2610" w14:font="MS Gothic"/>
                </w14:checkbox>
              </w:sdtPr>
              <w:sdtContent>
                <w:r w:rsidR="00BF4F8F">
                  <w:rPr>
                    <w:rFonts w:ascii="MS Gothic" w:eastAsia="MS Gothic" w:hAnsi="MS Gothic" w:hint="eastAsia"/>
                    <w:sz w:val="28"/>
                    <w:szCs w:val="28"/>
                  </w:rPr>
                  <w:t>☐</w:t>
                </w:r>
              </w:sdtContent>
            </w:sdt>
            <w:r w:rsidR="00761106" w:rsidRPr="004B30EA">
              <w:rPr>
                <w:sz w:val="24"/>
                <w:szCs w:val="24"/>
              </w:rPr>
              <w:t xml:space="preserve">  </w:t>
            </w:r>
            <w:r w:rsidR="00761106">
              <w:rPr>
                <w:sz w:val="24"/>
                <w:szCs w:val="24"/>
              </w:rPr>
              <w:t>Preliminary</w:t>
            </w:r>
            <w:r w:rsidR="006649B7">
              <w:rPr>
                <w:sz w:val="24"/>
                <w:szCs w:val="24"/>
              </w:rPr>
              <w:t xml:space="preserve"> </w:t>
            </w:r>
            <w:sdt>
              <w:sdtPr>
                <w:rPr>
                  <w:sz w:val="28"/>
                  <w:szCs w:val="28"/>
                </w:rPr>
                <w:id w:val="-1980216438"/>
                <w14:checkbox>
                  <w14:checked w14:val="0"/>
                  <w14:checkedState w14:val="2611" w14:font="Aptos Narrow"/>
                  <w14:uncheckedState w14:val="2610" w14:font="MS Gothic"/>
                </w14:checkbox>
              </w:sdtPr>
              <w:sdtContent>
                <w:r w:rsidR="00BF4F8F">
                  <w:rPr>
                    <w:rFonts w:ascii="MS Gothic" w:eastAsia="MS Gothic" w:hAnsi="MS Gothic" w:hint="eastAsia"/>
                    <w:sz w:val="28"/>
                    <w:szCs w:val="28"/>
                  </w:rPr>
                  <w:t>☐</w:t>
                </w:r>
              </w:sdtContent>
            </w:sdt>
            <w:r w:rsidR="00761106" w:rsidRPr="004B30EA">
              <w:rPr>
                <w:sz w:val="24"/>
                <w:szCs w:val="24"/>
              </w:rPr>
              <w:t xml:space="preserve">  </w:t>
            </w:r>
            <w:r w:rsidR="00761106">
              <w:rPr>
                <w:sz w:val="24"/>
                <w:szCs w:val="24"/>
              </w:rPr>
              <w:t xml:space="preserve">Internal Review </w:t>
            </w:r>
            <w:sdt>
              <w:sdtPr>
                <w:rPr>
                  <w:sz w:val="28"/>
                  <w:szCs w:val="28"/>
                </w:rPr>
                <w:id w:val="-623155351"/>
                <w14:checkbox>
                  <w14:checked w14:val="0"/>
                  <w14:checkedState w14:val="2611" w14:font="Aptos Narrow"/>
                  <w14:uncheckedState w14:val="2610" w14:font="MS Gothic"/>
                </w14:checkbox>
              </w:sdtPr>
              <w:sdtContent>
                <w:r w:rsidR="00BF4F8F">
                  <w:rPr>
                    <w:rFonts w:ascii="MS Gothic" w:eastAsia="MS Gothic" w:hAnsi="MS Gothic" w:hint="eastAsia"/>
                    <w:sz w:val="28"/>
                    <w:szCs w:val="28"/>
                  </w:rPr>
                  <w:t>☐</w:t>
                </w:r>
              </w:sdtContent>
            </w:sdt>
            <w:r w:rsidR="00761106" w:rsidRPr="004B30EA">
              <w:rPr>
                <w:sz w:val="24"/>
                <w:szCs w:val="24"/>
              </w:rPr>
              <w:t xml:space="preserve">  </w:t>
            </w:r>
            <w:r w:rsidR="00761106">
              <w:rPr>
                <w:sz w:val="24"/>
                <w:szCs w:val="24"/>
              </w:rPr>
              <w:t>External Review</w:t>
            </w:r>
            <w:r w:rsidR="00761106" w:rsidRPr="00761106">
              <w:rPr>
                <w:sz w:val="24"/>
                <w:szCs w:val="24"/>
              </w:rPr>
              <w:tab/>
            </w:r>
            <w:r w:rsidR="00761106" w:rsidRPr="00761106">
              <w:rPr>
                <w:sz w:val="24"/>
                <w:szCs w:val="24"/>
              </w:rPr>
              <w:tab/>
            </w:r>
            <w:r w:rsidR="00761106" w:rsidRPr="00761106">
              <w:rPr>
                <w:sz w:val="24"/>
                <w:szCs w:val="24"/>
              </w:rPr>
              <w:tab/>
            </w:r>
          </w:p>
          <w:p w14:paraId="454DCF0D" w14:textId="77777777" w:rsidR="00AC318E" w:rsidRPr="004B30EA" w:rsidRDefault="00AC318E" w:rsidP="00352D26">
            <w:pPr>
              <w:pStyle w:val="ListParagraph"/>
              <w:widowControl w:val="0"/>
              <w:ind w:left="0"/>
              <w:rPr>
                <w:sz w:val="24"/>
                <w:szCs w:val="24"/>
              </w:rPr>
            </w:pPr>
          </w:p>
          <w:p w14:paraId="550CF05A" w14:textId="3A652D8F" w:rsidR="00AC318E" w:rsidRPr="004B30EA" w:rsidRDefault="00AC318E" w:rsidP="00332BEC">
            <w:pPr>
              <w:pStyle w:val="ListParagraph"/>
              <w:widowControl w:val="0"/>
              <w:numPr>
                <w:ilvl w:val="0"/>
                <w:numId w:val="2"/>
              </w:numPr>
              <w:rPr>
                <w:sz w:val="24"/>
                <w:szCs w:val="24"/>
              </w:rPr>
            </w:pPr>
            <w:r>
              <w:rPr>
                <w:sz w:val="24"/>
              </w:rPr>
              <w:t xml:space="preserve">Have you started any spin-off companies? </w:t>
            </w:r>
            <w:r>
              <w:rPr>
                <w:sz w:val="24"/>
              </w:rPr>
              <w:tab/>
            </w:r>
            <w:r>
              <w:rPr>
                <w:sz w:val="24"/>
              </w:rPr>
              <w:tab/>
            </w:r>
            <w:r>
              <w:rPr>
                <w:sz w:val="24"/>
              </w:rPr>
              <w:tab/>
            </w:r>
            <w:r>
              <w:rPr>
                <w:sz w:val="24"/>
              </w:rPr>
              <w:tab/>
              <w:t xml:space="preserve">  </w:t>
            </w:r>
            <w:sdt>
              <w:sdtPr>
                <w:rPr>
                  <w:sz w:val="28"/>
                  <w:szCs w:val="28"/>
                </w:rPr>
                <w:id w:val="2107242"/>
                <w14:checkbox>
                  <w14:checked w14:val="0"/>
                  <w14:checkedState w14:val="2611" w14:font="Aptos Narrow"/>
                  <w14:uncheckedState w14:val="2610" w14:font="MS Gothic"/>
                </w14:checkbox>
              </w:sdtPr>
              <w:sdtContent>
                <w:r w:rsidR="00F07163">
                  <w:rPr>
                    <w:rFonts w:ascii="MS Gothic" w:eastAsia="MS Gothic" w:hAnsi="MS Gothic" w:hint="eastAsia"/>
                    <w:sz w:val="28"/>
                    <w:szCs w:val="28"/>
                  </w:rPr>
                  <w:t>☐</w:t>
                </w:r>
              </w:sdtContent>
            </w:sdt>
            <w:r w:rsidR="00F07163" w:rsidRPr="004B30EA">
              <w:rPr>
                <w:sz w:val="24"/>
                <w:szCs w:val="24"/>
              </w:rPr>
              <w:t xml:space="preserve">  </w:t>
            </w:r>
            <w:r>
              <w:rPr>
                <w:sz w:val="24"/>
              </w:rPr>
              <w:t xml:space="preserve">Yes    </w:t>
            </w:r>
            <w:sdt>
              <w:sdtPr>
                <w:rPr>
                  <w:sz w:val="28"/>
                  <w:szCs w:val="28"/>
                </w:rPr>
                <w:id w:val="2094040340"/>
                <w14:checkbox>
                  <w14:checked w14:val="1"/>
                  <w14:checkedState w14:val="2611" w14:font="Aptos Narrow"/>
                  <w14:uncheckedState w14:val="2610" w14:font="MS Gothic"/>
                </w14:checkbox>
              </w:sdtPr>
              <w:sdtContent>
                <w:r w:rsidR="00F07163">
                  <w:rPr>
                    <w:rFonts w:ascii="Aptos Narrow" w:hAnsi="Aptos Narrow"/>
                    <w:sz w:val="28"/>
                    <w:szCs w:val="28"/>
                  </w:rPr>
                  <w:t>☑</w:t>
                </w:r>
              </w:sdtContent>
            </w:sdt>
            <w:r w:rsidR="00F07163" w:rsidRPr="004B30EA">
              <w:rPr>
                <w:sz w:val="24"/>
                <w:szCs w:val="24"/>
              </w:rPr>
              <w:t xml:space="preserve">  </w:t>
            </w:r>
            <w:r>
              <w:rPr>
                <w:sz w:val="24"/>
              </w:rPr>
              <w:t>No</w:t>
            </w:r>
          </w:p>
          <w:p w14:paraId="6C6D833C" w14:textId="77777777" w:rsidR="00AC318E" w:rsidRPr="004B30EA" w:rsidRDefault="00AC318E" w:rsidP="00352D26">
            <w:pPr>
              <w:pStyle w:val="ListParagraph"/>
              <w:widowControl w:val="0"/>
              <w:ind w:left="709"/>
              <w:rPr>
                <w:sz w:val="24"/>
                <w:szCs w:val="24"/>
              </w:rPr>
            </w:pPr>
            <w:r w:rsidRPr="004B30EA">
              <w:rPr>
                <w:sz w:val="24"/>
                <w:szCs w:val="24"/>
              </w:rPr>
              <w:t xml:space="preserve">If yes, state </w:t>
            </w:r>
            <w:r w:rsidR="006649B7">
              <w:rPr>
                <w:sz w:val="24"/>
                <w:szCs w:val="24"/>
              </w:rPr>
              <w:t xml:space="preserve">the </w:t>
            </w:r>
            <w:r w:rsidRPr="004B30EA">
              <w:rPr>
                <w:sz w:val="24"/>
                <w:szCs w:val="24"/>
              </w:rPr>
              <w:t>company name</w:t>
            </w:r>
            <w:r w:rsidR="00E87013">
              <w:rPr>
                <w:sz w:val="24"/>
                <w:szCs w:val="24"/>
              </w:rPr>
              <w:t>, UEN and</w:t>
            </w:r>
            <w:r w:rsidR="00C2733A">
              <w:rPr>
                <w:sz w:val="24"/>
                <w:szCs w:val="24"/>
              </w:rPr>
              <w:t xml:space="preserve"> date of incorporation</w:t>
            </w:r>
            <w:r w:rsidRPr="004B30EA">
              <w:rPr>
                <w:sz w:val="24"/>
                <w:szCs w:val="24"/>
              </w:rPr>
              <w:t xml:space="preserve">: </w:t>
            </w:r>
            <w:r w:rsidRPr="004B30EA">
              <w:rPr>
                <w:sz w:val="24"/>
                <w:szCs w:val="24"/>
              </w:rPr>
              <w:lastRenderedPageBreak/>
              <w:t>___________________________</w:t>
            </w:r>
            <w:r w:rsidR="00E87013">
              <w:rPr>
                <w:sz w:val="24"/>
                <w:szCs w:val="24"/>
              </w:rPr>
              <w:t>_</w:t>
            </w:r>
            <w:r w:rsidR="00C2733A">
              <w:rPr>
                <w:sz w:val="24"/>
                <w:szCs w:val="24"/>
              </w:rPr>
              <w:t>___________________</w:t>
            </w:r>
            <w:r w:rsidRPr="004B30EA">
              <w:rPr>
                <w:sz w:val="24"/>
                <w:szCs w:val="24"/>
              </w:rPr>
              <w:t>_____</w:t>
            </w:r>
          </w:p>
          <w:p w14:paraId="40508D22" w14:textId="77777777" w:rsidR="00AC318E" w:rsidRPr="00332BEC" w:rsidRDefault="00AC318E" w:rsidP="00352D26">
            <w:pPr>
              <w:pStyle w:val="ListParagraph"/>
              <w:widowControl w:val="0"/>
              <w:ind w:left="709"/>
              <w:rPr>
                <w:sz w:val="24"/>
                <w:szCs w:val="24"/>
              </w:rPr>
            </w:pPr>
          </w:p>
          <w:p w14:paraId="6D432066" w14:textId="1FF43D98" w:rsidR="00332BEC" w:rsidRDefault="00332BEC" w:rsidP="00332BEC">
            <w:pPr>
              <w:pStyle w:val="ListParagraph"/>
              <w:widowControl w:val="0"/>
              <w:numPr>
                <w:ilvl w:val="0"/>
                <w:numId w:val="2"/>
              </w:numPr>
              <w:rPr>
                <w:sz w:val="24"/>
                <w:szCs w:val="24"/>
              </w:rPr>
            </w:pPr>
            <w:r>
              <w:rPr>
                <w:sz w:val="24"/>
              </w:rPr>
              <w:t xml:space="preserve">Are you interested in  </w:t>
            </w:r>
            <w:sdt>
              <w:sdtPr>
                <w:rPr>
                  <w:sz w:val="28"/>
                  <w:szCs w:val="28"/>
                </w:rPr>
                <w:id w:val="-1665625299"/>
                <w14:checkbox>
                  <w14:checked w14:val="1"/>
                  <w14:checkedState w14:val="2611" w14:font="Aptos Narrow"/>
                  <w14:uncheckedState w14:val="2610" w14:font="MS Gothic"/>
                </w14:checkbox>
              </w:sdtPr>
              <w:sdtContent>
                <w:r w:rsidR="00F07163">
                  <w:rPr>
                    <w:rFonts w:ascii="Aptos Narrow" w:hAnsi="Aptos Narrow"/>
                    <w:sz w:val="28"/>
                    <w:szCs w:val="28"/>
                  </w:rPr>
                  <w:t>☑</w:t>
                </w:r>
              </w:sdtContent>
            </w:sdt>
            <w:r w:rsidR="00F07163" w:rsidRPr="004B30EA">
              <w:rPr>
                <w:sz w:val="24"/>
                <w:szCs w:val="24"/>
              </w:rPr>
              <w:t xml:space="preserve">  </w:t>
            </w:r>
            <w:r>
              <w:rPr>
                <w:sz w:val="24"/>
              </w:rPr>
              <w:t xml:space="preserve">Licensing the technology  </w:t>
            </w:r>
            <w:sdt>
              <w:sdtPr>
                <w:rPr>
                  <w:sz w:val="28"/>
                  <w:szCs w:val="28"/>
                </w:rPr>
                <w:id w:val="1524597860"/>
                <w14:checkbox>
                  <w14:checked w14:val="1"/>
                  <w14:checkedState w14:val="2611" w14:font="Aptos Narrow"/>
                  <w14:uncheckedState w14:val="2610" w14:font="MS Gothic"/>
                </w14:checkbox>
              </w:sdtPr>
              <w:sdtContent>
                <w:r w:rsidR="00F07163">
                  <w:rPr>
                    <w:rFonts w:ascii="Aptos Narrow" w:hAnsi="Aptos Narrow"/>
                    <w:sz w:val="28"/>
                    <w:szCs w:val="28"/>
                  </w:rPr>
                  <w:t>☑</w:t>
                </w:r>
              </w:sdtContent>
            </w:sdt>
            <w:r w:rsidR="00F07163" w:rsidRPr="004B30EA">
              <w:rPr>
                <w:sz w:val="24"/>
                <w:szCs w:val="24"/>
              </w:rPr>
              <w:t xml:space="preserve">  </w:t>
            </w:r>
            <w:r>
              <w:rPr>
                <w:sz w:val="24"/>
              </w:rPr>
              <w:t xml:space="preserve">Creating a spin-off   </w:t>
            </w:r>
            <w:sdt>
              <w:sdtPr>
                <w:rPr>
                  <w:sz w:val="28"/>
                  <w:szCs w:val="28"/>
                </w:rPr>
                <w:id w:val="-653520862"/>
                <w14:checkbox>
                  <w14:checked w14:val="0"/>
                  <w14:checkedState w14:val="2611" w14:font="Aptos Narrow"/>
                  <w14:uncheckedState w14:val="2610" w14:font="MS Gothic"/>
                </w14:checkbox>
              </w:sdtPr>
              <w:sdtContent>
                <w:r w:rsidR="00F07163">
                  <w:rPr>
                    <w:rFonts w:ascii="MS Gothic" w:eastAsia="MS Gothic" w:hAnsi="MS Gothic" w:hint="eastAsia"/>
                    <w:sz w:val="28"/>
                    <w:szCs w:val="28"/>
                  </w:rPr>
                  <w:t>☐</w:t>
                </w:r>
              </w:sdtContent>
            </w:sdt>
            <w:r w:rsidR="00F07163" w:rsidRPr="004B30EA">
              <w:rPr>
                <w:sz w:val="24"/>
                <w:szCs w:val="24"/>
              </w:rPr>
              <w:t xml:space="preserve">  </w:t>
            </w:r>
            <w:r>
              <w:rPr>
                <w:sz w:val="24"/>
              </w:rPr>
              <w:t>To be decided later.</w:t>
            </w:r>
          </w:p>
          <w:p w14:paraId="433EDB18" w14:textId="77777777" w:rsidR="00332BEC" w:rsidRPr="00332BEC" w:rsidRDefault="00332BEC" w:rsidP="00332BEC">
            <w:pPr>
              <w:pStyle w:val="ListParagraph"/>
              <w:widowControl w:val="0"/>
              <w:rPr>
                <w:sz w:val="24"/>
                <w:szCs w:val="24"/>
              </w:rPr>
            </w:pPr>
          </w:p>
          <w:p w14:paraId="5D68133D" w14:textId="414CA698" w:rsidR="00AC318E" w:rsidRPr="004B30EA" w:rsidRDefault="00AC318E" w:rsidP="00332BEC">
            <w:pPr>
              <w:pStyle w:val="ListParagraph"/>
              <w:widowControl w:val="0"/>
              <w:numPr>
                <w:ilvl w:val="0"/>
                <w:numId w:val="2"/>
              </w:numPr>
              <w:rPr>
                <w:sz w:val="24"/>
                <w:szCs w:val="24"/>
              </w:rPr>
            </w:pPr>
            <w:r>
              <w:rPr>
                <w:sz w:val="24"/>
              </w:rPr>
              <w:t xml:space="preserve">Are you in discussion with any companies in the industry? </w:t>
            </w:r>
            <w:r>
              <w:rPr>
                <w:sz w:val="24"/>
              </w:rPr>
              <w:tab/>
            </w:r>
            <w:r>
              <w:rPr>
                <w:sz w:val="24"/>
              </w:rPr>
              <w:tab/>
              <w:t xml:space="preserve">  </w:t>
            </w:r>
            <w:sdt>
              <w:sdtPr>
                <w:rPr>
                  <w:sz w:val="28"/>
                  <w:szCs w:val="28"/>
                </w:rPr>
                <w:id w:val="1143931959"/>
                <w14:checkbox>
                  <w14:checked w14:val="0"/>
                  <w14:checkedState w14:val="2611" w14:font="Aptos Narrow"/>
                  <w14:uncheckedState w14:val="2610" w14:font="MS Gothic"/>
                </w14:checkbox>
              </w:sdtPr>
              <w:sdtContent>
                <w:r w:rsidR="0074323F">
                  <w:rPr>
                    <w:rFonts w:ascii="MS Gothic" w:eastAsia="MS Gothic" w:hAnsi="MS Gothic" w:hint="eastAsia"/>
                    <w:sz w:val="28"/>
                    <w:szCs w:val="28"/>
                  </w:rPr>
                  <w:t>☐</w:t>
                </w:r>
              </w:sdtContent>
            </w:sdt>
            <w:r w:rsidR="00F07163" w:rsidRPr="004B30EA">
              <w:rPr>
                <w:sz w:val="24"/>
                <w:szCs w:val="24"/>
              </w:rPr>
              <w:t xml:space="preserve">  </w:t>
            </w:r>
            <w:r>
              <w:rPr>
                <w:sz w:val="24"/>
              </w:rPr>
              <w:t xml:space="preserve">Yes   </w:t>
            </w:r>
            <w:sdt>
              <w:sdtPr>
                <w:rPr>
                  <w:sz w:val="28"/>
                  <w:szCs w:val="28"/>
                </w:rPr>
                <w:id w:val="-597095904"/>
                <w14:checkbox>
                  <w14:checked w14:val="1"/>
                  <w14:checkedState w14:val="2611" w14:font="Aptos Narrow"/>
                  <w14:uncheckedState w14:val="2610" w14:font="MS Gothic"/>
                </w14:checkbox>
              </w:sdtPr>
              <w:sdtContent>
                <w:r w:rsidR="0074323F">
                  <w:rPr>
                    <w:rFonts w:ascii="Aptos Narrow" w:hAnsi="Aptos Narrow"/>
                    <w:sz w:val="28"/>
                    <w:szCs w:val="28"/>
                  </w:rPr>
                  <w:t>☑</w:t>
                </w:r>
              </w:sdtContent>
            </w:sdt>
            <w:r w:rsidR="00F07163" w:rsidRPr="004B30EA">
              <w:rPr>
                <w:sz w:val="24"/>
                <w:szCs w:val="24"/>
              </w:rPr>
              <w:t xml:space="preserve">  </w:t>
            </w:r>
            <w:r>
              <w:rPr>
                <w:sz w:val="24"/>
              </w:rPr>
              <w:t>No</w:t>
            </w:r>
          </w:p>
          <w:p w14:paraId="7CB6FE19" w14:textId="77777777" w:rsidR="00AC318E" w:rsidRDefault="00AC318E" w:rsidP="00332BEC">
            <w:pPr>
              <w:pStyle w:val="ListParagraph"/>
              <w:widowControl w:val="0"/>
              <w:rPr>
                <w:rFonts w:eastAsiaTheme="minorEastAsia"/>
                <w:sz w:val="24"/>
              </w:rPr>
            </w:pPr>
            <w:r>
              <w:rPr>
                <w:sz w:val="24"/>
              </w:rPr>
              <w:t>If yes, kindly state company names and comments: Exploratory technical discussions with selected infrastructure, construction, and monitoring-industry stakeholders; company names to be confirmed before disclosure.</w:t>
            </w:r>
          </w:p>
          <w:p w14:paraId="14E53101" w14:textId="77777777" w:rsidR="0074323F" w:rsidRPr="0074323F" w:rsidRDefault="0074323F" w:rsidP="00332BEC">
            <w:pPr>
              <w:pStyle w:val="ListParagraph"/>
              <w:widowControl w:val="0"/>
              <w:rPr>
                <w:rFonts w:eastAsiaTheme="minorEastAsia" w:hint="eastAsia"/>
                <w:sz w:val="24"/>
                <w:szCs w:val="24"/>
                <w:lang w:val="en-SG"/>
              </w:rPr>
            </w:pPr>
          </w:p>
          <w:p w14:paraId="133EF75A" w14:textId="711DFAAF" w:rsidR="00332BEC" w:rsidRPr="004B30EA" w:rsidRDefault="00332BEC" w:rsidP="00332BEC">
            <w:pPr>
              <w:pStyle w:val="ListParagraph"/>
              <w:widowControl w:val="0"/>
              <w:numPr>
                <w:ilvl w:val="0"/>
                <w:numId w:val="2"/>
              </w:numPr>
              <w:rPr>
                <w:sz w:val="24"/>
                <w:szCs w:val="24"/>
              </w:rPr>
            </w:pPr>
            <w:r>
              <w:rPr>
                <w:sz w:val="24"/>
              </w:rPr>
              <w:t xml:space="preserve">Has this project received any prior funding? </w:t>
            </w:r>
            <w:r>
              <w:rPr>
                <w:sz w:val="24"/>
              </w:rPr>
              <w:tab/>
            </w:r>
            <w:r>
              <w:rPr>
                <w:sz w:val="24"/>
              </w:rPr>
              <w:tab/>
            </w:r>
            <w:r>
              <w:rPr>
                <w:sz w:val="24"/>
              </w:rPr>
              <w:tab/>
            </w:r>
            <w:r>
              <w:rPr>
                <w:sz w:val="24"/>
              </w:rPr>
              <w:tab/>
              <w:t xml:space="preserve">  </w:t>
            </w:r>
            <w:sdt>
              <w:sdtPr>
                <w:rPr>
                  <w:sz w:val="28"/>
                  <w:szCs w:val="28"/>
                </w:rPr>
                <w:id w:val="1544643073"/>
                <w14:checkbox>
                  <w14:checked w14:val="1"/>
                  <w14:checkedState w14:val="2611" w14:font="Aptos Narrow"/>
                  <w14:uncheckedState w14:val="2610" w14:font="MS Gothic"/>
                </w14:checkbox>
              </w:sdtPr>
              <w:sdtContent>
                <w:r w:rsidR="00F07163">
                  <w:rPr>
                    <w:rFonts w:ascii="Aptos Narrow" w:hAnsi="Aptos Narrow"/>
                    <w:sz w:val="28"/>
                    <w:szCs w:val="28"/>
                  </w:rPr>
                  <w:t>☑</w:t>
                </w:r>
              </w:sdtContent>
            </w:sdt>
            <w:r w:rsidR="00F07163" w:rsidRPr="004B30EA">
              <w:rPr>
                <w:sz w:val="24"/>
                <w:szCs w:val="24"/>
              </w:rPr>
              <w:t xml:space="preserve">  </w:t>
            </w:r>
            <w:r>
              <w:rPr>
                <w:sz w:val="24"/>
              </w:rPr>
              <w:t>Yes    ☐ No</w:t>
            </w:r>
          </w:p>
          <w:p w14:paraId="71A3EB51" w14:textId="52EF157A" w:rsidR="00332BEC" w:rsidRPr="00F05FC7" w:rsidRDefault="00332BEC" w:rsidP="00332BEC">
            <w:pPr>
              <w:pStyle w:val="ListParagraph"/>
              <w:widowControl w:val="0"/>
              <w:rPr>
                <w:rFonts w:eastAsiaTheme="minorEastAsia" w:hint="eastAsia"/>
                <w:sz w:val="24"/>
                <w:szCs w:val="24"/>
              </w:rPr>
            </w:pPr>
            <w:r w:rsidRPr="004B30EA">
              <w:rPr>
                <w:sz w:val="24"/>
                <w:szCs w:val="24"/>
              </w:rPr>
              <w:t xml:space="preserve">If yes, kindly state: </w:t>
            </w:r>
            <w:r w:rsidR="00290AC5">
              <w:rPr>
                <w:rFonts w:eastAsiaTheme="minorEastAsia" w:hint="eastAsia"/>
                <w:sz w:val="24"/>
                <w:szCs w:val="24"/>
              </w:rPr>
              <w:t xml:space="preserve"> </w:t>
            </w:r>
            <w:r w:rsidR="00290AC5" w:rsidRPr="00290AC5">
              <w:rPr>
                <w:rFonts w:eastAsiaTheme="minorEastAsia" w:hint="eastAsia"/>
                <w:sz w:val="24"/>
                <w:szCs w:val="24"/>
                <w:u w:val="single"/>
              </w:rPr>
              <w:t xml:space="preserve"> </w:t>
            </w:r>
            <w:r w:rsidR="008D7304" w:rsidRPr="00290AC5">
              <w:rPr>
                <w:u w:val="single"/>
              </w:rPr>
              <w:t xml:space="preserve">MOE </w:t>
            </w:r>
            <w:proofErr w:type="spellStart"/>
            <w:r w:rsidR="008D7304" w:rsidRPr="00290AC5">
              <w:rPr>
                <w:u w:val="single"/>
              </w:rPr>
              <w:t>AcRF</w:t>
            </w:r>
            <w:proofErr w:type="spellEnd"/>
            <w:r w:rsidR="008D7304" w:rsidRPr="00290AC5">
              <w:rPr>
                <w:u w:val="single"/>
              </w:rPr>
              <w:t xml:space="preserve"> Tier 1, RG146/23</w:t>
            </w:r>
            <w:r w:rsidR="00290AC5" w:rsidRPr="00290AC5">
              <w:rPr>
                <w:rFonts w:eastAsiaTheme="minorEastAsia" w:hint="eastAsia"/>
                <w:u w:val="single"/>
              </w:rPr>
              <w:t xml:space="preserve">  </w:t>
            </w:r>
            <w:r w:rsidR="008D7304" w:rsidRPr="00290AC5">
              <w:rPr>
                <w:u w:val="single"/>
              </w:rPr>
              <w:t xml:space="preserve"> </w:t>
            </w:r>
          </w:p>
          <w:p w14:paraId="38878866" w14:textId="77777777" w:rsidR="00332BEC" w:rsidRPr="00332BEC" w:rsidRDefault="00332BEC" w:rsidP="00332BEC">
            <w:pPr>
              <w:widowControl w:val="0"/>
            </w:pPr>
          </w:p>
          <w:p w14:paraId="42888234" w14:textId="5B2DDADC" w:rsidR="00332BEC" w:rsidRPr="00332BEC" w:rsidRDefault="00332BEC" w:rsidP="00332BEC">
            <w:pPr>
              <w:pStyle w:val="ListParagraph"/>
              <w:numPr>
                <w:ilvl w:val="0"/>
                <w:numId w:val="2"/>
              </w:numPr>
              <w:contextualSpacing w:val="0"/>
              <w:rPr>
                <w:sz w:val="24"/>
                <w:szCs w:val="24"/>
              </w:rPr>
            </w:pPr>
            <w:r>
              <w:rPr>
                <w:sz w:val="24"/>
              </w:rPr>
              <w:t xml:space="preserve">Do you have research funding in place to further this technology (excluding potential POC grant)?                                                                                          </w:t>
            </w:r>
            <w:sdt>
              <w:sdtPr>
                <w:rPr>
                  <w:sz w:val="28"/>
                  <w:szCs w:val="28"/>
                </w:rPr>
                <w:id w:val="-381482042"/>
                <w14:checkbox>
                  <w14:checked w14:val="0"/>
                  <w14:checkedState w14:val="2611" w14:font="Aptos Narrow"/>
                  <w14:uncheckedState w14:val="2610" w14:font="MS Gothic"/>
                </w14:checkbox>
              </w:sdtPr>
              <w:sdtContent>
                <w:r w:rsidR="00F07163">
                  <w:rPr>
                    <w:rFonts w:ascii="MS Gothic" w:eastAsia="MS Gothic" w:hAnsi="MS Gothic" w:hint="eastAsia"/>
                    <w:sz w:val="28"/>
                    <w:szCs w:val="28"/>
                  </w:rPr>
                  <w:t>☐</w:t>
                </w:r>
              </w:sdtContent>
            </w:sdt>
            <w:r w:rsidR="00F07163" w:rsidRPr="004B30EA">
              <w:rPr>
                <w:sz w:val="24"/>
                <w:szCs w:val="24"/>
              </w:rPr>
              <w:t xml:space="preserve">  </w:t>
            </w:r>
            <w:r>
              <w:rPr>
                <w:sz w:val="24"/>
              </w:rPr>
              <w:t xml:space="preserve">Yes    </w:t>
            </w:r>
            <w:sdt>
              <w:sdtPr>
                <w:rPr>
                  <w:sz w:val="28"/>
                  <w:szCs w:val="28"/>
                </w:rPr>
                <w:id w:val="-562714818"/>
                <w14:checkbox>
                  <w14:checked w14:val="1"/>
                  <w14:checkedState w14:val="2611" w14:font="Aptos Narrow"/>
                  <w14:uncheckedState w14:val="2610" w14:font="MS Gothic"/>
                </w14:checkbox>
              </w:sdtPr>
              <w:sdtContent>
                <w:r w:rsidR="00F07163">
                  <w:rPr>
                    <w:rFonts w:ascii="Aptos Narrow" w:hAnsi="Aptos Narrow"/>
                    <w:sz w:val="28"/>
                    <w:szCs w:val="28"/>
                  </w:rPr>
                  <w:t>☑</w:t>
                </w:r>
              </w:sdtContent>
            </w:sdt>
            <w:r w:rsidR="00F07163" w:rsidRPr="004B30EA">
              <w:rPr>
                <w:sz w:val="24"/>
                <w:szCs w:val="24"/>
              </w:rPr>
              <w:t xml:space="preserve">  </w:t>
            </w:r>
            <w:r>
              <w:rPr>
                <w:sz w:val="24"/>
              </w:rPr>
              <w:t>No</w:t>
            </w:r>
          </w:p>
          <w:p w14:paraId="09F7D3DE" w14:textId="77777777" w:rsidR="00332BEC" w:rsidRDefault="00332BEC" w:rsidP="00332BEC">
            <w:pPr>
              <w:pStyle w:val="ListParagraph"/>
              <w:widowControl w:val="0"/>
              <w:rPr>
                <w:sz w:val="24"/>
                <w:szCs w:val="24"/>
              </w:rPr>
            </w:pPr>
            <w:r w:rsidRPr="004B30EA">
              <w:rPr>
                <w:sz w:val="24"/>
                <w:szCs w:val="24"/>
              </w:rPr>
              <w:t>If yes, kindly state: _____________________________________</w:t>
            </w:r>
          </w:p>
          <w:p w14:paraId="0387B05D" w14:textId="77777777" w:rsidR="00332BEC" w:rsidRPr="00332BEC" w:rsidRDefault="00332BEC" w:rsidP="00332BEC">
            <w:pPr>
              <w:pStyle w:val="ListParagraph"/>
              <w:widowControl w:val="0"/>
              <w:rPr>
                <w:sz w:val="24"/>
                <w:szCs w:val="24"/>
              </w:rPr>
            </w:pPr>
          </w:p>
        </w:tc>
      </w:tr>
    </w:tbl>
    <w:p w14:paraId="27EE3FDA" w14:textId="77777777" w:rsidR="00E4627E" w:rsidRDefault="00E4627E" w:rsidP="00E4627E">
      <w:pPr>
        <w:jc w:val="both"/>
        <w:rPr>
          <w:sz w:val="22"/>
          <w:szCs w:val="22"/>
        </w:rPr>
      </w:pPr>
    </w:p>
    <w:p w14:paraId="7A1465DC" w14:textId="77777777" w:rsidR="00E4627E" w:rsidRDefault="00E4627E" w:rsidP="00E4627E">
      <w:pPr>
        <w:jc w:val="both"/>
        <w:rPr>
          <w:b/>
          <w:sz w:val="28"/>
          <w:szCs w:val="28"/>
        </w:rPr>
      </w:pPr>
      <w:r w:rsidRPr="004B30EA">
        <w:rPr>
          <w:b/>
          <w:sz w:val="22"/>
          <w:szCs w:val="28"/>
        </w:rPr>
        <w:t>Project Details</w:t>
      </w:r>
    </w:p>
    <w:p w14:paraId="7B9496B0" w14:textId="77777777" w:rsidR="00E4627E" w:rsidRPr="004B30EA" w:rsidRDefault="00E4627E" w:rsidP="00E4627E">
      <w:pPr>
        <w:jc w:val="both"/>
        <w:rPr>
          <w:sz w:val="22"/>
          <w:szCs w:val="22"/>
        </w:rPr>
      </w:pPr>
    </w:p>
    <w:p w14:paraId="0E65E230" w14:textId="77777777" w:rsidR="00E4627E" w:rsidRPr="004B30EA" w:rsidRDefault="00E4627E" w:rsidP="00E4627E">
      <w:pPr>
        <w:jc w:val="both"/>
        <w:rPr>
          <w:b/>
          <w:bCs/>
          <w:sz w:val="28"/>
          <w:szCs w:val="28"/>
          <w:lang w:val="en-GB"/>
        </w:rPr>
      </w:pPr>
      <w:r w:rsidRPr="004B30EA">
        <w:rPr>
          <w:b/>
          <w:bCs/>
          <w:sz w:val="22"/>
          <w:szCs w:val="28"/>
          <w:lang w:val="en-GB"/>
        </w:rPr>
        <w:t>1.</w:t>
      </w:r>
      <w:r w:rsidRPr="004B30EA">
        <w:rPr>
          <w:b/>
          <w:bCs/>
          <w:sz w:val="22"/>
          <w:szCs w:val="28"/>
          <w:lang w:val="en-GB"/>
        </w:rPr>
        <w:tab/>
        <w:t>Executive Summary</w:t>
      </w:r>
    </w:p>
    <w:p w14:paraId="75A315D7" w14:textId="77777777" w:rsidR="00E4627E" w:rsidRPr="004B30EA" w:rsidRDefault="00E4627E" w:rsidP="00E4627E">
      <w:pPr>
        <w:jc w:val="both"/>
        <w:rPr>
          <w:lang w:val="en-GB"/>
        </w:rPr>
      </w:pPr>
    </w:p>
    <w:p w14:paraId="0C89C11C" w14:textId="77777777" w:rsidR="00D15E5A" w:rsidRDefault="00E4627E" w:rsidP="00E4627E">
      <w:pPr>
        <w:spacing w:after="200"/>
        <w:jc w:val="both"/>
        <w:rPr>
          <w:i/>
          <w:iCs/>
          <w:lang w:val="en-GB"/>
        </w:rPr>
      </w:pPr>
      <w:r w:rsidRPr="004B30EA">
        <w:rPr>
          <w:i/>
          <w:iCs/>
          <w:sz w:val="22"/>
          <w:lang w:val="en-GB"/>
        </w:rPr>
        <w:t xml:space="preserve">Please give </w:t>
      </w:r>
      <w:proofErr w:type="gramStart"/>
      <w:r w:rsidRPr="004B30EA">
        <w:rPr>
          <w:i/>
          <w:iCs/>
          <w:sz w:val="22"/>
          <w:lang w:val="en-GB"/>
        </w:rPr>
        <w:t>a brief summary</w:t>
      </w:r>
      <w:proofErr w:type="gramEnd"/>
      <w:r w:rsidRPr="004B30EA">
        <w:rPr>
          <w:i/>
          <w:iCs/>
          <w:sz w:val="22"/>
          <w:lang w:val="en-GB"/>
        </w:rPr>
        <w:t xml:space="preserve"> (no more than 500 words), with minimal technical terms, of the objectives and the scope of the project. The summary should also include the market need, proposed solution and comparison with </w:t>
      </w:r>
      <w:r w:rsidR="000227C1">
        <w:rPr>
          <w:i/>
          <w:iCs/>
          <w:sz w:val="22"/>
          <w:lang w:val="en-GB"/>
        </w:rPr>
        <w:t>competitors</w:t>
      </w:r>
      <w:r w:rsidRPr="004B30EA">
        <w:rPr>
          <w:b/>
          <w:bCs/>
          <w:i/>
          <w:iCs/>
          <w:sz w:val="22"/>
          <w:lang w:val="en-GB"/>
        </w:rPr>
        <w:t>.</w:t>
      </w:r>
      <w:r w:rsidRPr="004B30EA">
        <w:rPr>
          <w:i/>
          <w:iCs/>
          <w:sz w:val="22"/>
          <w:lang w:val="en-GB"/>
        </w:rPr>
        <w:t xml:space="preserve"> </w:t>
      </w:r>
    </w:p>
    <w:p w14:paraId="1BC20725" w14:textId="77777777" w:rsidR="00453AC6" w:rsidRDefault="00453AC6" w:rsidP="00E4627E">
      <w:pPr>
        <w:jc w:val="both"/>
        <w:rPr>
          <w:b/>
          <w:bCs/>
          <w:sz w:val="28"/>
          <w:szCs w:val="28"/>
          <w:lang w:val="en-GB"/>
        </w:rPr>
      </w:pPr>
    </w:p>
    <w:p w14:paraId="7D98E437" w14:textId="77777777" w:rsidR="004A03EA" w:rsidRDefault="004A03EA" w:rsidP="004A03EA">
      <w:pPr>
        <w:spacing w:after="80"/>
        <w:jc w:val="both"/>
      </w:pPr>
      <w:r w:rsidRPr="004A03EA">
        <w:rPr>
          <w:b/>
          <w:bCs/>
          <w:sz w:val="22"/>
        </w:rPr>
        <w:t>Market Need: evidence from the moment that matters.</w:t>
      </w:r>
      <w:proofErr w:type="gramStart"/>
      <w:proofErr w:type="gramEnd"/>
      <w:proofErr w:type="gramStart"/>
      <w:proofErr w:type="gramEnd"/>
      <w:r>
        <w:rPr>
          <w:b w:val="0"/>
          <w:sz w:val="22"/>
        </w:rPr>
        <w:t xml:space="preserve"> In infrastructure, construction, transport and distributed monitoring, the value of a monitoring system is decided at the moment something happens: an impact, abnormal vibration, an equipment stoppage, a sudden structural response. Whether it is decided in the customer's favour depends on whether the system noticed. Such records support safety assessment, maintenance decisions, accountability and dispute resolution. Yet many monitoring nodes run on limited power, storage, bandwidth and site access, so the detection decision must be made well under constraint.</w:t>
      </w:r>
    </w:p>
    <w:p w14:paraId="6D7800A6" w14:textId="77777777" w:rsidR="004A03EA" w:rsidRPr="004A03EA" w:rsidRDefault="004A03EA" w:rsidP="004A03EA">
      <w:pPr>
        <w:jc w:val="both"/>
      </w:pPr>
    </w:p>
    <w:p w14:paraId="2FBDC516" w14:textId="77777777" w:rsidR="00D70113" w:rsidRDefault="00C9380D" w:rsidP="004A03EA">
      <w:pPr>
        <w:spacing w:after="80"/>
        <w:jc w:val="both"/>
        <w:rPr>
          <w:b/>
          <w:bCs/>
        </w:rPr>
      </w:pPr>
      <w:r w:rsidRPr="00C9380D">
        <w:rPr>
          <w:b/>
          <w:bCs/>
          <w:sz w:val="22"/>
        </w:rPr>
        <w:t>Core Challenge: detecting what matters without drowning in what does not.</w:t>
      </w:r>
      <w:proofErr w:type="gramStart"/>
      <w:proofErr w:type="gramEnd"/>
      <w:r>
        <w:rPr>
          <w:b w:val="0"/>
          <w:sz w:val="22"/>
        </w:rPr>
        <w:t xml:space="preserve"> Sudden events are rare, short and hard to reproduce; once missed the evidence is lost, and because a missed detection leaves no trace the operator cannot know it happened. Always-on recording notices everything but exhausts batteries and storage. Periodic or duty-cycled sampling makes no detection decision at all and may sleep through the event that matters. Fixed-threshold triggering does decide, but from conditions an engineer sets once: set conservatively it floods the customer with irrelevant records and the staff time to review them; set tightly it misses the events the system was installed to capture.</w:t>
      </w:r>
    </w:p>
    <w:p w14:paraId="1E3E9C4F" w14:textId="77777777" w:rsidR="00C9380D" w:rsidRPr="004A03EA" w:rsidRDefault="00C9380D" w:rsidP="004A03EA">
      <w:pPr>
        <w:jc w:val="both"/>
      </w:pPr>
    </w:p>
    <w:p w14:paraId="62FF48D5" w14:textId="77777777" w:rsidR="004A03EA" w:rsidRDefault="004A03EA" w:rsidP="004A03EA">
      <w:pPr>
        <w:spacing w:after="80"/>
        <w:jc w:val="both"/>
      </w:pPr>
      <w:r w:rsidRPr="004A03EA">
        <w:rPr>
          <w:b/>
          <w:bCs/>
          <w:sz w:val="22"/>
        </w:rPr>
        <w:t>Proposed Solution: a detection decision that corrects itself.</w:t>
      </w:r>
      <w:proofErr w:type="gramStart"/>
      <w:proofErr w:type="gramEnd"/>
      <w:proofErr w:type="gramStart"/>
      <w:proofErr w:type="gramEnd"/>
      <w:r>
        <w:rPr>
          <w:b w:val="0"/>
          <w:sz w:val="22"/>
        </w:rPr>
        <w:t xml:space="preserve"> This project will develop an embeddable smart adaptive event and anomaly capture module for resource-constrained monitoring systems. A low-resource sentinel stage watches continuously; when the signal indicates a meaningful event, detailed recording is woken and usable data captured around the incident. The core technology is an adaptive detection method: the node assesses its own detection quality on the device, including an estimate of what it is likely to be missing, and moves its operating point as the environment changes. The balance between missed detections and false alarms is a setting the customer chooses.</w:t>
      </w:r>
    </w:p>
    <w:p w14:paraId="7699EDD0" w14:textId="77777777" w:rsidR="004A03EA" w:rsidRPr="004A03EA" w:rsidRDefault="004A03EA" w:rsidP="004A03EA">
      <w:pPr>
        <w:jc w:val="both"/>
      </w:pPr>
    </w:p>
    <w:p w14:paraId="0A454DFC" w14:textId="77777777" w:rsidR="004A03EA" w:rsidRDefault="004A03EA" w:rsidP="004A03EA">
      <w:pPr>
        <w:spacing w:after="80"/>
        <w:jc w:val="both"/>
      </w:pPr>
      <w:r w:rsidRPr="004A03EA">
        <w:rPr>
          <w:b/>
          <w:bCs/>
          <w:sz w:val="22"/>
        </w:rPr>
        <w:t>Project Scope and Objectives: from a demonstrated method to a pre-commercial prototype.</w:t>
      </w:r>
      <w:r>
        <w:rPr>
          <w:b w:val="0"/>
          <w:sz w:val="22"/>
        </w:rPr>
        <w:t xml:space="preserve"> The project focuses on a module that monitoring equipment manufacturers can integrate into their own products, not a monitoring service or cloud platform. The work covers prototype hardware and firmware; laboratory validation under representative event and anomaly conditions; benchmarking against periodic sampling and fixed-threshold triggering; and pilot validation in a focused use case such as construction vibration, structural response, transport shock, or industrial equipment anomaly monitoring. Key indicators are detection quality, namely missed detections, false alarms, detection floor and detection latency, with resource load, integration effort and the decision usefulness of the records.</w:t>
      </w:r>
    </w:p>
    <w:p w14:paraId="1FCD751F" w14:textId="77777777" w:rsidR="004A03EA" w:rsidRPr="004A03EA" w:rsidRDefault="004A03EA" w:rsidP="004A03EA">
      <w:pPr>
        <w:jc w:val="both"/>
      </w:pPr>
    </w:p>
    <w:p w14:paraId="2812DF0F" w14:textId="77777777" w:rsidR="004A03EA" w:rsidRPr="004B0825" w:rsidRDefault="004A03EA" w:rsidP="00E4627E">
      <w:pPr>
        <w:spacing w:after="80"/>
        <w:jc w:val="both"/>
      </w:pPr>
      <w:r w:rsidRPr="004A03EA">
        <w:rPr>
          <w:b/>
          <w:bCs/>
          <w:sz w:val="22"/>
        </w:rPr>
        <w:t>Competitive Position and Commercial Path: a module-level route to adoption.</w:t>
      </w:r>
      <w:proofErr w:type="gramStart"/>
      <w:proofErr w:type="gramEnd"/>
      <w:r>
        <w:rPr>
          <w:b w:val="0"/>
          <w:sz w:val="22"/>
        </w:rPr>
        <w:t xml:space="preserve"> Chips and development kits provide components, but customers must still design, tune and validate the detection workflow. Complete monitoring nodes record events, but their detection decision is fixed at design time and cannot be reused across products. Our solution addresses the missing middle: an adaptive detection and capture module embedded into third-party monitoring devices. The commercial pathway is module supply, licensing, or joint development with monitoring equipment manufacturers, supported by field partners who validate the buying reason before scale-up.</w:t>
      </w:r>
    </w:p>
    <w:p w14:paraId="77041026" w14:textId="77777777" w:rsidR="004A03EA" w:rsidRDefault="004A03EA" w:rsidP="00E4627E">
      <w:pPr>
        <w:jc w:val="both"/>
        <w:rPr>
          <w:b/>
          <w:bCs/>
          <w:sz w:val="28"/>
          <w:szCs w:val="28"/>
          <w:lang w:val="en-GB"/>
        </w:rPr>
      </w:pPr>
    </w:p>
    <w:p w14:paraId="71EC6981" w14:textId="77777777" w:rsidR="00E4627E" w:rsidRPr="004B30EA" w:rsidRDefault="00E4627E" w:rsidP="00E4627E">
      <w:pPr>
        <w:jc w:val="both"/>
        <w:rPr>
          <w:b/>
          <w:bCs/>
          <w:sz w:val="28"/>
          <w:szCs w:val="28"/>
          <w:lang w:val="en-GB"/>
        </w:rPr>
      </w:pPr>
      <w:r w:rsidRPr="004B30EA">
        <w:rPr>
          <w:b/>
          <w:bCs/>
          <w:sz w:val="22"/>
          <w:szCs w:val="28"/>
          <w:lang w:val="en-GB"/>
        </w:rPr>
        <w:t>2.</w:t>
      </w:r>
      <w:r w:rsidRPr="004B30EA">
        <w:rPr>
          <w:b/>
          <w:bCs/>
          <w:sz w:val="22"/>
          <w:szCs w:val="28"/>
          <w:lang w:val="en-GB"/>
        </w:rPr>
        <w:tab/>
        <w:t>Value Proposition</w:t>
      </w:r>
    </w:p>
    <w:p w14:paraId="159862B1" w14:textId="77777777" w:rsidR="00E4627E" w:rsidRPr="004B30EA" w:rsidRDefault="00E4627E" w:rsidP="00E4627E">
      <w:pPr>
        <w:jc w:val="both"/>
        <w:rPr>
          <w:b/>
          <w:bCs/>
          <w:lang w:val="en-GB"/>
        </w:rPr>
      </w:pPr>
    </w:p>
    <w:p w14:paraId="120ED846" w14:textId="77777777" w:rsidR="00E4627E" w:rsidRPr="004B30EA" w:rsidRDefault="00E4627E" w:rsidP="00E4627E">
      <w:pPr>
        <w:jc w:val="both"/>
        <w:rPr>
          <w:b/>
          <w:bCs/>
          <w:lang w:val="en-GB"/>
        </w:rPr>
      </w:pPr>
      <w:r w:rsidRPr="004B30EA">
        <w:rPr>
          <w:b/>
          <w:bCs/>
          <w:sz w:val="22"/>
          <w:lang w:val="en-GB"/>
        </w:rPr>
        <w:t>2.1</w:t>
      </w:r>
      <w:r w:rsidRPr="004B30EA">
        <w:rPr>
          <w:b/>
          <w:bCs/>
          <w:sz w:val="22"/>
          <w:lang w:val="en-GB"/>
        </w:rPr>
        <w:tab/>
        <w:t>Problem Statement</w:t>
      </w:r>
    </w:p>
    <w:p w14:paraId="5E8BC334" w14:textId="77777777" w:rsidR="00E4627E" w:rsidRPr="004B30EA" w:rsidRDefault="00E4627E" w:rsidP="00E4627E">
      <w:pPr>
        <w:jc w:val="both"/>
        <w:rPr>
          <w:b/>
          <w:bCs/>
          <w:lang w:val="en-GB"/>
        </w:rPr>
      </w:pPr>
    </w:p>
    <w:p w14:paraId="32CC9090" w14:textId="77777777" w:rsidR="00237560" w:rsidRPr="00331753" w:rsidRDefault="00E4627E" w:rsidP="00331753">
      <w:pPr>
        <w:spacing w:after="200"/>
        <w:jc w:val="both"/>
        <w:rPr>
          <w:i/>
          <w:iCs/>
          <w:lang w:val="en-GB"/>
        </w:rPr>
      </w:pPr>
      <w:r w:rsidRPr="004B30EA">
        <w:rPr>
          <w:i/>
          <w:iCs/>
          <w:sz w:val="22"/>
          <w:lang w:val="en-GB"/>
        </w:rPr>
        <w:t xml:space="preserve">Briefly describe the problem to be solved and existing </w:t>
      </w:r>
      <w:r w:rsidR="000227C1">
        <w:rPr>
          <w:i/>
          <w:iCs/>
          <w:sz w:val="22"/>
          <w:lang w:val="en-GB"/>
        </w:rPr>
        <w:t>solutions in the market</w:t>
      </w:r>
      <w:r w:rsidRPr="004B30EA">
        <w:rPr>
          <w:i/>
          <w:iCs/>
          <w:sz w:val="22"/>
          <w:lang w:val="en-GB"/>
        </w:rPr>
        <w:t>.</w:t>
      </w:r>
    </w:p>
    <w:p w14:paraId="6CD2A2A7" w14:textId="77777777" w:rsidR="00F6574F" w:rsidRPr="00B50BD9" w:rsidRDefault="00000000" w:rsidP="00B50BD9">
      <w:pPr>
        <w:spacing w:after="120" w:line="252" w:lineRule="auto"/>
        <w:jc w:val="both"/>
      </w:pPr>
      <w:r>
        <w:rPr>
          <w:sz w:val="22"/>
        </w:rPr>
        <w:t>In infrastructure, industrial operations, construction, transport and distributed monitoring, the urgent problem is detection quality under constraint: noticing the events and anomalies that matter, as completely as possible, without spending scarce system resources on records that do not. Critical events such as abnormal vibration, impact, equipment stoppage or sudden structural response may last only seconds and may not recur under the same conditions. If the node is asleep, the trigger is too strict, or the system reacts too late, the event is missed permanently, and because a missed detection leaves no record the operator has no way of knowing it happened. If the trigger is too loose, the node repeatedly records noise or minor disturbances, consuming battery, storage, wireless bandwidth and, most expensively, the engineering attention needed to review them. This is a serious gap for resource-constrained monitoring systems deployed at hard-to-access sites, where limited power and memory should be reserved for the moments that matter. The problem to be solved is therefore clear and commercially important: keep missed detections close to zero while sharply reducing false alarms, so that monitoring systems spend their limited resources on the critical event records that support safety assessment, fault diagnosis, maintenance decisions, complaint response and accountability.</w:t>
      </w:r>
    </w:p>
    <w:p w14:paraId="67B6BF4D" w14:textId="77777777" w:rsidR="00E4627E" w:rsidRPr="004B30EA" w:rsidRDefault="00E4627E" w:rsidP="00E4627E">
      <w:pPr>
        <w:jc w:val="both"/>
        <w:rPr>
          <w:b/>
          <w:bCs/>
          <w:lang w:val="en-GB"/>
        </w:rPr>
      </w:pPr>
    </w:p>
    <w:p w14:paraId="68D5D6B2" w14:textId="77777777" w:rsidR="00E4627E" w:rsidRPr="004B30EA" w:rsidRDefault="00E4627E" w:rsidP="00E4627E">
      <w:pPr>
        <w:jc w:val="both"/>
        <w:rPr>
          <w:b/>
          <w:bCs/>
          <w:lang w:val="en-GB"/>
        </w:rPr>
      </w:pPr>
      <w:r w:rsidRPr="004B30EA">
        <w:rPr>
          <w:b/>
          <w:bCs/>
          <w:sz w:val="22"/>
          <w:lang w:val="en-GB"/>
        </w:rPr>
        <w:t>2.2</w:t>
      </w:r>
      <w:r w:rsidRPr="004B30EA">
        <w:rPr>
          <w:b/>
          <w:bCs/>
          <w:sz w:val="22"/>
          <w:lang w:val="en-GB"/>
        </w:rPr>
        <w:tab/>
        <w:t>Industry Analysis/Market Assessment</w:t>
      </w:r>
    </w:p>
    <w:p w14:paraId="6E9A4FD1" w14:textId="77777777" w:rsidR="00E4627E" w:rsidRPr="004B30EA" w:rsidRDefault="00E4627E" w:rsidP="00E4627E">
      <w:pPr>
        <w:jc w:val="both"/>
        <w:rPr>
          <w:b/>
          <w:bCs/>
          <w:lang w:val="en-GB"/>
        </w:rPr>
      </w:pPr>
    </w:p>
    <w:p w14:paraId="30F4E702" w14:textId="77777777" w:rsidR="00237560" w:rsidRPr="00331753" w:rsidRDefault="00E4627E" w:rsidP="00331753">
      <w:pPr>
        <w:spacing w:after="200"/>
        <w:jc w:val="both"/>
        <w:rPr>
          <w:i/>
          <w:iCs/>
          <w:lang w:val="en-GB"/>
        </w:rPr>
      </w:pPr>
      <w:r w:rsidRPr="004B30EA">
        <w:rPr>
          <w:i/>
          <w:iCs/>
          <w:sz w:val="22"/>
          <w:lang w:val="en-GB"/>
        </w:rPr>
        <w:t xml:space="preserve">The team should perform an industry analysis/market assessment to identify current and future market trends. It should include the market segment (i.e. the </w:t>
      </w:r>
      <w:r w:rsidR="000227C1">
        <w:rPr>
          <w:i/>
          <w:iCs/>
          <w:sz w:val="22"/>
          <w:lang w:val="en-GB"/>
        </w:rPr>
        <w:t>targ</w:t>
      </w:r>
      <w:r w:rsidR="008A4EBB">
        <w:rPr>
          <w:i/>
          <w:iCs/>
          <w:sz w:val="22"/>
          <w:lang w:val="en-GB"/>
        </w:rPr>
        <w:t>e</w:t>
      </w:r>
      <w:r w:rsidR="000227C1">
        <w:rPr>
          <w:i/>
          <w:iCs/>
          <w:sz w:val="22"/>
          <w:lang w:val="en-GB"/>
        </w:rPr>
        <w:t>ted</w:t>
      </w:r>
      <w:r w:rsidRPr="004B30EA">
        <w:rPr>
          <w:i/>
          <w:iCs/>
          <w:sz w:val="22"/>
          <w:lang w:val="en-GB"/>
        </w:rPr>
        <w:t xml:space="preserve"> customers) and customer analysis.  </w:t>
      </w:r>
    </w:p>
    <w:p w14:paraId="3E4F08B9" w14:textId="77777777" w:rsidR="00F6574F" w:rsidRDefault="00000000">
      <w:pPr>
        <w:spacing w:after="120" w:line="259" w:lineRule="auto"/>
        <w:jc w:val="both"/>
      </w:pPr>
      <w:r>
        <w:rPr>
          <w:b/>
          <w:sz w:val="22"/>
        </w:rPr>
        <w:t>Market backdrop.</w:t>
      </w:r>
      <w:r>
        <w:rPr>
          <w:sz w:val="22"/>
        </w:rPr>
        <w:t xml:space="preserve"> The market opportunity starts from a broad but relevant shift: monitoring is moving from manual inspection and periodic sampling toward dense, wireless, edge-based monitoring in both infrastructure and industrial environments. Public market estimates support the scale of this shift. Infrastructure monitoring is estimated at about USD 8.74 billion in 2026 and projected to reach about USD 14.05 billion by 2031; structural health monitoring is estimated at about USD 3.57 billion in 2025 and projected to reach about USD 5.48 billion by 2030; industrial wireless sensor networks are estimated at about USD 5.19 billion in 2023 and projected to grow at about 12.1% compound annual growth rate (CAGR) toward 2030; condition monitoring equipment is estimated at about USD 3.54 billion in 2026 and projected to reach about USD 5.11 billion by 2031; and predictive maintenance is estimated at about USD 18.90 billion in 2026 and projected to reach about USD 82.17 billion by 2031.</w:t>
      </w:r>
    </w:p>
    <w:p w14:paraId="790E889B" w14:textId="77777777" w:rsidR="00F6574F" w:rsidRDefault="00000000">
      <w:pPr>
        <w:spacing w:after="120" w:line="259" w:lineRule="auto"/>
        <w:jc w:val="both"/>
      </w:pPr>
      <w:r>
        <w:rPr>
          <w:b/>
          <w:sz w:val="22"/>
        </w:rPr>
        <w:t>Scope narrowing.</w:t>
      </w:r>
      <w:r>
        <w:rPr>
          <w:sz w:val="22"/>
        </w:rPr>
        <w:t xml:space="preserve"> The project does not claim the full value of these parent markets. The relevant opportunity is narrowed in four steps: (1) from all monitoring to monitoring nodes that are distributed, battery-powered, storage-limited, bandwidth-limited, or hard to access; (2) from all recorded data to short, rare, high-value </w:t>
      </w:r>
      <w:r>
        <w:rPr>
          <w:sz w:val="22"/>
        </w:rPr>
        <w:lastRenderedPageBreak/>
        <w:t>events and anomalies; (3) from all suppliers to equipment manufacturers and system builders that can embed an event/anomaly capture function into many nodes; and (4) from broad market value to attachable module, software, licensing, and integration revenue. This narrowing makes the market logic more credible: the parent markets prove scale, while the narrowed segment defines where customers have a painful and repeated reason to pay.</w:t>
      </w:r>
    </w:p>
    <w:p w14:paraId="3D9B95A0" w14:textId="77777777" w:rsidR="00DA7364" w:rsidRDefault="00000000">
      <w:pPr>
        <w:spacing w:after="120" w:line="259" w:lineRule="auto"/>
        <w:jc w:val="both"/>
      </w:pPr>
      <w:r>
        <w:rPr>
          <w:b/>
          <w:sz w:val="22"/>
        </w:rPr>
        <w:t>Geographic expansion logic.</w:t>
      </w:r>
      <w:r>
        <w:rPr>
          <w:sz w:val="22"/>
        </w:rPr>
        <w:t xml:space="preserve"> The commercial pathway is also a staged geographic expansion from Singapore to Southeast Asia and China. Singapore is the beachhead: a compact, demanding, and credible testbed for construction vibration, civil assets, logistics, and industrial facilities. Southeast Asia is the regional replication layer, where similar infrastructure, port, utility, industrial, and remote-monitoring needs can be served through partners and distributors after the Singapore proof. China is the scale-up layer, with a larger base of monitoring equipment manufacturers, infrastructure projects, transport applications, and industrial assets. The same capability is therefore validated locally first, then expanded through equipment-manufacturer channels and licensing rather than by building a monitoring-service business from scratch.</w:t>
      </w:r>
    </w:p>
    <w:p w14:paraId="14C7E395" w14:textId="77777777" w:rsidR="00DA7364" w:rsidRDefault="00000000">
      <w:pPr>
        <w:jc w:val="center"/>
      </w:pPr>
      <w:r>
        <w:rPr>
          <w:noProof/>
          <w:sz w:val="22"/>
        </w:rPr>
        <w:drawing>
          <wp:inline distT="0" distB="0" distL="0" distR="0" wp14:anchorId="38E8C1CB" wp14:editId="545F61FC">
            <wp:extent cx="5989320" cy="321245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ographic_market_expansion.png"/>
                    <pic:cNvPicPr/>
                  </pic:nvPicPr>
                  <pic:blipFill>
                    <a:blip r:embed="rId9"/>
                    <a:stretch>
                      <a:fillRect/>
                    </a:stretch>
                  </pic:blipFill>
                  <pic:spPr>
                    <a:xfrm>
                      <a:off x="0" y="0"/>
                      <a:ext cx="5989320" cy="3212453"/>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1510"/>
        <w:gridCol w:w="2945"/>
        <w:gridCol w:w="2941"/>
        <w:gridCol w:w="2226"/>
      </w:tblGrid>
      <w:tr w:rsidR="00475C5E" w14:paraId="0C947F75" w14:textId="77777777">
        <w:trPr>
          <w:jc w:val="center"/>
        </w:trPr>
        <w:tc>
          <w:tcPr>
            <w:tcW w:w="1512" w:type="dxa"/>
            <w:shd w:val="clear" w:color="auto" w:fill="EDEDED"/>
            <w:vAlign w:val="center"/>
          </w:tcPr>
          <w:p w14:paraId="53729768" w14:textId="77777777" w:rsidR="00475C5E" w:rsidRDefault="00000000">
            <w:r>
              <w:rPr>
                <w:b/>
                <w:sz w:val="17"/>
              </w:rPr>
              <w:t>Scope level</w:t>
            </w:r>
          </w:p>
        </w:tc>
        <w:tc>
          <w:tcPr>
            <w:tcW w:w="2951" w:type="dxa"/>
            <w:shd w:val="clear" w:color="auto" w:fill="EDEDED"/>
            <w:vAlign w:val="center"/>
          </w:tcPr>
          <w:p w14:paraId="6E27472C" w14:textId="77777777" w:rsidR="00475C5E" w:rsidRDefault="00000000">
            <w:r>
              <w:rPr>
                <w:b/>
                <w:sz w:val="17"/>
              </w:rPr>
              <w:t>Included market</w:t>
            </w:r>
          </w:p>
        </w:tc>
        <w:tc>
          <w:tcPr>
            <w:tcW w:w="2951" w:type="dxa"/>
            <w:shd w:val="clear" w:color="auto" w:fill="EDEDED"/>
            <w:vAlign w:val="center"/>
          </w:tcPr>
          <w:p w14:paraId="73E24D61" w14:textId="77777777" w:rsidR="00475C5E" w:rsidRDefault="00000000">
            <w:r>
              <w:rPr>
                <w:b/>
                <w:sz w:val="17"/>
              </w:rPr>
              <w:t>Reason for inclusion</w:t>
            </w:r>
          </w:p>
        </w:tc>
        <w:tc>
          <w:tcPr>
            <w:tcW w:w="2232" w:type="dxa"/>
            <w:shd w:val="clear" w:color="auto" w:fill="EDEDED"/>
            <w:vAlign w:val="center"/>
          </w:tcPr>
          <w:p w14:paraId="4BBF7FBE" w14:textId="77777777" w:rsidR="00475C5E" w:rsidRDefault="00000000">
            <w:r>
              <w:rPr>
                <w:b/>
                <w:sz w:val="17"/>
              </w:rPr>
              <w:t>Implication for this proposal</w:t>
            </w:r>
          </w:p>
        </w:tc>
      </w:tr>
      <w:tr w:rsidR="00475C5E" w14:paraId="75B2D2A0" w14:textId="77777777">
        <w:trPr>
          <w:jc w:val="center"/>
        </w:trPr>
        <w:tc>
          <w:tcPr>
            <w:tcW w:w="1512" w:type="dxa"/>
            <w:shd w:val="clear" w:color="auto" w:fill="FFFFFF"/>
            <w:vAlign w:val="center"/>
          </w:tcPr>
          <w:p w14:paraId="37EA6067" w14:textId="77777777" w:rsidR="00475C5E" w:rsidRDefault="00000000">
            <w:r>
              <w:rPr>
                <w:sz w:val="17"/>
              </w:rPr>
              <w:t>Parent markets</w:t>
            </w:r>
          </w:p>
        </w:tc>
        <w:tc>
          <w:tcPr>
            <w:tcW w:w="2951" w:type="dxa"/>
            <w:shd w:val="clear" w:color="auto" w:fill="FFFFFF"/>
            <w:vAlign w:val="center"/>
          </w:tcPr>
          <w:p w14:paraId="35813266" w14:textId="77777777" w:rsidR="00475C5E" w:rsidRDefault="00000000">
            <w:r>
              <w:rPr>
                <w:sz w:val="17"/>
              </w:rPr>
              <w:t>Infrastructure monitoring, structural health monitoring, industrial wireless sensor networks, condition monitoring, predictive maintenance</w:t>
            </w:r>
          </w:p>
        </w:tc>
        <w:tc>
          <w:tcPr>
            <w:tcW w:w="2951" w:type="dxa"/>
            <w:shd w:val="clear" w:color="auto" w:fill="FFFFFF"/>
            <w:vAlign w:val="center"/>
          </w:tcPr>
          <w:p w14:paraId="38774ADF" w14:textId="77777777" w:rsidR="00475C5E" w:rsidRDefault="00000000">
            <w:r>
              <w:rPr>
                <w:sz w:val="17"/>
              </w:rPr>
              <w:t>Large and growing demand for distributed monitoring and decision-ready event data</w:t>
            </w:r>
          </w:p>
        </w:tc>
        <w:tc>
          <w:tcPr>
            <w:tcW w:w="2232" w:type="dxa"/>
            <w:shd w:val="clear" w:color="auto" w:fill="FFFFFF"/>
            <w:vAlign w:val="center"/>
          </w:tcPr>
          <w:p w14:paraId="5380225B" w14:textId="77777777" w:rsidR="00475C5E" w:rsidRDefault="00000000">
            <w:r>
              <w:rPr>
                <w:sz w:val="17"/>
              </w:rPr>
              <w:t>Shows investment-scale market pull, but not counted as direct revenue</w:t>
            </w:r>
          </w:p>
        </w:tc>
      </w:tr>
      <w:tr w:rsidR="00475C5E" w14:paraId="04993A79" w14:textId="77777777">
        <w:trPr>
          <w:jc w:val="center"/>
        </w:trPr>
        <w:tc>
          <w:tcPr>
            <w:tcW w:w="1512" w:type="dxa"/>
            <w:shd w:val="clear" w:color="auto" w:fill="FFFFFF"/>
            <w:vAlign w:val="center"/>
          </w:tcPr>
          <w:p w14:paraId="68472E99" w14:textId="77777777" w:rsidR="00475C5E" w:rsidRDefault="00000000">
            <w:r>
              <w:rPr>
                <w:sz w:val="17"/>
              </w:rPr>
              <w:t>Relevant served segment</w:t>
            </w:r>
          </w:p>
        </w:tc>
        <w:tc>
          <w:tcPr>
            <w:tcW w:w="2951" w:type="dxa"/>
            <w:shd w:val="clear" w:color="auto" w:fill="FFFFFF"/>
            <w:vAlign w:val="center"/>
          </w:tcPr>
          <w:p w14:paraId="0DD381C5" w14:textId="77777777" w:rsidR="00475C5E" w:rsidRDefault="00000000">
            <w:r>
              <w:rPr>
                <w:sz w:val="17"/>
              </w:rPr>
              <w:t>Resource-constrained monitoring nodes in infrastructure and industrial assets</w:t>
            </w:r>
          </w:p>
        </w:tc>
        <w:tc>
          <w:tcPr>
            <w:tcW w:w="2951" w:type="dxa"/>
            <w:shd w:val="clear" w:color="auto" w:fill="FFFFFF"/>
            <w:vAlign w:val="center"/>
          </w:tcPr>
          <w:p w14:paraId="06262269" w14:textId="77777777" w:rsidR="00475C5E" w:rsidRDefault="00000000">
            <w:r>
              <w:rPr>
                <w:sz w:val="17"/>
              </w:rPr>
              <w:t>Power, storage, bandwidth, and site access constrain continuous recording</w:t>
            </w:r>
          </w:p>
        </w:tc>
        <w:tc>
          <w:tcPr>
            <w:tcW w:w="2232" w:type="dxa"/>
            <w:shd w:val="clear" w:color="auto" w:fill="FFFFFF"/>
            <w:vAlign w:val="center"/>
          </w:tcPr>
          <w:p w14:paraId="0002C055" w14:textId="77777777" w:rsidR="00475C5E" w:rsidRDefault="00000000">
            <w:r>
              <w:rPr>
                <w:sz w:val="17"/>
              </w:rPr>
              <w:t>Defines where adaptive capture creates practical value</w:t>
            </w:r>
          </w:p>
        </w:tc>
      </w:tr>
      <w:tr w:rsidR="00475C5E" w14:paraId="36612D1F" w14:textId="77777777">
        <w:trPr>
          <w:jc w:val="center"/>
        </w:trPr>
        <w:tc>
          <w:tcPr>
            <w:tcW w:w="1512" w:type="dxa"/>
            <w:shd w:val="clear" w:color="auto" w:fill="FFFFFF"/>
            <w:vAlign w:val="center"/>
          </w:tcPr>
          <w:p w14:paraId="0564F347" w14:textId="77777777" w:rsidR="00475C5E" w:rsidRDefault="00000000">
            <w:r>
              <w:rPr>
                <w:sz w:val="17"/>
              </w:rPr>
              <w:t>Beachhead applications</w:t>
            </w:r>
          </w:p>
        </w:tc>
        <w:tc>
          <w:tcPr>
            <w:tcW w:w="2951" w:type="dxa"/>
            <w:shd w:val="clear" w:color="auto" w:fill="FFFFFF"/>
            <w:vAlign w:val="center"/>
          </w:tcPr>
          <w:p w14:paraId="0CD59866" w14:textId="77777777" w:rsidR="00475C5E" w:rsidRDefault="00000000">
            <w:r>
              <w:rPr>
                <w:sz w:val="17"/>
              </w:rPr>
              <w:t>Construction/asset incident capture; industrial machine, production-line, motor/pump/compressor anomalies</w:t>
            </w:r>
          </w:p>
        </w:tc>
        <w:tc>
          <w:tcPr>
            <w:tcW w:w="2951" w:type="dxa"/>
            <w:shd w:val="clear" w:color="auto" w:fill="FFFFFF"/>
            <w:vAlign w:val="center"/>
          </w:tcPr>
          <w:p w14:paraId="794444DF" w14:textId="77777777" w:rsidR="00475C5E" w:rsidRDefault="00000000">
            <w:r>
              <w:rPr>
                <w:sz w:val="17"/>
              </w:rPr>
              <w:t>Events are rare, short, costly to miss, and expensive to record continuously</w:t>
            </w:r>
          </w:p>
        </w:tc>
        <w:tc>
          <w:tcPr>
            <w:tcW w:w="2232" w:type="dxa"/>
            <w:shd w:val="clear" w:color="auto" w:fill="FFFFFF"/>
            <w:vAlign w:val="center"/>
          </w:tcPr>
          <w:p w14:paraId="4B1316DE" w14:textId="77777777" w:rsidR="00475C5E" w:rsidRDefault="00000000">
            <w:r>
              <w:rPr>
                <w:sz w:val="17"/>
              </w:rPr>
              <w:t>Focuses pilot validation and customer discovery</w:t>
            </w:r>
          </w:p>
        </w:tc>
      </w:tr>
      <w:tr w:rsidR="00475C5E" w14:paraId="68D32608" w14:textId="77777777">
        <w:trPr>
          <w:jc w:val="center"/>
        </w:trPr>
        <w:tc>
          <w:tcPr>
            <w:tcW w:w="1512" w:type="dxa"/>
            <w:shd w:val="clear" w:color="auto" w:fill="FFFFFF"/>
            <w:vAlign w:val="center"/>
          </w:tcPr>
          <w:p w14:paraId="490CDC5F" w14:textId="77777777" w:rsidR="00475C5E" w:rsidRDefault="00000000">
            <w:r>
              <w:rPr>
                <w:sz w:val="17"/>
              </w:rPr>
              <w:t>Paying customers</w:t>
            </w:r>
          </w:p>
        </w:tc>
        <w:tc>
          <w:tcPr>
            <w:tcW w:w="2951" w:type="dxa"/>
            <w:shd w:val="clear" w:color="auto" w:fill="FFFFFF"/>
            <w:vAlign w:val="center"/>
          </w:tcPr>
          <w:p w14:paraId="0D6F07C0" w14:textId="77777777" w:rsidR="00475C5E" w:rsidRDefault="00000000">
            <w:r>
              <w:rPr>
                <w:sz w:val="17"/>
              </w:rPr>
              <w:t>Equipment manufacturers, industrial sensing suppliers, condition-monitoring product companies</w:t>
            </w:r>
          </w:p>
        </w:tc>
        <w:tc>
          <w:tcPr>
            <w:tcW w:w="2951" w:type="dxa"/>
            <w:shd w:val="clear" w:color="auto" w:fill="FFFFFF"/>
            <w:vAlign w:val="center"/>
          </w:tcPr>
          <w:p w14:paraId="7788FF0D" w14:textId="77777777" w:rsidR="00475C5E" w:rsidRDefault="00000000">
            <w:r>
              <w:rPr>
                <w:sz w:val="17"/>
              </w:rPr>
              <w:t>They can embed the function once and sell it across many nodes</w:t>
            </w:r>
          </w:p>
        </w:tc>
        <w:tc>
          <w:tcPr>
            <w:tcW w:w="2232" w:type="dxa"/>
            <w:shd w:val="clear" w:color="auto" w:fill="FFFFFF"/>
            <w:vAlign w:val="center"/>
          </w:tcPr>
          <w:p w14:paraId="5DAD9FAA" w14:textId="77777777" w:rsidR="00475C5E" w:rsidRDefault="00000000">
            <w:r>
              <w:rPr>
                <w:sz w:val="17"/>
              </w:rPr>
              <w:t>Supports module, software, licensing, and integration revenue</w:t>
            </w:r>
          </w:p>
        </w:tc>
      </w:tr>
    </w:tbl>
    <w:p w14:paraId="0766E29E" w14:textId="77777777" w:rsidR="001A4093" w:rsidRDefault="001A4093">
      <w:pPr>
        <w:spacing w:after="120" w:line="259" w:lineRule="auto"/>
        <w:jc w:val="both"/>
        <w:rPr>
          <w:b/>
          <w:sz w:val="22"/>
        </w:rPr>
      </w:pPr>
    </w:p>
    <w:p w14:paraId="1110757C" w14:textId="77777777" w:rsidR="00F6574F" w:rsidRDefault="00000000">
      <w:pPr>
        <w:spacing w:after="120" w:line="259" w:lineRule="auto"/>
        <w:jc w:val="both"/>
      </w:pPr>
      <w:r>
        <w:rPr>
          <w:b/>
          <w:sz w:val="22"/>
        </w:rPr>
        <w:t>Highly relevant market segment.</w:t>
      </w:r>
      <w:r>
        <w:rPr>
          <w:b w:val="0"/>
          <w:sz w:val="22"/>
        </w:rPr>
        <w:t xml:space="preserve"> The highest-fit applications are those where continuous high-volume recording is costly, periodic sampling can miss the critical moment, and a fixed threshold produces either missed detections or a stream of false alarms. In infrastructure, this includes construction vibration, abnormal structural response, bridge or asset incident monitoring, and civil-asset event review. In industrial monitoring, it includes abnormal vibration, impact, sudden stoppage, transient machine behaviour, motor, pump and compressor anomalies, production-line incidents, utilities, ports, energy assets and process plants. These are not separate stories; they share one customer problem: the system must notice what matters, and limited node resources must not be spent on what does not.</w:t>
      </w:r>
    </w:p>
    <w:p w14:paraId="3F77BE5C" w14:textId="77777777" w:rsidR="00F6574F" w:rsidRDefault="00000000">
      <w:pPr>
        <w:spacing w:after="120" w:line="259" w:lineRule="auto"/>
        <w:jc w:val="both"/>
      </w:pPr>
      <w:r>
        <w:rPr>
          <w:b/>
          <w:sz w:val="22"/>
        </w:rPr>
        <w:lastRenderedPageBreak/>
        <w:t>Current market structure.</w:t>
      </w:r>
      <w:r>
        <w:rPr>
          <w:sz w:val="22"/>
        </w:rPr>
        <w:t xml:space="preserve"> The supply chain contains useful but incomplete alternatives. Low-power sensors and edge artificial intelligence (AI) development platforms, such as ADI Voyager4-type kits, help engineers build sensing products. Original equipment manufacturer (OEM)-ready acquisition boards such as G-Link-200-OEM-type products reduce hardware development effort. Complete wireless monitoring nodes and platforms, including Worldsensing/Move-type vibration monitoring, SensingTech VM2030-type devices, Geokon/基康 BGK9600-type systems, NCD Gen4-type nodes, industrial condition-monitoring devices, and transport recorders such as MSR175, TCT-2, and ShockLog 298-type products, validate demand for event records. However, many options still rely on fixed configuration, manual thresholds, or closed workflows rather than adaptive capture under changing field conditions.</w:t>
      </w:r>
    </w:p>
    <w:p w14:paraId="6FCE9E9E" w14:textId="77777777" w:rsidR="00F6574F" w:rsidRDefault="00000000">
      <w:pPr>
        <w:spacing w:after="120" w:line="259" w:lineRule="auto"/>
        <w:jc w:val="both"/>
      </w:pPr>
      <w:r>
        <w:rPr>
          <w:b/>
          <w:sz w:val="22"/>
        </w:rPr>
        <w:t>Target customers.</w:t>
      </w:r>
      <w:r>
        <w:rPr>
          <w:sz w:val="22"/>
        </w:rPr>
        <w:t xml:space="preserve"> The primary paying customers are monitoring equipment manufacturers, industrial wireless sensing suppliers, and condition-monitoring product companies with design authority, because they can integrate the capture function into their own nodes and scale it across product lines. Priority equipment-side validation targets include Ackcio, SensingTech, Geokon/基康, Chengdu Zhongke Ce Kong, MATGEO, and industrial condition-monitoring or wireless sensing suppliers serving factories, utilities, ports, energy assets, and process plants. Field-side validation partners include monitoring service providers, contractors, industrial maintenance teams, logistics users, and asset/project owners; examples include Geomotion, Ryobi-G, Smart Sensing, Placid Asia, Stream Peak/ShockLog channels, Housing &amp; Development Board (HDB)-linked construction monitoring stakeholders, bridge-monitoring users, industrial plant operators, and Southeast Asian distributors.</w:t>
      </w:r>
    </w:p>
    <w:p w14:paraId="64A81360" w14:textId="77777777" w:rsidR="001F2365" w:rsidRPr="001F2365" w:rsidRDefault="00000000">
      <w:pPr>
        <w:spacing w:after="120" w:line="259" w:lineRule="auto"/>
        <w:jc w:val="both"/>
        <w:rPr>
          <w:sz w:val="22"/>
        </w:rPr>
      </w:pPr>
      <w:r>
        <w:rPr>
          <w:b/>
          <w:sz w:val="22"/>
        </w:rPr>
        <w:t>Market potential calculation.</w:t>
      </w:r>
      <w:r>
        <w:rPr>
          <w:sz w:val="22"/>
        </w:rPr>
        <w:t xml:space="preserve"> The immediate revenue is estimated </w:t>
      </w:r>
      <w:proofErr w:type="gramStart"/>
      <w:r>
        <w:rPr>
          <w:sz w:val="22"/>
        </w:rPr>
        <w:t>bottom</w:t>
      </w:r>
      <w:proofErr w:type="gramEnd"/>
      <w:r>
        <w:rPr>
          <w:sz w:val="22"/>
        </w:rPr>
        <w:t xml:space="preserve">-up rather than by applying an arbitrary percentage to the parent markets. The core formula </w:t>
      </w:r>
      <w:proofErr w:type="gramStart"/>
      <w:r>
        <w:rPr>
          <w:sz w:val="22"/>
        </w:rPr>
        <w:t>is:</w:t>
      </w:r>
      <w:proofErr w:type="gramEnd"/>
      <w:r>
        <w:rPr>
          <w:sz w:val="22"/>
        </w:rPr>
        <w:t xml:space="preserve"> adopting manufacturers x eligible annual device volume x attachment rate x module average selling price, plus paid integration fees, software-only licensing, technology licensing, including any patent rights arising from the project, and complete pilot-node sales where appropriate. Using S$120 as an illustrative </w:t>
      </w:r>
      <w:proofErr w:type="gramStart"/>
      <w:r>
        <w:rPr>
          <w:sz w:val="22"/>
        </w:rPr>
        <w:t>module</w:t>
      </w:r>
      <w:proofErr w:type="gramEnd"/>
      <w:r>
        <w:rPr>
          <w:sz w:val="22"/>
        </w:rPr>
        <w:t xml:space="preserve"> average selling price and S$20k per paid integration project, the proposal uses four auditable scenarios: validation, beachhead, growth, and platform scale. The platform case of 10 manufacturers x 3,000 eligible modules per year gives S$3.6M annual module revenue, plus S$100k integration fees, before software or licensing upside. A longer-term expansion case is also plausible but not counted in the base figure: 20 manufacturers x 5,000 modules per year would imply S$12.0M annual module revenue before licensing, software, and complete-node sales. The Gap Fund objective is therefore not to prove the whole market, but to validate the first repeatable wedge that can expand across infrastructure and industrial monitoring.</w:t>
      </w:r>
    </w:p>
    <w:tbl>
      <w:tblPr>
        <w:tblStyle w:val="TableGrid"/>
        <w:tblW w:w="0" w:type="auto"/>
        <w:jc w:val="center"/>
        <w:tblLook w:val="04A0" w:firstRow="1" w:lastRow="0" w:firstColumn="1" w:lastColumn="0" w:noHBand="0" w:noVBand="1"/>
      </w:tblPr>
      <w:tblGrid>
        <w:gridCol w:w="1635"/>
        <w:gridCol w:w="5000"/>
        <w:gridCol w:w="1635"/>
        <w:gridCol w:w="1352"/>
      </w:tblGrid>
      <w:tr w:rsidR="00475C5E" w14:paraId="0ED469DC" w14:textId="77777777">
        <w:trPr>
          <w:jc w:val="center"/>
        </w:trPr>
        <w:tc>
          <w:tcPr>
            <w:tcW w:w="1655" w:type="dxa"/>
            <w:shd w:val="clear" w:color="auto" w:fill="EDEDED"/>
            <w:tcMar>
              <w:top w:w="80" w:type="dxa"/>
              <w:left w:w="80" w:type="dxa"/>
              <w:bottom w:w="80" w:type="dxa"/>
              <w:right w:w="80" w:type="dxa"/>
            </w:tcMar>
            <w:vAlign w:val="center"/>
          </w:tcPr>
          <w:p w14:paraId="1EFC2D02" w14:textId="77777777" w:rsidR="00475C5E" w:rsidRDefault="00000000">
            <w:r>
              <w:rPr>
                <w:b/>
                <w:sz w:val="17"/>
              </w:rPr>
              <w:t>Scenario</w:t>
            </w:r>
          </w:p>
        </w:tc>
        <w:tc>
          <w:tcPr>
            <w:tcW w:w="5112" w:type="dxa"/>
            <w:shd w:val="clear" w:color="auto" w:fill="EDEDED"/>
            <w:tcMar>
              <w:top w:w="80" w:type="dxa"/>
              <w:left w:w="80" w:type="dxa"/>
              <w:bottom w:w="80" w:type="dxa"/>
              <w:right w:w="80" w:type="dxa"/>
            </w:tcMar>
            <w:vAlign w:val="center"/>
          </w:tcPr>
          <w:p w14:paraId="4B57651E" w14:textId="77777777" w:rsidR="00475C5E" w:rsidRDefault="00000000">
            <w:r>
              <w:rPr>
                <w:b/>
                <w:sz w:val="17"/>
              </w:rPr>
              <w:t>Calculation basis</w:t>
            </w:r>
          </w:p>
        </w:tc>
        <w:tc>
          <w:tcPr>
            <w:tcW w:w="1655" w:type="dxa"/>
            <w:shd w:val="clear" w:color="auto" w:fill="EDEDED"/>
            <w:tcMar>
              <w:top w:w="80" w:type="dxa"/>
              <w:left w:w="80" w:type="dxa"/>
              <w:bottom w:w="80" w:type="dxa"/>
              <w:right w:w="80" w:type="dxa"/>
            </w:tcMar>
            <w:vAlign w:val="center"/>
          </w:tcPr>
          <w:p w14:paraId="72CEFCFF" w14:textId="77777777" w:rsidR="00475C5E" w:rsidRDefault="00000000">
            <w:r>
              <w:rPr>
                <w:b/>
                <w:sz w:val="17"/>
              </w:rPr>
              <w:t>Module + integration fee</w:t>
            </w:r>
          </w:p>
        </w:tc>
        <w:tc>
          <w:tcPr>
            <w:tcW w:w="1368" w:type="dxa"/>
            <w:shd w:val="clear" w:color="auto" w:fill="EDEDED"/>
            <w:tcMar>
              <w:top w:w="80" w:type="dxa"/>
              <w:left w:w="80" w:type="dxa"/>
              <w:bottom w:w="80" w:type="dxa"/>
              <w:right w:w="80" w:type="dxa"/>
            </w:tcMar>
            <w:vAlign w:val="center"/>
          </w:tcPr>
          <w:p w14:paraId="09CCBF52" w14:textId="77777777" w:rsidR="00475C5E" w:rsidRDefault="00000000">
            <w:r>
              <w:rPr>
                <w:b/>
                <w:sz w:val="17"/>
              </w:rPr>
              <w:t>Annual revenue</w:t>
            </w:r>
          </w:p>
        </w:tc>
      </w:tr>
      <w:tr w:rsidR="00475C5E" w14:paraId="740477FB" w14:textId="77777777">
        <w:trPr>
          <w:jc w:val="center"/>
        </w:trPr>
        <w:tc>
          <w:tcPr>
            <w:tcW w:w="1655" w:type="dxa"/>
            <w:shd w:val="clear" w:color="auto" w:fill="FFFFFF"/>
            <w:tcMar>
              <w:top w:w="80" w:type="dxa"/>
              <w:left w:w="80" w:type="dxa"/>
              <w:bottom w:w="80" w:type="dxa"/>
              <w:right w:w="80" w:type="dxa"/>
            </w:tcMar>
            <w:vAlign w:val="center"/>
          </w:tcPr>
          <w:p w14:paraId="05EDD1D3" w14:textId="77777777" w:rsidR="00475C5E" w:rsidRDefault="00000000">
            <w:r>
              <w:rPr>
                <w:sz w:val="18"/>
              </w:rPr>
              <w:t>Validation</w:t>
            </w:r>
          </w:p>
        </w:tc>
        <w:tc>
          <w:tcPr>
            <w:tcW w:w="5112" w:type="dxa"/>
            <w:shd w:val="clear" w:color="auto" w:fill="FFFFFF"/>
            <w:tcMar>
              <w:top w:w="80" w:type="dxa"/>
              <w:left w:w="80" w:type="dxa"/>
              <w:bottom w:w="80" w:type="dxa"/>
              <w:right w:w="80" w:type="dxa"/>
            </w:tcMar>
            <w:vAlign w:val="center"/>
          </w:tcPr>
          <w:p w14:paraId="0F974846" w14:textId="77777777" w:rsidR="00475C5E" w:rsidRDefault="00000000">
            <w:r>
              <w:rPr>
                <w:sz w:val="18"/>
              </w:rPr>
              <w:t>1 manufacturer x 200 modules x S$120 + 1 integration project x S$20k</w:t>
            </w:r>
          </w:p>
        </w:tc>
        <w:tc>
          <w:tcPr>
            <w:tcW w:w="1655" w:type="dxa"/>
            <w:shd w:val="clear" w:color="auto" w:fill="FFFFFF"/>
            <w:tcMar>
              <w:top w:w="80" w:type="dxa"/>
              <w:left w:w="80" w:type="dxa"/>
              <w:bottom w:w="80" w:type="dxa"/>
              <w:right w:w="80" w:type="dxa"/>
            </w:tcMar>
            <w:vAlign w:val="center"/>
          </w:tcPr>
          <w:p w14:paraId="39BC56E2" w14:textId="77777777" w:rsidR="00475C5E" w:rsidRDefault="00000000">
            <w:r>
              <w:rPr>
                <w:sz w:val="18"/>
              </w:rPr>
              <w:t>S$24k + S$20k</w:t>
            </w:r>
          </w:p>
        </w:tc>
        <w:tc>
          <w:tcPr>
            <w:tcW w:w="1368" w:type="dxa"/>
            <w:shd w:val="clear" w:color="auto" w:fill="FFFFFF"/>
            <w:tcMar>
              <w:top w:w="80" w:type="dxa"/>
              <w:left w:w="80" w:type="dxa"/>
              <w:bottom w:w="80" w:type="dxa"/>
              <w:right w:w="80" w:type="dxa"/>
            </w:tcMar>
            <w:vAlign w:val="center"/>
          </w:tcPr>
          <w:p w14:paraId="095DF173" w14:textId="77777777" w:rsidR="00475C5E" w:rsidRDefault="00000000">
            <w:r>
              <w:rPr>
                <w:sz w:val="18"/>
              </w:rPr>
              <w:t>S$44k</w:t>
            </w:r>
          </w:p>
        </w:tc>
      </w:tr>
      <w:tr w:rsidR="00475C5E" w14:paraId="6A7823B7" w14:textId="77777777">
        <w:trPr>
          <w:jc w:val="center"/>
        </w:trPr>
        <w:tc>
          <w:tcPr>
            <w:tcW w:w="1655" w:type="dxa"/>
            <w:shd w:val="clear" w:color="auto" w:fill="FFFFFF"/>
            <w:tcMar>
              <w:top w:w="80" w:type="dxa"/>
              <w:left w:w="80" w:type="dxa"/>
              <w:bottom w:w="80" w:type="dxa"/>
              <w:right w:w="80" w:type="dxa"/>
            </w:tcMar>
            <w:vAlign w:val="center"/>
          </w:tcPr>
          <w:p w14:paraId="6A7BC2A8" w14:textId="77777777" w:rsidR="00475C5E" w:rsidRDefault="00000000">
            <w:r>
              <w:rPr>
                <w:sz w:val="18"/>
              </w:rPr>
              <w:t>Beachhead</w:t>
            </w:r>
          </w:p>
        </w:tc>
        <w:tc>
          <w:tcPr>
            <w:tcW w:w="5112" w:type="dxa"/>
            <w:shd w:val="clear" w:color="auto" w:fill="FFFFFF"/>
            <w:tcMar>
              <w:top w:w="80" w:type="dxa"/>
              <w:left w:w="80" w:type="dxa"/>
              <w:bottom w:w="80" w:type="dxa"/>
              <w:right w:w="80" w:type="dxa"/>
            </w:tcMar>
            <w:vAlign w:val="center"/>
          </w:tcPr>
          <w:p w14:paraId="28E78538" w14:textId="77777777" w:rsidR="00475C5E" w:rsidRDefault="00000000">
            <w:r>
              <w:rPr>
                <w:sz w:val="18"/>
              </w:rPr>
              <w:t>5 manufacturers x 500 modules x S$120 + 2 integration projects x S$20k</w:t>
            </w:r>
          </w:p>
        </w:tc>
        <w:tc>
          <w:tcPr>
            <w:tcW w:w="1655" w:type="dxa"/>
            <w:shd w:val="clear" w:color="auto" w:fill="FFFFFF"/>
            <w:tcMar>
              <w:top w:w="80" w:type="dxa"/>
              <w:left w:w="80" w:type="dxa"/>
              <w:bottom w:w="80" w:type="dxa"/>
              <w:right w:w="80" w:type="dxa"/>
            </w:tcMar>
            <w:vAlign w:val="center"/>
          </w:tcPr>
          <w:p w14:paraId="54EE752F" w14:textId="77777777" w:rsidR="00475C5E" w:rsidRDefault="00000000">
            <w:r>
              <w:rPr>
                <w:sz w:val="18"/>
              </w:rPr>
              <w:t>S$300k + S$40k</w:t>
            </w:r>
          </w:p>
        </w:tc>
        <w:tc>
          <w:tcPr>
            <w:tcW w:w="1368" w:type="dxa"/>
            <w:shd w:val="clear" w:color="auto" w:fill="FFFFFF"/>
            <w:tcMar>
              <w:top w:w="80" w:type="dxa"/>
              <w:left w:w="80" w:type="dxa"/>
              <w:bottom w:w="80" w:type="dxa"/>
              <w:right w:w="80" w:type="dxa"/>
            </w:tcMar>
            <w:vAlign w:val="center"/>
          </w:tcPr>
          <w:p w14:paraId="5B125C9F" w14:textId="77777777" w:rsidR="00475C5E" w:rsidRDefault="00000000">
            <w:r>
              <w:rPr>
                <w:sz w:val="18"/>
              </w:rPr>
              <w:t>S$340k</w:t>
            </w:r>
          </w:p>
        </w:tc>
      </w:tr>
      <w:tr w:rsidR="00475C5E" w14:paraId="4FF208F2" w14:textId="77777777">
        <w:trPr>
          <w:jc w:val="center"/>
        </w:trPr>
        <w:tc>
          <w:tcPr>
            <w:tcW w:w="1655" w:type="dxa"/>
            <w:shd w:val="clear" w:color="auto" w:fill="FFFFFF"/>
            <w:tcMar>
              <w:top w:w="80" w:type="dxa"/>
              <w:left w:w="80" w:type="dxa"/>
              <w:bottom w:w="80" w:type="dxa"/>
              <w:right w:w="80" w:type="dxa"/>
            </w:tcMar>
            <w:vAlign w:val="center"/>
          </w:tcPr>
          <w:p w14:paraId="1DFF0929" w14:textId="77777777" w:rsidR="00475C5E" w:rsidRDefault="00000000">
            <w:r>
              <w:rPr>
                <w:sz w:val="18"/>
              </w:rPr>
              <w:t>Growth</w:t>
            </w:r>
          </w:p>
        </w:tc>
        <w:tc>
          <w:tcPr>
            <w:tcW w:w="5112" w:type="dxa"/>
            <w:shd w:val="clear" w:color="auto" w:fill="FFFFFF"/>
            <w:tcMar>
              <w:top w:w="80" w:type="dxa"/>
              <w:left w:w="80" w:type="dxa"/>
              <w:bottom w:w="80" w:type="dxa"/>
              <w:right w:w="80" w:type="dxa"/>
            </w:tcMar>
            <w:vAlign w:val="center"/>
          </w:tcPr>
          <w:p w14:paraId="5C0F3007" w14:textId="77777777" w:rsidR="00475C5E" w:rsidRDefault="00000000">
            <w:r>
              <w:rPr>
                <w:sz w:val="18"/>
              </w:rPr>
              <w:t>5 manufacturers x 2,000 modules x S$120 + 3 integration projects x S$20k</w:t>
            </w:r>
          </w:p>
        </w:tc>
        <w:tc>
          <w:tcPr>
            <w:tcW w:w="1655" w:type="dxa"/>
            <w:shd w:val="clear" w:color="auto" w:fill="FFFFFF"/>
            <w:tcMar>
              <w:top w:w="80" w:type="dxa"/>
              <w:left w:w="80" w:type="dxa"/>
              <w:bottom w:w="80" w:type="dxa"/>
              <w:right w:w="80" w:type="dxa"/>
            </w:tcMar>
            <w:vAlign w:val="center"/>
          </w:tcPr>
          <w:p w14:paraId="4DB256FB" w14:textId="77777777" w:rsidR="00475C5E" w:rsidRDefault="00000000">
            <w:r>
              <w:rPr>
                <w:sz w:val="18"/>
              </w:rPr>
              <w:t>S$1.20M + S$60k</w:t>
            </w:r>
          </w:p>
        </w:tc>
        <w:tc>
          <w:tcPr>
            <w:tcW w:w="1368" w:type="dxa"/>
            <w:shd w:val="clear" w:color="auto" w:fill="FFFFFF"/>
            <w:tcMar>
              <w:top w:w="80" w:type="dxa"/>
              <w:left w:w="80" w:type="dxa"/>
              <w:bottom w:w="80" w:type="dxa"/>
              <w:right w:w="80" w:type="dxa"/>
            </w:tcMar>
            <w:vAlign w:val="center"/>
          </w:tcPr>
          <w:p w14:paraId="4DBFBE3D" w14:textId="77777777" w:rsidR="00475C5E" w:rsidRDefault="00000000">
            <w:r>
              <w:rPr>
                <w:sz w:val="18"/>
              </w:rPr>
              <w:t>S$1.26M</w:t>
            </w:r>
          </w:p>
        </w:tc>
      </w:tr>
      <w:tr w:rsidR="00475C5E" w14:paraId="7DB6E8D4" w14:textId="77777777">
        <w:trPr>
          <w:jc w:val="center"/>
        </w:trPr>
        <w:tc>
          <w:tcPr>
            <w:tcW w:w="1655" w:type="dxa"/>
            <w:shd w:val="clear" w:color="auto" w:fill="FFFFFF"/>
            <w:tcMar>
              <w:top w:w="80" w:type="dxa"/>
              <w:left w:w="80" w:type="dxa"/>
              <w:bottom w:w="80" w:type="dxa"/>
              <w:right w:w="80" w:type="dxa"/>
            </w:tcMar>
            <w:vAlign w:val="center"/>
          </w:tcPr>
          <w:p w14:paraId="134DFD24" w14:textId="77777777" w:rsidR="00475C5E" w:rsidRDefault="00000000">
            <w:r>
              <w:rPr>
                <w:sz w:val="18"/>
              </w:rPr>
              <w:t>Platform</w:t>
            </w:r>
          </w:p>
        </w:tc>
        <w:tc>
          <w:tcPr>
            <w:tcW w:w="5112" w:type="dxa"/>
            <w:shd w:val="clear" w:color="auto" w:fill="FFFFFF"/>
            <w:tcMar>
              <w:top w:w="80" w:type="dxa"/>
              <w:left w:w="80" w:type="dxa"/>
              <w:bottom w:w="80" w:type="dxa"/>
              <w:right w:w="80" w:type="dxa"/>
            </w:tcMar>
            <w:vAlign w:val="center"/>
          </w:tcPr>
          <w:p w14:paraId="31F4FDA9" w14:textId="77777777" w:rsidR="00475C5E" w:rsidRDefault="00000000">
            <w:r>
              <w:rPr>
                <w:sz w:val="18"/>
              </w:rPr>
              <w:t>10 manufacturers x 3,000 modules x S$120 + 5 integration projects x S$20k</w:t>
            </w:r>
          </w:p>
        </w:tc>
        <w:tc>
          <w:tcPr>
            <w:tcW w:w="1655" w:type="dxa"/>
            <w:shd w:val="clear" w:color="auto" w:fill="FFFFFF"/>
            <w:tcMar>
              <w:top w:w="80" w:type="dxa"/>
              <w:left w:w="80" w:type="dxa"/>
              <w:bottom w:w="80" w:type="dxa"/>
              <w:right w:w="80" w:type="dxa"/>
            </w:tcMar>
            <w:vAlign w:val="center"/>
          </w:tcPr>
          <w:p w14:paraId="1EB3FCFC" w14:textId="77777777" w:rsidR="00475C5E" w:rsidRDefault="00000000">
            <w:r>
              <w:rPr>
                <w:sz w:val="18"/>
              </w:rPr>
              <w:t>S$3.60M + S$100k</w:t>
            </w:r>
          </w:p>
        </w:tc>
        <w:tc>
          <w:tcPr>
            <w:tcW w:w="1368" w:type="dxa"/>
            <w:shd w:val="clear" w:color="auto" w:fill="FFFFFF"/>
            <w:tcMar>
              <w:top w:w="80" w:type="dxa"/>
              <w:left w:w="80" w:type="dxa"/>
              <w:bottom w:w="80" w:type="dxa"/>
              <w:right w:w="80" w:type="dxa"/>
            </w:tcMar>
            <w:vAlign w:val="center"/>
          </w:tcPr>
          <w:p w14:paraId="79FD190C" w14:textId="77777777" w:rsidR="00475C5E" w:rsidRDefault="00000000">
            <w:r>
              <w:rPr>
                <w:sz w:val="18"/>
              </w:rPr>
              <w:t>S$3.70M</w:t>
            </w:r>
          </w:p>
        </w:tc>
      </w:tr>
    </w:tbl>
    <w:p w14:paraId="6D0EF670" w14:textId="77777777" w:rsidR="001A4093" w:rsidRDefault="001A4093">
      <w:pPr>
        <w:spacing w:after="120" w:line="259" w:lineRule="auto"/>
        <w:jc w:val="both"/>
        <w:rPr>
          <w:b/>
          <w:sz w:val="22"/>
        </w:rPr>
      </w:pPr>
    </w:p>
    <w:p w14:paraId="72111667" w14:textId="77777777" w:rsidR="00F6574F" w:rsidRDefault="00000000">
      <w:pPr>
        <w:spacing w:after="120" w:line="259" w:lineRule="auto"/>
        <w:jc w:val="both"/>
      </w:pPr>
      <w:r>
        <w:rPr>
          <w:b/>
          <w:sz w:val="22"/>
        </w:rPr>
        <w:t>Validation priorities.</w:t>
      </w:r>
      <w:r>
        <w:rPr>
          <w:b w:val="0"/>
          <w:sz w:val="22"/>
        </w:rPr>
        <w:t xml:space="preserve"> The market-validation work converts this funnel into evidence: one event or anomaly class, one equipment-manufacturer product path, one field user, a measurable reduction in false alarms, missed detections kept close to zero for the selected class, and clear willingness to pay for the chosen hardware, software or licensing package. If this first wedge is proven, the same detection and capture function can be re-used across adjacent monitoring products rather than rebuilt for each application from scratch.</w:t>
      </w:r>
    </w:p>
    <w:p w14:paraId="14956708" w14:textId="77777777" w:rsidR="00F6574F" w:rsidRDefault="00F6574F">
      <w:pPr>
        <w:spacing w:after="80" w:line="252" w:lineRule="auto"/>
        <w:jc w:val="both"/>
      </w:pPr>
    </w:p>
    <w:p w14:paraId="429E49E4" w14:textId="77777777" w:rsidR="00475C5E" w:rsidRDefault="00475C5E">
      <w:pPr>
        <w:spacing w:after="60"/>
      </w:pPr>
    </w:p>
    <w:p w14:paraId="4D857B35" w14:textId="77777777" w:rsidR="00475C5E" w:rsidRDefault="00475C5E">
      <w:pPr>
        <w:spacing w:after="80"/>
        <w:jc w:val="both"/>
      </w:pPr>
    </w:p>
    <w:p w14:paraId="14D46FC1" w14:textId="77777777" w:rsidR="00F6574F" w:rsidRDefault="00000000">
      <w:pPr>
        <w:spacing w:after="120" w:line="252" w:lineRule="auto"/>
        <w:jc w:val="center"/>
      </w:pPr>
      <w:r>
        <w:rPr>
          <w:noProof/>
          <w:sz w:val="22"/>
        </w:rPr>
        <w:lastRenderedPageBreak/>
        <w:drawing>
          <wp:inline distT="0" distB="0" distL="0" distR="0" wp14:anchorId="77E8DCC3" wp14:editId="3B6A13A9">
            <wp:extent cx="5989320" cy="394750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enue_scenarios_v2.png"/>
                    <pic:cNvPicPr/>
                  </pic:nvPicPr>
                  <pic:blipFill>
                    <a:blip r:embed="rId10"/>
                    <a:stretch>
                      <a:fillRect/>
                    </a:stretch>
                  </pic:blipFill>
                  <pic:spPr>
                    <a:xfrm>
                      <a:off x="0" y="0"/>
                      <a:ext cx="5989320" cy="3947506"/>
                    </a:xfrm>
                    <a:prstGeom prst="rect">
                      <a:avLst/>
                    </a:prstGeom>
                  </pic:spPr>
                </pic:pic>
              </a:graphicData>
            </a:graphic>
          </wp:inline>
        </w:drawing>
      </w:r>
    </w:p>
    <w:p w14:paraId="34D00E3D" w14:textId="77777777" w:rsidR="00E4627E" w:rsidRPr="004B30EA" w:rsidRDefault="00E4627E" w:rsidP="00E4627E">
      <w:pPr>
        <w:jc w:val="both"/>
        <w:rPr>
          <w:b/>
          <w:bCs/>
          <w:lang w:val="en-GB"/>
        </w:rPr>
      </w:pPr>
    </w:p>
    <w:p w14:paraId="2CBF0CCF" w14:textId="77777777" w:rsidR="00E4627E" w:rsidRPr="004B30EA" w:rsidRDefault="00E4627E" w:rsidP="00E4627E">
      <w:pPr>
        <w:jc w:val="both"/>
        <w:rPr>
          <w:b/>
          <w:bCs/>
          <w:lang w:val="en-GB"/>
        </w:rPr>
      </w:pPr>
      <w:r w:rsidRPr="004B30EA">
        <w:rPr>
          <w:b/>
          <w:bCs/>
          <w:sz w:val="22"/>
          <w:lang w:val="en-GB"/>
        </w:rPr>
        <w:t>2.3</w:t>
      </w:r>
      <w:r w:rsidRPr="004B30EA">
        <w:rPr>
          <w:b/>
          <w:bCs/>
          <w:sz w:val="22"/>
          <w:lang w:val="en-GB"/>
        </w:rPr>
        <w:tab/>
        <w:t>Proposed Approach</w:t>
      </w:r>
    </w:p>
    <w:p w14:paraId="385B2217" w14:textId="77777777" w:rsidR="00E4627E" w:rsidRPr="004B30EA" w:rsidRDefault="00E4627E" w:rsidP="00E4627E">
      <w:pPr>
        <w:jc w:val="both"/>
        <w:rPr>
          <w:b/>
          <w:bCs/>
          <w:lang w:val="en-GB"/>
        </w:rPr>
      </w:pPr>
    </w:p>
    <w:p w14:paraId="1B378B5F" w14:textId="77777777" w:rsidR="00237560" w:rsidRPr="00331753" w:rsidRDefault="00E4627E" w:rsidP="00331753">
      <w:pPr>
        <w:spacing w:after="200"/>
        <w:jc w:val="both"/>
        <w:rPr>
          <w:i/>
          <w:iCs/>
          <w:lang w:val="en-GB"/>
        </w:rPr>
      </w:pPr>
      <w:r w:rsidRPr="004B30EA">
        <w:rPr>
          <w:i/>
          <w:iCs/>
          <w:sz w:val="22"/>
          <w:lang w:val="en-GB"/>
        </w:rPr>
        <w:t xml:space="preserve">Please describe how the proposed approach meets an unmet commercial or societal need. </w:t>
      </w:r>
    </w:p>
    <w:p w14:paraId="3CEA8C23" w14:textId="77777777" w:rsidR="00F6574F" w:rsidRDefault="00F6574F">
      <w:pPr>
        <w:spacing w:after="60" w:line="252" w:lineRule="auto"/>
        <w:jc w:val="both"/>
      </w:pPr>
    </w:p>
    <w:p w14:paraId="0D0EDF47" w14:textId="77777777" w:rsidR="00C71ADF" w:rsidRPr="00C71ADF" w:rsidRDefault="00000000">
      <w:pPr>
        <w:spacing w:after="120" w:line="259" w:lineRule="auto"/>
        <w:jc w:val="both"/>
        <w:rPr>
          <w:sz w:val="22"/>
        </w:rPr>
      </w:pPr>
      <w:r>
        <w:rPr>
          <w:b/>
          <w:sz w:val="22"/>
        </w:rPr>
        <w:t xml:space="preserve">Commercial </w:t>
      </w:r>
      <w:proofErr w:type="gramStart"/>
      <w:proofErr w:type="gramEnd"/>
      <w:r>
        <w:rPr>
          <w:b w:val="0"/>
          <w:sz w:val="22"/>
        </w:rPr>
        <w:t xml:space="preserve"> The proposed approach addresses both commercial and societal needs: more reliable detection of sudden events and anomalies for safety, maintenance, incident review and accountability, and fewer false alarms in resource-constrained monitoring systems. Customers are not buying an algorithm. They are buying the assurance that what mattered was noticed, and that limited battery, storage, bandwidth and engineering attention were not spent on what did not.</w:t>
      </w:r>
    </w:p>
    <w:p w14:paraId="0E9861FD" w14:textId="77777777" w:rsidR="00F6574F" w:rsidRDefault="00F6574F">
      <w:pPr>
        <w:spacing w:after="60" w:line="252" w:lineRule="auto"/>
        <w:jc w:val="both"/>
      </w:pPr>
    </w:p>
    <w:p w14:paraId="06F3ED6C" w14:textId="77777777" w:rsidR="00C71ADF" w:rsidRPr="00C71ADF" w:rsidRDefault="00000000">
      <w:pPr>
        <w:spacing w:after="120" w:line="259" w:lineRule="auto"/>
        <w:jc w:val="both"/>
        <w:rPr>
          <w:sz w:val="22"/>
        </w:rPr>
      </w:pPr>
      <w:r>
        <w:rPr>
          <w:b/>
          <w:sz w:val="22"/>
        </w:rPr>
        <w:t>Proposed approach and scope.</w:t>
      </w:r>
      <w:proofErr w:type="gramStart"/>
      <w:proofErr w:type="gramEnd"/>
      <w:proofErr w:type="gramStart"/>
      <w:proofErr w:type="gramEnd"/>
      <w:r>
        <w:rPr>
          <w:b w:val="0"/>
          <w:sz w:val="22"/>
        </w:rPr>
        <w:t xml:space="preserve"> The differentiating technology is an adaptive detection method; the module and its firmware are how that method is delivered and integrated. A low-resource sensing mode watches for field changes, and when a meaningful event or anomaly is indicated the system wakes detailed recording and stores usable records around the incident. The detection parameters, together forming the operating point, are adjusted to the field environment with a clear priority: keep missed detections close to zero, and progressively suppress false alarms and unnecessary recordings, with the balance between the two set explicitly by the customer rather than fixed by the supplier. The Gap Fund scope is a pre-commercial prototype, benchmark data, integration documentation and pilot validation, not a full monitoring-service business.</w:t>
      </w:r>
    </w:p>
    <w:p w14:paraId="56E7F8C9" w14:textId="77777777" w:rsidR="00F6574F" w:rsidRDefault="00F6574F">
      <w:pPr>
        <w:spacing w:after="60" w:line="252" w:lineRule="auto"/>
        <w:jc w:val="both"/>
      </w:pPr>
    </w:p>
    <w:p w14:paraId="1C402BD6" w14:textId="77777777" w:rsidR="00F6574F" w:rsidRDefault="00000000">
      <w:pPr>
        <w:spacing w:after="120" w:line="259" w:lineRule="auto"/>
        <w:jc w:val="both"/>
      </w:pPr>
      <w:r>
        <w:rPr>
          <w:b/>
          <w:sz w:val="22"/>
        </w:rPr>
        <w:t>Commercial deployment fit.</w:t>
      </w:r>
      <w:r>
        <w:rPr>
          <w:sz w:val="22"/>
        </w:rPr>
        <w:t xml:space="preserve"> The approach sits between raw components and complete monitoring systems, but it is not limited to one product form. Compared with chips or development kits, it reduces the equipment manufacturer's burden of designing, tuning, and validating the event-capture workflow from scratch. Compared with closed complete nodes, it gives equipment manufacturers an integration path that can be embedded into their own products. Depending on customer needs, the commercial package may include: (1) core capture modules; (2) firmware and configuration software; (3) software-only licensing for compatible customer hardware; (4) technology licensing, including any patent rights arising from the project; (5) paid interface/driver adaptation; and (6) complete sensor nodes or pilot devices for field validation.</w:t>
      </w:r>
    </w:p>
    <w:p w14:paraId="64DE6B09" w14:textId="77777777" w:rsidR="00E4627E" w:rsidRPr="004B30EA" w:rsidRDefault="00E4627E" w:rsidP="00E4627E">
      <w:pPr>
        <w:jc w:val="both"/>
        <w:rPr>
          <w:b/>
          <w:bCs/>
          <w:lang w:val="en-GB"/>
        </w:rPr>
      </w:pPr>
    </w:p>
    <w:p w14:paraId="43BD1E3F" w14:textId="77777777" w:rsidR="00E4627E" w:rsidRPr="004B30EA" w:rsidRDefault="00E4627E" w:rsidP="00E4627E">
      <w:pPr>
        <w:jc w:val="both"/>
        <w:rPr>
          <w:b/>
          <w:bCs/>
          <w:lang w:val="en-GB"/>
        </w:rPr>
      </w:pPr>
      <w:r w:rsidRPr="004B30EA">
        <w:rPr>
          <w:b/>
          <w:bCs/>
          <w:sz w:val="22"/>
          <w:lang w:val="en-GB"/>
        </w:rPr>
        <w:t>2.4</w:t>
      </w:r>
      <w:r w:rsidRPr="004B30EA">
        <w:rPr>
          <w:b/>
          <w:bCs/>
          <w:sz w:val="22"/>
          <w:lang w:val="en-GB"/>
        </w:rPr>
        <w:tab/>
        <w:t>Benefits and Costs</w:t>
      </w:r>
    </w:p>
    <w:p w14:paraId="493E38E5" w14:textId="77777777" w:rsidR="00E4627E" w:rsidRPr="004B30EA" w:rsidRDefault="00E4627E" w:rsidP="00E4627E">
      <w:pPr>
        <w:jc w:val="both"/>
        <w:rPr>
          <w:b/>
          <w:bCs/>
          <w:lang w:val="en-GB"/>
        </w:rPr>
      </w:pPr>
    </w:p>
    <w:p w14:paraId="73197325" w14:textId="77777777" w:rsidR="00237560" w:rsidRPr="00331753" w:rsidRDefault="00E4627E" w:rsidP="00331753">
      <w:pPr>
        <w:spacing w:after="200"/>
        <w:jc w:val="both"/>
        <w:rPr>
          <w:i/>
          <w:iCs/>
          <w:lang w:val="en-GB"/>
        </w:rPr>
      </w:pPr>
      <w:r w:rsidRPr="004B30EA">
        <w:rPr>
          <w:i/>
          <w:iCs/>
          <w:sz w:val="22"/>
          <w:lang w:val="en-GB"/>
        </w:rPr>
        <w:t>Please describe how the proposed technolo</w:t>
      </w:r>
      <w:r w:rsidR="00C82AF2">
        <w:rPr>
          <w:i/>
          <w:iCs/>
          <w:sz w:val="22"/>
          <w:lang w:val="en-GB"/>
        </w:rPr>
        <w:t>gy impacts industry needs and the value creation in</w:t>
      </w:r>
      <w:r w:rsidRPr="004B30EA">
        <w:rPr>
          <w:i/>
          <w:iCs/>
          <w:sz w:val="22"/>
          <w:lang w:val="en-GB"/>
        </w:rPr>
        <w:t xml:space="preserve"> Singapore. It must include the value-add to customers that adopt the technology such as the manufacturability and scalability, production costs and consideration </w:t>
      </w:r>
      <w:r w:rsidR="00C82AF2">
        <w:rPr>
          <w:i/>
          <w:iCs/>
          <w:sz w:val="22"/>
          <w:lang w:val="en-GB"/>
        </w:rPr>
        <w:t xml:space="preserve">for </w:t>
      </w:r>
      <w:r w:rsidRPr="004B30EA">
        <w:rPr>
          <w:i/>
          <w:iCs/>
          <w:sz w:val="22"/>
          <w:lang w:val="en-GB"/>
        </w:rPr>
        <w:t xml:space="preserve">the cost of adoption (e.g. change in production line, compatibility and ease of incorporation with existing </w:t>
      </w:r>
      <w:r w:rsidR="00C82AF2">
        <w:rPr>
          <w:i/>
          <w:iCs/>
          <w:sz w:val="22"/>
          <w:lang w:val="en-GB"/>
        </w:rPr>
        <w:t>processes</w:t>
      </w:r>
      <w:r w:rsidRPr="004B30EA">
        <w:rPr>
          <w:i/>
          <w:iCs/>
          <w:sz w:val="22"/>
          <w:lang w:val="en-GB"/>
        </w:rPr>
        <w:t xml:space="preserve">). </w:t>
      </w:r>
    </w:p>
    <w:p w14:paraId="326336FF" w14:textId="77777777" w:rsidR="00F6574F" w:rsidRDefault="00000000">
      <w:pPr>
        <w:spacing w:after="120" w:line="259" w:lineRule="auto"/>
        <w:jc w:val="both"/>
      </w:pPr>
      <w:r>
        <w:rPr>
          <w:b/>
          <w:sz w:val="22"/>
        </w:rPr>
        <w:t>Singapore-specific use cases.</w:t>
      </w:r>
      <w:r>
        <w:rPr>
          <w:sz w:val="22"/>
        </w:rPr>
        <w:t xml:space="preserve"> The value creation in Singapore is concrete because the city combines dense construction, ageing and high-utilisation infrastructure, port/logistics activity, advanced manufacturing, process plants, and hard-to-access industrial assets. Near-term validation can focus on: (1) construction vibration and incident review for HDB-linked housing, demolition, piling, tunnelling, and rail-adjacent works; (2) bridge, rail, and civil-asset response monitoring where an abnormal event record supports safety assessment and maintenance action; (3) port, warehouse, and high-value equipment transport where shock/impact records matter; and (4) industrial assets in factories, utilities, data centres, Tuas/Jurong Island process plants, and rotating equipment such as motors, pumps, compressors, and fans. Potential Singapore-linked outreach examples include Ackcio, SensingTech, Geomotion, Ryobi-G, Smart Sensing, Placid Asia, Stream Peak/ShockLog channels, industrial wireless-sensing suppliers, and plant maintenance teams. These are validation targets or example customer categories, not confirmed orders.</w:t>
      </w:r>
    </w:p>
    <w:p w14:paraId="2341A57D" w14:textId="77777777" w:rsidR="00F6574F" w:rsidRDefault="00000000">
      <w:pPr>
        <w:spacing w:after="120" w:line="259" w:lineRule="auto"/>
        <w:jc w:val="both"/>
      </w:pPr>
      <w:r>
        <w:rPr>
          <w:b/>
          <w:sz w:val="22"/>
        </w:rPr>
        <w:t>Local market estimate.</w:t>
      </w:r>
      <w:r>
        <w:rPr>
          <w:sz w:val="22"/>
        </w:rPr>
        <w:t xml:space="preserve"> A conservative local opportunity can be estimated from two Singapore anchors. First, BCA forecasted Singapore construction demand of about S$47-53B in 2026. If only 0.02-0.08% of this demand is associated with vibration, geotechnical, structural, or incident-monitoring equipment/services, the local monitoring-related spend pool is about S$9.4-42.4M per year. If event/anomaly capture is an add-on worth 3-8% of that pool, the Singapore infrastructure-side annual add-on opportunity is about S$0.28-3.39M. Second, Singapore's 2025 manufacturing output was about S$479.1B. If only 0.003-0.010% is associated with wireless condition/event-monitoring nodes and related services, the industrial monitoring node pool is about S$14.4-47.9M per year; at a 2-6% event/anomaly capture attach value, the industrial-side annual add-on opportunity is about S$0.29-2.87M. This implies an indicative local annual add-on pool of about S$0.6-6.3M before wider Southeast Asia and China expansion.</w:t>
      </w:r>
    </w:p>
    <w:tbl>
      <w:tblPr>
        <w:tblStyle w:val="TableGrid"/>
        <w:tblW w:w="0" w:type="auto"/>
        <w:jc w:val="center"/>
        <w:tblLook w:val="04A0" w:firstRow="1" w:lastRow="0" w:firstColumn="1" w:lastColumn="0" w:noHBand="0" w:noVBand="1"/>
      </w:tblPr>
      <w:tblGrid>
        <w:gridCol w:w="1652"/>
        <w:gridCol w:w="2943"/>
        <w:gridCol w:w="2084"/>
        <w:gridCol w:w="2943"/>
      </w:tblGrid>
      <w:tr w:rsidR="00DA7364" w14:paraId="5E48B72D" w14:textId="77777777">
        <w:trPr>
          <w:jc w:val="center"/>
        </w:trPr>
        <w:tc>
          <w:tcPr>
            <w:tcW w:w="1655" w:type="dxa"/>
            <w:shd w:val="clear" w:color="auto" w:fill="EDEDED"/>
            <w:tcMar>
              <w:top w:w="70" w:type="dxa"/>
              <w:left w:w="70" w:type="dxa"/>
              <w:bottom w:w="70" w:type="dxa"/>
              <w:right w:w="70" w:type="dxa"/>
            </w:tcMar>
            <w:vAlign w:val="center"/>
          </w:tcPr>
          <w:p w14:paraId="28765F83" w14:textId="77777777" w:rsidR="00DA7364" w:rsidRDefault="00000000">
            <w:r>
              <w:rPr>
                <w:b/>
                <w:sz w:val="16"/>
              </w:rPr>
              <w:t>Singapore segment</w:t>
            </w:r>
          </w:p>
        </w:tc>
        <w:tc>
          <w:tcPr>
            <w:tcW w:w="2951" w:type="dxa"/>
            <w:shd w:val="clear" w:color="auto" w:fill="EDEDED"/>
            <w:tcMar>
              <w:top w:w="70" w:type="dxa"/>
              <w:left w:w="70" w:type="dxa"/>
              <w:bottom w:w="70" w:type="dxa"/>
              <w:right w:w="70" w:type="dxa"/>
            </w:tcMar>
            <w:vAlign w:val="center"/>
          </w:tcPr>
          <w:p w14:paraId="603AF9C8" w14:textId="77777777" w:rsidR="00DA7364" w:rsidRDefault="00000000">
            <w:r>
              <w:rPr>
                <w:b/>
                <w:sz w:val="16"/>
              </w:rPr>
              <w:t>Concrete scenarios / example targets</w:t>
            </w:r>
          </w:p>
        </w:tc>
        <w:tc>
          <w:tcPr>
            <w:tcW w:w="2088" w:type="dxa"/>
            <w:shd w:val="clear" w:color="auto" w:fill="EDEDED"/>
            <w:tcMar>
              <w:top w:w="70" w:type="dxa"/>
              <w:left w:w="70" w:type="dxa"/>
              <w:bottom w:w="70" w:type="dxa"/>
              <w:right w:w="70" w:type="dxa"/>
            </w:tcMar>
            <w:vAlign w:val="center"/>
          </w:tcPr>
          <w:p w14:paraId="518D5BA6" w14:textId="77777777" w:rsidR="00DA7364" w:rsidRDefault="00000000">
            <w:r>
              <w:rPr>
                <w:b/>
                <w:sz w:val="16"/>
              </w:rPr>
              <w:t>Sizing basis</w:t>
            </w:r>
          </w:p>
        </w:tc>
        <w:tc>
          <w:tcPr>
            <w:tcW w:w="2951" w:type="dxa"/>
            <w:shd w:val="clear" w:color="auto" w:fill="EDEDED"/>
            <w:tcMar>
              <w:top w:w="70" w:type="dxa"/>
              <w:left w:w="70" w:type="dxa"/>
              <w:bottom w:w="70" w:type="dxa"/>
              <w:right w:w="70" w:type="dxa"/>
            </w:tcMar>
            <w:vAlign w:val="center"/>
          </w:tcPr>
          <w:p w14:paraId="3701E205" w14:textId="77777777" w:rsidR="00DA7364" w:rsidRDefault="00000000">
            <w:r>
              <w:rPr>
                <w:b/>
                <w:sz w:val="16"/>
              </w:rPr>
              <w:t>Local opportunity logic</w:t>
            </w:r>
          </w:p>
        </w:tc>
      </w:tr>
      <w:tr w:rsidR="00DA7364" w14:paraId="198FF024" w14:textId="77777777">
        <w:trPr>
          <w:jc w:val="center"/>
        </w:trPr>
        <w:tc>
          <w:tcPr>
            <w:tcW w:w="1655" w:type="dxa"/>
            <w:shd w:val="clear" w:color="auto" w:fill="FFFFFF"/>
            <w:tcMar>
              <w:top w:w="70" w:type="dxa"/>
              <w:left w:w="70" w:type="dxa"/>
              <w:bottom w:w="70" w:type="dxa"/>
              <w:right w:w="70" w:type="dxa"/>
            </w:tcMar>
            <w:vAlign w:val="center"/>
          </w:tcPr>
          <w:p w14:paraId="26A81FA0" w14:textId="77777777" w:rsidR="00DA7364" w:rsidRDefault="00000000">
            <w:r>
              <w:rPr>
                <w:sz w:val="16"/>
              </w:rPr>
              <w:t>Construction and civil assets</w:t>
            </w:r>
          </w:p>
        </w:tc>
        <w:tc>
          <w:tcPr>
            <w:tcW w:w="2951" w:type="dxa"/>
            <w:shd w:val="clear" w:color="auto" w:fill="FFFFFF"/>
            <w:tcMar>
              <w:top w:w="70" w:type="dxa"/>
              <w:left w:w="70" w:type="dxa"/>
              <w:bottom w:w="70" w:type="dxa"/>
              <w:right w:w="70" w:type="dxa"/>
            </w:tcMar>
            <w:vAlign w:val="center"/>
          </w:tcPr>
          <w:p w14:paraId="1AD214A5" w14:textId="77777777" w:rsidR="00DA7364" w:rsidRDefault="00000000">
            <w:r>
              <w:rPr>
                <w:sz w:val="16"/>
              </w:rPr>
              <w:t>HDB-linked construction monitoring; rail-adjacent works; bridges; Geomotion, Ryobi-G, Smart Sensing, SensingTech, Ackcio</w:t>
            </w:r>
          </w:p>
        </w:tc>
        <w:tc>
          <w:tcPr>
            <w:tcW w:w="2088" w:type="dxa"/>
            <w:shd w:val="clear" w:color="auto" w:fill="FFFFFF"/>
            <w:tcMar>
              <w:top w:w="70" w:type="dxa"/>
              <w:left w:w="70" w:type="dxa"/>
              <w:bottom w:w="70" w:type="dxa"/>
              <w:right w:w="70" w:type="dxa"/>
            </w:tcMar>
            <w:vAlign w:val="center"/>
          </w:tcPr>
          <w:p w14:paraId="086EB76A" w14:textId="77777777" w:rsidR="00DA7364" w:rsidRDefault="00000000">
            <w:r>
              <w:rPr>
                <w:sz w:val="16"/>
              </w:rPr>
              <w:t>BCA 2026 construction demand: S$47-53B</w:t>
            </w:r>
          </w:p>
        </w:tc>
        <w:tc>
          <w:tcPr>
            <w:tcW w:w="2951" w:type="dxa"/>
            <w:shd w:val="clear" w:color="auto" w:fill="FFFFFF"/>
            <w:tcMar>
              <w:top w:w="70" w:type="dxa"/>
              <w:left w:w="70" w:type="dxa"/>
              <w:bottom w:w="70" w:type="dxa"/>
              <w:right w:w="70" w:type="dxa"/>
            </w:tcMar>
            <w:vAlign w:val="center"/>
          </w:tcPr>
          <w:p w14:paraId="1A7F1D33" w14:textId="77777777" w:rsidR="00DA7364" w:rsidRDefault="00000000">
            <w:r>
              <w:rPr>
                <w:sz w:val="16"/>
              </w:rPr>
              <w:t>0.02-0.08% monitoring-related spend = S$9.4-42.4M; 3-8% event/anomaly add-on = S$0.28-3.39M/year</w:t>
            </w:r>
          </w:p>
        </w:tc>
      </w:tr>
      <w:tr w:rsidR="00DA7364" w14:paraId="012ACA09" w14:textId="77777777">
        <w:trPr>
          <w:jc w:val="center"/>
        </w:trPr>
        <w:tc>
          <w:tcPr>
            <w:tcW w:w="1655" w:type="dxa"/>
            <w:shd w:val="clear" w:color="auto" w:fill="FFFFFF"/>
            <w:tcMar>
              <w:top w:w="70" w:type="dxa"/>
              <w:left w:w="70" w:type="dxa"/>
              <w:bottom w:w="70" w:type="dxa"/>
              <w:right w:w="70" w:type="dxa"/>
            </w:tcMar>
            <w:vAlign w:val="center"/>
          </w:tcPr>
          <w:p w14:paraId="41FC5AE9" w14:textId="77777777" w:rsidR="00DA7364" w:rsidRDefault="00000000">
            <w:r>
              <w:rPr>
                <w:sz w:val="16"/>
              </w:rPr>
              <w:t>Industrial monitoring</w:t>
            </w:r>
          </w:p>
        </w:tc>
        <w:tc>
          <w:tcPr>
            <w:tcW w:w="2951" w:type="dxa"/>
            <w:shd w:val="clear" w:color="auto" w:fill="FFFFFF"/>
            <w:tcMar>
              <w:top w:w="70" w:type="dxa"/>
              <w:left w:w="70" w:type="dxa"/>
              <w:bottom w:w="70" w:type="dxa"/>
              <w:right w:w="70" w:type="dxa"/>
            </w:tcMar>
            <w:vAlign w:val="center"/>
          </w:tcPr>
          <w:p w14:paraId="09388194" w14:textId="77777777" w:rsidR="00DA7364" w:rsidRDefault="00000000">
            <w:r>
              <w:rPr>
                <w:sz w:val="16"/>
              </w:rPr>
              <w:t>Factories, utilities, data centres, Tuas/Jurong Island process plants; motors, pumps, compressors, fans; industrial sensing suppliers</w:t>
            </w:r>
          </w:p>
        </w:tc>
        <w:tc>
          <w:tcPr>
            <w:tcW w:w="2088" w:type="dxa"/>
            <w:shd w:val="clear" w:color="auto" w:fill="FFFFFF"/>
            <w:tcMar>
              <w:top w:w="70" w:type="dxa"/>
              <w:left w:w="70" w:type="dxa"/>
              <w:bottom w:w="70" w:type="dxa"/>
              <w:right w:w="70" w:type="dxa"/>
            </w:tcMar>
            <w:vAlign w:val="center"/>
          </w:tcPr>
          <w:p w14:paraId="57CFB194" w14:textId="77777777" w:rsidR="00DA7364" w:rsidRDefault="00000000">
            <w:r>
              <w:rPr>
                <w:sz w:val="16"/>
              </w:rPr>
              <w:t>Singapore 2025 manufacturing output: S$479.1B</w:t>
            </w:r>
          </w:p>
        </w:tc>
        <w:tc>
          <w:tcPr>
            <w:tcW w:w="2951" w:type="dxa"/>
            <w:shd w:val="clear" w:color="auto" w:fill="FFFFFF"/>
            <w:tcMar>
              <w:top w:w="70" w:type="dxa"/>
              <w:left w:w="70" w:type="dxa"/>
              <w:bottom w:w="70" w:type="dxa"/>
              <w:right w:w="70" w:type="dxa"/>
            </w:tcMar>
            <w:vAlign w:val="center"/>
          </w:tcPr>
          <w:p w14:paraId="55DC580D" w14:textId="77777777" w:rsidR="00DA7364" w:rsidRDefault="00000000">
            <w:r>
              <w:rPr>
                <w:sz w:val="16"/>
              </w:rPr>
              <w:t>0.003-0.010% wireless condition/event-monitoring node pool = S$14.4-47.9M; 2-6% add-on = S$0.29-2.87M/year</w:t>
            </w:r>
          </w:p>
        </w:tc>
      </w:tr>
      <w:tr w:rsidR="00DA7364" w14:paraId="116C0BD6" w14:textId="77777777">
        <w:trPr>
          <w:jc w:val="center"/>
        </w:trPr>
        <w:tc>
          <w:tcPr>
            <w:tcW w:w="1655" w:type="dxa"/>
            <w:shd w:val="clear" w:color="auto" w:fill="FFFFFF"/>
            <w:tcMar>
              <w:top w:w="70" w:type="dxa"/>
              <w:left w:w="70" w:type="dxa"/>
              <w:bottom w:w="70" w:type="dxa"/>
              <w:right w:w="70" w:type="dxa"/>
            </w:tcMar>
            <w:vAlign w:val="center"/>
          </w:tcPr>
          <w:p w14:paraId="6195708B" w14:textId="77777777" w:rsidR="00DA7364" w:rsidRDefault="00000000">
            <w:r>
              <w:rPr>
                <w:sz w:val="16"/>
              </w:rPr>
              <w:t>Transport and logistics</w:t>
            </w:r>
          </w:p>
        </w:tc>
        <w:tc>
          <w:tcPr>
            <w:tcW w:w="2951" w:type="dxa"/>
            <w:shd w:val="clear" w:color="auto" w:fill="FFFFFF"/>
            <w:tcMar>
              <w:top w:w="70" w:type="dxa"/>
              <w:left w:w="70" w:type="dxa"/>
              <w:bottom w:w="70" w:type="dxa"/>
              <w:right w:w="70" w:type="dxa"/>
            </w:tcMar>
            <w:vAlign w:val="center"/>
          </w:tcPr>
          <w:p w14:paraId="3D0B63F5" w14:textId="77777777" w:rsidR="00DA7364" w:rsidRDefault="00000000">
            <w:r>
              <w:rPr>
                <w:sz w:val="16"/>
              </w:rPr>
              <w:t>Port, warehouse, high-value equipment movement; Stream Peak/ShockLog channels</w:t>
            </w:r>
          </w:p>
        </w:tc>
        <w:tc>
          <w:tcPr>
            <w:tcW w:w="2088" w:type="dxa"/>
            <w:shd w:val="clear" w:color="auto" w:fill="FFFFFF"/>
            <w:tcMar>
              <w:top w:w="70" w:type="dxa"/>
              <w:left w:w="70" w:type="dxa"/>
              <w:bottom w:w="70" w:type="dxa"/>
              <w:right w:w="70" w:type="dxa"/>
            </w:tcMar>
            <w:vAlign w:val="center"/>
          </w:tcPr>
          <w:p w14:paraId="79067CAD" w14:textId="77777777" w:rsidR="00DA7364" w:rsidRDefault="00000000">
            <w:r>
              <w:rPr>
                <w:sz w:val="16"/>
              </w:rPr>
              <w:t xml:space="preserve">Validation by </w:t>
            </w:r>
            <w:proofErr w:type="gramStart"/>
            <w:r>
              <w:rPr>
                <w:sz w:val="16"/>
              </w:rPr>
              <w:t>use</w:t>
            </w:r>
            <w:proofErr w:type="gramEnd"/>
            <w:r>
              <w:rPr>
                <w:sz w:val="16"/>
              </w:rPr>
              <w:t xml:space="preserve"> </w:t>
            </w:r>
            <w:proofErr w:type="gramStart"/>
            <w:r>
              <w:rPr>
                <w:sz w:val="16"/>
              </w:rPr>
              <w:t>case</w:t>
            </w:r>
            <w:proofErr w:type="gramEnd"/>
            <w:r>
              <w:rPr>
                <w:sz w:val="16"/>
              </w:rPr>
              <w:t xml:space="preserve"> rather than macro spend</w:t>
            </w:r>
          </w:p>
        </w:tc>
        <w:tc>
          <w:tcPr>
            <w:tcW w:w="2951" w:type="dxa"/>
            <w:shd w:val="clear" w:color="auto" w:fill="FFFFFF"/>
            <w:tcMar>
              <w:top w:w="70" w:type="dxa"/>
              <w:left w:w="70" w:type="dxa"/>
              <w:bottom w:w="70" w:type="dxa"/>
              <w:right w:w="70" w:type="dxa"/>
            </w:tcMar>
            <w:vAlign w:val="center"/>
          </w:tcPr>
          <w:p w14:paraId="08E9EE6A" w14:textId="77777777" w:rsidR="00DA7364" w:rsidRDefault="00000000">
            <w:r>
              <w:rPr>
                <w:sz w:val="16"/>
              </w:rPr>
              <w:t>Pilot-node or module trials can prove impact/shock capture value before regional expansion</w:t>
            </w:r>
          </w:p>
        </w:tc>
      </w:tr>
    </w:tbl>
    <w:p w14:paraId="790ED479" w14:textId="77777777" w:rsidR="001F2365" w:rsidRDefault="001F2365">
      <w:pPr>
        <w:spacing w:after="120" w:line="259" w:lineRule="auto"/>
        <w:jc w:val="both"/>
        <w:rPr>
          <w:b/>
          <w:sz w:val="22"/>
        </w:rPr>
      </w:pPr>
    </w:p>
    <w:p w14:paraId="48FA2DF4" w14:textId="77777777" w:rsidR="00F6574F" w:rsidRDefault="00000000">
      <w:pPr>
        <w:spacing w:after="120" w:line="259" w:lineRule="auto"/>
        <w:jc w:val="both"/>
      </w:pPr>
      <w:r>
        <w:rPr>
          <w:b/>
          <w:sz w:val="22"/>
        </w:rPr>
        <w:t>Customer value and cost logic.</w:t>
      </w:r>
      <w:r>
        <w:rPr>
          <w:b w:val="0"/>
          <w:sz w:val="22"/>
        </w:rPr>
        <w:t xml:space="preserve"> For the local customer the benefit is not an abstract algorithm improvement. It is first a detection benefit: fewer events missed, and fewer false alarms to deal with. The cost of a false alarm is usually understated as battery drain; in practice the expensive part is human attention, in the form of an engineer reviewing records that did not matter, a maintenance team dispatched to an asset that was fine, or an incident investigation slowed by irrelevant data. Resource savings follow from the same improvement: less wireless traffic, less storage use and fewer unnecessary site visits. Under one illustrative power model, reducing daily false or unnecessary triggers from 100 to 50 can reduce average power by about 30%, and reducing 500 to 250 by about 45%; when trigger frequency is already very low the saving may be smaller because adaptive computation overhead still exists. For equipment manufacturers, avoiding even 200 hours of internal adaptation at S$80/hour represents an illustrative S$16k development-cost exposure, although integration, testing and certification remain.</w:t>
      </w:r>
    </w:p>
    <w:p w14:paraId="40C1B731" w14:textId="77777777" w:rsidR="00DA7364" w:rsidRDefault="00000000">
      <w:pPr>
        <w:jc w:val="center"/>
      </w:pPr>
      <w:r>
        <w:rPr>
          <w:noProof/>
          <w:sz w:val="22"/>
        </w:rPr>
        <w:lastRenderedPageBreak/>
        <w:drawing>
          <wp:inline distT="0" distB="0" distL="0" distR="0" wp14:anchorId="6A3EE732" wp14:editId="0A386387">
            <wp:extent cx="5989320" cy="294021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989320" cy="2940212"/>
                    </a:xfrm>
                    <a:prstGeom prst="rect">
                      <a:avLst/>
                    </a:prstGeom>
                  </pic:spPr>
                </pic:pic>
              </a:graphicData>
            </a:graphic>
          </wp:inline>
        </w:drawing>
      </w:r>
    </w:p>
    <w:p w14:paraId="629DAC90" w14:textId="77777777" w:rsidR="00F6574F" w:rsidRDefault="00000000">
      <w:pPr>
        <w:spacing w:after="120" w:line="259" w:lineRule="auto"/>
        <w:jc w:val="both"/>
      </w:pPr>
      <w:r>
        <w:rPr>
          <w:b/>
          <w:sz w:val="22"/>
        </w:rPr>
        <w:t>Manufacturability and adoption cost.</w:t>
      </w:r>
      <w:r>
        <w:rPr>
          <w:sz w:val="22"/>
        </w:rPr>
        <w:t xml:space="preserve"> The product concept is a modular commercial offering rather than a single fixed device. The core form is a board-level capture module with firmware/software, manufactured through standard electronics assembly and integrated into selected monitoring nodes through defined hardware interfaces and drivers. Where the customer already has compatible hardware, the same capability may be offered as software licensing or technology licensing, including any patent rights arising from the project. Where the customer needs an immediately testable system, the team may supply a complete sensor node or pilot device for validation. Adoption cost is therefore bounded and selectable: module cost and interface adaptation for embedded integration; software validation for licensing; intellectual property (IP)/commercial terms for technology licensing; or complete-device cost for pilot sensor nodes.</w:t>
      </w:r>
    </w:p>
    <w:p w14:paraId="55F20161" w14:textId="77777777" w:rsidR="00E4627E" w:rsidRPr="001F2365" w:rsidRDefault="00000000" w:rsidP="001F2365">
      <w:pPr>
        <w:spacing w:after="120" w:line="259" w:lineRule="auto"/>
        <w:jc w:val="both"/>
      </w:pPr>
      <w:r>
        <w:rPr>
          <w:b/>
          <w:sz w:val="22"/>
        </w:rPr>
        <w:t>Singapore value creation.</w:t>
      </w:r>
      <w:r>
        <w:rPr>
          <w:sz w:val="22"/>
        </w:rPr>
        <w:t xml:space="preserve"> The Singapore value proposition is strongest when the project is used as a local testbed and export channel. Singapore provides demanding local sites, credible reference users, and nearby equipment/service companies that can help validate manufacturability, installation workflow, false-trigger reduction, and customer willingness to pay. Once validated locally, the same module/software/licensing package can be sold through equipment manufacturers and distributors into Southeast Asia and China, where infrastructure development, industrial maintenance, logistics, and remote monitoring needs are broader than the initial Singapore beachhead.</w:t>
      </w:r>
    </w:p>
    <w:p w14:paraId="402BC3C0" w14:textId="77777777" w:rsidR="00331753" w:rsidRPr="00331753" w:rsidRDefault="00331753" w:rsidP="00331753">
      <w:pPr>
        <w:spacing w:after="80" w:line="252" w:lineRule="auto"/>
        <w:jc w:val="both"/>
      </w:pPr>
    </w:p>
    <w:p w14:paraId="6A016A99" w14:textId="77777777" w:rsidR="00E4627E" w:rsidRPr="004B30EA" w:rsidRDefault="00E4627E" w:rsidP="00E4627E">
      <w:pPr>
        <w:jc w:val="both"/>
        <w:rPr>
          <w:b/>
          <w:bCs/>
          <w:lang w:val="en-GB"/>
        </w:rPr>
      </w:pPr>
      <w:r w:rsidRPr="004B30EA">
        <w:rPr>
          <w:b/>
          <w:bCs/>
          <w:sz w:val="22"/>
          <w:lang w:val="en-GB"/>
        </w:rPr>
        <w:t>2.5</w:t>
      </w:r>
      <w:r w:rsidRPr="004B30EA">
        <w:rPr>
          <w:b/>
          <w:bCs/>
          <w:sz w:val="22"/>
          <w:lang w:val="en-GB"/>
        </w:rPr>
        <w:tab/>
        <w:t>Competitors</w:t>
      </w:r>
    </w:p>
    <w:p w14:paraId="53636538" w14:textId="77777777" w:rsidR="00E4627E" w:rsidRPr="004B30EA" w:rsidRDefault="00E4627E" w:rsidP="00E4627E">
      <w:pPr>
        <w:jc w:val="both"/>
        <w:rPr>
          <w:b/>
          <w:bCs/>
          <w:lang w:val="en-GB"/>
        </w:rPr>
      </w:pPr>
    </w:p>
    <w:p w14:paraId="272EF5EE" w14:textId="77777777" w:rsidR="00237560" w:rsidRPr="00331753" w:rsidRDefault="00E4627E" w:rsidP="00331753">
      <w:pPr>
        <w:spacing w:after="200"/>
        <w:jc w:val="both"/>
        <w:rPr>
          <w:i/>
          <w:iCs/>
          <w:lang w:val="en-GB"/>
        </w:rPr>
      </w:pPr>
      <w:r w:rsidRPr="004B30EA">
        <w:rPr>
          <w:i/>
          <w:iCs/>
          <w:sz w:val="22"/>
          <w:lang w:val="en-GB"/>
        </w:rPr>
        <w:t xml:space="preserve">Please provide details of existing approaches/competitors in the same/similar market space in the following table. The team should also compare briefly the proposed technology/concept with that of the competitors’ (i.e. how the team’s technology is better, and what weaknesses there are). PI may wish to describe potential disruptive technologies. </w:t>
      </w:r>
    </w:p>
    <w:p w14:paraId="4F9D641B" w14:textId="77777777" w:rsidR="00F6574F" w:rsidRDefault="00F6574F">
      <w:pPr>
        <w:spacing w:after="60" w:line="252" w:lineRule="auto"/>
        <w:jc w:val="both"/>
      </w:pPr>
    </w:p>
    <w:p w14:paraId="641645EF" w14:textId="77777777" w:rsidR="00DA7364" w:rsidRDefault="00000000">
      <w:pPr>
        <w:spacing w:after="120" w:line="259" w:lineRule="auto"/>
        <w:jc w:val="both"/>
      </w:pPr>
      <w:r>
        <w:rPr>
          <w:b/>
          <w:sz w:val="22"/>
        </w:rPr>
        <w:t>Potential disruptive technologies.</w:t>
      </w:r>
      <w:r>
        <w:rPr>
          <w:sz w:val="22"/>
        </w:rPr>
        <w:t xml:space="preserve"> Larger vendors may add adaptive or artificial intelligence-based triggering directly into future nodes, and low-power microcontrollers may reduce the cost of continuous processing. The response is to validate a narrow but valuable workflow faster: near-complete capture of selected events/anomalies, lower false-trigger burden, and easier integration into third-party devices. The current weakness is that this advantage must be proven in field pilots against fixed-threshold and periodic-sampling baselines before strong licensing or investment claims can be made.</w:t>
      </w:r>
    </w:p>
    <w:p w14:paraId="4585D1C4" w14:textId="77777777" w:rsidR="00F6574F" w:rsidRDefault="00000000">
      <w:pPr>
        <w:spacing w:after="120" w:line="259" w:lineRule="auto"/>
        <w:jc w:val="both"/>
      </w:pPr>
      <w:r>
        <w:rPr>
          <w:b/>
          <w:sz w:val="22"/>
        </w:rPr>
        <w:t>Competitor framing.</w:t>
      </w:r>
      <w:r>
        <w:rPr>
          <w:sz w:val="22"/>
        </w:rPr>
        <w:t xml:space="preserve"> The competitive landscape is read by product role, not only by company name. Relevant alternatives include: (1) sensor chips and development kits for original equipment manufacturer self-development, including ADI Voyager4-type platforms; (2) embedded acquisition boards such as G-Link-200-OEM-type products; (3) complete wireless monitoring nodes and platforms such as Worldsensing/Move-type </w:t>
      </w:r>
      <w:r>
        <w:rPr>
          <w:sz w:val="22"/>
        </w:rPr>
        <w:lastRenderedPageBreak/>
        <w:t>systems, SensingTech VM2030-type devices, Geokon/基康 BGK9600-type systems, and NCD Gen4-type wireless nodes; (4) industrial condition-monitoring devices and predictive-maintenance sensor nodes used for motors, pumps, compressors, production assets, and utilities; and (5) transport or impact recorders such as Chengdu Zhongke Ce Kong TCT-2, MSR175, and ShockLog 298-type devices. These solutions validate demand but also define our proof burden: we must show that adaptive capture reduces false or low-value records while preserving near-complete capture of the selected event class under the same recording requirement and deployment constraint.</w:t>
      </w:r>
    </w:p>
    <w:p w14:paraId="39CD3447" w14:textId="77777777" w:rsidR="00E4627E" w:rsidRPr="004B30EA" w:rsidRDefault="00E4627E" w:rsidP="00E4627E">
      <w:pPr>
        <w:jc w:val="both"/>
        <w:rPr>
          <w:b/>
          <w:bCs/>
          <w:lang w:val="en-GB"/>
        </w:rPr>
      </w:pPr>
    </w:p>
    <w:tbl>
      <w:tblPr>
        <w:tblW w:w="96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46"/>
        <w:gridCol w:w="2778"/>
        <w:gridCol w:w="2572"/>
        <w:gridCol w:w="2636"/>
      </w:tblGrid>
      <w:tr w:rsidR="00E4627E" w:rsidRPr="004B30EA" w14:paraId="6A97E969" w14:textId="77777777" w:rsidTr="00E52F3C">
        <w:tc>
          <w:tcPr>
            <w:tcW w:w="1646" w:type="dxa"/>
            <w:shd w:val="clear" w:color="auto" w:fill="D9EAF7"/>
          </w:tcPr>
          <w:p w14:paraId="105B6D19" w14:textId="77777777" w:rsidR="00475C5E" w:rsidRDefault="00000000">
            <w:pPr>
              <w:spacing w:after="40"/>
            </w:pPr>
            <w:r>
              <w:rPr>
                <w:b/>
                <w:sz w:val="18"/>
              </w:rPr>
              <w:t>Competitive Analysis</w:t>
            </w:r>
          </w:p>
        </w:tc>
        <w:tc>
          <w:tcPr>
            <w:tcW w:w="2778" w:type="dxa"/>
            <w:shd w:val="clear" w:color="auto" w:fill="D9EAF7"/>
          </w:tcPr>
          <w:p w14:paraId="1E7521BD" w14:textId="77777777" w:rsidR="00475C5E" w:rsidRDefault="00000000">
            <w:pPr>
              <w:spacing w:after="40"/>
            </w:pPr>
            <w:r>
              <w:rPr>
                <w:b/>
                <w:sz w:val="18"/>
              </w:rPr>
              <w:t>Proposed technology</w:t>
            </w:r>
          </w:p>
        </w:tc>
        <w:tc>
          <w:tcPr>
            <w:tcW w:w="2572" w:type="dxa"/>
            <w:shd w:val="clear" w:color="auto" w:fill="D9EAF7"/>
          </w:tcPr>
          <w:p w14:paraId="0E9C1858" w14:textId="77777777" w:rsidR="00475C5E" w:rsidRDefault="00000000">
            <w:pPr>
              <w:spacing w:after="40"/>
            </w:pPr>
            <w:r>
              <w:rPr>
                <w:b/>
                <w:sz w:val="18"/>
              </w:rPr>
              <w:t>Embedded boards / development kits</w:t>
            </w:r>
          </w:p>
        </w:tc>
        <w:tc>
          <w:tcPr>
            <w:tcW w:w="2636" w:type="dxa"/>
            <w:shd w:val="clear" w:color="auto" w:fill="D9EAF7"/>
          </w:tcPr>
          <w:p w14:paraId="155EA2CA" w14:textId="77777777" w:rsidR="00475C5E" w:rsidRDefault="00000000">
            <w:pPr>
              <w:spacing w:after="40"/>
            </w:pPr>
            <w:r>
              <w:rPr>
                <w:b/>
                <w:sz w:val="18"/>
              </w:rPr>
              <w:t>Complete monitoring nodes / event recorders</w:t>
            </w:r>
          </w:p>
        </w:tc>
      </w:tr>
      <w:tr w:rsidR="00E4627E" w:rsidRPr="004B30EA" w14:paraId="58886584" w14:textId="77777777" w:rsidTr="00E52F3C">
        <w:tc>
          <w:tcPr>
            <w:tcW w:w="1646" w:type="dxa"/>
          </w:tcPr>
          <w:p w14:paraId="60E24CAA" w14:textId="77777777" w:rsidR="00475C5E" w:rsidRDefault="00000000">
            <w:pPr>
              <w:spacing w:after="40"/>
              <w:jc w:val="both"/>
            </w:pPr>
            <w:r>
              <w:rPr>
                <w:sz w:val="18"/>
              </w:rPr>
              <w:t>Market role</w:t>
            </w:r>
          </w:p>
        </w:tc>
        <w:tc>
          <w:tcPr>
            <w:tcW w:w="2778" w:type="dxa"/>
          </w:tcPr>
          <w:p w14:paraId="64A408B2" w14:textId="77777777" w:rsidR="00475C5E" w:rsidRDefault="00000000">
            <w:pPr>
              <w:spacing w:after="40"/>
              <w:jc w:val="both"/>
            </w:pPr>
            <w:r>
              <w:rPr>
                <w:sz w:val="18"/>
              </w:rPr>
              <w:t>Adaptive event/anomaly capture module and firmware for third-party monitoring devices.</w:t>
            </w:r>
          </w:p>
        </w:tc>
        <w:tc>
          <w:tcPr>
            <w:tcW w:w="2572" w:type="dxa"/>
          </w:tcPr>
          <w:p w14:paraId="03EE86EF" w14:textId="77777777" w:rsidR="00475C5E" w:rsidRDefault="00000000">
            <w:pPr>
              <w:spacing w:after="40"/>
              <w:jc w:val="both"/>
            </w:pPr>
            <w:r>
              <w:rPr>
                <w:sz w:val="18"/>
              </w:rPr>
              <w:t>Building blocks for equipment-manufacturer self-development, e.g. ADI Voyager4-type platforms and G-Link-200-OEM-type acquisition boards.</w:t>
            </w:r>
          </w:p>
        </w:tc>
        <w:tc>
          <w:tcPr>
            <w:tcW w:w="2636" w:type="dxa"/>
          </w:tcPr>
          <w:p w14:paraId="70BB325F" w14:textId="77777777" w:rsidR="00475C5E" w:rsidRDefault="00000000">
            <w:pPr>
              <w:spacing w:after="40"/>
              <w:jc w:val="both"/>
            </w:pPr>
            <w:r>
              <w:rPr>
                <w:sz w:val="18"/>
              </w:rPr>
              <w:t>Finished products for field users, e.g. Worldsensing/Move-type nodes, SensingTech VM2030, Geokon/基康 BGK9600, NCD Gen4-type nodes, Chengdu Zhongke Ce Kong TCT-2, MSR175, and ShockLog 298-type recorders.</w:t>
            </w:r>
          </w:p>
        </w:tc>
      </w:tr>
      <w:tr w:rsidR="00E4627E" w:rsidRPr="004B30EA" w14:paraId="46B0194A" w14:textId="77777777" w:rsidTr="00E52F3C">
        <w:tc>
          <w:tcPr>
            <w:tcW w:w="1646" w:type="dxa"/>
          </w:tcPr>
          <w:p>
            <w:r/>
            <w:r>
              <w:rPr>
                <w:b/>
                <w:sz w:val="22"/>
              </w:rPr>
              <w:t>Detection quality</w:t>
            </w:r>
          </w:p>
        </w:tc>
        <w:tc>
          <w:tcPr>
            <w:tcW w:w="2778" w:type="dxa"/>
          </w:tcPr>
          <w:p>
            <w:r/>
            <w:r>
              <w:rPr>
                <w:b w:val="0"/>
                <w:sz w:val="22"/>
              </w:rPr>
              <w:t>Detection parameters re-optimised in the field against estimated performance; missed detections held close to zero for the selected class while false alarms are progressively suppressed. The node can state its own detection quality, including an estimate of what it is likely to be missing.</w:t>
            </w:r>
          </w:p>
        </w:tc>
        <w:tc>
          <w:tcPr>
            <w:tcW w:w="2572" w:type="dxa"/>
          </w:tcPr>
          <w:p>
            <w:r/>
            <w:r>
              <w:rPr>
                <w:b w:val="0"/>
                <w:sz w:val="22"/>
              </w:rPr>
              <w:t>Can acquire and process data, but the equipment manufacturer must still design, tune and validate the decision on when detailed recording should start.</w:t>
            </w:r>
          </w:p>
        </w:tc>
        <w:tc>
          <w:tcPr>
            <w:tcW w:w="2636" w:type="dxa"/>
          </w:tcPr>
          <w:p>
            <w:r/>
            <w:r>
              <w:rPr>
                <w:b w:val="0"/>
                <w:sz w:val="22"/>
              </w:rPr>
              <w:t>Fixed trigger, pre-buffering, alarm or event logging; the detection decision is set at design time and cannot be retuned without a site visit, and missed events leave no trace.</w:t>
            </w:r>
          </w:p>
        </w:tc>
      </w:tr>
      <w:tr w:rsidR="00E4627E" w:rsidRPr="004B30EA" w14:paraId="12A9C72B" w14:textId="77777777" w:rsidTr="00E52F3C">
        <w:tc>
          <w:tcPr>
            <w:tcW w:w="1646" w:type="dxa"/>
          </w:tcPr>
          <w:p w14:paraId="6CC7008D" w14:textId="77777777" w:rsidR="00475C5E" w:rsidRDefault="00000000">
            <w:pPr>
              <w:spacing w:after="40"/>
              <w:jc w:val="both"/>
            </w:pPr>
            <w:r>
              <w:rPr>
                <w:sz w:val="18"/>
              </w:rPr>
              <w:t>Resource impact</w:t>
            </w:r>
          </w:p>
        </w:tc>
        <w:tc>
          <w:tcPr>
            <w:tcW w:w="2778" w:type="dxa"/>
          </w:tcPr>
          <w:p w14:paraId="296D04CE" w14:textId="77777777" w:rsidR="00475C5E" w:rsidRDefault="00000000">
            <w:pPr>
              <w:spacing w:after="40"/>
              <w:jc w:val="both"/>
            </w:pPr>
            <w:r>
              <w:rPr>
                <w:sz w:val="18"/>
              </w:rPr>
              <w:t xml:space="preserve">Allocates limited battery, storage, and bandwidth to critical event records by suppressing false triggers and unnecessary </w:t>
            </w:r>
            <w:proofErr w:type="gramStart"/>
            <w:r>
              <w:rPr>
                <w:sz w:val="18"/>
              </w:rPr>
              <w:t>wake-ups</w:t>
            </w:r>
            <w:proofErr w:type="gramEnd"/>
            <w:r>
              <w:rPr>
                <w:sz w:val="18"/>
              </w:rPr>
              <w:t>.</w:t>
            </w:r>
          </w:p>
        </w:tc>
        <w:tc>
          <w:tcPr>
            <w:tcW w:w="2572" w:type="dxa"/>
          </w:tcPr>
          <w:p w14:paraId="565E15BF" w14:textId="77777777" w:rsidR="00475C5E" w:rsidRDefault="00000000">
            <w:pPr>
              <w:spacing w:after="40"/>
              <w:jc w:val="both"/>
            </w:pPr>
            <w:r>
              <w:rPr>
                <w:sz w:val="18"/>
              </w:rPr>
              <w:t>Resource impact depends on the customer firmware and trigger logic built around the board or chip.</w:t>
            </w:r>
          </w:p>
        </w:tc>
        <w:tc>
          <w:tcPr>
            <w:tcW w:w="2636" w:type="dxa"/>
          </w:tcPr>
          <w:p w14:paraId="72752217" w14:textId="77777777" w:rsidR="00475C5E" w:rsidRDefault="00000000">
            <w:pPr>
              <w:spacing w:after="40"/>
              <w:jc w:val="both"/>
            </w:pPr>
            <w:r>
              <w:rPr>
                <w:sz w:val="18"/>
              </w:rPr>
              <w:t xml:space="preserve">Optimised within each vendor product; efficiency gains may not </w:t>
            </w:r>
            <w:proofErr w:type="gramStart"/>
            <w:r>
              <w:rPr>
                <w:sz w:val="18"/>
              </w:rPr>
              <w:t>transfer</w:t>
            </w:r>
            <w:proofErr w:type="gramEnd"/>
            <w:r>
              <w:rPr>
                <w:sz w:val="18"/>
              </w:rPr>
              <w:t xml:space="preserve"> to other devices, interfaces, or customer workflows.</w:t>
            </w:r>
          </w:p>
        </w:tc>
      </w:tr>
      <w:tr w:rsidR="00F6574F" w14:paraId="58D75F7F" w14:textId="77777777">
        <w:tc>
          <w:tcPr>
            <w:tcW w:w="1646" w:type="dxa"/>
          </w:tcPr>
          <w:p w14:paraId="164A6503" w14:textId="77777777" w:rsidR="00475C5E" w:rsidRDefault="00000000">
            <w:pPr>
              <w:spacing w:after="40"/>
              <w:jc w:val="both"/>
            </w:pPr>
            <w:r>
              <w:rPr>
                <w:sz w:val="18"/>
              </w:rPr>
              <w:t>Adoption cost</w:t>
            </w:r>
          </w:p>
        </w:tc>
        <w:tc>
          <w:tcPr>
            <w:tcW w:w="2778" w:type="dxa"/>
          </w:tcPr>
          <w:p w14:paraId="3F11D3E5" w14:textId="77777777" w:rsidR="00C0740F" w:rsidRDefault="00000000">
            <w:r>
              <w:rPr>
                <w:sz w:val="22"/>
              </w:rPr>
              <w:t>Adoption cost is bounded and selectable: module cost plus interface and driver adaptation for embedded integration; software validation where the capability is licensed; or complete-device cost for a pilot node. Device-level testing and certification remain with the equipment manufacturer.</w:t>
            </w:r>
          </w:p>
        </w:tc>
        <w:tc>
          <w:tcPr>
            <w:tcW w:w="2572" w:type="dxa"/>
          </w:tcPr>
          <w:p w14:paraId="29FACDB0" w14:textId="77777777" w:rsidR="00475C5E" w:rsidRDefault="00000000">
            <w:pPr>
              <w:spacing w:after="40"/>
              <w:jc w:val="both"/>
            </w:pPr>
            <w:r>
              <w:rPr>
                <w:sz w:val="18"/>
              </w:rPr>
              <w:t>Lower upfront component cost, but higher internal development, validation, and maintenance burden for the equipment manufacturer.</w:t>
            </w:r>
          </w:p>
        </w:tc>
        <w:tc>
          <w:tcPr>
            <w:tcW w:w="2636" w:type="dxa"/>
          </w:tcPr>
          <w:p w14:paraId="15B19615" w14:textId="77777777" w:rsidR="00475C5E" w:rsidRDefault="00000000">
            <w:pPr>
              <w:spacing w:after="40"/>
              <w:jc w:val="both"/>
            </w:pPr>
            <w:r>
              <w:rPr>
                <w:sz w:val="18"/>
              </w:rPr>
              <w:t>Fastest for field users buying a complete device, but less attractive for equipment manufacturers seeking embedded control, product differentiation, or reuse across product lines.</w:t>
            </w:r>
          </w:p>
        </w:tc>
      </w:tr>
      <w:tr w:rsidR="00F6574F" w14:paraId="7CC6B285" w14:textId="77777777">
        <w:tc>
          <w:tcPr>
            <w:tcW w:w="1646" w:type="dxa"/>
          </w:tcPr>
          <w:p w14:paraId="597769FF" w14:textId="77777777" w:rsidR="00475C5E" w:rsidRDefault="00000000">
            <w:pPr>
              <w:spacing w:after="40"/>
              <w:jc w:val="both"/>
            </w:pPr>
            <w:r>
              <w:rPr>
                <w:sz w:val="18"/>
              </w:rPr>
              <w:t>Weakness / risk</w:t>
            </w:r>
          </w:p>
        </w:tc>
        <w:tc>
          <w:tcPr>
            <w:tcW w:w="2778" w:type="dxa"/>
          </w:tcPr>
          <w:p w14:paraId="552A33D4" w14:textId="77777777" w:rsidR="00475C5E" w:rsidRDefault="00000000">
            <w:pPr>
              <w:spacing w:after="40"/>
              <w:jc w:val="both"/>
            </w:pPr>
            <w:r>
              <w:rPr>
                <w:sz w:val="18"/>
              </w:rPr>
              <w:t>Must prove value in one focused use case and confirm sentinel detectability, design authority, volume, acceptable incremental cost, and preferred product form.</w:t>
            </w:r>
          </w:p>
        </w:tc>
        <w:tc>
          <w:tcPr>
            <w:tcW w:w="2572" w:type="dxa"/>
          </w:tcPr>
          <w:p w14:paraId="4F131DD6" w14:textId="77777777" w:rsidR="00475C5E" w:rsidRDefault="00000000">
            <w:pPr>
              <w:spacing w:after="40"/>
              <w:jc w:val="both"/>
            </w:pPr>
            <w:r>
              <w:rPr>
                <w:sz w:val="18"/>
              </w:rPr>
              <w:t>Technically flexible, but not a turnkey event/anomaly capture workflow.</w:t>
            </w:r>
          </w:p>
        </w:tc>
        <w:tc>
          <w:tcPr>
            <w:tcW w:w="2636" w:type="dxa"/>
          </w:tcPr>
          <w:p w14:paraId="2B6C8212" w14:textId="77777777" w:rsidR="00475C5E" w:rsidRDefault="00000000">
            <w:pPr>
              <w:spacing w:after="40"/>
              <w:jc w:val="both"/>
            </w:pPr>
            <w:r>
              <w:rPr>
                <w:sz w:val="18"/>
              </w:rPr>
              <w:t xml:space="preserve">Commercially </w:t>
            </w:r>
            <w:proofErr w:type="gramStart"/>
            <w:r>
              <w:rPr>
                <w:sz w:val="18"/>
              </w:rPr>
              <w:t>established, but</w:t>
            </w:r>
            <w:proofErr w:type="gramEnd"/>
            <w:r>
              <w:rPr>
                <w:sz w:val="18"/>
              </w:rPr>
              <w:t xml:space="preserve"> closed-product positioning limits module-level reuse and partner customisation.</w:t>
            </w:r>
          </w:p>
        </w:tc>
      </w:tr>
    </w:tbl>
    <w:p w14:paraId="6DBB8B2E" w14:textId="77777777" w:rsidR="00E4627E" w:rsidRDefault="00E4627E" w:rsidP="00E4627E">
      <w:pPr>
        <w:jc w:val="both"/>
        <w:rPr>
          <w:b/>
          <w:bCs/>
          <w:lang w:val="en-GB"/>
        </w:rPr>
      </w:pPr>
    </w:p>
    <w:p w14:paraId="4ED74F15" w14:textId="77777777" w:rsidR="00E4627E" w:rsidRPr="004B30EA" w:rsidRDefault="00E4627E" w:rsidP="00E4627E">
      <w:pPr>
        <w:jc w:val="both"/>
        <w:rPr>
          <w:b/>
          <w:bCs/>
          <w:lang w:val="en-GB"/>
        </w:rPr>
      </w:pPr>
      <w:r w:rsidRPr="004B30EA">
        <w:rPr>
          <w:b/>
          <w:bCs/>
          <w:sz w:val="22"/>
          <w:szCs w:val="28"/>
          <w:lang w:val="en-GB"/>
        </w:rPr>
        <w:t>2.6</w:t>
      </w:r>
      <w:r w:rsidRPr="004B30EA">
        <w:rPr>
          <w:b/>
          <w:bCs/>
          <w:sz w:val="22"/>
          <w:szCs w:val="28"/>
          <w:lang w:val="en-GB"/>
        </w:rPr>
        <w:tab/>
      </w:r>
      <w:r w:rsidRPr="004B30EA">
        <w:rPr>
          <w:b/>
          <w:bCs/>
          <w:sz w:val="22"/>
          <w:lang w:val="en-GB"/>
        </w:rPr>
        <w:t>Path to Commercialisation and Commercial Potential</w:t>
      </w:r>
    </w:p>
    <w:p w14:paraId="3501BDB5" w14:textId="77777777" w:rsidR="00E4627E" w:rsidRPr="004B30EA" w:rsidRDefault="00E4627E" w:rsidP="00E4627E">
      <w:pPr>
        <w:jc w:val="both"/>
        <w:rPr>
          <w:b/>
          <w:bCs/>
          <w:lang w:val="en-GB"/>
        </w:rPr>
      </w:pPr>
    </w:p>
    <w:p w14:paraId="1ED7A3DE" w14:textId="77777777" w:rsidR="00237560" w:rsidRPr="00331753" w:rsidRDefault="00E4627E" w:rsidP="00331753">
      <w:pPr>
        <w:spacing w:after="200"/>
        <w:jc w:val="both"/>
        <w:rPr>
          <w:i/>
          <w:iCs/>
          <w:lang w:val="en-GB"/>
        </w:rPr>
      </w:pPr>
      <w:r w:rsidRPr="004B30EA">
        <w:rPr>
          <w:i/>
          <w:iCs/>
          <w:sz w:val="22"/>
          <w:lang w:val="en-GB"/>
        </w:rPr>
        <w:t>Please provide details on the preferred “path to commercialisation”</w:t>
      </w:r>
      <w:r w:rsidRPr="004B30EA">
        <w:rPr>
          <w:rStyle w:val="FootnoteReference"/>
          <w:i/>
          <w:iCs/>
          <w:sz w:val="22"/>
          <w:lang w:val="en-GB"/>
        </w:rPr>
        <w:footnoteReference w:id="1"/>
      </w:r>
      <w:r w:rsidRPr="004B30EA">
        <w:rPr>
          <w:i/>
          <w:iCs/>
          <w:sz w:val="22"/>
          <w:lang w:val="en-GB"/>
        </w:rPr>
        <w:t xml:space="preserve">. It must include the expected product/service to be developed, mode of commercialisation (e.g. licensing the technology, or forming a start-up), how the team plans to get there (e.g. use of programmes &amp; partners at </w:t>
      </w:r>
      <w:r w:rsidR="00BA527B">
        <w:rPr>
          <w:i/>
          <w:iCs/>
          <w:sz w:val="22"/>
          <w:lang w:val="en-GB"/>
        </w:rPr>
        <w:t>NTUitive</w:t>
      </w:r>
      <w:r w:rsidRPr="004B30EA">
        <w:rPr>
          <w:i/>
          <w:iCs/>
          <w:sz w:val="22"/>
          <w:lang w:val="en-GB"/>
        </w:rPr>
        <w:t xml:space="preserve"> or industry contacts) and an estimated timeline for the commercialisation to take place. </w:t>
      </w:r>
      <w:r w:rsidRPr="004B30EA">
        <w:rPr>
          <w:bCs/>
          <w:i/>
          <w:sz w:val="22"/>
          <w:lang w:val="en"/>
        </w:rPr>
        <w:t>Describe key partnerships with clinicians, companies or other institutes that will enhance the commercialization potential of the proposed technology, and</w:t>
      </w:r>
      <w:r w:rsidRPr="004B30EA">
        <w:rPr>
          <w:i/>
          <w:iCs/>
          <w:sz w:val="22"/>
          <w:lang w:val="en-GB"/>
        </w:rPr>
        <w:t xml:space="preserve"> the risk factors to commercialisation (e.g. technical or market uncertainty). Highlight the aspects of this </w:t>
      </w:r>
      <w:r w:rsidRPr="004B30EA">
        <w:rPr>
          <w:i/>
          <w:iCs/>
          <w:sz w:val="22"/>
          <w:lang w:val="en-GB"/>
        </w:rPr>
        <w:lastRenderedPageBreak/>
        <w:t xml:space="preserve">work that would attract investors or companies to develop the prototype or product from this </w:t>
      </w:r>
      <w:r w:rsidR="00BA527B">
        <w:rPr>
          <w:i/>
          <w:iCs/>
          <w:sz w:val="22"/>
          <w:lang w:val="en-GB"/>
        </w:rPr>
        <w:t>Gap Fund</w:t>
      </w:r>
      <w:r w:rsidRPr="004B30EA">
        <w:rPr>
          <w:i/>
          <w:iCs/>
          <w:sz w:val="22"/>
          <w:lang w:val="en-GB"/>
        </w:rPr>
        <w:t xml:space="preserve"> work into a commercial entity. </w:t>
      </w:r>
    </w:p>
    <w:p w14:paraId="51B650B1" w14:textId="77777777" w:rsidR="00F6574F" w:rsidRDefault="00000000">
      <w:pPr>
        <w:spacing w:after="120" w:line="259" w:lineRule="auto"/>
        <w:jc w:val="both"/>
      </w:pPr>
      <w:r>
        <w:rPr>
          <w:b/>
          <w:sz w:val="22"/>
        </w:rPr>
        <w:t>Preferred route and revenue model.</w:t>
      </w:r>
      <w:r>
        <w:rPr>
          <w:sz w:val="22"/>
        </w:rPr>
        <w:t xml:space="preserve"> The preferred route is adoption by original equipment manufacturers through a modular product and licensing strategy, while retaining multiple revenue channels so the opportunity is not limited to one hardware format. The expected product/service from the Gap Fund is a validated capture module, firmware/software package, integration guide, benchmark report, and pilot package. The core commercial pathway is module supply with firmware/software and paid interface adaptation. Additional pathways include software-only licensing for compatible customer hardware, technology licensing to established monitoring equipment manufacturers, including any patent rights arising from the project, complete sensor-node or pilot-device sales for ready-to-deploy validation, and joint-development or non-recurring engineering fees for customer-specific integration. A start-up route can be considered if customer discovery confirms repeatable demand across multiple equipment manufacturers or if a dedicated entity is needed for manufacturing and support. Across all of these, the capture module with its firmware remains the primary product form; the licensing routes are complementary options for customers whose hardware or commercial preference suits them, and they are framed around the technology and the know-how behind it rather than around any single existing patent application.</w:t>
      </w:r>
    </w:p>
    <w:p w14:paraId="5A42765C" w14:textId="77777777" w:rsidR="00F6574F" w:rsidRDefault="00F6574F">
      <w:pPr>
        <w:spacing w:after="80" w:line="252" w:lineRule="auto"/>
        <w:jc w:val="both"/>
      </w:pPr>
    </w:p>
    <w:p w14:paraId="42C37C04" w14:textId="77777777" w:rsidR="00F6574F" w:rsidRDefault="00000000">
      <w:pPr>
        <w:spacing w:after="60" w:line="252" w:lineRule="auto"/>
        <w:jc w:val="both"/>
      </w:pPr>
      <w:r>
        <w:rPr>
          <w:b/>
          <w:sz w:val="22"/>
        </w:rPr>
        <w:t>Gap Fund timeline.</w:t>
      </w:r>
    </w:p>
    <w:p w14:paraId="60798210" w14:textId="77777777" w:rsidR="00F6574F" w:rsidRDefault="00000000">
      <w:pPr>
        <w:spacing w:after="80" w:line="252" w:lineRule="auto"/>
        <w:jc w:val="both"/>
      </w:pPr>
      <w:r>
        <w:rPr>
          <w:sz w:val="22"/>
        </w:rPr>
        <w:t>The 18-month Gap Fund project uses a 15-month execution plan with a 3-month buffer. Months 0-3: select one priority event/anomaly use case, define customer key performance indicators (KPIs), and confirm equipment-manufacturer/field-user requirements. Months 3-6: build the core module prototype and firmware/software package. Months 6-9: benchmark against periodic sampling and fixed-threshold triggering. Months 9-12: conduct pilot validation with one equipment-side and one field-side partner, using either an embedded module or a complete pilot sensor node as appropriate. Months 12-15: prepare integration documents, bill of materials, test report, product-package options, commercial terms, and licensing/joint-development discussions. Months 15-18 provide buffer for repeat tests, partner feedback, letter of intent (LOI) negotiation, and commercialisation follow-up.</w:t>
      </w:r>
    </w:p>
    <w:p w14:paraId="307F8D22" w14:textId="77777777" w:rsidR="00F6574F" w:rsidRDefault="00F6574F">
      <w:pPr>
        <w:spacing w:after="60" w:line="252" w:lineRule="auto"/>
        <w:jc w:val="both"/>
      </w:pPr>
    </w:p>
    <w:p w14:paraId="28562BB8" w14:textId="77777777" w:rsidR="00F6574F" w:rsidRDefault="00000000">
      <w:pPr>
        <w:spacing w:after="120" w:line="259" w:lineRule="auto"/>
        <w:jc w:val="both"/>
        <w:rPr>
          <w:sz w:val="22"/>
        </w:rPr>
      </w:pPr>
      <w:r>
        <w:rPr>
          <w:b/>
          <w:sz w:val="22"/>
        </w:rPr>
        <w:t>Partnership strategy.</w:t>
      </w:r>
      <w:r>
        <w:rPr>
          <w:sz w:val="22"/>
        </w:rPr>
        <w:t xml:space="preserve"> The first commercial target is one equipment manufacturer with design authority and one field user facing a clear event/anomaly capture problem. Potential equipment-side conversations include Ackcio, SensingTech, Geokon/基康, Chengdu Zhongke Ce Kong, MATGEO, and industrial condition-monitoring or wireless sensing suppliers. Potential field-validation partners include Geomotion, Ryobi-G, Smart Sensing, Placid Asia, Stream Peak/ShockLog channels, industrial maintenance teams, and logistics users. NTUitive can support customer discovery, intellectual property (IP)/commercial terms, licensing discussions, company-formation assessment, and preparation of dated letters of support or letters of intent if partner interest becomes concrete.</w:t>
      </w:r>
    </w:p>
    <w:p w14:paraId="0CD7E792" w14:textId="77777777" w:rsidR="001F2365" w:rsidRPr="001F2365" w:rsidRDefault="001F2365">
      <w:pPr>
        <w:spacing w:after="120" w:line="259" w:lineRule="auto"/>
        <w:jc w:val="both"/>
      </w:pPr>
    </w:p>
    <w:p w14:paraId="51DB8895" w14:textId="77777777" w:rsidR="00F6574F" w:rsidRDefault="00000000">
      <w:pPr>
        <w:spacing w:after="120" w:line="259" w:lineRule="auto"/>
        <w:jc w:val="both"/>
      </w:pPr>
      <w:r>
        <w:rPr>
          <w:b/>
          <w:sz w:val="22"/>
        </w:rPr>
        <w:t>Commercial risks and investor attraction.</w:t>
      </w:r>
      <w:r>
        <w:rPr>
          <w:sz w:val="22"/>
        </w:rPr>
        <w:t xml:space="preserve"> The main risks are technical performance for the selected event class, whether the low-power sensing layer can detect the earliest useful event features, equipment-manufacturer integration cost, proof of willingness to pay, and the possibility that some customers already have sufficient proprietary triggering solutions. The </w:t>
      </w:r>
      <w:proofErr w:type="gramStart"/>
      <w:r>
        <w:rPr>
          <w:sz w:val="22"/>
        </w:rPr>
        <w:t>investor/company attraction</w:t>
      </w:r>
      <w:proofErr w:type="gramEnd"/>
      <w:r>
        <w:rPr>
          <w:sz w:val="22"/>
        </w:rPr>
        <w:t xml:space="preserve"> is that the product targets a repeatable bottleneck across large and growing infrastructure and industrial monitoring markets: how to capture sudden events and anomalies broadly without spending constrained node resources on irrelevant data. If one use case proves clear customer value, the core module, software, and licensing package can be extended across adjacent monitoring products, complete pilot nodes, and regional equipment-manufacturer channels.</w:t>
      </w:r>
    </w:p>
    <w:p w14:paraId="6E138CF9" w14:textId="77777777" w:rsidR="00F6574F" w:rsidRDefault="00F6574F">
      <w:pPr>
        <w:spacing w:after="80" w:line="252" w:lineRule="auto"/>
        <w:jc w:val="both"/>
      </w:pPr>
    </w:p>
    <w:p w14:paraId="7F142C48" w14:textId="77777777" w:rsidR="00F6574F" w:rsidRDefault="00000000">
      <w:pPr>
        <w:spacing w:after="120" w:line="252" w:lineRule="auto"/>
        <w:jc w:val="center"/>
      </w:pPr>
      <w:r>
        <w:rPr>
          <w:noProof/>
          <w:sz w:val="22"/>
        </w:rPr>
        <w:lastRenderedPageBreak/>
        <w:drawing>
          <wp:inline distT="0" distB="0" distL="0" distR="0" wp14:anchorId="4538611E" wp14:editId="1EF29BA9">
            <wp:extent cx="5760720" cy="227125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tion2_commercial_path.png"/>
                    <pic:cNvPicPr/>
                  </pic:nvPicPr>
                  <pic:blipFill>
                    <a:blip r:embed="rId12"/>
                    <a:stretch>
                      <a:fillRect/>
                    </a:stretch>
                  </pic:blipFill>
                  <pic:spPr>
                    <a:xfrm>
                      <a:off x="0" y="0"/>
                      <a:ext cx="5760720" cy="2271252"/>
                    </a:xfrm>
                    <a:prstGeom prst="rect">
                      <a:avLst/>
                    </a:prstGeom>
                  </pic:spPr>
                </pic:pic>
              </a:graphicData>
            </a:graphic>
          </wp:inline>
        </w:drawing>
      </w:r>
    </w:p>
    <w:p w14:paraId="43F3C1DD" w14:textId="77777777" w:rsidR="00E4627E" w:rsidRDefault="00E4627E" w:rsidP="00E4627E">
      <w:pPr>
        <w:jc w:val="both"/>
        <w:rPr>
          <w:b/>
          <w:bCs/>
          <w:lang w:val="en-GB"/>
        </w:rPr>
      </w:pPr>
    </w:p>
    <w:p w14:paraId="796110ED" w14:textId="77777777" w:rsidR="001F2365" w:rsidRPr="001F2365" w:rsidRDefault="001F2365" w:rsidP="00E4627E">
      <w:pPr>
        <w:jc w:val="both"/>
        <w:rPr>
          <w:b/>
          <w:bCs/>
          <w:lang w:val="en-GB"/>
        </w:rPr>
      </w:pPr>
    </w:p>
    <w:p w14:paraId="1BD3458B" w14:textId="77777777" w:rsidR="00E4627E" w:rsidRPr="004B30EA" w:rsidRDefault="00E4627E" w:rsidP="00E4627E">
      <w:pPr>
        <w:jc w:val="both"/>
        <w:rPr>
          <w:bCs/>
          <w:lang w:val="en"/>
        </w:rPr>
      </w:pPr>
      <w:r w:rsidRPr="004B30EA">
        <w:rPr>
          <w:b/>
          <w:bCs/>
          <w:sz w:val="22"/>
          <w:lang w:val="en"/>
        </w:rPr>
        <w:t>2.7</w:t>
      </w:r>
      <w:r w:rsidRPr="004B30EA">
        <w:rPr>
          <w:b/>
          <w:bCs/>
          <w:sz w:val="22"/>
          <w:lang w:val="en"/>
        </w:rPr>
        <w:tab/>
        <w:t>Team</w:t>
      </w:r>
    </w:p>
    <w:p w14:paraId="131F9946" w14:textId="77777777" w:rsidR="00E4627E" w:rsidRPr="004B30EA" w:rsidRDefault="00E4627E" w:rsidP="00E4627E">
      <w:pPr>
        <w:jc w:val="both"/>
        <w:rPr>
          <w:bCs/>
          <w:lang w:val="en"/>
        </w:rPr>
      </w:pPr>
    </w:p>
    <w:p w14:paraId="3E47D99D" w14:textId="77777777" w:rsidR="00E4627E" w:rsidRPr="004B30EA" w:rsidRDefault="00E4627E" w:rsidP="00E4627E">
      <w:pPr>
        <w:spacing w:after="200"/>
        <w:jc w:val="both"/>
        <w:rPr>
          <w:bCs/>
          <w:i/>
          <w:lang w:val="en"/>
        </w:rPr>
      </w:pPr>
      <w:r w:rsidRPr="004B30EA">
        <w:rPr>
          <w:bCs/>
          <w:i/>
          <w:sz w:val="22"/>
          <w:lang w:val="en"/>
        </w:rPr>
        <w:t xml:space="preserve">Please provide </w:t>
      </w:r>
      <w:proofErr w:type="gramStart"/>
      <w:r w:rsidRPr="004B30EA">
        <w:rPr>
          <w:bCs/>
          <w:i/>
          <w:sz w:val="22"/>
          <w:lang w:val="en"/>
        </w:rPr>
        <w:t>a brief summary</w:t>
      </w:r>
      <w:proofErr w:type="gramEnd"/>
      <w:r w:rsidRPr="004B30EA">
        <w:rPr>
          <w:bCs/>
          <w:i/>
          <w:sz w:val="22"/>
          <w:lang w:val="en"/>
        </w:rPr>
        <w:t xml:space="preserve"> of the relevant expertise and qualifications of existing and future team members. </w:t>
      </w:r>
      <w:r w:rsidR="00322EFA">
        <w:rPr>
          <w:bCs/>
          <w:i/>
          <w:sz w:val="22"/>
          <w:lang w:val="en"/>
        </w:rPr>
        <w:t>Please also provide their basic contact details.</w:t>
      </w:r>
      <w:r w:rsidRPr="004B30EA">
        <w:rPr>
          <w:bCs/>
          <w:i/>
          <w:sz w:val="22"/>
          <w:lang w:val="en"/>
        </w:rPr>
        <w:t xml:space="preserve">  </w:t>
      </w:r>
    </w:p>
    <w:p w14:paraId="657424F0" w14:textId="77777777" w:rsidR="00F6574F" w:rsidRDefault="00000000">
      <w:pPr>
        <w:spacing w:after="120" w:line="259" w:lineRule="auto"/>
        <w:jc w:val="both"/>
      </w:pPr>
      <w:r>
        <w:rPr>
          <w:b/>
          <w:sz w:val="22"/>
        </w:rPr>
        <w:t>Current team.</w:t>
      </w:r>
      <w:r>
        <w:rPr>
          <w:sz w:val="22"/>
        </w:rPr>
        <w:t xml:space="preserve"> The project is led by Dr. Fu Yuguang, Assistant Professor in the School of Civil and Environmental Engineering, Nanyang Technological University; email: yuguang.fu@ntu.edu.sg; contact: +65 67905298. His research in smart Internet-of-Things sensing, digital-twin modelling, structural health monitoring, and digital construction management provides a strong technical and application foundation for this project. This fit is important because the proposed product must work not only as an algorithm, but also as a practical monitoring capability for field-deployed, resource-constrained sensor systems.</w:t>
      </w:r>
    </w:p>
    <w:p w14:paraId="33BA0147" w14:textId="77777777" w:rsidR="00F6574F" w:rsidRDefault="00000000">
      <w:pPr>
        <w:spacing w:after="120" w:line="259" w:lineRule="auto"/>
        <w:jc w:val="both"/>
      </w:pPr>
      <w:r>
        <w:rPr>
          <w:b/>
          <w:sz w:val="22"/>
        </w:rPr>
        <w:t>Project contributors.</w:t>
      </w:r>
      <w:r>
        <w:rPr>
          <w:sz w:val="22"/>
        </w:rPr>
        <w:t xml:space="preserve"> </w:t>
      </w:r>
      <w:r w:rsidR="00A62EFF" w:rsidRPr="00A62EFF">
        <w:rPr>
          <w:rFonts w:eastAsiaTheme="minorEastAsia" w:hint="eastAsia"/>
          <w:sz w:val="22"/>
        </w:rPr>
        <w:t>Dr.</w:t>
      </w:r>
      <w:r w:rsidR="00A62EFF" w:rsidRPr="00A62EFF">
        <w:rPr>
          <w:sz w:val="22"/>
        </w:rPr>
        <w:t xml:space="preserve"> Li Jianfeng and Cui Shuaiwen will support the project across prototype development, experimental validation, benchmark testing, technical documentation, customer discovery, and commercialization preparation. Their work will help translate the core smart adaptive trigger concept into a testable solution, generate evidence for performance claims, compare the proposed approach with existing recording and threshold-triggering methods, and prepare materials needed for industry discussions, pilot engagement, and Gap Fund milestone reporting.</w:t>
      </w:r>
      <w:r>
        <w:rPr>
          <w:sz w:val="22"/>
          <w:highlight w:val="yellow"/>
        </w:rPr>
        <w:t xml:space="preserve"> Contact details for Dr. Li Jianfeng and Mr. Cui Shuaiwen to be inserted before submission.</w:t>
      </w:r>
    </w:p>
    <w:p w14:paraId="01CFBE77" w14:textId="77777777" w:rsidR="00F6574F" w:rsidRDefault="00000000">
      <w:pPr>
        <w:spacing w:after="120" w:line="259" w:lineRule="auto"/>
        <w:jc w:val="both"/>
      </w:pPr>
      <w:r>
        <w:rPr>
          <w:b/>
          <w:sz w:val="22"/>
        </w:rPr>
        <w:t>Team fit for commercial translation.</w:t>
      </w:r>
      <w:r>
        <w:rPr>
          <w:sz w:val="22"/>
        </w:rPr>
        <w:t xml:space="preserve"> The team's advantage is that it covers the three capabilities needed for this Gap Fund project: (1) domain credibility in wireless sensing and structural/asset monitoring; (2) direct technical knowledge of adaptive event/anomaly capture, edge intelligence, and resource-constrained data acquisition; and (3) execution capacity for prototype testing, customer discovery, competitive benchmarking, and documentation. This is critical because the commercial proof must demonstrate a validated workflow: capture sudden events and anomalies, keep missed critical events close to zero, suppress unnecessary recordings, integrate into customer hardware or complete sensor nodes, and show measurable field value.</w:t>
      </w:r>
    </w:p>
    <w:p w14:paraId="19CA7B27" w14:textId="77777777" w:rsidR="00F6574F" w:rsidRDefault="00000000">
      <w:pPr>
        <w:spacing w:after="120" w:line="259" w:lineRule="auto"/>
        <w:jc w:val="both"/>
      </w:pPr>
      <w:r>
        <w:rPr>
          <w:b/>
          <w:sz w:val="22"/>
        </w:rPr>
        <w:t>Future support needs.</w:t>
      </w:r>
      <w:proofErr w:type="gramStart"/>
      <w:proofErr w:type="gramEnd"/>
      <w:r>
        <w:rPr>
          <w:b w:val="0"/>
          <w:sz w:val="22"/>
        </w:rPr>
        <w:t xml:space="preserve"> During the Gap Fund period the team will add or engage support for embedded firmware, printed circuit board design-for-manufacture review, industrial and customer discovery, and pilot deployment coordination. The budget in Section 5 provides for one Research Fellow covering edge algorithms and embedded intelligence and one part-time Research Assistant covering test set-up and data analysis; contact details for these appointments will be provided once recruitment is complete.</w:t>
      </w:r>
    </w:p>
    <w:p w14:paraId="07E34930" w14:textId="77777777" w:rsidR="00E4627E" w:rsidRPr="004B30EA" w:rsidRDefault="00E4627E" w:rsidP="00E4627E">
      <w:pPr>
        <w:jc w:val="both"/>
        <w:rPr>
          <w:b/>
          <w:bCs/>
          <w:lang w:val="en"/>
        </w:rPr>
      </w:pPr>
    </w:p>
    <w:p w14:paraId="357B5B87" w14:textId="77777777" w:rsidR="00E4627E" w:rsidRPr="004B30EA" w:rsidRDefault="00E4627E" w:rsidP="00E4627E">
      <w:pPr>
        <w:jc w:val="both"/>
        <w:rPr>
          <w:b/>
          <w:bCs/>
          <w:lang w:val="en-GB"/>
        </w:rPr>
      </w:pPr>
      <w:r w:rsidRPr="004B30EA">
        <w:rPr>
          <w:b/>
          <w:bCs/>
          <w:sz w:val="22"/>
          <w:lang w:val="en-GB"/>
        </w:rPr>
        <w:t>2.8</w:t>
      </w:r>
      <w:r w:rsidRPr="004B30EA">
        <w:rPr>
          <w:b/>
          <w:bCs/>
          <w:sz w:val="22"/>
          <w:lang w:val="en-GB"/>
        </w:rPr>
        <w:tab/>
        <w:t xml:space="preserve">Endorsements by Potential Investors or Customers </w:t>
      </w:r>
    </w:p>
    <w:p w14:paraId="58732082" w14:textId="77777777" w:rsidR="00E4627E" w:rsidRPr="004B30EA" w:rsidRDefault="00E4627E" w:rsidP="00E4627E">
      <w:pPr>
        <w:jc w:val="both"/>
        <w:rPr>
          <w:b/>
          <w:bCs/>
          <w:lang w:val="en-GB"/>
        </w:rPr>
      </w:pPr>
    </w:p>
    <w:p w14:paraId="53B30C98" w14:textId="77777777" w:rsidR="00E4627E" w:rsidRPr="004B30EA" w:rsidRDefault="00E4627E" w:rsidP="00E4627E">
      <w:pPr>
        <w:spacing w:after="200"/>
        <w:jc w:val="both"/>
        <w:rPr>
          <w:i/>
          <w:iCs/>
          <w:lang w:val="en-GB"/>
        </w:rPr>
      </w:pPr>
      <w:r w:rsidRPr="004650A2">
        <w:rPr>
          <w:i/>
          <w:iCs/>
          <w:sz w:val="22"/>
          <w:highlight w:val="yellow"/>
          <w:lang w:val="en-GB"/>
        </w:rPr>
        <w:t xml:space="preserve">Please provide details of industry assessment in the potential outcome of the </w:t>
      </w:r>
      <w:r w:rsidR="00BA527B" w:rsidRPr="004650A2">
        <w:rPr>
          <w:i/>
          <w:iCs/>
          <w:sz w:val="22"/>
          <w:highlight w:val="yellow"/>
          <w:lang w:val="en-GB"/>
        </w:rPr>
        <w:t>Gap Fund</w:t>
      </w:r>
      <w:r w:rsidRPr="004650A2">
        <w:rPr>
          <w:i/>
          <w:iCs/>
          <w:sz w:val="22"/>
          <w:highlight w:val="yellow"/>
          <w:lang w:val="en-GB"/>
        </w:rPr>
        <w:t xml:space="preserve">. </w:t>
      </w:r>
      <w:r w:rsidR="00C2733A" w:rsidRPr="004650A2">
        <w:rPr>
          <w:i/>
          <w:iCs/>
          <w:sz w:val="22"/>
          <w:highlight w:val="yellow"/>
          <w:lang w:val="en-GB"/>
        </w:rPr>
        <w:t xml:space="preserve">Industry support letter or Letter of Intent (LOI) should be </w:t>
      </w:r>
      <w:r w:rsidR="006649B7" w:rsidRPr="004650A2">
        <w:rPr>
          <w:i/>
          <w:iCs/>
          <w:sz w:val="22"/>
          <w:highlight w:val="yellow"/>
          <w:lang w:val="en-GB"/>
        </w:rPr>
        <w:t xml:space="preserve">dated </w:t>
      </w:r>
      <w:r w:rsidR="00C2733A" w:rsidRPr="004650A2">
        <w:rPr>
          <w:i/>
          <w:iCs/>
          <w:sz w:val="22"/>
          <w:highlight w:val="yellow"/>
          <w:lang w:val="en-GB"/>
        </w:rPr>
        <w:t xml:space="preserve">within three months of Gap Fund application. </w:t>
      </w:r>
      <w:r w:rsidRPr="004650A2">
        <w:rPr>
          <w:i/>
          <w:iCs/>
          <w:sz w:val="22"/>
          <w:highlight w:val="yellow"/>
          <w:lang w:val="en-GB"/>
        </w:rPr>
        <w:t xml:space="preserve">Any industry endorsement of the potential benefits, </w:t>
      </w:r>
      <w:r w:rsidR="0080323F" w:rsidRPr="004650A2">
        <w:rPr>
          <w:i/>
          <w:iCs/>
          <w:sz w:val="22"/>
          <w:highlight w:val="yellow"/>
          <w:lang w:val="en-GB"/>
        </w:rPr>
        <w:t xml:space="preserve">an industry benchmark of technical specifications, </w:t>
      </w:r>
      <w:r w:rsidRPr="004650A2">
        <w:rPr>
          <w:i/>
          <w:iCs/>
          <w:sz w:val="22"/>
          <w:highlight w:val="yellow"/>
          <w:lang w:val="en-GB"/>
        </w:rPr>
        <w:t>commercial value and marketability of the project outcome, or company incorporation as par</w:t>
      </w:r>
      <w:r w:rsidR="0080323F" w:rsidRPr="004650A2">
        <w:rPr>
          <w:i/>
          <w:iCs/>
          <w:sz w:val="22"/>
          <w:highlight w:val="yellow"/>
          <w:lang w:val="en-GB"/>
        </w:rPr>
        <w:t xml:space="preserve">t of the pathway to </w:t>
      </w:r>
      <w:r w:rsidR="0080323F" w:rsidRPr="004650A2">
        <w:rPr>
          <w:i/>
          <w:iCs/>
          <w:sz w:val="22"/>
          <w:highlight w:val="yellow"/>
          <w:lang w:val="en-GB"/>
        </w:rPr>
        <w:lastRenderedPageBreak/>
        <w:t>commercialis</w:t>
      </w:r>
      <w:r w:rsidRPr="004650A2">
        <w:rPr>
          <w:i/>
          <w:iCs/>
          <w:sz w:val="22"/>
          <w:highlight w:val="yellow"/>
          <w:lang w:val="en-GB"/>
        </w:rPr>
        <w:t xml:space="preserve">ation during the </w:t>
      </w:r>
      <w:r w:rsidR="00BA527B" w:rsidRPr="004650A2">
        <w:rPr>
          <w:i/>
          <w:iCs/>
          <w:sz w:val="22"/>
          <w:highlight w:val="yellow"/>
          <w:lang w:val="en-GB"/>
        </w:rPr>
        <w:t>Gap Fund</w:t>
      </w:r>
      <w:r w:rsidRPr="004650A2">
        <w:rPr>
          <w:i/>
          <w:iCs/>
          <w:sz w:val="22"/>
          <w:highlight w:val="yellow"/>
          <w:lang w:val="en-GB"/>
        </w:rPr>
        <w:t xml:space="preserve">, or pre-secured customer orders, will be favourably viewed. If future funding support/customer orders is contingent on certain KPIs being met during </w:t>
      </w:r>
      <w:r w:rsidR="00BA527B" w:rsidRPr="004650A2">
        <w:rPr>
          <w:i/>
          <w:iCs/>
          <w:sz w:val="22"/>
          <w:highlight w:val="yellow"/>
          <w:lang w:val="en-GB"/>
        </w:rPr>
        <w:t>Gap Fund</w:t>
      </w:r>
      <w:r w:rsidRPr="004650A2">
        <w:rPr>
          <w:i/>
          <w:iCs/>
          <w:sz w:val="22"/>
          <w:highlight w:val="yellow"/>
          <w:lang w:val="en-GB"/>
        </w:rPr>
        <w:t>, please make sure that these KPIs are included in this section.</w:t>
      </w:r>
      <w:r w:rsidRPr="004B30EA">
        <w:rPr>
          <w:i/>
          <w:iCs/>
          <w:sz w:val="22"/>
          <w:lang w:val="en-GB"/>
        </w:rPr>
        <w:t xml:space="preserve"> </w:t>
      </w:r>
    </w:p>
    <w:p w14:paraId="16F6F63E" w14:textId="77777777" w:rsidR="00F6574F" w:rsidRDefault="00000000">
      <w:pPr>
        <w:spacing w:after="120" w:line="259" w:lineRule="auto"/>
        <w:jc w:val="both"/>
      </w:pPr>
      <w:r w:rsidRPr="004650A2">
        <w:rPr>
          <w:b/>
          <w:sz w:val="22"/>
          <w:highlight w:val="yellow"/>
        </w:rPr>
        <w:t>Current endorsement status.</w:t>
      </w:r>
      <w:r>
        <w:rPr>
          <w:sz w:val="22"/>
          <w:highlight w:val="yellow"/>
        </w:rPr>
        <w:t xml:space="preserve"> Formal industry support letters, letters of intent (LOIs), pre-secured orders, or investment commitments have not yet been secured at the time of this application. The Gap Fund plan uses the first phase to obtain dated customer feedback and, where possible, LOIs linked to measurable key performance indicators (KPIs). Any endorsement will be framed around a specific event/anomaly use case rather than a general statement of interest in sensors or monitoring.</w:t>
      </w:r>
    </w:p>
    <w:p w14:paraId="1B5165E4" w14:textId="77777777" w:rsidR="00F6574F" w:rsidRDefault="00F6574F">
      <w:pPr>
        <w:spacing w:after="60" w:line="252" w:lineRule="auto"/>
        <w:jc w:val="both"/>
      </w:pPr>
    </w:p>
    <w:p w14:paraId="1CBEAC9A" w14:textId="77777777" w:rsidR="00F6574F" w:rsidRDefault="00000000">
      <w:pPr>
        <w:spacing w:after="120" w:line="259" w:lineRule="auto"/>
        <w:jc w:val="both"/>
      </w:pPr>
      <w:r w:rsidRPr="004650A2">
        <w:rPr>
          <w:b/>
          <w:sz w:val="22"/>
          <w:highlight w:val="yellow"/>
        </w:rPr>
        <w:t>Target validation KPIs for endorsement.</w:t>
      </w:r>
      <w:r>
        <w:rPr>
          <w:b w:val="0"/>
          <w:sz w:val="22"/>
          <w:highlight w:val="yellow"/>
        </w:rPr>
        <w:t xml:space="preserve"> Potential endorsements are tied to concrete criteria: (1) missed detections for the defined event or anomaly class kept close to zero; (2) a measurable reduction of false alarms and irrelevant recordings against a fixed-threshold baseline under the same conditions; (3) a characterised detection floor, showing how small an event can be detected reliably at a stated ambient noise level; (4) acceptable detection latency and in-node data alignment; (5) reduced power, storage and communication load under the same detection requirement; (6) acceptable module cost, integration effort and device-level testing burden; and (7) confirmation that the captured records support real decisions such as incident review, maintenance action or complaint response.</w:t>
      </w:r>
    </w:p>
    <w:tbl>
      <w:tblPr>
        <w:tblStyle w:val="TableGrid"/>
        <w:tblW w:w="0" w:type="auto"/>
        <w:jc w:val="center"/>
        <w:tblLook w:val="04A0" w:firstRow="1" w:lastRow="0" w:firstColumn="1" w:lastColumn="0" w:noHBand="0" w:noVBand="1"/>
      </w:tblPr>
      <w:tblGrid>
        <w:gridCol w:w="2370"/>
        <w:gridCol w:w="3664"/>
        <w:gridCol w:w="3588"/>
      </w:tblGrid>
      <w:tr w:rsidR="00DA7364" w:rsidRPr="004650A2" w14:paraId="43F8A0BB" w14:textId="77777777">
        <w:trPr>
          <w:jc w:val="center"/>
        </w:trPr>
        <w:tc>
          <w:tcPr>
            <w:tcW w:w="2376" w:type="dxa"/>
            <w:shd w:val="clear" w:color="auto" w:fill="EDEDED"/>
            <w:vAlign w:val="center"/>
          </w:tcPr>
          <w:p w14:paraId="59F06271" w14:textId="77777777" w:rsidR="00DA7364" w:rsidRPr="004650A2" w:rsidRDefault="00000000">
            <w:pPr>
              <w:rPr>
                <w:highlight w:val="yellow"/>
              </w:rPr>
            </w:pPr>
            <w:r w:rsidRPr="004650A2">
              <w:rPr>
                <w:b/>
                <w:sz w:val="16"/>
                <w:highlight w:val="yellow"/>
              </w:rPr>
              <w:t>Endorsement target</w:t>
            </w:r>
          </w:p>
        </w:tc>
        <w:tc>
          <w:tcPr>
            <w:tcW w:w="3671" w:type="dxa"/>
            <w:shd w:val="clear" w:color="auto" w:fill="EDEDED"/>
            <w:vAlign w:val="center"/>
          </w:tcPr>
          <w:p w14:paraId="75FD625D" w14:textId="77777777" w:rsidR="00DA7364" w:rsidRPr="004650A2" w:rsidRDefault="00000000">
            <w:pPr>
              <w:rPr>
                <w:highlight w:val="yellow"/>
              </w:rPr>
            </w:pPr>
            <w:r w:rsidRPr="004650A2">
              <w:rPr>
                <w:b/>
                <w:sz w:val="16"/>
                <w:highlight w:val="yellow"/>
              </w:rPr>
              <w:t>Relevant assessment</w:t>
            </w:r>
          </w:p>
        </w:tc>
        <w:tc>
          <w:tcPr>
            <w:tcW w:w="3600" w:type="dxa"/>
            <w:shd w:val="clear" w:color="auto" w:fill="EDEDED"/>
            <w:vAlign w:val="center"/>
          </w:tcPr>
          <w:p w14:paraId="14B37769" w14:textId="77777777" w:rsidR="00DA7364" w:rsidRPr="004650A2" w:rsidRDefault="00000000">
            <w:pPr>
              <w:rPr>
                <w:highlight w:val="yellow"/>
              </w:rPr>
            </w:pPr>
            <w:r w:rsidRPr="004650A2">
              <w:rPr>
                <w:b/>
                <w:sz w:val="16"/>
                <w:highlight w:val="yellow"/>
              </w:rPr>
              <w:t>Expected evidence</w:t>
            </w:r>
          </w:p>
        </w:tc>
      </w:tr>
      <w:tr w:rsidR="00DA7364" w:rsidRPr="004650A2" w14:paraId="4B6E86CC" w14:textId="77777777">
        <w:trPr>
          <w:jc w:val="center"/>
        </w:trPr>
        <w:tc>
          <w:tcPr>
            <w:tcW w:w="2376" w:type="dxa"/>
            <w:shd w:val="clear" w:color="auto" w:fill="FFFFFF"/>
            <w:vAlign w:val="center"/>
          </w:tcPr>
          <w:p w14:paraId="343AF881" w14:textId="77777777" w:rsidR="00DA7364" w:rsidRPr="004650A2" w:rsidRDefault="00000000">
            <w:pPr>
              <w:rPr>
                <w:highlight w:val="yellow"/>
              </w:rPr>
            </w:pPr>
            <w:r w:rsidRPr="004650A2">
              <w:rPr>
                <w:sz w:val="16"/>
                <w:highlight w:val="yellow"/>
              </w:rPr>
              <w:t>Equipment manufacturer / system builder</w:t>
            </w:r>
          </w:p>
        </w:tc>
        <w:tc>
          <w:tcPr>
            <w:tcW w:w="3671" w:type="dxa"/>
            <w:shd w:val="clear" w:color="auto" w:fill="FFFFFF"/>
            <w:vAlign w:val="center"/>
          </w:tcPr>
          <w:p w14:paraId="555C4D25" w14:textId="77777777" w:rsidR="00DA7364" w:rsidRPr="004650A2" w:rsidRDefault="00000000">
            <w:pPr>
              <w:rPr>
                <w:highlight w:val="yellow"/>
              </w:rPr>
            </w:pPr>
            <w:r w:rsidRPr="004650A2">
              <w:rPr>
                <w:sz w:val="16"/>
                <w:highlight w:val="yellow"/>
              </w:rPr>
              <w:t>Integration feasibility, incremental cost, manufacturability, target annual device volume</w:t>
            </w:r>
          </w:p>
        </w:tc>
        <w:tc>
          <w:tcPr>
            <w:tcW w:w="3600" w:type="dxa"/>
            <w:shd w:val="clear" w:color="auto" w:fill="FFFFFF"/>
            <w:vAlign w:val="center"/>
          </w:tcPr>
          <w:p w14:paraId="51086DF1" w14:textId="77777777" w:rsidR="00DA7364" w:rsidRPr="004650A2" w:rsidRDefault="00000000">
            <w:pPr>
              <w:rPr>
                <w:highlight w:val="yellow"/>
              </w:rPr>
            </w:pPr>
            <w:r w:rsidRPr="004650A2">
              <w:rPr>
                <w:sz w:val="16"/>
                <w:highlight w:val="yellow"/>
              </w:rPr>
              <w:t>Dated feedback, support letter, LOI, or joint-development discussion tied to KPIs</w:t>
            </w:r>
          </w:p>
        </w:tc>
      </w:tr>
      <w:tr w:rsidR="00DA7364" w:rsidRPr="004650A2" w14:paraId="7FC4BD1A" w14:textId="77777777">
        <w:trPr>
          <w:jc w:val="center"/>
        </w:trPr>
        <w:tc>
          <w:tcPr>
            <w:tcW w:w="2376" w:type="dxa"/>
            <w:shd w:val="clear" w:color="auto" w:fill="FFFFFF"/>
            <w:vAlign w:val="center"/>
          </w:tcPr>
          <w:p w14:paraId="6A362E8D" w14:textId="77777777" w:rsidR="00DA7364" w:rsidRPr="004650A2" w:rsidRDefault="00000000">
            <w:pPr>
              <w:rPr>
                <w:highlight w:val="yellow"/>
              </w:rPr>
            </w:pPr>
            <w:r w:rsidRPr="004650A2">
              <w:rPr>
                <w:sz w:val="16"/>
                <w:highlight w:val="yellow"/>
              </w:rPr>
              <w:t>Field user / service provider</w:t>
            </w:r>
          </w:p>
        </w:tc>
        <w:tc>
          <w:tcPr>
            <w:tcW w:w="3671" w:type="dxa"/>
            <w:shd w:val="clear" w:color="auto" w:fill="FFFFFF"/>
            <w:vAlign w:val="center"/>
          </w:tcPr>
          <w:p w14:paraId="3BA4CD63" w14:textId="77777777" w:rsidR="00DA7364" w:rsidRPr="004650A2" w:rsidRDefault="00000000">
            <w:pPr>
              <w:rPr>
                <w:highlight w:val="yellow"/>
              </w:rPr>
            </w:pPr>
            <w:r w:rsidRPr="004650A2">
              <w:rPr>
                <w:sz w:val="16"/>
                <w:highlight w:val="yellow"/>
              </w:rPr>
              <w:t>Event/anomaly records, false-trigger reduction, battery/storage/communication benefit, workflow fit</w:t>
            </w:r>
          </w:p>
        </w:tc>
        <w:tc>
          <w:tcPr>
            <w:tcW w:w="3600" w:type="dxa"/>
            <w:shd w:val="clear" w:color="auto" w:fill="FFFFFF"/>
            <w:vAlign w:val="center"/>
          </w:tcPr>
          <w:p w14:paraId="3C68139A" w14:textId="77777777" w:rsidR="00DA7364" w:rsidRPr="004650A2" w:rsidRDefault="00000000">
            <w:pPr>
              <w:rPr>
                <w:highlight w:val="yellow"/>
              </w:rPr>
            </w:pPr>
            <w:r w:rsidRPr="004650A2">
              <w:rPr>
                <w:sz w:val="16"/>
                <w:highlight w:val="yellow"/>
              </w:rPr>
              <w:t>Pilot feedback, benchmark acceptance, or conditional willingness-to-pay statement</w:t>
            </w:r>
          </w:p>
        </w:tc>
      </w:tr>
      <w:tr w:rsidR="00DA7364" w:rsidRPr="004650A2" w14:paraId="2545E0FA" w14:textId="77777777">
        <w:trPr>
          <w:jc w:val="center"/>
        </w:trPr>
        <w:tc>
          <w:tcPr>
            <w:tcW w:w="2376" w:type="dxa"/>
            <w:shd w:val="clear" w:color="auto" w:fill="FFFFFF"/>
            <w:vAlign w:val="center"/>
          </w:tcPr>
          <w:p w14:paraId="39979D8F" w14:textId="77777777" w:rsidR="00DA7364" w:rsidRPr="004650A2" w:rsidRDefault="00000000">
            <w:pPr>
              <w:rPr>
                <w:highlight w:val="yellow"/>
              </w:rPr>
            </w:pPr>
            <w:r w:rsidRPr="004650A2">
              <w:rPr>
                <w:sz w:val="16"/>
                <w:highlight w:val="yellow"/>
              </w:rPr>
              <w:t>Investor / commercial partner</w:t>
            </w:r>
          </w:p>
        </w:tc>
        <w:tc>
          <w:tcPr>
            <w:tcW w:w="3671" w:type="dxa"/>
            <w:shd w:val="clear" w:color="auto" w:fill="FFFFFF"/>
            <w:vAlign w:val="center"/>
          </w:tcPr>
          <w:p w14:paraId="08844E65" w14:textId="77777777" w:rsidR="00DA7364" w:rsidRPr="004650A2" w:rsidRDefault="00000000">
            <w:pPr>
              <w:rPr>
                <w:highlight w:val="yellow"/>
              </w:rPr>
            </w:pPr>
            <w:r w:rsidRPr="004650A2">
              <w:rPr>
                <w:sz w:val="16"/>
                <w:highlight w:val="yellow"/>
              </w:rPr>
              <w:t>Repeatability across infrastructure and industrial monitoring, defensible IP/licensing path, scalable revenue model</w:t>
            </w:r>
          </w:p>
        </w:tc>
        <w:tc>
          <w:tcPr>
            <w:tcW w:w="3600" w:type="dxa"/>
            <w:shd w:val="clear" w:color="auto" w:fill="FFFFFF"/>
            <w:vAlign w:val="center"/>
          </w:tcPr>
          <w:p w14:paraId="56C02B31" w14:textId="77777777" w:rsidR="00DA7364" w:rsidRPr="004650A2" w:rsidRDefault="00000000">
            <w:pPr>
              <w:rPr>
                <w:highlight w:val="yellow"/>
              </w:rPr>
            </w:pPr>
            <w:r w:rsidRPr="004650A2">
              <w:rPr>
                <w:sz w:val="16"/>
                <w:highlight w:val="yellow"/>
              </w:rPr>
              <w:t>Follow-on discussion contingent on pilot KPI results</w:t>
            </w:r>
          </w:p>
        </w:tc>
      </w:tr>
    </w:tbl>
    <w:p w14:paraId="04D49910" w14:textId="77777777" w:rsidR="00F6574F" w:rsidRPr="004650A2" w:rsidRDefault="00F6574F">
      <w:pPr>
        <w:spacing w:after="60" w:line="252" w:lineRule="auto"/>
        <w:jc w:val="both"/>
        <w:rPr>
          <w:highlight w:val="yellow"/>
        </w:rPr>
      </w:pPr>
    </w:p>
    <w:p w14:paraId="6B009DCD" w14:textId="77777777" w:rsidR="00F6574F" w:rsidRDefault="00000000">
      <w:pPr>
        <w:spacing w:after="120" w:line="259" w:lineRule="auto"/>
        <w:jc w:val="both"/>
      </w:pPr>
      <w:r w:rsidRPr="004650A2">
        <w:rPr>
          <w:b/>
          <w:sz w:val="22"/>
          <w:highlight w:val="yellow"/>
        </w:rPr>
        <w:t>Planned industry assessment.</w:t>
      </w:r>
      <w:r>
        <w:rPr>
          <w:b w:val="0"/>
          <w:sz w:val="22"/>
          <w:highlight w:val="yellow"/>
        </w:rPr>
        <w:t xml:space="preserve"> The first-round assessment involves one equipment-side partner and one field-side partner, with Singapore as the preferred first testbed and Southeast Asia and China as follow-on expansion layers. The equipment-side partner assesses integration feasibility, design authority, target device volume, acceptable incremental cost, manufacturability, and whether the preferred product form is a module, a software package, a technology licence, or a complete pilot node. The field partner assesses whether the system detects the events that matter to them, with fewer false alarms, under realistic field conditions, and whether the resulting records support real decisions. These assessments refine product scope and support follow-on licensing, joint development, letter-of-intent, customer-order or investment discussions.</w:t>
      </w:r>
    </w:p>
    <w:p w14:paraId="11B2BB02" w14:textId="77777777" w:rsidR="00E4627E" w:rsidRPr="004B30EA" w:rsidRDefault="00E4627E" w:rsidP="00E4627E">
      <w:pPr>
        <w:jc w:val="both"/>
        <w:rPr>
          <w:b/>
          <w:bCs/>
          <w:lang w:val="en-GB"/>
        </w:rPr>
      </w:pPr>
    </w:p>
    <w:p w14:paraId="10BD072F" w14:textId="77777777" w:rsidR="004B30EA" w:rsidRDefault="004B30EA" w:rsidP="00E4627E">
      <w:pPr>
        <w:jc w:val="both"/>
        <w:rPr>
          <w:b/>
          <w:bCs/>
          <w:sz w:val="28"/>
          <w:szCs w:val="28"/>
          <w:lang w:val="en-GB"/>
        </w:rPr>
      </w:pPr>
    </w:p>
    <w:p w14:paraId="3EC9462E" w14:textId="77777777" w:rsidR="00E4627E" w:rsidRPr="004B30EA" w:rsidRDefault="00E4627E" w:rsidP="00E4627E">
      <w:pPr>
        <w:jc w:val="both"/>
        <w:rPr>
          <w:b/>
          <w:bCs/>
          <w:sz w:val="28"/>
          <w:szCs w:val="28"/>
          <w:lang w:val="en-GB"/>
        </w:rPr>
      </w:pPr>
      <w:r w:rsidRPr="004B30EA">
        <w:rPr>
          <w:b/>
          <w:bCs/>
          <w:sz w:val="22"/>
          <w:szCs w:val="28"/>
          <w:lang w:val="en-GB"/>
        </w:rPr>
        <w:t>3.</w:t>
      </w:r>
      <w:r w:rsidRPr="004B30EA">
        <w:rPr>
          <w:b/>
          <w:bCs/>
          <w:sz w:val="22"/>
          <w:szCs w:val="28"/>
          <w:lang w:val="en-GB"/>
        </w:rPr>
        <w:tab/>
        <w:t>Technology</w:t>
      </w:r>
    </w:p>
    <w:p w14:paraId="4A961DB7" w14:textId="77777777" w:rsidR="00E4627E" w:rsidRPr="004B30EA" w:rsidRDefault="00E4627E" w:rsidP="00E4627E">
      <w:pPr>
        <w:jc w:val="both"/>
        <w:rPr>
          <w:b/>
          <w:bCs/>
          <w:lang w:val="en-GB"/>
        </w:rPr>
      </w:pPr>
    </w:p>
    <w:p w14:paraId="7BFEC87F" w14:textId="77777777" w:rsidR="00E4627E" w:rsidRPr="004B30EA" w:rsidRDefault="00E4627E" w:rsidP="00E4627E">
      <w:pPr>
        <w:jc w:val="both"/>
        <w:rPr>
          <w:b/>
          <w:bCs/>
          <w:lang w:val="en-GB"/>
        </w:rPr>
      </w:pPr>
      <w:r w:rsidRPr="004B30EA">
        <w:rPr>
          <w:b/>
          <w:bCs/>
          <w:sz w:val="22"/>
          <w:lang w:val="en-GB"/>
        </w:rPr>
        <w:t>3.1</w:t>
      </w:r>
      <w:r w:rsidRPr="004B30EA">
        <w:rPr>
          <w:b/>
          <w:bCs/>
          <w:sz w:val="22"/>
          <w:lang w:val="en-GB"/>
        </w:rPr>
        <w:tab/>
        <w:t>Background Intellectual Property (IP) / Underlying Technology</w:t>
      </w:r>
    </w:p>
    <w:p w14:paraId="785EBA3A" w14:textId="77777777" w:rsidR="00E4627E" w:rsidRPr="004B30EA" w:rsidRDefault="00E4627E" w:rsidP="00E4627E">
      <w:pPr>
        <w:jc w:val="both"/>
        <w:rPr>
          <w:b/>
          <w:bCs/>
          <w:lang w:val="en-GB"/>
        </w:rPr>
      </w:pPr>
    </w:p>
    <w:tbl>
      <w:tblPr>
        <w:tblStyle w:val="TableGrid"/>
        <w:tblW w:w="85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528"/>
        <w:gridCol w:w="2520"/>
        <w:gridCol w:w="2520"/>
      </w:tblGrid>
      <w:tr w:rsidR="00E4627E" w:rsidRPr="004B30EA" w14:paraId="39770D87" w14:textId="77777777" w:rsidTr="00E52F3C">
        <w:trPr>
          <w:tblHeader/>
        </w:trPr>
        <w:tc>
          <w:tcPr>
            <w:tcW w:w="3528" w:type="dxa"/>
            <w:shd w:val="clear" w:color="auto" w:fill="CCCCCC"/>
          </w:tcPr>
          <w:p w14:paraId="651B3A47" w14:textId="77777777" w:rsidR="001C68C8" w:rsidRDefault="00000000">
            <w:pPr>
              <w:spacing w:after="60"/>
            </w:pPr>
            <w:r>
              <w:rPr>
                <w:b/>
              </w:rPr>
              <w:t>Description</w:t>
            </w:r>
          </w:p>
        </w:tc>
        <w:tc>
          <w:tcPr>
            <w:tcW w:w="2520" w:type="dxa"/>
            <w:shd w:val="clear" w:color="auto" w:fill="CCCCCC"/>
          </w:tcPr>
          <w:p w14:paraId="6097B5B2" w14:textId="77777777" w:rsidR="001C68C8" w:rsidRDefault="00000000">
            <w:pPr>
              <w:spacing w:after="60"/>
            </w:pPr>
            <w:r>
              <w:rPr>
                <w:b/>
              </w:rPr>
              <w:t>Type of IP</w:t>
            </w:r>
          </w:p>
        </w:tc>
        <w:tc>
          <w:tcPr>
            <w:tcW w:w="2520" w:type="dxa"/>
            <w:shd w:val="clear" w:color="auto" w:fill="CCCCCC"/>
          </w:tcPr>
          <w:p w14:paraId="372249D4" w14:textId="77777777" w:rsidR="001C68C8" w:rsidRDefault="00000000">
            <w:pPr>
              <w:spacing w:after="60"/>
            </w:pPr>
            <w:r>
              <w:rPr>
                <w:b/>
              </w:rPr>
              <w:t>Owner (if applicable)</w:t>
            </w:r>
          </w:p>
        </w:tc>
      </w:tr>
      <w:tr w:rsidR="00E4627E" w:rsidRPr="004B30EA" w14:paraId="41CD18A2" w14:textId="77777777" w:rsidTr="00E52F3C">
        <w:tc>
          <w:tcPr>
            <w:tcW w:w="3528" w:type="dxa"/>
          </w:tcPr>
          <w:p w14:paraId="274EC0C5" w14:textId="77777777" w:rsidR="00C0740F" w:rsidRDefault="00000000">
            <w:pPr>
              <w:spacing w:after="60"/>
            </w:pPr>
            <w:r>
              <w:t xml:space="preserve">Smart adaptive triggering mechanism for event-driven time-series sensing on resource-constrained edge devices, covering the co-designed hardware and software architecture (low-power sentinel channel, event-driven power and signal switching, preservation and in-node alignment of pre-trigger information) and the closed-loop optimisation of triggering conditions. The invention was made at NTU, disclosed to NTUitive, and documented in Singapore provisional patent application No. 10202502426R, filed 26 August 2025. Inventors: Fu </w:t>
            </w:r>
            <w:r>
              <w:lastRenderedPageBreak/>
              <w:t>Yuguang, Cui Shuaiwen, Yu Xiao, Yu Xuewen.</w:t>
            </w:r>
          </w:p>
        </w:tc>
        <w:tc>
          <w:tcPr>
            <w:tcW w:w="2520" w:type="dxa"/>
          </w:tcPr>
          <w:p w14:paraId="13461F69" w14:textId="77777777" w:rsidR="00C0740F" w:rsidRDefault="00000000">
            <w:pPr>
              <w:spacing w:after="60"/>
            </w:pPr>
            <w:r>
              <w:lastRenderedPageBreak/>
              <w:t xml:space="preserve">Invention </w:t>
            </w:r>
            <w:proofErr w:type="gramStart"/>
            <w:r>
              <w:t>made</w:t>
            </w:r>
            <w:proofErr w:type="gramEnd"/>
            <w:r>
              <w:t xml:space="preserve"> at NTU and disclosed to NTUitive. </w:t>
            </w:r>
            <w:r>
              <w:rPr>
                <w:highlight w:val="yellow"/>
              </w:rPr>
              <w:t>A subsequent filing on the provisional application is not being pursued, so there is no pending patent application on this invention at present; status to be confirmed with NTUitive before submission.</w:t>
            </w:r>
          </w:p>
          <w:p w14:paraId="042FAA75" w14:textId="77777777" w:rsidR="00C0740F" w:rsidRDefault="00000000">
            <w:pPr>
              <w:spacing w:after="60"/>
            </w:pPr>
            <w:r>
              <w:t xml:space="preserve">The technology is accordingly held by NTU as unpatented invention </w:t>
            </w:r>
            <w:r>
              <w:lastRenderedPageBreak/>
              <w:t>and implementation know-how, supported by the technology disclosure and by the team's published validation.</w:t>
            </w:r>
          </w:p>
        </w:tc>
        <w:tc>
          <w:tcPr>
            <w:tcW w:w="2520" w:type="dxa"/>
          </w:tcPr>
          <w:p w14:paraId="33AAFD88" w14:textId="77777777" w:rsidR="001C68C8" w:rsidRDefault="00000000">
            <w:pPr>
              <w:spacing w:after="60"/>
            </w:pPr>
            <w:r>
              <w:lastRenderedPageBreak/>
              <w:t>Nanyang Technological University (NTU)</w:t>
            </w:r>
          </w:p>
        </w:tc>
      </w:tr>
      <w:tr w:rsidR="001C68C8" w14:paraId="6E6798C0" w14:textId="77777777">
        <w:tc>
          <w:tcPr>
            <w:tcW w:w="3528" w:type="dxa"/>
          </w:tcPr>
          <w:p w14:paraId="7436CA9A" w14:textId="77777777" w:rsidR="001C68C8" w:rsidRDefault="00000000">
            <w:pPr>
              <w:spacing w:after="60"/>
            </w:pPr>
            <w:r>
              <w:t xml:space="preserve">Low-power wireless sensing node platform used as the development and validation vehicle for the mechanism, implementing </w:t>
            </w:r>
            <w:proofErr w:type="gramStart"/>
            <w:r>
              <w:t>the dual</w:t>
            </w:r>
            <w:proofErr w:type="gramEnd"/>
            <w:r>
              <w:t>-channel sensing architecture. The prototype has completed circuit design, board fabrication and production-level testing.</w:t>
            </w:r>
          </w:p>
        </w:tc>
        <w:tc>
          <w:tcPr>
            <w:tcW w:w="2520" w:type="dxa"/>
          </w:tcPr>
          <w:p w14:paraId="75076848" w14:textId="77777777" w:rsidR="001C68C8" w:rsidRDefault="00000000">
            <w:pPr>
              <w:spacing w:after="60"/>
            </w:pPr>
            <w:r>
              <w:t>Previous work done by team members (NTU). Unpatented hardware design and know-how.</w:t>
            </w:r>
          </w:p>
        </w:tc>
        <w:tc>
          <w:tcPr>
            <w:tcW w:w="2520" w:type="dxa"/>
          </w:tcPr>
          <w:p w14:paraId="3838998D" w14:textId="77777777" w:rsidR="001C68C8" w:rsidRDefault="00000000">
            <w:pPr>
              <w:spacing w:after="60"/>
            </w:pPr>
            <w:r>
              <w:t>Nanyang Technological University (NTU)</w:t>
            </w:r>
          </w:p>
        </w:tc>
      </w:tr>
      <w:tr w:rsidR="001C68C8" w14:paraId="5545C658" w14:textId="77777777">
        <w:tc>
          <w:tcPr>
            <w:tcW w:w="3528" w:type="dxa"/>
          </w:tcPr>
          <w:p w14:paraId="175BF87C" w14:textId="77777777" w:rsidR="001C68C8" w:rsidRDefault="00000000">
            <w:pPr>
              <w:spacing w:after="60"/>
            </w:pPr>
            <w:r>
              <w:t>Embedded computing middleware for resource-constrained microcontrollers, providing the digital signal processing and lightweight neural-network inference on which the onboard adaptive layer is implemented.</w:t>
            </w:r>
          </w:p>
        </w:tc>
        <w:tc>
          <w:tcPr>
            <w:tcW w:w="2520" w:type="dxa"/>
          </w:tcPr>
          <w:p w14:paraId="3E5874E7" w14:textId="77777777" w:rsidR="001C68C8" w:rsidRDefault="00000000">
            <w:pPr>
              <w:spacing w:after="60"/>
            </w:pPr>
            <w:r>
              <w:t>Previous work done by team members (NTU). Unpatented software.</w:t>
            </w:r>
          </w:p>
        </w:tc>
        <w:tc>
          <w:tcPr>
            <w:tcW w:w="2520" w:type="dxa"/>
          </w:tcPr>
          <w:p w14:paraId="6289A32C" w14:textId="77777777" w:rsidR="001C68C8" w:rsidRDefault="00000000">
            <w:pPr>
              <w:spacing w:after="60"/>
            </w:pPr>
            <w:r>
              <w:t>Nanyang Technological University (NTU)</w:t>
            </w:r>
          </w:p>
        </w:tc>
      </w:tr>
      <w:tr w:rsidR="00C0740F" w14:paraId="448E5F37" w14:textId="77777777">
        <w:tc>
          <w:tcPr>
            <w:tcW w:w="3528" w:type="dxa"/>
          </w:tcPr>
          <w:p w14:paraId="70D7055E" w14:textId="77777777" w:rsidR="00C0740F" w:rsidRDefault="00000000">
            <w:pPr>
              <w:spacing w:after="60"/>
            </w:pPr>
            <w:r>
              <w:t>Implementation know-how for the adaptive capture workflow: firmware architecture for the sentinel and acquisition paths, onboard estimation and parameter-tuning implementation under microcontroller constraints, and the set-up of the pre-deployment optimisation environment. These implementation details are not contained in the team's publications.</w:t>
            </w:r>
          </w:p>
        </w:tc>
        <w:tc>
          <w:tcPr>
            <w:tcW w:w="2520" w:type="dxa"/>
          </w:tcPr>
          <w:p w14:paraId="03F5DA78" w14:textId="77777777" w:rsidR="00C0740F" w:rsidRDefault="00000000">
            <w:pPr>
              <w:spacing w:after="60"/>
            </w:pPr>
            <w:r>
              <w:t>Previous work done by team members (NTU). Unpatented know-how.</w:t>
            </w:r>
          </w:p>
        </w:tc>
        <w:tc>
          <w:tcPr>
            <w:tcW w:w="2520" w:type="dxa"/>
          </w:tcPr>
          <w:p w14:paraId="09CACFB1" w14:textId="77777777" w:rsidR="00C0740F" w:rsidRDefault="00000000">
            <w:pPr>
              <w:spacing w:after="60"/>
            </w:pPr>
            <w:r>
              <w:t>Nanyang Technological University (NTU)</w:t>
            </w:r>
          </w:p>
        </w:tc>
      </w:tr>
      <w:tr w:rsidR="001C68C8" w14:paraId="5B06E860" w14:textId="77777777">
        <w:tc>
          <w:tcPr>
            <w:tcW w:w="3528" w:type="dxa"/>
          </w:tcPr>
          <w:p w14:paraId="24E79760" w14:textId="77777777" w:rsidR="001C68C8" w:rsidRDefault="00000000">
            <w:pPr>
              <w:spacing w:after="60"/>
            </w:pPr>
            <w:r>
              <w:t>Experimental validation of the adaptive triggering mechanism on a laboratory structural testbed, reported in Mechanical Systems and Signal Processing 241 (2025) 113537 and in the Proceedings of SHMII-13 (2025), pp. 609-616.</w:t>
            </w:r>
          </w:p>
        </w:tc>
        <w:tc>
          <w:tcPr>
            <w:tcW w:w="2520" w:type="dxa"/>
          </w:tcPr>
          <w:p w14:paraId="63A701E8" w14:textId="77777777" w:rsidR="001C68C8" w:rsidRDefault="00000000">
            <w:pPr>
              <w:spacing w:after="60"/>
            </w:pPr>
            <w:r>
              <w:t>Published academic work by team members. In the public domain and used here as supporting evidence.</w:t>
            </w:r>
          </w:p>
        </w:tc>
        <w:tc>
          <w:tcPr>
            <w:tcW w:w="2520" w:type="dxa"/>
          </w:tcPr>
          <w:p w14:paraId="19011ECA" w14:textId="77777777" w:rsidR="001C68C8" w:rsidRDefault="00000000">
            <w:pPr>
              <w:spacing w:after="60"/>
            </w:pPr>
            <w:r>
              <w:t>Authors and publishers</w:t>
            </w:r>
          </w:p>
        </w:tc>
      </w:tr>
    </w:tbl>
    <w:p w14:paraId="330D7F2C" w14:textId="77777777" w:rsidR="00E4627E" w:rsidRPr="004B30EA" w:rsidRDefault="00E4627E" w:rsidP="00E4627E">
      <w:pPr>
        <w:jc w:val="both"/>
        <w:rPr>
          <w:b/>
          <w:bCs/>
          <w:lang w:val="en-GB"/>
        </w:rPr>
      </w:pPr>
    </w:p>
    <w:p w14:paraId="27D47BB9" w14:textId="77777777" w:rsidR="001C68C8" w:rsidRDefault="001C68C8">
      <w:pPr>
        <w:spacing w:after="120" w:line="259" w:lineRule="auto"/>
      </w:pPr>
    </w:p>
    <w:p w14:paraId="1D9B3FA7" w14:textId="77777777" w:rsidR="001C68C8" w:rsidRDefault="00000000">
      <w:pPr>
        <w:spacing w:after="120" w:line="259" w:lineRule="auto"/>
        <w:jc w:val="both"/>
      </w:pPr>
      <w:r>
        <w:rPr>
          <w:b/>
          <w:sz w:val="22"/>
        </w:rPr>
        <w:t>Intellectual property position.</w:t>
      </w:r>
      <w:r>
        <w:rPr>
          <w:sz w:val="22"/>
        </w:rPr>
        <w:t xml:space="preserve"> All background technology listed above was developed within NTU and is owned by NTU. Academic exchanges conducted with external researchers during the development period were limited to general technical consultation on wireless sensing node design and did not contribute to the invention, so the technology is unencumbered by third-party rights. </w:t>
      </w:r>
      <w:r>
        <w:rPr>
          <w:sz w:val="22"/>
          <w:highlight w:val="yellow"/>
        </w:rPr>
        <w:t xml:space="preserve">A subsequent patent filing on the provisional application is not currently being pursued, and this position is to be confirmed with NTUitive before submission. </w:t>
      </w:r>
      <w:r>
        <w:rPr>
          <w:sz w:val="22"/>
        </w:rPr>
        <w:t xml:space="preserve">The defensibility of the project therefore rests on three elements rather than on a pending application. The first is implementation know-how: the published work describes the methodology, while the firmware architecture, the onboard estimation and tuning implementation under microcontroller constraints, and the pre-deployment optimisation set-up remain unpublished and are what make the mechanism work on a real node. The second is the node platform and embedded computing middleware on which the capability runs, both developed at NTU. The third is the foreground intellectual property that this project would generate, including the module design and interface specification, the configuration and pre-optimisation tooling, the integration documentation, and the benchmark datasets produced against periodic sampling and fixed-threshold triggering. Whether any part of that foreground work supports a new filing would be assessed with </w:t>
      </w:r>
      <w:r>
        <w:rPr>
          <w:sz w:val="22"/>
        </w:rPr>
        <w:lastRenderedPageBreak/>
        <w:t xml:space="preserve">NTUitive during the project, taking account of the team's earlier publications. The commercial package described in Section 2.6 does not depend on obtaining one: module supply, software licensing, paid integration and joint development can each proceed </w:t>
      </w:r>
      <w:proofErr w:type="gramStart"/>
      <w:r>
        <w:rPr>
          <w:sz w:val="22"/>
        </w:rPr>
        <w:t>on the basis of</w:t>
      </w:r>
      <w:proofErr w:type="gramEnd"/>
      <w:r>
        <w:rPr>
          <w:sz w:val="22"/>
        </w:rPr>
        <w:t xml:space="preserve"> the delivered technology and the know-how behind it.</w:t>
      </w:r>
    </w:p>
    <w:p w14:paraId="67E59C2B" w14:textId="77777777" w:rsidR="00E4627E" w:rsidRPr="004B30EA" w:rsidRDefault="00E4627E" w:rsidP="00E4627E">
      <w:pPr>
        <w:jc w:val="both"/>
        <w:rPr>
          <w:b/>
          <w:bCs/>
          <w:lang w:val="en-GB"/>
        </w:rPr>
      </w:pPr>
      <w:r w:rsidRPr="004B30EA">
        <w:rPr>
          <w:b/>
          <w:bCs/>
          <w:sz w:val="22"/>
          <w:lang w:val="en-GB"/>
        </w:rPr>
        <w:t>3.2</w:t>
      </w:r>
      <w:r w:rsidRPr="004B30EA">
        <w:rPr>
          <w:b/>
          <w:bCs/>
          <w:sz w:val="22"/>
          <w:lang w:val="en-GB"/>
        </w:rPr>
        <w:tab/>
        <w:t>Detailed Technical Description (Maximum 6 pages)</w:t>
      </w:r>
    </w:p>
    <w:p w14:paraId="6EA507CB" w14:textId="77777777" w:rsidR="00E4627E" w:rsidRPr="004B30EA" w:rsidRDefault="00E4627E" w:rsidP="00E4627E">
      <w:pPr>
        <w:jc w:val="both"/>
        <w:rPr>
          <w:b/>
          <w:bCs/>
          <w:lang w:val="en-GB"/>
        </w:rPr>
      </w:pPr>
    </w:p>
    <w:p w14:paraId="4C28DF58" w14:textId="77777777" w:rsidR="00E4627E" w:rsidRPr="00B9616B" w:rsidRDefault="00E4627E" w:rsidP="00B9616B">
      <w:pPr>
        <w:spacing w:after="200"/>
        <w:jc w:val="both"/>
        <w:rPr>
          <w:rFonts w:eastAsiaTheme="minorEastAsia"/>
          <w:i/>
          <w:iCs/>
          <w:lang w:val="en-GB"/>
        </w:rPr>
      </w:pPr>
      <w:r w:rsidRPr="004B30EA">
        <w:rPr>
          <w:i/>
          <w:iCs/>
          <w:sz w:val="22"/>
          <w:lang w:val="en-GB"/>
        </w:rPr>
        <w:t xml:space="preserve">Please describe the technical merits and application of this project in detail. A brief description of the methodology of how the proof-of-concept will be carried out experimentally, the expected outcomes and deliverables of the project (e.g. prototype, device, feasibility studies, animal/clinical trials, </w:t>
      </w:r>
      <w:r w:rsidR="0080323F">
        <w:rPr>
          <w:i/>
          <w:iCs/>
          <w:sz w:val="22"/>
          <w:lang w:val="en-GB"/>
        </w:rPr>
        <w:t xml:space="preserve">application platform, </w:t>
      </w:r>
      <w:r w:rsidRPr="004B30EA">
        <w:rPr>
          <w:i/>
          <w:iCs/>
          <w:sz w:val="22"/>
          <w:lang w:val="en-GB"/>
        </w:rPr>
        <w:t xml:space="preserve">etc) should be provided. </w:t>
      </w:r>
    </w:p>
    <w:p>
      <w:pPr>
        <w:spacing w:after="120" w:line="259" w:lineRule="auto"/>
      </w:pPr>
    </w:p>
    <w:p>
      <w:pPr>
        <w:spacing w:after="120" w:line="259" w:lineRule="auto" w:before="160"/>
        <w:jc w:val="left"/>
      </w:pPr>
      <w:r>
        <w:rPr>
          <w:b/>
          <w:sz w:val="22"/>
        </w:rPr>
        <w:t>Technical proposition and design principles</w:t>
      </w:r>
    </w:p>
    <w:p>
      <w:pPr>
        <w:spacing w:after="120" w:line="259" w:lineRule="auto"/>
        <w:jc w:val="both"/>
      </w:pPr>
      <w:r>
        <w:rPr>
          <w:b/>
          <w:sz w:val="22"/>
        </w:rPr>
        <w:t>Technical proposition.</w:t>
      </w:r>
      <w:r>
        <w:rPr>
          <w:b w:val="0"/>
          <w:sz w:val="22"/>
        </w:rPr>
        <w:t xml:space="preserve"> The technical problem addressed by this project is a detection problem. A monitoring system earns its value at the moment something happens, and whether it earns it depends on whether the node notices. Each scheme available to a resource-constrained node fails differently: always-on recording notices everything but exhausts battery, storage and bandwidth; periodic or duty-cycled sampling makes no detection decision at all, recording on a clock and possibly sleeping through the event that matters; fixed-threshold triggering does decide, but from conditions selected manually at commissioning, so it is pinned to one operating point between missing events and recording irrelevant ones. The proposition is therefore narrow and testable: make the detection decision correct itself in the field, so missed detections stay close to zero while false alarms and irrelevant recordings are progressively suppressed, and without an engineer returning to site.</w:t>
      </w:r>
    </w:p>
    <w:p>
      <w:pPr>
        <w:spacing w:after="120" w:line="259" w:lineRule="auto"/>
        <w:jc w:val="both"/>
      </w:pPr>
      <w:r>
        <w:rPr>
          <w:b/>
          <w:sz w:val="22"/>
        </w:rPr>
        <w:t>Design principles.</w:t>
      </w:r>
      <w:r>
        <w:rPr>
          <w:b w:val="0"/>
          <w:sz w:val="22"/>
        </w:rPr>
        <w:t xml:space="preserve"> Three principles govern the design. First, detection quality before resource efficiency: the two are usually presented as a trade-off, but here efficiency is a consequence rather than a competing objective, because the module does not save resources by sensing less but by being right more often, and every avoided false alarm is a wake-up, a recording, a transmission and a review that never happens. Second, an asymmetric and configurable trade-off: a missed detection is unrecoverable while a false alarm costs resources and attention, so the objective weights them unequally in favour of not missing events, and that weighting is a design parameter the customer sets for their application rather than a constant fixed by the supplier. Third, edge autonomy and embeddability: adaptation runs on the node, and the outcome must be a module and firmware an equipment manufacturer can integrate into an existing product line.</w:t>
      </w:r>
    </w:p>
    <w:p>
      <w:pPr>
        <w:spacing w:after="120" w:line="259" w:lineRule="auto"/>
        <w:jc w:val="both"/>
      </w:pPr>
      <w:r>
        <w:rPr>
          <w:b/>
          <w:sz w:val="22"/>
        </w:rPr>
        <w:t>Scope boundaries.</w:t>
      </w:r>
      <w:r>
        <w:rPr>
          <w:b w:val="0"/>
          <w:sz w:val="22"/>
        </w:rPr>
        <w:t xml:space="preserve"> The project is bounded, and the limits are stated explicitly. No detection method recovers a signal the low-resource sentinel channel cannot sense, or an event indistinguishable from the prevailing background, so candidate event classes are screened before deployment and the achievable detection floor remains bounded by the ambient noise. Information preserved from before the trigger improves a record but does not reconstruct high-fidelity data that was never acquired. Time alignment is performed within a single node, not across a network. The module supplies the detection and capture function only: the host processor, radio, power design, enclosure and application software remain the manufacturer's. The project delivers an embeddable capability, not a monitoring service, a cloud platform, or a diagnosis product.</w:t>
      </w:r>
    </w:p>
    <w:p>
      <w:pPr>
        <w:spacing w:after="120" w:line="259" w:lineRule="auto" w:before="160"/>
        <w:jc w:val="left"/>
      </w:pPr>
      <w:r>
        <w:rPr>
          <w:b/>
          <w:sz w:val="22"/>
        </w:rPr>
        <w:t>Detection quality: what is measured and why</w:t>
      </w:r>
    </w:p>
    <w:p>
      <w:pPr>
        <w:spacing w:after="120" w:line="259" w:lineRule="auto"/>
        <w:jc w:val="both"/>
      </w:pPr>
      <w:r>
        <w:rPr>
          <w:b/>
          <w:sz w:val="22"/>
        </w:rPr>
        <w:t>The quantities that matter.</w:t>
      </w:r>
      <w:r>
        <w:rPr>
          <w:b w:val="0"/>
          <w:sz w:val="22"/>
        </w:rPr>
        <w:t xml:space="preserve"> Detection is a decision made continuously on a live signal, and its quality is described by a small set of quantities that equipment manufacturers and field users can both act on. Missed detections are events of interest the node never noticed; because a triggering system stores only what it triggers on, these leave no record at all. False alarms are activations that turn out not to matter; they consume battery, storage and bandwidth, and most expensively human attention. The detection floor is the smallest event detectable reliably at a stated ambient noise level; it is a curve rather than a number, because ambient vibration masks weak events and the floor moves with the environment. Detection latency separates into a confirmation component, set by how long a candidate signal must persist before the decision, and a wake-up component set by the hardware. The operating point is the combination of detection parameters in force at a given moment, and it fixes the balance between the first two quantities.</w:t>
      </w:r>
    </w:p>
    <w:p>
      <w:pPr>
        <w:spacing w:after="120" w:line="259" w:lineRule="auto"/>
        <w:jc w:val="both"/>
      </w:pPr>
      <w:r>
        <w:rPr>
          <w:b/>
          <w:sz w:val="22"/>
        </w:rPr>
        <w:t>Why the operating point cannot be set once.</w:t>
      </w:r>
      <w:r>
        <w:rPr>
          <w:b w:val="0"/>
          <w:sz w:val="22"/>
        </w:rPr>
        <w:t xml:space="preserve"> In a fixed-threshold system the operating point is chosen at commissioning and then holds. It is correct for the conditions that prevailed when it was chosen, and every later change in ambient conditions, mounting, season, traffic or plant loading moves the system away from it. Choosing conservatively protects against missed detections but multiplies false alarms and the cost of handling them; choosing tightly does the reverse. Retuning requires an engineer, site access and a judgement about performance that nobody can measure in the field, so in practice most deployments are tuned once and left, and the customer pays for the wrong operating point continuously, in missed evidence or in staff time spent on records that did not matter.</w:t>
      </w:r>
    </w:p>
    <w:p>
      <w:pPr>
        <w:spacing w:after="120" w:line="259" w:lineRule="auto" w:before="160"/>
        <w:jc w:val="left"/>
      </w:pPr>
      <w:r>
        <w:rPr>
          <w:b/>
          <w:sz w:val="22"/>
        </w:rPr>
        <w:t>The adaptive detection method</w:t>
      </w:r>
    </w:p>
    <w:p>
      <w:pPr>
        <w:spacing w:after="120" w:line="259" w:lineRule="auto"/>
        <w:jc w:val="both"/>
      </w:pPr>
      <w:r>
        <w:rPr>
          <w:b/>
          <w:sz w:val="22"/>
        </w:rPr>
        <w:t>The observability problem.</w:t>
      </w:r>
      <w:r>
        <w:rPr>
          <w:b w:val="0"/>
          <w:sz w:val="22"/>
        </w:rPr>
        <w:t xml:space="preserve"> The obstacle facing any self-correcting detector is that it cannot see its own errors. Records exist only for activations, so false alarms are in principle visible, while missed detections leave nothing behind, and no ground truth is available at the node against which performance could be scored. Any method that adjusts the detection decision in the field must therefore first solve the problem of knowing how well it is currently doing. This is the central difficulty the project's method addresses, and it is what separates it from parameter tuning as conventionally practised.</w:t>
      </w:r>
    </w:p>
    <w:p>
      <w:pPr>
        <w:spacing w:after="120" w:line="259" w:lineRule="auto"/>
        <w:jc w:val="both"/>
      </w:pPr>
      <w:r>
        <w:rPr>
          <w:b/>
          <w:sz w:val="22"/>
        </w:rPr>
        <w:t>How performance is estimated on the node.</w:t>
      </w:r>
      <w:r>
        <w:rPr>
          <w:b w:val="0"/>
          <w:sz w:val="22"/>
        </w:rPr>
        <w:t xml:space="preserve"> The method estimates the two sides differently. What was captured is classified onboard, which indicates how much of the recorded material is of interest and so describes the false-alarm side directly. What was missed is inferred rather than observed: a lightweight learned model relates the detection parameters in force and the prevailing noise conditions to the performance those settings can be expected to deliver, supplying the missed-detection side. Both estimators are small enough to run alongside the manufacturer's own firmware on a microcontroller, without an accelerator and without connectivity. The two estimates are combined into a single score whose weighting between missed detections and false alarms is explicit and configurable, so the node optimises the balance the customer wants rather than one chosen by the supplier.</w:t>
      </w:r>
    </w:p>
    <w:p>
      <w:pPr>
        <w:spacing w:after="120" w:line="259" w:lineRule="auto"/>
        <w:jc w:val="both"/>
      </w:pPr>
      <w:r>
        <w:rPr>
          <w:b/>
          <w:sz w:val="22"/>
        </w:rPr>
        <w:t>How the operating point is moved.</w:t>
      </w:r>
      <w:r>
        <w:rPr>
          <w:b w:val="0"/>
          <w:sz w:val="22"/>
        </w:rPr>
        <w:t xml:space="preserve"> That score is a black-box function of the detection parameters: there is no analytical relation between them and field performance, and each evaluation consumes real elapsed monitoring time, so the parameter space cannot be swept. The method therefore uses a sample-efficient search that builds a statistical model of the score surface from the evaluations made so far and uses it to choose the next parameters worth trying. This is what allows the operating point to be improved on the node itself from a small number of evaluations, orders of magnitude fewer than an exhaustive search would require, and with no data leaving the device for tuning.</w:t>
      </w:r>
    </w:p>
    <w:p>
      <w:pPr>
        <w:spacing w:after="120" w:line="259" w:lineRule="auto"/>
        <w:jc w:val="both"/>
      </w:pPr>
      <w:r>
        <w:rPr>
          <w:b/>
          <w:sz w:val="22"/>
        </w:rPr>
        <w:t>How the node starts well.</w:t>
      </w:r>
      <w:r>
        <w:rPr>
          <w:b w:val="0"/>
          <w:sz w:val="22"/>
        </w:rPr>
        <w:t xml:space="preserve"> Adaptation begins before installation. A digital twin of the deployment, simulating the excitation, the monitored asset and the expected node response, searches the parameter space offline to produce a good initial operating point and to generate the training material for the two onboard estimators. In this project that stage is packaged as a configuration tool supplied with the module, so a manufacturer or integrator runs it once for a product line rather than treating it as a research procedure. After installation the node continues from that starting point using real field data. Commercially this is what allows the module to be offered as something that works on installation and improves afterwards, rather than something needing an engineer to return whenever conditions change.</w:t>
      </w:r>
    </w:p>
    <w:p>
      <w:pPr>
        <w:spacing w:after="120" w:line="259" w:lineRule="auto"/>
        <w:jc w:val="both"/>
      </w:pPr>
      <w:r>
        <w:rPr>
          <w:b/>
          <w:sz w:val="22"/>
        </w:rPr>
        <w:t>What the method provides structurally.</w:t>
      </w:r>
      <w:r>
        <w:rPr>
          <w:b w:val="0"/>
          <w:sz w:val="22"/>
        </w:rPr>
        <w:t xml:space="preserve"> Three properties follow from the design rather than from any particular experiment. The detection decision is re-derived as conditions change, so performance does not silently drift from the point at which it was commissioned. The node can state its own detection quality, including an estimate of what it is likely to be missing, which no fixed-threshold device can do because its missed events leave no trace. And the balance between missed detections and false alarms becomes a parameter of the product rather than a property fixed by the supplier. Demonstrating these under realistic conditions, and converting them into specifications a manufacturer can design against, is the purpose of the Gap Fund work.</w:t>
      </w:r>
    </w:p>
    <w:p>
      <w:pPr>
        <w:spacing w:after="120" w:line="259" w:lineRule="auto" w:before="160"/>
        <w:jc w:val="left"/>
      </w:pPr>
      <w:r>
        <w:rPr>
          <w:b/>
          <w:sz w:val="22"/>
        </w:rPr>
        <w:t>Platform required by the method</w:t>
      </w:r>
    </w:p>
    <w:p>
      <w:pPr>
        <w:spacing w:after="120" w:line="259" w:lineRule="auto"/>
        <w:jc w:val="both"/>
      </w:pPr>
      <w:r>
        <w:rPr>
          <w:b/>
          <w:sz w:val="22"/>
        </w:rPr>
        <w:t>Separation of watching and recording.</w:t>
      </w:r>
      <w:r>
        <w:rPr>
          <w:b w:val="0"/>
          <w:sz w:val="22"/>
        </w:rPr>
        <w:t xml:space="preserve"> The method needs a platform on which watching and recording are separated. A low-power sentinel channel observes the signal continuously and holds the detection parameters, while a high-fidelity channel with the resolution the application requires is powered only during acquisition. The sentinel sets the physical detection floor and so determines what the adaptive layer has to work with, which is why selecting and characterising it against the target event class is part of the first project phase rather than an implementation detail.</w:t>
      </w:r>
    </w:p>
    <w:p>
      <w:pPr>
        <w:spacing w:after="120" w:line="259" w:lineRule="auto"/>
        <w:jc w:val="both"/>
      </w:pPr>
      <w:r>
        <w:rPr>
          <w:b/>
          <w:sz w:val="22"/>
        </w:rPr>
        <w:t>Event-driven activation and pre-trigger retention.</w:t>
      </w:r>
      <w:r>
        <w:rPr>
          <w:b w:val="0"/>
          <w:sz w:val="22"/>
        </w:rPr>
        <w:t xml:space="preserve"> Activation is handled by a switching circuit controlling the supply and signal lines of the high-fidelity channel through a single controlled path. The transition must not corrupt the first samples of the record, the wake-up delay must be short enough that the useful part of the event is not lost, and standby leakage must stay small relative to the sentinel's own consumption. Where the sentinel provides an internal buffer, its contents are frozen at detection and aligned within the node with the high-fidelity segment that follows, so the record spans the period before, during and after the incident. For incident review and complaint response that pre-trigger segment is often the difference between a record that explains what happened and one that shows only the aftermath.</w:t>
      </w:r>
    </w:p>
    <w:p>
      <w:pPr>
        <w:spacing w:after="120" w:line="259" w:lineRule="auto"/>
        <w:jc w:val="both"/>
      </w:pPr>
      <w:r>
        <w:rPr>
          <w:b/>
          <w:sz w:val="22"/>
        </w:rPr>
        <w:t>Module form and host integration.</w:t>
      </w:r>
      <w:r>
        <w:rPr>
          <w:b w:val="0"/>
          <w:sz w:val="22"/>
        </w:rPr>
        <w:t xml:space="preserve"> The commercial form is a module rather than a research node. This project fixes the module boundary as a product interface: board outline and mounting, supply voltage range and standby current budget, host interface options for configuration and data transfer, a status line signalling that a record is available, and the driver and register map through which the host sets the event class, reads results and adjusts the weighting between missed detections and false alarms. The intent is that a manufacturer keeps their own processor, radio, power design and enclosure and adds the function as a component. Manufacturing follows standard electronics assembly, and a bill of materials with a design-for-manufacture review is produced alongside the prototype.</w:t>
      </w:r>
    </w:p>
    <w:tbl>
      <w:tblPr>
        <w:tblStyle w:val="TableGrid"/>
        <w:tblLook w:firstColumn="1" w:firstRow="1" w:lastColumn="0" w:lastRow="0" w:noHBand="0" w:noVBand="1" w:val="04A0"/>
        <w:tblLayout w:type="fixed"/>
      </w:tblPr>
      <w:tblGrid>
        <w:gridCol w:w="2494"/>
        <w:gridCol w:w="3175"/>
        <w:gridCol w:w="3969"/>
      </w:tblGrid>
      <w:tr>
        <w:trPr>
          <w:tblHeader w:val="true"/>
        </w:trPr>
        <w:tc>
          <w:tcPr>
            <w:tcW w:type="dxa" w:w="2494"/>
          </w:tcPr>
          <w:p>
            <w:pPr>
              <w:spacing w:after="60"/>
            </w:pPr>
            <w:r/>
            <w:r>
              <w:rPr>
                <w:b/>
                <w:sz w:val="22"/>
              </w:rPr>
              <w:t>Platform element</w:t>
            </w:r>
          </w:p>
        </w:tc>
        <w:tc>
          <w:tcPr>
            <w:tcW w:type="dxa" w:w="3175"/>
          </w:tcPr>
          <w:p>
            <w:pPr>
              <w:spacing w:after="60"/>
            </w:pPr>
            <w:r/>
            <w:r>
              <w:rPr>
                <w:b/>
                <w:sz w:val="22"/>
              </w:rPr>
              <w:t>Current status</w:t>
            </w:r>
          </w:p>
        </w:tc>
        <w:tc>
          <w:tcPr>
            <w:tcW w:type="dxa" w:w="3969"/>
          </w:tcPr>
          <w:p>
            <w:pPr>
              <w:spacing w:after="60"/>
            </w:pPr>
            <w:r/>
            <w:r>
              <w:rPr>
                <w:b/>
                <w:sz w:val="22"/>
              </w:rPr>
              <w:t>Work to be carried out in this project</w:t>
            </w:r>
          </w:p>
        </w:tc>
      </w:tr>
      <w:tr>
        <w:tc>
          <w:tcPr>
            <w:tcW w:type="dxa" w:w="2494"/>
          </w:tcPr>
          <w:p>
            <w:pPr>
              <w:spacing w:after="60"/>
            </w:pPr>
            <w:r/>
            <w:r>
              <w:rPr>
                <w:b w:val="0"/>
                <w:sz w:val="22"/>
              </w:rPr>
              <w:t>Separated sentinel and high-fidelity channels</w:t>
            </w:r>
          </w:p>
        </w:tc>
        <w:tc>
          <w:tcPr>
            <w:tcW w:type="dxa" w:w="3175"/>
          </w:tcPr>
          <w:p>
            <w:pPr>
              <w:spacing w:after="60"/>
            </w:pPr>
            <w:r/>
            <w:r>
              <w:rPr>
                <w:b w:val="0"/>
                <w:sz w:val="22"/>
              </w:rPr>
              <w:t>Implemented and verified on the team's wireless sensing node prototype, which has completed circuit design, board fabrication and production-level testing.</w:t>
            </w:r>
          </w:p>
        </w:tc>
        <w:tc>
          <w:tcPr>
            <w:tcW w:type="dxa" w:w="3969"/>
          </w:tcPr>
          <w:p>
            <w:pPr>
              <w:spacing w:after="60"/>
            </w:pPr>
            <w:r/>
            <w:r>
              <w:rPr>
                <w:b w:val="0"/>
                <w:sz w:val="22"/>
              </w:rPr>
              <w:t>Separate the function into an embeddable board-level module; select and characterise the sentinel channel against the target event class.</w:t>
            </w:r>
          </w:p>
        </w:tc>
      </w:tr>
      <w:tr>
        <w:tc>
          <w:tcPr>
            <w:tcW w:type="dxa" w:w="2494"/>
          </w:tcPr>
          <w:p>
            <w:pPr>
              <w:spacing w:after="60"/>
            </w:pPr>
            <w:r/>
            <w:r>
              <w:rPr>
                <w:b w:val="0"/>
                <w:sz w:val="22"/>
              </w:rPr>
              <w:t>Event-driven activation and retention of pre-trigger information</w:t>
            </w:r>
          </w:p>
        </w:tc>
        <w:tc>
          <w:tcPr>
            <w:tcW w:type="dxa" w:w="3175"/>
          </w:tcPr>
          <w:p>
            <w:pPr>
              <w:spacing w:after="60"/>
            </w:pPr>
            <w:r/>
            <w:r>
              <w:rPr>
                <w:b w:val="0"/>
                <w:sz w:val="22"/>
              </w:rPr>
              <w:t>Mechanism defined in the background technology disclosure; implementation in progress.</w:t>
            </w:r>
          </w:p>
        </w:tc>
        <w:tc>
          <w:tcPr>
            <w:tcW w:type="dxa" w:w="3969"/>
          </w:tcPr>
          <w:p>
            <w:pPr>
              <w:spacing w:after="60"/>
            </w:pPr>
            <w:r/>
            <w:r>
              <w:rPr>
                <w:b w:val="0"/>
                <w:sz w:val="22"/>
              </w:rPr>
              <w:t>Complete the implementation; characterise wake-up delay, activation transients, standby current and in-node alignment error.</w:t>
            </w:r>
          </w:p>
        </w:tc>
      </w:tr>
      <w:tr>
        <w:tc>
          <w:tcPr>
            <w:tcW w:type="dxa" w:w="2494"/>
          </w:tcPr>
          <w:p>
            <w:pPr>
              <w:spacing w:after="60"/>
            </w:pPr>
            <w:r/>
            <w:r>
              <w:rPr>
                <w:b w:val="0"/>
                <w:sz w:val="22"/>
              </w:rPr>
              <w:t>Onboard estimation and search under microcontroller constraints</w:t>
            </w:r>
          </w:p>
        </w:tc>
        <w:tc>
          <w:tcPr>
            <w:tcW w:type="dxa" w:w="3175"/>
          </w:tcPr>
          <w:p>
            <w:pPr>
              <w:spacing w:after="60"/>
            </w:pPr>
            <w:r/>
            <w:r>
              <w:rPr>
                <w:b w:val="0"/>
                <w:sz w:val="22"/>
              </w:rPr>
              <w:t>Validated on the team's embedded computing middleware for resource-constrained microcontrollers.</w:t>
            </w:r>
          </w:p>
        </w:tc>
        <w:tc>
          <w:tcPr>
            <w:tcW w:type="dxa" w:w="3969"/>
          </w:tcPr>
          <w:p>
            <w:pPr>
              <w:spacing w:after="60"/>
            </w:pPr>
            <w:r/>
            <w:r>
              <w:rPr>
                <w:b w:val="0"/>
                <w:sz w:val="22"/>
              </w:rPr>
              <w:t>Package as a supportable firmware release, together with the pre-deployment configuration tool supplied to the manufacturer.</w:t>
            </w:r>
          </w:p>
        </w:tc>
      </w:tr>
      <w:tr>
        <w:tc>
          <w:tcPr>
            <w:tcW w:type="dxa" w:w="2494"/>
          </w:tcPr>
          <w:p>
            <w:pPr>
              <w:spacing w:after="60"/>
            </w:pPr>
            <w:r/>
            <w:r>
              <w:rPr>
                <w:b w:val="0"/>
                <w:sz w:val="22"/>
              </w:rPr>
              <w:t>Module form factor, interface specification and bill of materials</w:t>
            </w:r>
          </w:p>
        </w:tc>
        <w:tc>
          <w:tcPr>
            <w:tcW w:type="dxa" w:w="3175"/>
          </w:tcPr>
          <w:p>
            <w:pPr>
              <w:spacing w:after="60"/>
            </w:pPr>
            <w:r/>
            <w:r>
              <w:rPr>
                <w:b w:val="0"/>
                <w:sz w:val="22"/>
              </w:rPr>
              <w:t>Not yet defined; the capability exists in research node form only.</w:t>
            </w:r>
          </w:p>
        </w:tc>
        <w:tc>
          <w:tcPr>
            <w:tcW w:type="dxa" w:w="3969"/>
          </w:tcPr>
          <w:p>
            <w:pPr>
              <w:spacing w:after="60"/>
            </w:pPr>
            <w:r/>
            <w:r>
              <w:rPr>
                <w:b w:val="0"/>
                <w:sz w:val="22"/>
              </w:rPr>
              <w:t>Define board outline, power budget, host interface, driver and register map; produce a bill of materials and a design-for-manufacture review.</w:t>
            </w:r>
          </w:p>
        </w:tc>
      </w:tr>
    </w:tbl>
    <w:p>
      <w:pPr>
        <w:spacing w:after="120" w:line="259" w:lineRule="auto"/>
      </w:pPr>
    </w:p>
    <w:p>
      <w:pPr>
        <w:spacing w:after="120" w:line="259" w:lineRule="auto" w:before="160"/>
        <w:jc w:val="left"/>
      </w:pPr>
      <w:r>
        <w:rPr>
          <w:b/>
          <w:sz w:val="22"/>
        </w:rPr>
        <w:t>Proof-of-concept methodology</w:t>
      </w:r>
    </w:p>
    <w:p>
      <w:pPr>
        <w:spacing w:after="120" w:line="259" w:lineRule="auto"/>
        <w:jc w:val="both"/>
      </w:pPr>
      <w:r>
        <w:rPr>
          <w:b/>
          <w:sz w:val="22"/>
        </w:rPr>
        <w:t>Stage 1: laboratory benchmarking (months 6 to 9).</w:t>
      </w:r>
      <w:r>
        <w:rPr>
          <w:b w:val="0"/>
          <w:sz w:val="22"/>
        </w:rPr>
        <w:t xml:space="preserve"> The starting point is an existing capability rather than a new build: the adaptive detection method has already been demonstrated experimentally on a laboratory structure instrumented with the team's wireless sensing node, across several classes of excitation, with results published in a peer-reviewed journal. The Gap Fund work repeats that demonstration on the module prototype rather than the research node and extends it from detection performance alone to the full set of indicators below. The two baselines are fixed in advance, in line with Section 2.6: periodic or duty-cycled sampling, and fixed-threshold triggering with conservatively selected parameters. All three are exposed to the same event sequences under the same recording requirement, and the detection floor is characterised across a range of controlled ambient noise levels rather than reported as a single figure.</w:t>
      </w:r>
    </w:p>
    <w:p>
      <w:pPr>
        <w:spacing w:after="120" w:line="259" w:lineRule="auto"/>
        <w:jc w:val="both"/>
      </w:pPr>
      <w:r>
        <w:rPr>
          <w:b/>
          <w:sz w:val="22"/>
        </w:rPr>
        <w:t>Stage 2: second event class (months 6 to 9).</w:t>
      </w:r>
      <w:r>
        <w:rPr>
          <w:b w:val="0"/>
          <w:sz w:val="22"/>
        </w:rPr>
        <w:t xml:space="preserve"> To show the method is not tied to one application, it is applied to a second event class from industrial monitoring: abnormal vibration and impact on rotating equipment such as motors, pumps, compressors and fans. The class is chosen because it shares the vibration modality of the first, so no change of sentinel component is needed, keeping the extension cost low while supporting the industrial segment identified in Section 2.2. It is screened for sentinel detectability first, then benchmarked under representative conditions. The priority class defined in Section 2.2 carries the full validation; the second runs alongside as an extension check rather than a second full validation.</w:t>
      </w:r>
    </w:p>
    <w:p>
      <w:pPr>
        <w:spacing w:after="120" w:line="259" w:lineRule="auto"/>
        <w:jc w:val="both"/>
      </w:pPr>
      <w:r>
        <w:rPr>
          <w:b/>
          <w:sz w:val="22"/>
        </w:rPr>
        <w:t>Stage 3: pilot validation (months 9 to 12).</w:t>
      </w:r>
      <w:r>
        <w:rPr>
          <w:b w:val="0"/>
          <w:sz w:val="22"/>
        </w:rPr>
        <w:t xml:space="preserve"> The prototype is then validated with one equipment-side and one field-side partner, as set out in Section 2.8. The equipment-side partner assesses integration feasibility, incremental cost, device-level testing burden and preferred product form. The field-side partner assesses whether the captured records support real decisions such as incident review, maintenance action or complaint response, and whether the reduction in false alarms is visible in operation. Validation uses either the module embedded in the partner's own node or a complete pilot node supplied by the team, so a field partner need not redesign a product before the capability can be tested.</w:t>
      </w:r>
    </w:p>
    <w:p>
      <w:pPr>
        <w:spacing w:after="120" w:line="259" w:lineRule="auto"/>
        <w:jc w:val="both"/>
      </w:pPr>
      <w:r>
        <w:rPr>
          <w:b/>
          <w:sz w:val="22"/>
        </w:rPr>
        <w:t>Performance indicators.</w:t>
      </w:r>
      <w:r>
        <w:rPr>
          <w:b w:val="0"/>
          <w:sz w:val="22"/>
        </w:rPr>
        <w:t xml:space="preserve"> The proof-of-concept is assessed against the quantities defined above, which are the technical form of the endorsement criteria in Section 2.8. Each is measured for both event classes and for all three schemes, and reported as a measured value against the baseline rather than as a claim.</w:t>
      </w:r>
    </w:p>
    <w:tbl>
      <w:tblPr>
        <w:tblStyle w:val="TableGrid"/>
        <w:tblLook w:firstColumn="1" w:firstRow="1" w:lastColumn="0" w:lastRow="0" w:noHBand="0" w:noVBand="1" w:val="04A0"/>
        <w:tblLayout w:type="fixed"/>
      </w:tblPr>
      <w:tblGrid>
        <w:gridCol w:w="5443"/>
        <w:gridCol w:w="4195"/>
      </w:tblGrid>
      <w:tr>
        <w:trPr>
          <w:tblHeader w:val="true"/>
        </w:trPr>
        <w:tc>
          <w:tcPr>
            <w:tcW w:type="dxa" w:w="5443"/>
          </w:tcPr>
          <w:p>
            <w:pPr>
              <w:spacing w:after="60"/>
            </w:pPr>
            <w:r/>
            <w:r>
              <w:rPr>
                <w:b/>
                <w:sz w:val="22"/>
              </w:rPr>
              <w:t>Measured quantity</w:t>
            </w:r>
          </w:p>
        </w:tc>
        <w:tc>
          <w:tcPr>
            <w:tcW w:type="dxa" w:w="4195"/>
          </w:tcPr>
          <w:p>
            <w:pPr>
              <w:spacing w:after="60"/>
            </w:pPr>
            <w:r/>
            <w:r>
              <w:rPr>
                <w:b/>
                <w:sz w:val="22"/>
              </w:rPr>
              <w:t>What it tells the customer</w:t>
            </w:r>
          </w:p>
        </w:tc>
      </w:tr>
      <w:tr>
        <w:tc>
          <w:tcPr>
            <w:tcW w:type="dxa" w:w="5443"/>
          </w:tcPr>
          <w:p>
            <w:pPr>
              <w:spacing w:after="60"/>
            </w:pPr>
            <w:r/>
            <w:r>
              <w:rPr>
                <w:b w:val="0"/>
                <w:sz w:val="22"/>
              </w:rPr>
              <w:t>Missed detections for the defined event class, against a controlled event sequence</w:t>
            </w:r>
          </w:p>
        </w:tc>
        <w:tc>
          <w:tcPr>
            <w:tcW w:type="dxa" w:w="4195"/>
          </w:tcPr>
          <w:p>
            <w:pPr>
              <w:spacing w:after="60"/>
            </w:pPr>
            <w:r/>
            <w:r>
              <w:rPr>
                <w:b w:val="0"/>
                <w:sz w:val="22"/>
              </w:rPr>
              <w:t>Does the system notice what matters?</w:t>
            </w:r>
          </w:p>
        </w:tc>
      </w:tr>
      <w:tr>
        <w:tc>
          <w:tcPr>
            <w:tcW w:type="dxa" w:w="5443"/>
          </w:tcPr>
          <w:p>
            <w:pPr>
              <w:spacing w:after="60"/>
            </w:pPr>
            <w:r/>
            <w:r>
              <w:rPr>
                <w:b w:val="0"/>
                <w:sz w:val="22"/>
              </w:rPr>
              <w:t>False alarms and irrelevant recordings, relative to the fixed-threshold baseline under the same conditions</w:t>
            </w:r>
          </w:p>
        </w:tc>
        <w:tc>
          <w:tcPr>
            <w:tcW w:type="dxa" w:w="4195"/>
          </w:tcPr>
          <w:p>
            <w:pPr>
              <w:spacing w:after="60"/>
            </w:pPr>
            <w:r/>
            <w:r>
              <w:rPr>
                <w:b w:val="0"/>
                <w:sz w:val="22"/>
              </w:rPr>
              <w:t>Does it stop spending resources and attention on records nobody needs?</w:t>
            </w:r>
          </w:p>
        </w:tc>
      </w:tr>
      <w:tr>
        <w:tc>
          <w:tcPr>
            <w:tcW w:type="dxa" w:w="5443"/>
          </w:tcPr>
          <w:p>
            <w:pPr>
              <w:spacing w:after="60"/>
            </w:pPr>
            <w:r/>
            <w:r>
              <w:rPr>
                <w:b w:val="0"/>
                <w:sz w:val="22"/>
              </w:rPr>
              <w:t>Detection floor as a function of ambient noise level</w:t>
            </w:r>
          </w:p>
        </w:tc>
        <w:tc>
          <w:tcPr>
            <w:tcW w:type="dxa" w:w="4195"/>
          </w:tcPr>
          <w:p>
            <w:pPr>
              <w:spacing w:after="60"/>
            </w:pPr>
            <w:r/>
            <w:r>
              <w:rPr>
                <w:b w:val="0"/>
                <w:sz w:val="22"/>
              </w:rPr>
              <w:t>How small an event can it reliably detect at a site like mine?</w:t>
            </w:r>
          </w:p>
        </w:tc>
      </w:tr>
      <w:tr>
        <w:tc>
          <w:tcPr>
            <w:tcW w:type="dxa" w:w="5443"/>
          </w:tcPr>
          <w:p>
            <w:pPr>
              <w:spacing w:after="60"/>
            </w:pPr>
            <w:r/>
            <w:r>
              <w:rPr>
                <w:b w:val="0"/>
                <w:sz w:val="22"/>
              </w:rPr>
              <w:t>Detection latency, separated into confirmation and wake-up components, and in-node alignment error</w:t>
            </w:r>
          </w:p>
        </w:tc>
        <w:tc>
          <w:tcPr>
            <w:tcW w:type="dxa" w:w="4195"/>
          </w:tcPr>
          <w:p>
            <w:pPr>
              <w:spacing w:after="60"/>
            </w:pPr>
            <w:r/>
            <w:r>
              <w:rPr>
                <w:b w:val="0"/>
                <w:sz w:val="22"/>
              </w:rPr>
              <w:t>Is the record timely and complete enough to explain the incident?</w:t>
            </w:r>
          </w:p>
        </w:tc>
      </w:tr>
      <w:tr>
        <w:tc>
          <w:tcPr>
            <w:tcW w:type="dxa" w:w="5443"/>
          </w:tcPr>
          <w:p>
            <w:pPr>
              <w:spacing w:after="60"/>
            </w:pPr>
            <w:r/>
            <w:r>
              <w:rPr>
                <w:b w:val="0"/>
                <w:sz w:val="22"/>
              </w:rPr>
              <w:t>Power, storage and communication load under an equal detection requirement</w:t>
            </w:r>
          </w:p>
        </w:tc>
        <w:tc>
          <w:tcPr>
            <w:tcW w:type="dxa" w:w="4195"/>
          </w:tcPr>
          <w:p>
            <w:pPr>
              <w:spacing w:after="60"/>
            </w:pPr>
            <w:r/>
            <w:r>
              <w:rPr>
                <w:b w:val="0"/>
                <w:sz w:val="22"/>
              </w:rPr>
              <w:t>What does the improvement cost, or save, in operation?</w:t>
            </w:r>
          </w:p>
        </w:tc>
      </w:tr>
      <w:tr>
        <w:tc>
          <w:tcPr>
            <w:tcW w:type="dxa" w:w="5443"/>
          </w:tcPr>
          <w:p>
            <w:pPr>
              <w:spacing w:after="60"/>
            </w:pPr>
            <w:r/>
            <w:r>
              <w:rPr>
                <w:b w:val="0"/>
                <w:sz w:val="22"/>
              </w:rPr>
              <w:t>Module cost, integration effort in engineering hours, and device-level testing burden</w:t>
            </w:r>
          </w:p>
        </w:tc>
        <w:tc>
          <w:tcPr>
            <w:tcW w:type="dxa" w:w="4195"/>
          </w:tcPr>
          <w:p>
            <w:pPr>
              <w:spacing w:after="60"/>
            </w:pPr>
            <w:r/>
            <w:r>
              <w:rPr>
                <w:b w:val="0"/>
                <w:sz w:val="22"/>
              </w:rPr>
              <w:t>Can a manufacturer adopt it at an acceptable cost?</w:t>
            </w:r>
          </w:p>
        </w:tc>
      </w:tr>
      <w:tr>
        <w:tc>
          <w:tcPr>
            <w:tcW w:type="dxa" w:w="5443"/>
          </w:tcPr>
          <w:p>
            <w:pPr>
              <w:spacing w:after="60"/>
            </w:pPr>
            <w:r/>
            <w:r>
              <w:rPr>
                <w:b w:val="0"/>
                <w:sz w:val="22"/>
              </w:rPr>
              <w:t>Decision usefulness of the captured records, assessed by the field partner</w:t>
            </w:r>
          </w:p>
        </w:tc>
        <w:tc>
          <w:tcPr>
            <w:tcW w:type="dxa" w:w="4195"/>
          </w:tcPr>
          <w:p>
            <w:pPr>
              <w:spacing w:after="60"/>
            </w:pPr>
            <w:r/>
            <w:r>
              <w:rPr>
                <w:b w:val="0"/>
                <w:sz w:val="22"/>
              </w:rPr>
              <w:t>Do the records support incident review, maintenance and complaint response?</w:t>
            </w:r>
          </w:p>
        </w:tc>
      </w:tr>
    </w:tbl>
    <w:p>
      <w:pPr>
        <w:spacing w:after="120" w:line="259" w:lineRule="auto"/>
      </w:pPr>
    </w:p>
    <w:p>
      <w:pPr>
        <w:spacing w:after="120" w:line="259" w:lineRule="auto" w:before="160"/>
        <w:jc w:val="left"/>
      </w:pPr>
      <w:r>
        <w:rPr>
          <w:b/>
          <w:sz w:val="22"/>
        </w:rPr>
        <w:t>Comparison with the current state of the art</w:t>
      </w:r>
    </w:p>
    <w:p>
      <w:pPr>
        <w:spacing w:after="120" w:line="259" w:lineRule="auto"/>
        <w:jc w:val="both"/>
      </w:pPr>
      <w:r>
        <w:rPr>
          <w:b/>
          <w:sz w:val="22"/>
        </w:rPr>
        <w:t>Basis of comparison.</w:t>
      </w:r>
      <w:r>
        <w:rPr>
          <w:b w:val="0"/>
          <w:sz w:val="22"/>
        </w:rPr>
        <w:t xml:space="preserve"> The comparison uses the two baselines that target customers operate today: periodic or duty-cycled sampling, and fixed-threshold triggering. It compares capabilities rather than measured values, because the figures a detection system produces depend on the structure, the event set and the noise environment in which it is tested, so a value obtained on one testbed is not a product specification, whereas the capability differences hold wherever the method is deployed. Measured values for the selected event classes are produced during this project and reported in the benchmark report.</w:t>
      </w:r>
    </w:p>
    <w:p w14:paraId="260974F5" w14:textId="77777777" w:rsidR="00E4627E" w:rsidRPr="004B30EA" w:rsidRDefault="00E4627E" w:rsidP="00E4627E">
      <w:pPr>
        <w:spacing w:after="80"/>
        <w:jc w:val="both"/>
        <w:rPr>
          <w:bCs/>
          <w:i/>
          <w:lang w:val="en-GB"/>
        </w:rPr>
      </w:pPr>
      <w:r w:rsidRPr="004B30EA">
        <w:rPr>
          <w:i/>
          <w:iCs/>
          <w:sz w:val="22"/>
          <w:lang w:val="en-GB"/>
        </w:rPr>
        <w:t xml:space="preserve">You should also state succinctly how your technology is better than the current state of the art (i.e. your secret sauce). </w:t>
      </w:r>
      <w:r w:rsidRPr="004B30EA">
        <w:rPr>
          <w:bCs/>
          <w:i/>
          <w:sz w:val="22"/>
          <w:lang w:val="en-GB"/>
        </w:rPr>
        <w:t xml:space="preserve">For clear and easy comparison of your technology with commercial/state of the art, please </w:t>
      </w:r>
      <w:r w:rsidR="0080323F">
        <w:rPr>
          <w:bCs/>
          <w:i/>
          <w:sz w:val="22"/>
          <w:lang w:val="en-GB"/>
        </w:rPr>
        <w:t>tabulate in the</w:t>
      </w:r>
      <w:r w:rsidRPr="004B30EA">
        <w:rPr>
          <w:bCs/>
          <w:i/>
          <w:sz w:val="22"/>
          <w:lang w:val="en-GB"/>
        </w:rPr>
        <w:t xml:space="preserve"> format</w:t>
      </w:r>
      <w:r w:rsidR="0080323F">
        <w:rPr>
          <w:bCs/>
          <w:i/>
          <w:sz w:val="22"/>
          <w:lang w:val="en-GB"/>
        </w:rPr>
        <w:t xml:space="preserve"> below</w:t>
      </w:r>
      <w:r w:rsidRPr="004B30EA">
        <w:rPr>
          <w:bCs/>
          <w:i/>
          <w:sz w:val="22"/>
          <w:lang w:val="en-GB"/>
        </w:rPr>
        <w:t>:</w:t>
      </w:r>
    </w:p>
    <w:p w14:paraId="53D8A8DB" w14:textId="77777777" w:rsidR="00E4627E" w:rsidRDefault="00E4627E" w:rsidP="00E4627E">
      <w:pPr>
        <w:jc w:val="both"/>
        <w:rPr>
          <w:bCs/>
          <w:i/>
          <w:lang w:val="en-GB"/>
        </w:rPr>
      </w:pPr>
    </w:p>
    <w:p w14:paraId="39D2A8D5" w14:textId="77777777" w:rsidR="00C2733A" w:rsidRPr="004B30EA" w:rsidRDefault="00C2733A" w:rsidP="00E4627E">
      <w:pPr>
        <w:jc w:val="both"/>
        <w:rPr>
          <w:bCs/>
          <w:i/>
          <w:lang w:val="en-GB"/>
        </w:rPr>
      </w:pPr>
    </w:p>
    <w:tbl>
      <w:tblPr>
        <w:tblStyle w:val="TableGrid"/>
        <w:tblLook w:firstColumn="1" w:firstRow="1" w:lastColumn="0" w:lastRow="0" w:noHBand="0" w:noVBand="1" w:val="04A0"/>
        <w:tblLayout w:type="fixed"/>
      </w:tblPr>
      <w:tblGrid>
        <w:gridCol w:w="1928"/>
        <w:gridCol w:w="2665"/>
        <w:gridCol w:w="2494"/>
        <w:gridCol w:w="2551"/>
      </w:tblGrid>
      <w:tr>
        <w:trPr>
          <w:tblHeader w:val="true"/>
        </w:trPr>
        <w:tc>
          <w:tcPr>
            <w:tcW w:type="dxa" w:w="1928"/>
          </w:tcPr>
          <w:p>
            <w:pPr>
              <w:spacing w:after="60"/>
            </w:pPr>
            <w:r/>
            <w:r>
              <w:rPr>
                <w:b/>
                <w:sz w:val="22"/>
              </w:rPr>
              <w:t>Parameters / Characteristics</w:t>
            </w:r>
          </w:p>
        </w:tc>
        <w:tc>
          <w:tcPr>
            <w:tcW w:type="dxa" w:w="2665"/>
          </w:tcPr>
          <w:p>
            <w:pPr>
              <w:spacing w:after="60"/>
            </w:pPr>
            <w:r/>
            <w:r>
              <w:rPr>
                <w:b/>
                <w:sz w:val="22"/>
              </w:rPr>
              <w:t>Your Technology</w:t>
            </w:r>
          </w:p>
          <w:p>
            <w:pPr>
              <w:spacing w:after="60"/>
            </w:pPr>
            <w:r>
              <w:rPr>
                <w:b/>
                <w:sz w:val="22"/>
              </w:rPr>
              <w:t>(adaptive event and anomaly capture module)</w:t>
            </w:r>
          </w:p>
        </w:tc>
        <w:tc>
          <w:tcPr>
            <w:tcW w:type="dxa" w:w="2494"/>
          </w:tcPr>
          <w:p>
            <w:pPr>
              <w:spacing w:after="60"/>
            </w:pPr>
            <w:r/>
            <w:r>
              <w:rPr>
                <w:b/>
                <w:sz w:val="22"/>
              </w:rPr>
              <w:t>Existing Technology 1</w:t>
            </w:r>
          </w:p>
          <w:p>
            <w:pPr>
              <w:spacing w:after="60"/>
            </w:pPr>
            <w:r>
              <w:rPr>
                <w:b/>
                <w:sz w:val="22"/>
              </w:rPr>
              <w:t>(periodic / duty-cycled sampling)</w:t>
            </w:r>
          </w:p>
        </w:tc>
        <w:tc>
          <w:tcPr>
            <w:tcW w:type="dxa" w:w="2551"/>
          </w:tcPr>
          <w:p>
            <w:pPr>
              <w:spacing w:after="60"/>
            </w:pPr>
            <w:r/>
            <w:r>
              <w:rPr>
                <w:b/>
                <w:sz w:val="22"/>
              </w:rPr>
              <w:t>Existing Technology 2</w:t>
            </w:r>
          </w:p>
          <w:p>
            <w:pPr>
              <w:spacing w:after="60"/>
            </w:pPr>
            <w:r>
              <w:rPr>
                <w:b/>
                <w:sz w:val="22"/>
              </w:rPr>
              <w:t>(fixed-threshold triggering)</w:t>
            </w:r>
          </w:p>
        </w:tc>
      </w:tr>
      <w:tr>
        <w:tc>
          <w:tcPr>
            <w:tcW w:type="dxa" w:w="1928"/>
          </w:tcPr>
          <w:p>
            <w:pPr>
              <w:spacing w:after="60"/>
            </w:pPr>
            <w:r/>
            <w:r>
              <w:rPr>
                <w:b w:val="0"/>
                <w:sz w:val="22"/>
              </w:rPr>
              <w:t>Basis of the detection decision</w:t>
            </w:r>
          </w:p>
        </w:tc>
        <w:tc>
          <w:tcPr>
            <w:tcW w:type="dxa" w:w="2665"/>
          </w:tcPr>
          <w:p>
            <w:pPr>
              <w:spacing w:after="60"/>
            </w:pPr>
            <w:r/>
            <w:r>
              <w:rPr>
                <w:b w:val="0"/>
                <w:sz w:val="22"/>
              </w:rPr>
              <w:t>Detection parameters continuously re-optimised against estimated performance</w:t>
            </w:r>
          </w:p>
        </w:tc>
        <w:tc>
          <w:tcPr>
            <w:tcW w:type="dxa" w:w="2494"/>
          </w:tcPr>
          <w:p>
            <w:pPr>
              <w:spacing w:after="60"/>
            </w:pPr>
            <w:r/>
            <w:r>
              <w:rPr>
                <w:b w:val="0"/>
                <w:sz w:val="22"/>
              </w:rPr>
              <w:t>No detection decision; recording follows a clock</w:t>
            </w:r>
          </w:p>
        </w:tc>
        <w:tc>
          <w:tcPr>
            <w:tcW w:type="dxa" w:w="2551"/>
          </w:tcPr>
          <w:p>
            <w:pPr>
              <w:spacing w:after="60"/>
            </w:pPr>
            <w:r/>
            <w:r>
              <w:rPr>
                <w:b w:val="0"/>
                <w:sz w:val="22"/>
              </w:rPr>
              <w:t>Threshold and confirmation window set manually at commissioning and held</w:t>
            </w:r>
          </w:p>
        </w:tc>
      </w:tr>
      <w:tr>
        <w:tc>
          <w:tcPr>
            <w:tcW w:type="dxa" w:w="1928"/>
          </w:tcPr>
          <w:p>
            <w:pPr>
              <w:spacing w:after="60"/>
            </w:pPr>
            <w:r/>
            <w:r>
              <w:rPr>
                <w:b w:val="0"/>
                <w:sz w:val="22"/>
              </w:rPr>
              <w:t>Response to changing ambient conditions</w:t>
            </w:r>
          </w:p>
        </w:tc>
        <w:tc>
          <w:tcPr>
            <w:tcW w:type="dxa" w:w="2665"/>
          </w:tcPr>
          <w:p>
            <w:pPr>
              <w:spacing w:after="60"/>
            </w:pPr>
            <w:r/>
            <w:r>
              <w:rPr>
                <w:b w:val="0"/>
                <w:sz w:val="22"/>
              </w:rPr>
              <w:t>Operating point moves as the noise environment changes</w:t>
            </w:r>
          </w:p>
        </w:tc>
        <w:tc>
          <w:tcPr>
            <w:tcW w:type="dxa" w:w="2494"/>
          </w:tcPr>
          <w:p>
            <w:pPr>
              <w:spacing w:after="60"/>
            </w:pPr>
            <w:r/>
            <w:r>
              <w:rPr>
                <w:b w:val="0"/>
                <w:sz w:val="22"/>
              </w:rPr>
              <w:t>None</w:t>
            </w:r>
          </w:p>
        </w:tc>
        <w:tc>
          <w:tcPr>
            <w:tcW w:type="dxa" w:w="2551"/>
          </w:tcPr>
          <w:p>
            <w:pPr>
              <w:spacing w:after="60"/>
            </w:pPr>
            <w:r/>
            <w:r>
              <w:rPr>
                <w:b w:val="0"/>
                <w:sz w:val="22"/>
              </w:rPr>
              <w:t>None; performance drifts away from the commissioned point</w:t>
            </w:r>
          </w:p>
        </w:tc>
      </w:tr>
      <w:tr>
        <w:tc>
          <w:tcPr>
            <w:tcW w:type="dxa" w:w="1928"/>
          </w:tcPr>
          <w:p>
            <w:pPr>
              <w:spacing w:after="60"/>
            </w:pPr>
            <w:r/>
            <w:r>
              <w:rPr>
                <w:b w:val="0"/>
                <w:sz w:val="22"/>
              </w:rPr>
              <w:t>Knowledge of missed events</w:t>
            </w:r>
          </w:p>
        </w:tc>
        <w:tc>
          <w:tcPr>
            <w:tcW w:type="dxa" w:w="2665"/>
          </w:tcPr>
          <w:p>
            <w:pPr>
              <w:spacing w:after="60"/>
            </w:pPr>
            <w:r/>
            <w:r>
              <w:rPr>
                <w:b w:val="0"/>
                <w:sz w:val="22"/>
              </w:rPr>
              <w:t>Node estimates its own missed-detection performance onboard and can report it</w:t>
            </w:r>
          </w:p>
        </w:tc>
        <w:tc>
          <w:tcPr>
            <w:tcW w:type="dxa" w:w="2494"/>
          </w:tcPr>
          <w:p>
            <w:pPr>
              <w:spacing w:after="60"/>
            </w:pPr>
            <w:r/>
            <w:r>
              <w:rPr>
                <w:b w:val="0"/>
                <w:sz w:val="22"/>
              </w:rPr>
              <w:t>Not available</w:t>
            </w:r>
          </w:p>
        </w:tc>
        <w:tc>
          <w:tcPr>
            <w:tcW w:type="dxa" w:w="2551"/>
          </w:tcPr>
          <w:p>
            <w:pPr>
              <w:spacing w:after="60"/>
            </w:pPr>
            <w:r/>
            <w:r>
              <w:rPr>
                <w:b w:val="0"/>
                <w:sz w:val="22"/>
              </w:rPr>
              <w:t>Not available; missed events leave no trace</w:t>
            </w:r>
          </w:p>
        </w:tc>
      </w:tr>
      <w:tr>
        <w:tc>
          <w:tcPr>
            <w:tcW w:type="dxa" w:w="1928"/>
          </w:tcPr>
          <w:p>
            <w:pPr>
              <w:spacing w:after="60"/>
            </w:pPr>
            <w:r/>
            <w:r>
              <w:rPr>
                <w:b w:val="0"/>
                <w:sz w:val="22"/>
              </w:rPr>
              <w:t>Where tuning takes place</w:t>
            </w:r>
          </w:p>
        </w:tc>
        <w:tc>
          <w:tcPr>
            <w:tcW w:type="dxa" w:w="2665"/>
          </w:tcPr>
          <w:p>
            <w:pPr>
              <w:spacing w:after="60"/>
            </w:pPr>
            <w:r/>
            <w:r>
              <w:rPr>
                <w:b w:val="0"/>
                <w:sz w:val="22"/>
              </w:rPr>
              <w:t>On the node; no data leaves the device for tuning</w:t>
            </w:r>
          </w:p>
        </w:tc>
        <w:tc>
          <w:tcPr>
            <w:tcW w:type="dxa" w:w="2494"/>
          </w:tcPr>
          <w:p>
            <w:pPr>
              <w:spacing w:after="60"/>
            </w:pPr>
            <w:r/>
            <w:r>
              <w:rPr>
                <w:b w:val="0"/>
                <w:sz w:val="22"/>
              </w:rPr>
              <w:t>Not applicable</w:t>
            </w:r>
          </w:p>
        </w:tc>
        <w:tc>
          <w:tcPr>
            <w:tcW w:type="dxa" w:w="2551"/>
          </w:tcPr>
          <w:p>
            <w:pPr>
              <w:spacing w:after="60"/>
            </w:pPr>
            <w:r/>
            <w:r>
              <w:rPr>
                <w:b w:val="0"/>
                <w:sz w:val="22"/>
              </w:rPr>
              <w:t>Manual, or an offline search requiring data to be uploaded</w:t>
            </w:r>
          </w:p>
        </w:tc>
      </w:tr>
      <w:tr>
        <w:tc>
          <w:tcPr>
            <w:tcW w:type="dxa" w:w="1928"/>
          </w:tcPr>
          <w:p>
            <w:pPr>
              <w:spacing w:after="60"/>
            </w:pPr>
            <w:r/>
            <w:r>
              <w:rPr>
                <w:b w:val="0"/>
                <w:sz w:val="22"/>
              </w:rPr>
              <w:t>Effort to reach a good operating point</w:t>
            </w:r>
          </w:p>
        </w:tc>
        <w:tc>
          <w:tcPr>
            <w:tcW w:type="dxa" w:w="2665"/>
          </w:tcPr>
          <w:p>
            <w:pPr>
              <w:spacing w:after="60"/>
            </w:pPr>
            <w:r/>
            <w:r>
              <w:rPr>
                <w:b w:val="0"/>
                <w:sz w:val="22"/>
              </w:rPr>
              <w:t>Sample-efficient search, orders of magnitude fewer evaluations than an exhaustive search</w:t>
            </w:r>
          </w:p>
        </w:tc>
        <w:tc>
          <w:tcPr>
            <w:tcW w:type="dxa" w:w="2494"/>
          </w:tcPr>
          <w:p>
            <w:pPr>
              <w:spacing w:after="60"/>
            </w:pPr>
            <w:r/>
            <w:r>
              <w:rPr>
                <w:b w:val="0"/>
                <w:sz w:val="22"/>
              </w:rPr>
              <w:t>Not applicable</w:t>
            </w:r>
          </w:p>
        </w:tc>
        <w:tc>
          <w:tcPr>
            <w:tcW w:type="dxa" w:w="2551"/>
          </w:tcPr>
          <w:p>
            <w:pPr>
              <w:spacing w:after="60"/>
            </w:pPr>
            <w:r/>
            <w:r>
              <w:rPr>
                <w:b w:val="0"/>
                <w:sz w:val="22"/>
              </w:rPr>
              <w:t>Trial and error on site, or exhaustive off-node search</w:t>
            </w:r>
          </w:p>
        </w:tc>
      </w:tr>
      <w:tr>
        <w:tc>
          <w:tcPr>
            <w:tcW w:type="dxa" w:w="1928"/>
          </w:tcPr>
          <w:p>
            <w:pPr>
              <w:spacing w:after="60"/>
            </w:pPr>
            <w:r/>
            <w:r>
              <w:rPr>
                <w:b w:val="0"/>
                <w:sz w:val="22"/>
              </w:rPr>
              <w:t>Sensitivity</w:t>
            </w:r>
          </w:p>
        </w:tc>
        <w:tc>
          <w:tcPr>
            <w:tcW w:type="dxa" w:w="2665"/>
          </w:tcPr>
          <w:p>
            <w:pPr>
              <w:spacing w:after="60"/>
            </w:pPr>
            <w:r/>
            <w:r>
              <w:rPr>
                <w:b w:val="0"/>
                <w:sz w:val="22"/>
              </w:rPr>
              <w:t>Detection floor re-derived against the prevailing noise level and characterised as a curve</w:t>
            </w:r>
          </w:p>
        </w:tc>
        <w:tc>
          <w:tcPr>
            <w:tcW w:type="dxa" w:w="2494"/>
          </w:tcPr>
          <w:p>
            <w:pPr>
              <w:spacing w:after="60"/>
            </w:pPr>
            <w:r/>
            <w:r>
              <w:rPr>
                <w:b w:val="0"/>
                <w:sz w:val="22"/>
              </w:rPr>
              <w:t>Not applicable</w:t>
            </w:r>
          </w:p>
        </w:tc>
        <w:tc>
          <w:tcPr>
            <w:tcW w:type="dxa" w:w="2551"/>
          </w:tcPr>
          <w:p>
            <w:pPr>
              <w:spacing w:after="60"/>
            </w:pPr>
            <w:r/>
            <w:r>
              <w:rPr>
                <w:b w:val="0"/>
                <w:sz w:val="22"/>
              </w:rPr>
              <w:t>A single fixed value chosen at commissioning</w:t>
            </w:r>
          </w:p>
        </w:tc>
      </w:tr>
      <w:tr>
        <w:tc>
          <w:tcPr>
            <w:tcW w:type="dxa" w:w="1928"/>
          </w:tcPr>
          <w:p>
            <w:pPr>
              <w:spacing w:after="60"/>
            </w:pPr>
            <w:r/>
            <w:r>
              <w:rPr>
                <w:b w:val="0"/>
                <w:sz w:val="22"/>
              </w:rPr>
              <w:t>Control of the miss versus false-alarm trade-off</w:t>
            </w:r>
          </w:p>
        </w:tc>
        <w:tc>
          <w:tcPr>
            <w:tcW w:type="dxa" w:w="2665"/>
          </w:tcPr>
          <w:p>
            <w:pPr>
              <w:spacing w:after="60"/>
            </w:pPr>
            <w:r/>
            <w:r>
              <w:rPr>
                <w:b w:val="0"/>
                <w:sz w:val="22"/>
              </w:rPr>
              <w:t>Explicit weighting, configurable by the customer for the application</w:t>
            </w:r>
          </w:p>
        </w:tc>
        <w:tc>
          <w:tcPr>
            <w:tcW w:type="dxa" w:w="2494"/>
          </w:tcPr>
          <w:p>
            <w:pPr>
              <w:spacing w:after="60"/>
            </w:pPr>
            <w:r/>
            <w:r>
              <w:rPr>
                <w:b w:val="0"/>
                <w:sz w:val="22"/>
              </w:rPr>
              <w:t>Not available</w:t>
            </w:r>
          </w:p>
        </w:tc>
        <w:tc>
          <w:tcPr>
            <w:tcW w:type="dxa" w:w="2551"/>
          </w:tcPr>
          <w:p>
            <w:pPr>
              <w:spacing w:after="60"/>
            </w:pPr>
            <w:r/>
            <w:r>
              <w:rPr>
                <w:b w:val="0"/>
                <w:sz w:val="22"/>
              </w:rPr>
              <w:t>Implicit in the chosen threshold; changing it requires a site visit</w:t>
            </w:r>
          </w:p>
        </w:tc>
      </w:tr>
      <w:tr>
        <w:tc>
          <w:tcPr>
            <w:tcW w:type="dxa" w:w="1928"/>
          </w:tcPr>
          <w:p>
            <w:pPr>
              <w:spacing w:after="60"/>
            </w:pPr>
            <w:r/>
            <w:r>
              <w:rPr>
                <w:b w:val="0"/>
                <w:sz w:val="22"/>
              </w:rPr>
              <w:t>Information from before the trigger</w:t>
            </w:r>
          </w:p>
        </w:tc>
        <w:tc>
          <w:tcPr>
            <w:tcW w:type="dxa" w:w="2665"/>
          </w:tcPr>
          <w:p>
            <w:pPr>
              <w:spacing w:after="60"/>
            </w:pPr>
            <w:r/>
            <w:r>
              <w:rPr>
                <w:b w:val="0"/>
                <w:sz w:val="22"/>
              </w:rPr>
              <w:t>Sentinel buffer frozen and aligned within the node</w:t>
            </w:r>
          </w:p>
        </w:tc>
        <w:tc>
          <w:tcPr>
            <w:tcW w:type="dxa" w:w="2494"/>
          </w:tcPr>
          <w:p>
            <w:pPr>
              <w:spacing w:after="60"/>
            </w:pPr>
            <w:r/>
            <w:r>
              <w:rPr>
                <w:b w:val="0"/>
                <w:sz w:val="22"/>
              </w:rPr>
              <w:t>Depends on the sampling phase; usually incomplete</w:t>
            </w:r>
          </w:p>
        </w:tc>
        <w:tc>
          <w:tcPr>
            <w:tcW w:type="dxa" w:w="2551"/>
          </w:tcPr>
          <w:p>
            <w:pPr>
              <w:spacing w:after="60"/>
            </w:pPr>
            <w:r/>
            <w:r>
              <w:rPr>
                <w:b w:val="0"/>
                <w:sz w:val="22"/>
              </w:rPr>
              <w:t>Usually unavailable</w:t>
            </w:r>
          </w:p>
        </w:tc>
      </w:tr>
      <w:tr>
        <w:tc>
          <w:tcPr>
            <w:tcW w:type="dxa" w:w="1928"/>
          </w:tcPr>
          <w:p>
            <w:pPr>
              <w:spacing w:after="60"/>
            </w:pPr>
            <w:r/>
            <w:r>
              <w:rPr>
                <w:b w:val="0"/>
                <w:sz w:val="22"/>
              </w:rPr>
              <w:t>Route to adoption</w:t>
            </w:r>
          </w:p>
        </w:tc>
        <w:tc>
          <w:tcPr>
            <w:tcW w:type="dxa" w:w="2665"/>
          </w:tcPr>
          <w:p>
            <w:pPr>
              <w:spacing w:after="60"/>
            </w:pPr>
            <w:r/>
            <w:r>
              <w:rPr>
                <w:b w:val="0"/>
                <w:sz w:val="22"/>
              </w:rPr>
              <w:t>Board-level module with firmware, or software licence, embeddable in third-party nodes</w:t>
            </w:r>
          </w:p>
        </w:tc>
        <w:tc>
          <w:tcPr>
            <w:tcW w:type="dxa" w:w="2494"/>
          </w:tcPr>
          <w:p>
            <w:pPr>
              <w:spacing w:after="60"/>
            </w:pPr>
            <w:r/>
            <w:r>
              <w:rPr>
                <w:b w:val="0"/>
                <w:sz w:val="22"/>
              </w:rPr>
              <w:t>Fixed in the node design</w:t>
            </w:r>
          </w:p>
        </w:tc>
        <w:tc>
          <w:tcPr>
            <w:tcW w:type="dxa" w:w="2551"/>
          </w:tcPr>
          <w:p>
            <w:pPr>
              <w:spacing w:after="60"/>
            </w:pPr>
            <w:r/>
            <w:r>
              <w:rPr>
                <w:b w:val="0"/>
                <w:sz w:val="22"/>
              </w:rPr>
              <w:t>Fixed at design time inside closed complete products</w:t>
            </w:r>
          </w:p>
        </w:tc>
      </w:tr>
    </w:tbl>
    <w:p>
      <w:pPr>
        <w:spacing w:after="120" w:line="259" w:lineRule="auto"/>
      </w:pPr>
    </w:p>
    <w:p>
      <w:pPr>
        <w:spacing w:after="120" w:line="259" w:lineRule="auto"/>
        <w:jc w:val="both"/>
      </w:pPr>
      <w:r>
        <w:rPr>
          <w:b/>
          <w:sz w:val="22"/>
        </w:rPr>
        <w:t>Evidence to date.</w:t>
      </w:r>
      <w:r>
        <w:rPr>
          <w:b w:val="0"/>
          <w:sz w:val="22"/>
        </w:rPr>
        <w:t xml:space="preserve"> In the published laboratory demonstration on a multi-storey test structure, the method reached the detection performance of an exhaustive off-node parameter search while using a small fraction of the parameter evaluations, and roughly halved the proportion of irrelevant records produced by a conservatively tuned fixed threshold, at a comparable level of event capture. These are results from one testbed and one event set, reported as evidence that the method works rather than as a product specification; producing specifications for the selected event classes is the purpose of the Gap Fund work.</w:t>
      </w:r>
    </w:p>
    <w:p>
      <w:pPr>
        <w:spacing w:after="120" w:line="259" w:lineRule="auto"/>
        <w:jc w:val="both"/>
      </w:pPr>
      <w:r>
        <w:rPr>
          <w:b/>
          <w:sz w:val="22"/>
        </w:rPr>
        <w:t>Relation to market alternatives.</w:t>
      </w:r>
      <w:r>
        <w:rPr>
          <w:b w:val="0"/>
          <w:sz w:val="22"/>
        </w:rPr>
        <w:t xml:space="preserve"> The alternatives in Section 2.5, namely chips and development kits, acquisition boards, complete wireless nodes, industrial condition-monitoring devices and transport shock recorders, establish that demand for event records is real, and they define this project's burden of proof. Chips and kits leave the customer to design, tune and validate the detection workflow; acquisition boards remove hardware effort but not tuning effort; complete nodes deliver records, but their detection decision is fixed at design time. The claim to substantiate is therefore specific: under the same recording requirement and deployment constraint, a self-correcting detection decision preserves capture of the selected event class while measurably reducing false alarms, in a form a third-party manufacturer can embed.</w:t>
      </w:r>
    </w:p>
    <w:p>
      <w:pPr>
        <w:spacing w:after="120" w:line="259" w:lineRule="auto" w:before="160"/>
        <w:jc w:val="left"/>
      </w:pPr>
      <w:r>
        <w:rPr>
          <w:b/>
          <w:sz w:val="22"/>
        </w:rPr>
        <w:t>Expected outcomes and deliverables</w:t>
      </w:r>
    </w:p>
    <w:p>
      <w:pPr>
        <w:spacing w:after="120" w:line="259" w:lineRule="auto"/>
        <w:jc w:val="both"/>
      </w:pPr>
      <w:r>
        <w:rPr>
          <w:b/>
          <w:sz w:val="22"/>
        </w:rPr>
        <w:t>Deliverables.</w:t>
      </w:r>
      <w:r>
        <w:rPr>
          <w:b w:val="0"/>
          <w:sz w:val="22"/>
        </w:rPr>
        <w:t xml:space="preserve"> The Gap Fund work produces five deliverables, consistent with Section 2.6. First, a validated board-level capture module prototype with a defined interface specification covering form factor, power, host connection and register map. Second, a firmware and software package with configuration tools, including the pre-deployment optimisation tool. Third, an integration guide covering interfaces, drivers, device-level test recommendations, and a bill of materials with a design-for-manufacture review. Fourth, a benchmark report against periodic sampling and fixed-threshold triggering, reporting the indicators above for both event classes and including the detection floor characterisation. Fifth, a pilot package in the form of a deployable complete node, allowing a field partner to test the capability without first redesigning their own product. Together these convert a demonstrated method into the evidence an equipment manufacturer needs before committing to integration.</w:t>
      </w:r>
    </w:p>
    <w:p>
      <w:pPr>
        <w:spacing w:after="120" w:line="259" w:lineRule="auto"/>
        <w:jc w:val="both"/>
      </w:pPr>
      <w:r>
        <w:rPr>
          <w:b/>
          <w:sz w:val="22"/>
        </w:rPr>
        <w:t>Technology readiness.</w:t>
      </w:r>
      <w:r>
        <w:rPr>
          <w:b w:val="0"/>
          <w:sz w:val="22"/>
        </w:rPr>
        <w:t xml:space="preserve"> The project moves the technology from laboratory demonstration of the method, at technology readiness level 4, to a prototype validated in a relevant environment with an industry partner, at technology readiness level 5 to 6. Certification, volume manufacturing and product-level customer support remain outside the Gap Fund scope and belong to the equipment manufacturer or to a follow-on commercial entity, as discussed in Section 2.6.</w:t>
      </w:r>
    </w:p>
    <w:p>
      <w:pPr>
        <w:spacing w:after="120" w:line="259" w:lineRule="auto"/>
        <w:jc w:val="both"/>
      </w:pPr>
      <w:r>
        <w:rPr>
          <w:b/>
          <w:sz w:val="22"/>
        </w:rPr>
        <w:t>Defensibility.</w:t>
      </w:r>
      <w:r>
        <w:rPr>
          <w:b w:val="0"/>
          <w:sz w:val="22"/>
        </w:rPr>
        <w:t xml:space="preserve"> Because the method has been published, it is fair to ask what prevents a larger vendor reproducing it. Three things do. What is published is the approach; what is not is the implementation, including how the onboard estimators run within a microcontroller's budget alongside a customer's own firmware, how the pre-deployment optimisation transfers to the node, and the tooling that makes both repeatable across a product line. The benchmark evidence is itself a barrier, since the datasets and the detection floor characterisation produced here would take a competitor a comparable period to reproduce. And integration creates commitment: once a manufacturer has designed interface, drivers and device tests around the module, replacing it costs more than the algorithm is worth on its own.</w:t>
      </w:r>
    </w:p>
    <w:p>
      <w:pPr>
        <w:spacing w:after="120" w:line="259" w:lineRule="auto" w:before="160"/>
        <w:jc w:val="left"/>
      </w:pPr>
      <w:r>
        <w:rPr>
          <w:b/>
          <w:sz w:val="22"/>
        </w:rPr>
        <w:t>Technical risks and mitigation</w:t>
      </w:r>
    </w:p>
    <w:p>
      <w:pPr>
        <w:spacing w:after="120" w:line="259" w:lineRule="auto"/>
        <w:jc w:val="both"/>
      </w:pPr>
      <w:r>
        <w:rPr>
          <w:b/>
          <w:sz w:val="22"/>
        </w:rPr>
        <w:t>Detection floor and sentinel selection.</w:t>
      </w:r>
      <w:r>
        <w:rPr>
          <w:b w:val="0"/>
          <w:sz w:val="22"/>
        </w:rPr>
        <w:t xml:space="preserve"> The low-resource channel may not observe the earliest useful features of a selected event class, and no amount of adaptation recovers an event the sentinel cannot see. Each candidate event class is therefore screened for detectability before it is committed to, which is why the first three months of the project select and confirm the event class and its acceptance criteria rather than build hardware.</w:t>
      </w:r>
    </w:p>
    <w:p>
      <w:pPr>
        <w:spacing w:after="120" w:line="259" w:lineRule="auto"/>
        <w:jc w:val="both"/>
      </w:pPr>
      <w:r>
        <w:rPr>
          <w:b/>
          <w:sz w:val="22"/>
        </w:rPr>
        <w:t>Convergence under drifting conditions.</w:t>
      </w:r>
      <w:r>
        <w:rPr>
          <w:b w:val="0"/>
          <w:sz w:val="22"/>
        </w:rPr>
        <w:t xml:space="preserve"> Adaptation may be too slow if background conditions change faster than the loop can respond. The pre-deployment stage starts the node close to a good operating point rather than an arbitrary one, and the online step size is bounded so a transient disturbance cannot move the operating point far from the validated region.</w:t>
      </w:r>
    </w:p>
    <w:p>
      <w:pPr>
        <w:spacing w:after="120" w:line="259" w:lineRule="auto"/>
        <w:jc w:val="both"/>
      </w:pPr>
      <w:r>
        <w:rPr>
          <w:b/>
          <w:sz w:val="22"/>
        </w:rPr>
        <w:t>Estimation error.</w:t>
      </w:r>
      <w:r>
        <w:rPr>
          <w:b w:val="0"/>
          <w:sz w:val="22"/>
        </w:rPr>
        <w:t xml:space="preserve"> The estimate of missed detections is inferred rather than observed, so the loop could in principle optimise against a biased view of its own performance. The benchmark work therefore measures the estimator against controlled event sequences where the true answer is known, and reports the estimation error alongside the detection results rather than assuming it away.</w:t>
      </w:r>
    </w:p>
    <w:p>
      <w:pPr>
        <w:spacing w:after="120" w:line="259" w:lineRule="auto"/>
        <w:jc w:val="both"/>
      </w:pPr>
      <w:r>
        <w:rPr>
          <w:b/>
          <w:sz w:val="22"/>
        </w:rPr>
        <w:t>Integration uncertainty.</w:t>
      </w:r>
      <w:r>
        <w:rPr>
          <w:b w:val="0"/>
          <w:sz w:val="22"/>
        </w:rPr>
        <w:t xml:space="preserve"> Interface, driver and testing requirements differ between manufacturers, and integration effort is one of the main adoption costs identified in Section 2.4. The interface is therefore defined jointly with one equipment manufacturer holding design authority, and integration effort is recorded as one of the acceptance indicators rather than treated as an implementation detail.</w:t>
      </w:r>
    </w:p>
    <w:p>
      <w:pPr>
        <w:spacing w:after="120" w:line="259" w:lineRule="auto"/>
      </w:pPr>
    </w:p>
    <w:p w14:paraId="5A554FA0" w14:textId="77777777" w:rsidR="00E4627E" w:rsidRPr="004B30EA" w:rsidRDefault="00E4627E" w:rsidP="00E4627E">
      <w:pPr>
        <w:jc w:val="both"/>
        <w:rPr>
          <w:b/>
          <w:bCs/>
          <w:sz w:val="28"/>
          <w:lang w:val="en-GB"/>
        </w:rPr>
      </w:pPr>
      <w:r w:rsidRPr="004B30EA">
        <w:rPr>
          <w:b/>
          <w:bCs/>
          <w:sz w:val="22"/>
          <w:lang w:val="en-GB"/>
        </w:rPr>
        <w:t>4.</w:t>
      </w:r>
      <w:r w:rsidRPr="004B30EA">
        <w:rPr>
          <w:b/>
          <w:bCs/>
          <w:sz w:val="22"/>
          <w:lang w:val="en-GB"/>
        </w:rPr>
        <w:tab/>
        <w:t>Project Milestones</w:t>
      </w:r>
    </w:p>
    <w:p w14:paraId="15DC908F" w14:textId="77777777" w:rsidR="00E4627E" w:rsidRPr="004B30EA" w:rsidRDefault="00E4627E" w:rsidP="00E4627E">
      <w:pPr>
        <w:jc w:val="both"/>
        <w:rPr>
          <w:b/>
          <w:bCs/>
          <w:lang w:val="en-GB"/>
        </w:rPr>
      </w:pPr>
    </w:p>
    <w:p w14:paraId="49A272D9" w14:textId="77777777" w:rsidR="00E4627E" w:rsidRPr="004B30EA" w:rsidRDefault="00E4627E" w:rsidP="00E4627E">
      <w:pPr>
        <w:spacing w:after="200"/>
        <w:jc w:val="both"/>
        <w:rPr>
          <w:bCs/>
          <w:i/>
          <w:lang w:val="en-GB"/>
        </w:rPr>
      </w:pPr>
      <w:r w:rsidRPr="004B30EA">
        <w:rPr>
          <w:bCs/>
          <w:i/>
          <w:sz w:val="22"/>
          <w:lang w:val="en-GB"/>
        </w:rPr>
        <w:t xml:space="preserve">Describe specific project </w:t>
      </w:r>
      <w:r w:rsidR="000D0768">
        <w:rPr>
          <w:bCs/>
          <w:i/>
          <w:sz w:val="22"/>
          <w:lang w:val="en-GB"/>
        </w:rPr>
        <w:t>timeline</w:t>
      </w:r>
      <w:r w:rsidRPr="004B30EA">
        <w:rPr>
          <w:bCs/>
          <w:i/>
          <w:sz w:val="22"/>
          <w:lang w:val="en-GB"/>
        </w:rPr>
        <w:t xml:space="preserve"> in terms of “project months or weeks” </w:t>
      </w:r>
      <w:r w:rsidR="000D0768">
        <w:rPr>
          <w:bCs/>
          <w:i/>
          <w:sz w:val="22"/>
          <w:lang w:val="en-GB"/>
        </w:rPr>
        <w:t>for meeting of quantifiable</w:t>
      </w:r>
      <w:r w:rsidRPr="004B30EA">
        <w:rPr>
          <w:bCs/>
          <w:i/>
          <w:sz w:val="22"/>
          <w:lang w:val="en-GB"/>
        </w:rPr>
        <w:t xml:space="preserve"> </w:t>
      </w:r>
      <w:r w:rsidR="000D0768">
        <w:rPr>
          <w:bCs/>
          <w:i/>
          <w:sz w:val="22"/>
          <w:lang w:val="en-GB"/>
        </w:rPr>
        <w:t xml:space="preserve">milestones such as attaining certain technical specifications, </w:t>
      </w:r>
      <w:r w:rsidRPr="004B30EA">
        <w:rPr>
          <w:bCs/>
          <w:i/>
          <w:sz w:val="22"/>
          <w:lang w:val="en-GB"/>
        </w:rPr>
        <w:t>fabrication, testing, refinement, field tests, etc.</w:t>
      </w:r>
    </w:p>
    <w:p w14:paraId="781CD1CF" w14:textId="77777777" w:rsidR="00E4627E" w:rsidRPr="004B30EA" w:rsidRDefault="00E4627E" w:rsidP="00E4627E">
      <w:pPr>
        <w:spacing w:after="120" w:line="259" w:lineRule="auto"/>
        <w:jc w:val="both"/>
        <w:rPr>
          <w:bCs/>
          <w:i/>
          <w:lang w:val="en-GB"/>
        </w:rPr>
      </w:pPr>
      <w:r>
        <w:rPr>
          <w:b/>
          <w:sz w:val="22"/>
        </w:rPr>
        <w:t>Milestone structure.</w:t>
      </w:r>
      <w:r>
        <w:rPr>
          <w:sz w:val="22"/>
        </w:rPr>
        <w:t xml:space="preserve"> The 18-month project is planned as 15 months of execution with a 3-month buffer, consistent with Section 2.6. Milestones are defined by deliverables and decisions that the team controls. The </w:t>
      </w:r>
      <w:r>
        <w:rPr>
          <w:sz w:val="22"/>
        </w:rPr>
        <w:lastRenderedPageBreak/>
        <w:t>quantitative acceptance values behind them, covering capture completeness, reduction of false and low-value records, wake-up delay, alignment error and resource use, are fixed together with the selected partners during Months 0 to 3 and recorded as the project baseline, so that later milestones are assessed against agreed figures rather than against assumptions made before the event class is chosen. Each phase closes with a short review at which scope can be adjusted, and where a milestone depends on an external party an internal alternative is identified in advance, so that progress does not rest on a single partner or site.</w:t>
      </w:r>
    </w:p>
    <w:p w14:paraId="04A9F062" w14:textId="77777777" w:rsidR="00E4627E" w:rsidRPr="004B30EA" w:rsidRDefault="00E4627E" w:rsidP="00E4627E">
      <w:pPr>
        <w:jc w:val="both"/>
        <w:rPr>
          <w:b/>
          <w:bCs/>
          <w:lang w:val="en-GB"/>
        </w:rPr>
      </w:pPr>
    </w:p>
    <w:tbl>
      <w:tblPr>
        <w:tblStyle w:val="TableGrid"/>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191"/>
        <w:gridCol w:w="1191"/>
        <w:gridCol w:w="7257"/>
      </w:tblGrid>
      <w:tr w:rsidR="00E4627E" w:rsidRPr="004B30EA" w14:paraId="4503EED3" w14:textId="77777777" w:rsidTr="00E52F3C">
        <w:trPr>
          <w:tblHeader/>
        </w:trPr>
        <w:tc>
          <w:tcPr>
            <w:tcW w:w="1191" w:type="dxa"/>
            <w:shd w:val="clear" w:color="auto" w:fill="CCCCCC"/>
          </w:tcPr>
          <w:p w14:paraId="06778E96" w14:textId="77777777" w:rsidR="00C0740F" w:rsidRDefault="00000000">
            <w:pPr>
              <w:spacing w:after="60"/>
            </w:pPr>
            <w:r>
              <w:rPr>
                <w:b/>
              </w:rPr>
              <w:t>Start</w:t>
            </w:r>
          </w:p>
        </w:tc>
        <w:tc>
          <w:tcPr>
            <w:tcW w:w="1191" w:type="dxa"/>
            <w:shd w:val="clear" w:color="auto" w:fill="CCCCCC"/>
          </w:tcPr>
          <w:p w14:paraId="33A5BFB3" w14:textId="77777777" w:rsidR="00C0740F" w:rsidRDefault="00000000">
            <w:pPr>
              <w:spacing w:after="60"/>
            </w:pPr>
            <w:r>
              <w:rPr>
                <w:b/>
              </w:rPr>
              <w:t>End</w:t>
            </w:r>
          </w:p>
        </w:tc>
        <w:tc>
          <w:tcPr>
            <w:tcW w:w="7257" w:type="dxa"/>
            <w:shd w:val="clear" w:color="auto" w:fill="CCCCCC"/>
          </w:tcPr>
          <w:p w14:paraId="78B7FA22" w14:textId="77777777" w:rsidR="00C0740F" w:rsidRDefault="00000000">
            <w:pPr>
              <w:spacing w:after="60"/>
            </w:pPr>
            <w:r>
              <w:rPr>
                <w:b/>
              </w:rPr>
              <w:t>Description</w:t>
            </w:r>
          </w:p>
        </w:tc>
      </w:tr>
      <w:tr w:rsidR="00E4627E" w:rsidRPr="004B30EA" w14:paraId="74249D8A" w14:textId="77777777" w:rsidTr="00E52F3C">
        <w:tc>
          <w:tcPr>
            <w:tcW w:w="1191" w:type="dxa"/>
          </w:tcPr>
          <w:p w14:paraId="42EDF3E3" w14:textId="77777777" w:rsidR="00C0740F" w:rsidRDefault="00000000">
            <w:pPr>
              <w:spacing w:after="60"/>
            </w:pPr>
            <w:r>
              <w:t>Month 0</w:t>
            </w:r>
          </w:p>
        </w:tc>
        <w:tc>
          <w:tcPr>
            <w:tcW w:w="1191" w:type="dxa"/>
          </w:tcPr>
          <w:p w14:paraId="3DB22022" w14:textId="77777777" w:rsidR="00C0740F" w:rsidRDefault="00000000">
            <w:pPr>
              <w:spacing w:after="60"/>
            </w:pPr>
            <w:r>
              <w:t>Month 3</w:t>
            </w:r>
          </w:p>
        </w:tc>
        <w:tc>
          <w:tcPr>
            <w:tcW w:w="7257" w:type="dxa"/>
          </w:tcPr>
          <w:p>
            <w:pPr>
              <w:spacing w:after="60"/>
              <w:jc w:val="left"/>
            </w:pPr>
            <w:r/>
            <w:r>
              <w:rPr>
                <w:b/>
                <w:sz w:val="22"/>
              </w:rPr>
              <w:t>Use-case selection and detection-quality baseline</w:t>
            </w:r>
          </w:p>
          <w:p>
            <w:pPr>
              <w:spacing w:after="60"/>
              <w:jc w:val="left"/>
            </w:pPr>
            <w:r>
              <w:rPr>
                <w:b/>
                <w:sz w:val="22"/>
              </w:rPr>
              <w:t xml:space="preserve">Activities. </w:t>
            </w:r>
            <w:r>
              <w:rPr>
                <w:b w:val="0"/>
                <w:sz w:val="22"/>
              </w:rPr>
              <w:t>Screen candidate event and anomaly classes for detectability by the low-resource sentinel channel; confirm requirements with prospective equipment-side and field-side contacts; define the test protocol, the two comparison baselines, and the plan for characterising the detection floor.</w:t>
            </w:r>
          </w:p>
          <w:p>
            <w:pPr>
              <w:spacing w:after="60"/>
              <w:jc w:val="left"/>
            </w:pPr>
            <w:r>
              <w:rPr>
                <w:b/>
                <w:sz w:val="22"/>
              </w:rPr>
              <w:t xml:space="preserve">Deliverables. </w:t>
            </w:r>
            <w:r>
              <w:rPr>
                <w:b w:val="0"/>
                <w:sz w:val="22"/>
              </w:rPr>
              <w:t>Use-case and requirements note; agreed acceptance values for the detection-quality indicators in Section 3.2, including missed detections, false alarms and detection floor; test protocol.</w:t>
            </w:r>
          </w:p>
          <w:p>
            <w:pPr>
              <w:spacing w:after="60"/>
              <w:jc w:val="left"/>
            </w:pPr>
            <w:r>
              <w:rPr>
                <w:b/>
                <w:sz w:val="22"/>
              </w:rPr>
              <w:t xml:space="preserve">Review. </w:t>
            </w:r>
            <w:r>
              <w:rPr>
                <w:b w:val="0"/>
                <w:sz w:val="22"/>
              </w:rPr>
              <w:t>Confirmation that the selected class is detectable by the low-resource channel. If screening indicates otherwise, an alternative class is selected from the shortlist at this stage rather than later in the project.</w:t>
            </w:r>
          </w:p>
        </w:tc>
      </w:tr>
      <w:tr w:rsidR="00E4627E" w:rsidRPr="004B30EA" w14:paraId="40A4DEA5" w14:textId="77777777" w:rsidTr="00E52F3C">
        <w:tc>
          <w:tcPr>
            <w:tcW w:w="1191" w:type="dxa"/>
          </w:tcPr>
          <w:p w14:paraId="3BBCAC19" w14:textId="77777777" w:rsidR="00C0740F" w:rsidRDefault="00000000">
            <w:pPr>
              <w:spacing w:after="60"/>
            </w:pPr>
            <w:r>
              <w:t>Month 3</w:t>
            </w:r>
          </w:p>
        </w:tc>
        <w:tc>
          <w:tcPr>
            <w:tcW w:w="1191" w:type="dxa"/>
          </w:tcPr>
          <w:p w14:paraId="50231A51" w14:textId="77777777" w:rsidR="00C0740F" w:rsidRDefault="00000000">
            <w:pPr>
              <w:spacing w:after="60"/>
            </w:pPr>
            <w:r>
              <w:t>Month 6</w:t>
            </w:r>
          </w:p>
        </w:tc>
        <w:tc>
          <w:tcPr>
            <w:tcW w:w="7257" w:type="dxa"/>
          </w:tcPr>
          <w:p w14:paraId="6DB56A18" w14:textId="77777777" w:rsidR="00C0740F" w:rsidRDefault="00000000">
            <w:pPr>
              <w:spacing w:after="60"/>
            </w:pPr>
            <w:r>
              <w:rPr>
                <w:b/>
              </w:rPr>
              <w:t>Module prototype and firmware</w:t>
            </w:r>
          </w:p>
          <w:p w14:paraId="63B3FE4C" w14:textId="77777777" w:rsidR="00C0740F" w:rsidRDefault="00000000">
            <w:pPr>
              <w:spacing w:after="60"/>
            </w:pPr>
            <w:r>
              <w:rPr>
                <w:b/>
              </w:rPr>
              <w:t xml:space="preserve">Activities. </w:t>
            </w:r>
            <w:r>
              <w:t>Module-level circuit design and fabrication of an initial batch of prototype boards, indicatively five to ten units; implementation of the event-driven switching and record-assembly path; porting of the adaptive triggering firmware; first-pass interface specification covering form factor, power, host connection and register map.</w:t>
            </w:r>
          </w:p>
          <w:p w14:paraId="0B2F92E3" w14:textId="77777777" w:rsidR="00C0740F" w:rsidRDefault="00000000">
            <w:pPr>
              <w:spacing w:after="60"/>
            </w:pPr>
            <w:r>
              <w:rPr>
                <w:b/>
              </w:rPr>
              <w:t xml:space="preserve">Deliverables. </w:t>
            </w:r>
            <w:r>
              <w:t>Working prototype units; firmware release for internal testing; draft interface specification.</w:t>
            </w:r>
          </w:p>
          <w:p w14:paraId="3B22C9CF" w14:textId="77777777" w:rsidR="00C0740F" w:rsidRDefault="00000000">
            <w:pPr>
              <w:spacing w:after="60"/>
            </w:pPr>
            <w:r>
              <w:rPr>
                <w:b/>
              </w:rPr>
              <w:t xml:space="preserve">Review. </w:t>
            </w:r>
            <w:r>
              <w:t>Bench verification that a prototype unit captures and assembles a record end to end. Remaining hardware features are prioritised or deferred at this point according to their contribution to the agreed indicators.</w:t>
            </w:r>
          </w:p>
        </w:tc>
      </w:tr>
      <w:tr w:rsidR="00C0740F" w14:paraId="0C6D55D7" w14:textId="77777777">
        <w:tc>
          <w:tcPr>
            <w:tcW w:w="1191" w:type="dxa"/>
          </w:tcPr>
          <w:p w14:paraId="0FFE2E9F" w14:textId="77777777" w:rsidR="00C0740F" w:rsidRDefault="00000000">
            <w:pPr>
              <w:spacing w:after="60"/>
            </w:pPr>
            <w:r>
              <w:t>Month 6</w:t>
            </w:r>
          </w:p>
        </w:tc>
        <w:tc>
          <w:tcPr>
            <w:tcW w:w="1191" w:type="dxa"/>
          </w:tcPr>
          <w:p w14:paraId="254F3299" w14:textId="77777777" w:rsidR="00C0740F" w:rsidRDefault="00000000">
            <w:pPr>
              <w:spacing w:after="60"/>
            </w:pPr>
            <w:r>
              <w:t>Month 9</w:t>
            </w:r>
          </w:p>
        </w:tc>
        <w:tc>
          <w:tcPr>
            <w:tcW w:w="7257" w:type="dxa"/>
          </w:tcPr>
          <w:p>
            <w:pPr>
              <w:spacing w:after="60"/>
              <w:jc w:val="left"/>
            </w:pPr>
            <w:r/>
            <w:r>
              <w:rPr>
                <w:b/>
                <w:sz w:val="22"/>
              </w:rPr>
              <w:t>Detection-quality benchmarking and extension to a second event class</w:t>
            </w:r>
          </w:p>
          <w:p>
            <w:pPr>
              <w:spacing w:after="60"/>
              <w:jc w:val="left"/>
            </w:pPr>
            <w:r>
              <w:rPr>
                <w:b/>
                <w:sz w:val="22"/>
              </w:rPr>
              <w:t xml:space="preserve">Activities. </w:t>
            </w:r>
            <w:r>
              <w:rPr>
                <w:b w:val="0"/>
                <w:sz w:val="22"/>
              </w:rPr>
              <w:t>Benchmark the prototype against periodic sampling and fixed-threshold triggering under identical event sequences and recording requirements, measuring missed detections, false alarms, detection latency and in-node alignment, and characterising the detection floor across a range of controlled ambient noise levels; extend the same method to a second event class drawn from industrial monitoring, subject to the detectability screening completed in Months 0 to 3.</w:t>
            </w:r>
          </w:p>
          <w:p>
            <w:pPr>
              <w:spacing w:after="60"/>
              <w:jc w:val="left"/>
            </w:pPr>
            <w:r>
              <w:rPr>
                <w:b/>
                <w:sz w:val="22"/>
              </w:rPr>
              <w:t xml:space="preserve">Deliverables. </w:t>
            </w:r>
            <w:r>
              <w:rPr>
                <w:b w:val="0"/>
                <w:sz w:val="22"/>
              </w:rPr>
              <w:t>Benchmark dataset, detection-floor characterisation, and interim benchmark report covering both event classes.</w:t>
            </w:r>
          </w:p>
          <w:p>
            <w:pPr>
              <w:spacing w:after="60"/>
              <w:jc w:val="left"/>
            </w:pPr>
            <w:r>
              <w:rPr>
                <w:b/>
                <w:sz w:val="22"/>
              </w:rPr>
              <w:t xml:space="preserve">Review. </w:t>
            </w:r>
            <w:r>
              <w:rPr>
                <w:b w:val="0"/>
                <w:sz w:val="22"/>
              </w:rPr>
              <w:t>Comparison of measured values with the agreed baseline. Where a target value is not reached, the report records the measured value and the identified cause, and the parameters or test conditions are revised before the pilot phase.</w:t>
            </w:r>
          </w:p>
        </w:tc>
      </w:tr>
      <w:tr w:rsidR="00C0740F" w14:paraId="646B5ED2" w14:textId="77777777">
        <w:tc>
          <w:tcPr>
            <w:tcW w:w="1191" w:type="dxa"/>
          </w:tcPr>
          <w:p w14:paraId="5982DD24" w14:textId="77777777" w:rsidR="00C0740F" w:rsidRDefault="00000000">
            <w:pPr>
              <w:spacing w:after="60"/>
            </w:pPr>
            <w:r>
              <w:t>Month 9</w:t>
            </w:r>
          </w:p>
        </w:tc>
        <w:tc>
          <w:tcPr>
            <w:tcW w:w="1191" w:type="dxa"/>
          </w:tcPr>
          <w:p w14:paraId="0C6A8539" w14:textId="77777777" w:rsidR="00C0740F" w:rsidRDefault="00000000">
            <w:pPr>
              <w:spacing w:after="60"/>
            </w:pPr>
            <w:r>
              <w:t>Month 12</w:t>
            </w:r>
          </w:p>
        </w:tc>
        <w:tc>
          <w:tcPr>
            <w:tcW w:w="7257" w:type="dxa"/>
          </w:tcPr>
          <w:p w14:paraId="6D8598B2" w14:textId="77777777" w:rsidR="00C0740F" w:rsidRDefault="00000000">
            <w:pPr>
              <w:spacing w:after="60"/>
            </w:pPr>
            <w:r>
              <w:rPr>
                <w:b/>
              </w:rPr>
              <w:t>Pilot validation with industry partners</w:t>
            </w:r>
          </w:p>
          <w:p w14:paraId="393FDF53" w14:textId="77777777" w:rsidR="00C0740F" w:rsidRDefault="00000000">
            <w:pPr>
              <w:spacing w:after="60"/>
            </w:pPr>
            <w:r>
              <w:rPr>
                <w:b/>
              </w:rPr>
              <w:t xml:space="preserve">Activities. </w:t>
            </w:r>
            <w:r>
              <w:t>Engagement of one equipment-side partner and one field-side partner from the candidates identified in Section 2.6; deployment either as a module embedded in the partner's own node or as a complete pilot node supplied by the team, according to what the partner prefers; collection of field records and integration feedback.</w:t>
            </w:r>
          </w:p>
          <w:p w14:paraId="626733F7" w14:textId="77777777" w:rsidR="00C0740F" w:rsidRDefault="00000000">
            <w:pPr>
              <w:spacing w:after="60"/>
            </w:pPr>
            <w:r>
              <w:rPr>
                <w:b/>
              </w:rPr>
              <w:t xml:space="preserve">Deliverables. </w:t>
            </w:r>
            <w:r>
              <w:t>Pilot deployment report; integration feedback covering effort, incremental cost and device-level testing burden.</w:t>
            </w:r>
          </w:p>
          <w:p w14:paraId="2C416924" w14:textId="77777777" w:rsidR="00C0740F" w:rsidRDefault="00000000">
            <w:pPr>
              <w:spacing w:after="60"/>
            </w:pPr>
            <w:r>
              <w:rPr>
                <w:b/>
              </w:rPr>
              <w:t xml:space="preserve">Contingency. </w:t>
            </w:r>
            <w:r>
              <w:t xml:space="preserve">If partner scheduling or site access is delayed, the pilot is run at a </w:t>
            </w:r>
            <w:proofErr w:type="gramStart"/>
            <w:r>
              <w:t>University</w:t>
            </w:r>
            <w:proofErr w:type="gramEnd"/>
            <w:r>
              <w:t>-accessible site or on a representative test rig, so that evidence under realistic conditions is still obtained within this phase.</w:t>
            </w:r>
          </w:p>
        </w:tc>
      </w:tr>
      <w:tr w:rsidR="00C0740F" w14:paraId="62EAF5E9" w14:textId="77777777">
        <w:tc>
          <w:tcPr>
            <w:tcW w:w="1191" w:type="dxa"/>
          </w:tcPr>
          <w:p w14:paraId="062188D7" w14:textId="77777777" w:rsidR="00C0740F" w:rsidRDefault="00000000">
            <w:pPr>
              <w:spacing w:after="60"/>
            </w:pPr>
            <w:r>
              <w:lastRenderedPageBreak/>
              <w:t>Month 12</w:t>
            </w:r>
          </w:p>
        </w:tc>
        <w:tc>
          <w:tcPr>
            <w:tcW w:w="1191" w:type="dxa"/>
          </w:tcPr>
          <w:p w14:paraId="4F8B5ED2" w14:textId="77777777" w:rsidR="00C0740F" w:rsidRDefault="00000000">
            <w:pPr>
              <w:spacing w:after="60"/>
            </w:pPr>
            <w:r>
              <w:t>Month 15</w:t>
            </w:r>
          </w:p>
        </w:tc>
        <w:tc>
          <w:tcPr>
            <w:tcW w:w="7257" w:type="dxa"/>
          </w:tcPr>
          <w:p w14:paraId="30C17967" w14:textId="77777777" w:rsidR="00C0740F" w:rsidRDefault="00000000">
            <w:pPr>
              <w:spacing w:after="60"/>
            </w:pPr>
            <w:r>
              <w:rPr>
                <w:b/>
              </w:rPr>
              <w:t>Integration package and commercial preparation</w:t>
            </w:r>
          </w:p>
          <w:p w14:paraId="095B3977" w14:textId="77777777" w:rsidR="00C0740F" w:rsidRDefault="00000000">
            <w:pPr>
              <w:spacing w:after="60"/>
            </w:pPr>
            <w:r>
              <w:rPr>
                <w:b/>
              </w:rPr>
              <w:t xml:space="preserve">Activities. </w:t>
            </w:r>
            <w:r>
              <w:t>Consolidation of the interface specification, bill of materials and design-for-manufacture review; preparation of the integration guide and the final benchmark report; assembly of product-package and licensing options with NTUitive; continued customer-discovery conversations.</w:t>
            </w:r>
          </w:p>
          <w:p w14:paraId="0BB843EE" w14:textId="77777777" w:rsidR="00C0740F" w:rsidRDefault="00000000">
            <w:pPr>
              <w:spacing w:after="60"/>
            </w:pPr>
            <w:r>
              <w:rPr>
                <w:b/>
              </w:rPr>
              <w:t xml:space="preserve">Deliverables. </w:t>
            </w:r>
            <w:r>
              <w:t xml:space="preserve">Integration guide; final benchmark report; bill of materials and manufacturability </w:t>
            </w:r>
            <w:proofErr w:type="gramStart"/>
            <w:r>
              <w:t>note</w:t>
            </w:r>
            <w:proofErr w:type="gramEnd"/>
            <w:r>
              <w:t xml:space="preserve">; documented </w:t>
            </w:r>
            <w:proofErr w:type="gramStart"/>
            <w:r>
              <w:t>product-package</w:t>
            </w:r>
            <w:proofErr w:type="gramEnd"/>
            <w:r>
              <w:t xml:space="preserve"> and licensing options.</w:t>
            </w:r>
          </w:p>
          <w:p w14:paraId="3712AFB1" w14:textId="77777777" w:rsidR="00C0740F" w:rsidRDefault="00000000">
            <w:pPr>
              <w:spacing w:after="60"/>
            </w:pPr>
            <w:r>
              <w:rPr>
                <w:b/>
              </w:rPr>
              <w:t xml:space="preserve">Review. </w:t>
            </w:r>
            <w:r>
              <w:t xml:space="preserve">Assessment with NTUitive of which route, whether module supply, software licensing, technology licensing or joint development, is best supported by the evidence </w:t>
            </w:r>
            <w:proofErr w:type="gramStart"/>
            <w:r>
              <w:t>actually obtained</w:t>
            </w:r>
            <w:proofErr w:type="gramEnd"/>
            <w:r>
              <w:t>.</w:t>
            </w:r>
          </w:p>
        </w:tc>
      </w:tr>
      <w:tr w:rsidR="00C0740F" w14:paraId="7334E4AF" w14:textId="77777777">
        <w:tc>
          <w:tcPr>
            <w:tcW w:w="1191" w:type="dxa"/>
          </w:tcPr>
          <w:p w14:paraId="6AE8D8F6" w14:textId="77777777" w:rsidR="00C0740F" w:rsidRDefault="00000000">
            <w:pPr>
              <w:spacing w:after="60"/>
            </w:pPr>
            <w:r>
              <w:t>Month 15</w:t>
            </w:r>
          </w:p>
        </w:tc>
        <w:tc>
          <w:tcPr>
            <w:tcW w:w="1191" w:type="dxa"/>
          </w:tcPr>
          <w:p w14:paraId="01D85619" w14:textId="77777777" w:rsidR="00C0740F" w:rsidRDefault="00000000">
            <w:pPr>
              <w:spacing w:after="60"/>
            </w:pPr>
            <w:r>
              <w:t>Month 18</w:t>
            </w:r>
          </w:p>
        </w:tc>
        <w:tc>
          <w:tcPr>
            <w:tcW w:w="7257" w:type="dxa"/>
          </w:tcPr>
          <w:p w14:paraId="636BB2F4" w14:textId="77777777" w:rsidR="00C0740F" w:rsidRDefault="00000000">
            <w:pPr>
              <w:spacing w:after="60"/>
            </w:pPr>
            <w:r>
              <w:rPr>
                <w:b/>
              </w:rPr>
              <w:t>Buffer, consolidation and follow-on engagement</w:t>
            </w:r>
          </w:p>
          <w:p w14:paraId="35BD2B7C" w14:textId="77777777" w:rsidR="00C0740F" w:rsidRDefault="00000000">
            <w:pPr>
              <w:spacing w:after="60"/>
            </w:pPr>
            <w:r>
              <w:rPr>
                <w:b/>
              </w:rPr>
              <w:t xml:space="preserve">Activities. </w:t>
            </w:r>
            <w:r>
              <w:t>Repeat or extend tests where results were inconclusive; incorporate partner feedback into the prototype and documentation; pursue dated letters of support or letters of intent where partner interest has become concrete, linked to the criteria in Section 2.8; prepare follow-on funding and commercialisation discussions.</w:t>
            </w:r>
          </w:p>
          <w:p w14:paraId="353A13A8" w14:textId="77777777" w:rsidR="00C0740F" w:rsidRDefault="00000000">
            <w:pPr>
              <w:spacing w:after="60"/>
            </w:pPr>
            <w:r>
              <w:rPr>
                <w:b/>
              </w:rPr>
              <w:t xml:space="preserve">Deliverables. </w:t>
            </w:r>
            <w:r>
              <w:t>Updated prototype and documentation set; final project report; record of industry engagement and of any endorsements obtained.</w:t>
            </w:r>
          </w:p>
          <w:p w14:paraId="1010E52F" w14:textId="77777777" w:rsidR="00C0740F" w:rsidRDefault="00000000">
            <w:pPr>
              <w:spacing w:after="60"/>
            </w:pPr>
            <w:r>
              <w:rPr>
                <w:b/>
              </w:rPr>
              <w:t xml:space="preserve">Note. </w:t>
            </w:r>
            <w:r>
              <w:t>Endorsements depend on partner decisions and are pursued during this phase rather than assumed as an outcome of it. This phase also absorbs schedule risk carried forward from earlier phases.</w:t>
            </w:r>
          </w:p>
        </w:tc>
      </w:tr>
    </w:tbl>
    <w:p w14:paraId="4F35F8A5" w14:textId="77777777" w:rsidR="00E4627E" w:rsidRPr="004B30EA" w:rsidRDefault="00E4627E" w:rsidP="00E4627E">
      <w:pPr>
        <w:jc w:val="both"/>
        <w:rPr>
          <w:b/>
          <w:bCs/>
          <w:lang w:val="en-GB"/>
        </w:rPr>
      </w:pPr>
    </w:p>
    <w:p w14:paraId="6490C182" w14:textId="77777777" w:rsidR="004B30EA" w:rsidRDefault="004B30EA" w:rsidP="00E4627E">
      <w:pPr>
        <w:jc w:val="both"/>
        <w:rPr>
          <w:b/>
          <w:bCs/>
          <w:sz w:val="28"/>
          <w:lang w:val="en-GB"/>
        </w:rPr>
      </w:pPr>
    </w:p>
    <w:p w14:paraId="205C83D3" w14:textId="77777777" w:rsidR="00E4627E" w:rsidRPr="004B30EA" w:rsidRDefault="00E4627E" w:rsidP="00E4627E">
      <w:pPr>
        <w:jc w:val="both"/>
        <w:rPr>
          <w:b/>
          <w:bCs/>
          <w:sz w:val="28"/>
          <w:lang w:val="en-GB"/>
        </w:rPr>
      </w:pPr>
      <w:r w:rsidRPr="004B30EA">
        <w:rPr>
          <w:b/>
          <w:bCs/>
          <w:sz w:val="22"/>
          <w:lang w:val="en-GB"/>
        </w:rPr>
        <w:t>5.</w:t>
      </w:r>
      <w:r w:rsidRPr="004B30EA">
        <w:rPr>
          <w:b/>
          <w:bCs/>
          <w:sz w:val="22"/>
          <w:lang w:val="en-GB"/>
        </w:rPr>
        <w:tab/>
        <w:t>Budget</w:t>
      </w:r>
    </w:p>
    <w:p w14:paraId="183A0933" w14:textId="77777777" w:rsidR="00E4627E" w:rsidRPr="004B30EA" w:rsidRDefault="00E4627E" w:rsidP="00E4627E">
      <w:pPr>
        <w:spacing w:after="120" w:line="259" w:lineRule="auto"/>
        <w:jc w:val="both"/>
        <w:rPr>
          <w:b/>
          <w:bCs/>
          <w:sz w:val="28"/>
          <w:lang w:val="en-GB"/>
        </w:rPr>
      </w:pPr>
      <w:r>
        <w:rPr>
          <w:b/>
          <w:sz w:val="22"/>
        </w:rPr>
        <w:t>Budget basis.</w:t>
      </w:r>
      <w:r>
        <w:rPr>
          <w:sz w:val="22"/>
        </w:rPr>
        <w:t xml:space="preserve"> The budget covers the 18-month project duration and includes only direct incremental costs incurred at NTU, in line with the scheme guidelines on funding support. All figures are indicative, inclusive of prevailing Goods and Services Tax, and exclude overheads. Manpower is charged fractionally according to time committed to the project. The lead Principal Investigator and the existing project contributors are not charged to the grant, and no patent filing or maintenance cost is included, as these are supported separately. Equipment and operating items are budgeted at indicative market prices and remain subject to NTU procurement policies and to prevailing rates at the time of purchase.</w:t>
      </w:r>
    </w:p>
    <w:p w14:paraId="057FB150" w14:textId="77777777" w:rsidR="00E4627E" w:rsidRPr="004B30EA" w:rsidRDefault="00E4627E" w:rsidP="00E4627E">
      <w:pPr>
        <w:jc w:val="both"/>
        <w:rPr>
          <w:b/>
          <w:bCs/>
          <w:lang w:val="en-GB"/>
        </w:rPr>
      </w:pPr>
    </w:p>
    <w:tbl>
      <w:tblPr>
        <w:tblStyle w:val="TableGrid"/>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052"/>
        <w:gridCol w:w="1587"/>
      </w:tblGrid>
      <w:tr w:rsidR="00E4627E" w:rsidRPr="004B30EA" w14:paraId="0D569734" w14:textId="77777777" w:rsidTr="00E52F3C">
        <w:tc>
          <w:tcPr>
            <w:tcW w:w="8050" w:type="dxa"/>
          </w:tcPr>
          <w:p w14:paraId="0EC1FDFE" w14:textId="77777777" w:rsidR="00C0740F" w:rsidRDefault="00000000">
            <w:pPr>
              <w:spacing w:after="60"/>
            </w:pPr>
            <w:r>
              <w:rPr>
                <w:b/>
              </w:rPr>
              <w:t>Manpower (EOM)</w:t>
            </w:r>
          </w:p>
          <w:p w14:paraId="4339A807" w14:textId="77777777" w:rsidR="00C0740F" w:rsidRDefault="00000000">
            <w:pPr>
              <w:spacing w:after="60"/>
            </w:pPr>
            <w:r>
              <w:rPr>
                <w:sz w:val="22"/>
              </w:rPr>
              <w:t xml:space="preserve">1 x Research Fellow (edge algorithms and embedded intelligence), 100% FTE for 18 months, at </w:t>
            </w:r>
            <w:r>
              <w:rPr>
                <w:sz w:val="22"/>
                <w:highlight w:val="yellow"/>
              </w:rPr>
              <w:t>an indicative loaded cost of S$7,500 per month</w:t>
            </w:r>
            <w:r>
              <w:rPr>
                <w:sz w:val="22"/>
              </w:rPr>
              <w:t>. Scope: the adaptive detection layer and its onboard implementation, module-level design, benchmarking and pilot support. Subtotal S$135,000.</w:t>
            </w:r>
          </w:p>
          <w:p w14:paraId="15EFFB92" w14:textId="77777777" w:rsidR="00C0740F" w:rsidRDefault="00000000">
            <w:pPr>
              <w:spacing w:after="60"/>
            </w:pPr>
            <w:r>
              <w:t xml:space="preserve">1 x Research Assistant (hardware bring-up, testing and data analysis), 50% FTE for 12 months, at </w:t>
            </w:r>
            <w:r>
              <w:rPr>
                <w:highlight w:val="yellow"/>
              </w:rPr>
              <w:t>an indicative loaded cost of S$4,300 per month</w:t>
            </w:r>
            <w:r>
              <w:t>. Scope: test set-up, measurement, benchmark data processing and documentation. Subtotal S$25,800.</w:t>
            </w:r>
          </w:p>
          <w:p w14:paraId="3292E083" w14:textId="77777777" w:rsidR="00C0740F" w:rsidRDefault="00000000">
            <w:pPr>
              <w:spacing w:after="60"/>
            </w:pPr>
            <w:r>
              <w:t xml:space="preserve">The lead Principal Investigator and the existing project contributors are not </w:t>
            </w:r>
            <w:proofErr w:type="gramStart"/>
            <w:r>
              <w:t>charged to</w:t>
            </w:r>
            <w:proofErr w:type="gramEnd"/>
            <w:r>
              <w:t xml:space="preserve"> the grant.</w:t>
            </w:r>
          </w:p>
        </w:tc>
        <w:tc>
          <w:tcPr>
            <w:tcW w:w="1587" w:type="dxa"/>
          </w:tcPr>
          <w:p w14:paraId="47BBDE93" w14:textId="77777777" w:rsidR="00C0740F" w:rsidRDefault="00000000">
            <w:pPr>
              <w:spacing w:after="60"/>
              <w:jc w:val="right"/>
            </w:pPr>
            <w:r>
              <w:t>S$160,800</w:t>
            </w:r>
          </w:p>
        </w:tc>
      </w:tr>
      <w:tr w:rsidR="00E4627E" w:rsidRPr="004B30EA" w14:paraId="26D0481D" w14:textId="77777777" w:rsidTr="00E52F3C">
        <w:tc>
          <w:tcPr>
            <w:tcW w:w="8050" w:type="dxa"/>
          </w:tcPr>
          <w:p w14:paraId="4DF36BA6" w14:textId="77777777" w:rsidR="00C0740F" w:rsidRDefault="00000000">
            <w:pPr>
              <w:spacing w:after="60"/>
            </w:pPr>
            <w:r>
              <w:rPr>
                <w:b/>
              </w:rPr>
              <w:t>Equipment</w:t>
            </w:r>
          </w:p>
          <w:p w14:paraId="0E759D45" w14:textId="77777777" w:rsidR="00C0740F" w:rsidRDefault="00000000">
            <w:pPr>
              <w:spacing w:after="60"/>
            </w:pPr>
            <w:r>
              <w:t>Precision power and energy measurement instrument for microampere-level standby and event-cycle characterisation: S$9,000.</w:t>
            </w:r>
          </w:p>
          <w:p w14:paraId="511F0B00" w14:textId="77777777" w:rsidR="00C0740F" w:rsidRDefault="00000000">
            <w:pPr>
              <w:spacing w:after="60"/>
            </w:pPr>
            <w:r>
              <w:rPr>
                <w:sz w:val="22"/>
              </w:rPr>
              <w:t>Reference accelerometer and data acquisition unit providing ground truth for detection-quality and detection-floor measurement: S$8,000.</w:t>
            </w:r>
          </w:p>
          <w:p w14:paraId="2EF5DBEA" w14:textId="77777777" w:rsidR="00C0740F" w:rsidRDefault="00000000">
            <w:pPr>
              <w:spacing w:after="60"/>
            </w:pPr>
            <w:r>
              <w:t>Commercial baseline devices for like-for-like benchmarking, covering fixed-threshold and duty-cycled monitoring nodes and an impact or shock recorder, three to four units: S$12,000.</w:t>
            </w:r>
          </w:p>
          <w:p w14:paraId="29025C7A" w14:textId="77777777" w:rsidR="00C0740F" w:rsidRDefault="00000000">
            <w:pPr>
              <w:spacing w:after="60"/>
            </w:pPr>
            <w:r>
              <w:rPr>
                <w:highlight w:val="yellow"/>
              </w:rPr>
              <w:lastRenderedPageBreak/>
              <w:t xml:space="preserve">Instrumented rotating-equipment test rig for generating repeatable industrial </w:t>
            </w:r>
            <w:proofErr w:type="gramStart"/>
            <w:r>
              <w:rPr>
                <w:highlight w:val="yellow"/>
              </w:rPr>
              <w:t>event</w:t>
            </w:r>
            <w:proofErr w:type="gramEnd"/>
            <w:r>
              <w:rPr>
                <w:highlight w:val="yellow"/>
              </w:rPr>
              <w:t xml:space="preserve"> and anomaly conditions: S$13,000.</w:t>
            </w:r>
          </w:p>
        </w:tc>
        <w:tc>
          <w:tcPr>
            <w:tcW w:w="1587" w:type="dxa"/>
          </w:tcPr>
          <w:p w14:paraId="5AA27E33" w14:textId="77777777" w:rsidR="00C0740F" w:rsidRDefault="00000000">
            <w:pPr>
              <w:spacing w:after="60"/>
              <w:jc w:val="right"/>
            </w:pPr>
            <w:r>
              <w:lastRenderedPageBreak/>
              <w:t>S$42,000</w:t>
            </w:r>
          </w:p>
        </w:tc>
      </w:tr>
      <w:tr w:rsidR="00E4627E" w:rsidRPr="004B30EA" w14:paraId="0744A808" w14:textId="77777777" w:rsidTr="00E52F3C">
        <w:tc>
          <w:tcPr>
            <w:tcW w:w="8050" w:type="dxa"/>
            <w:tcBorders>
              <w:bottom w:val="double" w:sz="4" w:space="0" w:color="auto"/>
            </w:tcBorders>
          </w:tcPr>
          <w:p w14:paraId="1F6B555B" w14:textId="77777777" w:rsidR="00C0740F" w:rsidRDefault="00000000">
            <w:pPr>
              <w:spacing w:after="60"/>
            </w:pPr>
            <w:r>
              <w:rPr>
                <w:b/>
              </w:rPr>
              <w:t>Other Operating Expenditure (OOE)</w:t>
            </w:r>
          </w:p>
          <w:p w14:paraId="73B64F35" w14:textId="77777777" w:rsidR="00C0740F" w:rsidRDefault="00000000">
            <w:pPr>
              <w:spacing w:after="60"/>
            </w:pPr>
            <w:r>
              <w:t xml:space="preserve">Printed </w:t>
            </w:r>
            <w:proofErr w:type="gramStart"/>
            <w:r>
              <w:t>circuit board</w:t>
            </w:r>
            <w:proofErr w:type="gramEnd"/>
            <w:r>
              <w:t xml:space="preserve"> fabrication and assembly across three design iterations, including prototype and pilot units: S$17,000.</w:t>
            </w:r>
          </w:p>
          <w:p w14:paraId="3409AB93" w14:textId="77777777" w:rsidR="00C0740F" w:rsidRDefault="00000000">
            <w:pPr>
              <w:spacing w:after="60"/>
            </w:pPr>
            <w:r>
              <w:t>Electronic components, sentinel and high-fidelity sensors, batteries, enclosures and cabling: S$8,000.</w:t>
            </w:r>
          </w:p>
          <w:p w14:paraId="72080209" w14:textId="77777777" w:rsidR="00C0740F" w:rsidRDefault="00000000">
            <w:pPr>
              <w:spacing w:after="60"/>
            </w:pPr>
            <w:r>
              <w:t>Third-party characterisation and design-for-manufacture review services, including environmental and pre-compliance testing: S$6,000.</w:t>
            </w:r>
          </w:p>
          <w:p w14:paraId="38431918" w14:textId="77777777" w:rsidR="00C0740F" w:rsidRDefault="00000000">
            <w:pPr>
              <w:spacing w:after="60"/>
            </w:pPr>
            <w:r>
              <w:t>Pilot deployment costs, covering mounting hardware, installation consumables, equipment transport and site logistics: S$6,000.</w:t>
            </w:r>
          </w:p>
          <w:p w14:paraId="01267115" w14:textId="77777777" w:rsidR="00C0740F" w:rsidRDefault="00000000">
            <w:pPr>
              <w:spacing w:after="60"/>
            </w:pPr>
            <w:r>
              <w:t>Local and regional travel for partner engagement and pilot supervision: S$5,000.</w:t>
            </w:r>
          </w:p>
          <w:p w14:paraId="3ACCF16B" w14:textId="77777777" w:rsidR="00C0740F" w:rsidRDefault="00000000">
            <w:pPr>
              <w:spacing w:after="60"/>
            </w:pPr>
            <w:r>
              <w:t>Laboratory consumables: S$3,000.</w:t>
            </w:r>
          </w:p>
        </w:tc>
        <w:tc>
          <w:tcPr>
            <w:tcW w:w="1587" w:type="dxa"/>
            <w:tcBorders>
              <w:bottom w:val="double" w:sz="4" w:space="0" w:color="auto"/>
            </w:tcBorders>
          </w:tcPr>
          <w:p w14:paraId="635677F4" w14:textId="77777777" w:rsidR="00C0740F" w:rsidRDefault="00000000">
            <w:pPr>
              <w:spacing w:after="60"/>
              <w:jc w:val="right"/>
            </w:pPr>
            <w:r>
              <w:t>S$45,000</w:t>
            </w:r>
          </w:p>
        </w:tc>
      </w:tr>
      <w:tr w:rsidR="00E4627E" w:rsidRPr="004B30EA" w14:paraId="345035F9" w14:textId="77777777" w:rsidTr="00E52F3C">
        <w:tc>
          <w:tcPr>
            <w:tcW w:w="8050" w:type="dxa"/>
            <w:tcBorders>
              <w:top w:val="double" w:sz="4" w:space="0" w:color="auto"/>
            </w:tcBorders>
          </w:tcPr>
          <w:p w14:paraId="6FEEECF5" w14:textId="77777777" w:rsidR="00C0740F" w:rsidRDefault="00000000">
            <w:pPr>
              <w:spacing w:after="60"/>
            </w:pPr>
            <w:r>
              <w:rPr>
                <w:b/>
              </w:rPr>
              <w:t>Total</w:t>
            </w:r>
          </w:p>
        </w:tc>
        <w:tc>
          <w:tcPr>
            <w:tcW w:w="1587" w:type="dxa"/>
            <w:tcBorders>
              <w:top w:val="double" w:sz="4" w:space="0" w:color="auto"/>
            </w:tcBorders>
          </w:tcPr>
          <w:p w14:paraId="3C0559BB" w14:textId="77777777" w:rsidR="00C0740F" w:rsidRDefault="00000000">
            <w:pPr>
              <w:spacing w:after="60"/>
              <w:jc w:val="right"/>
            </w:pPr>
            <w:r>
              <w:rPr>
                <w:b/>
              </w:rPr>
              <w:t>S$247,800</w:t>
            </w:r>
          </w:p>
        </w:tc>
      </w:tr>
    </w:tbl>
    <w:p w14:paraId="04335F89" w14:textId="77777777" w:rsidR="00E4627E" w:rsidRPr="00C706C6" w:rsidRDefault="00C706C6" w:rsidP="00C706C6">
      <w:pPr>
        <w:spacing w:after="80"/>
        <w:jc w:val="both"/>
        <w:rPr>
          <w:i/>
          <w:iCs/>
        </w:rPr>
      </w:pPr>
      <w:r w:rsidRPr="00C706C6">
        <w:rPr>
          <w:i/>
          <w:iCs/>
          <w:sz w:val="22"/>
        </w:rPr>
        <w:t>*Please leave out overheads when planning for budget at this stage</w:t>
      </w:r>
    </w:p>
    <w:p w14:paraId="41E4C896" w14:textId="77777777" w:rsidR="00E4627E" w:rsidRPr="00C706C6" w:rsidRDefault="00C706C6" w:rsidP="00C706C6">
      <w:pPr>
        <w:spacing w:after="120" w:line="259" w:lineRule="auto"/>
        <w:jc w:val="both"/>
        <w:rPr>
          <w:i/>
          <w:iCs/>
        </w:rPr>
      </w:pPr>
      <w:r>
        <w:rPr>
          <w:b/>
          <w:sz w:val="22"/>
        </w:rPr>
        <w:t>Alignment with milestones.</w:t>
      </w:r>
      <w:r>
        <w:rPr>
          <w:sz w:val="22"/>
        </w:rPr>
        <w:t xml:space="preserve"> Expenditure follows the phases set out in Section 4. Manpower is engaged from the start of the project. Measurement instrumentation and the commercial baseline devices are procured during Months 0 to 3, so that the comparison baseline is in place before benchmarking begins. Printed circuit board fabrication is spread across Months 3 to 12 to cover successive design iterations and the pilot units. Pilot deployment and partner-engagement costs fall mainly in Months 9 to 15. If the selected event class or the pilot arrangement changes at a phase review, the team would seek to reallocate between line items within the approved total rather than to increase it, subject to NTUitive's agreement.</w:t>
      </w:r>
    </w:p>
    <w:p w14:paraId="00EFF6B7" w14:textId="77777777" w:rsidR="004B30EA" w:rsidRDefault="004B30EA" w:rsidP="00E4627E">
      <w:pPr>
        <w:jc w:val="both"/>
        <w:rPr>
          <w:b/>
          <w:bCs/>
          <w:sz w:val="28"/>
          <w:lang w:val="en-GB"/>
        </w:rPr>
      </w:pPr>
    </w:p>
    <w:p w14:paraId="10D88441" w14:textId="77777777" w:rsidR="00941A4F" w:rsidRDefault="00941A4F" w:rsidP="00E4627E">
      <w:pPr>
        <w:jc w:val="both"/>
        <w:rPr>
          <w:b/>
          <w:bCs/>
          <w:sz w:val="28"/>
          <w:lang w:val="en-GB"/>
        </w:rPr>
      </w:pPr>
    </w:p>
    <w:p w14:paraId="5D5666D0" w14:textId="77777777" w:rsidR="00E4627E" w:rsidRPr="004B30EA" w:rsidRDefault="00E4627E" w:rsidP="00E4627E">
      <w:pPr>
        <w:jc w:val="both"/>
        <w:rPr>
          <w:b/>
          <w:bCs/>
          <w:sz w:val="28"/>
          <w:lang w:val="en-GB"/>
        </w:rPr>
      </w:pPr>
      <w:r w:rsidRPr="004B30EA">
        <w:rPr>
          <w:b/>
          <w:bCs/>
          <w:sz w:val="22"/>
          <w:lang w:val="en-GB"/>
        </w:rPr>
        <w:t>6.</w:t>
      </w:r>
      <w:r w:rsidRPr="004B30EA">
        <w:rPr>
          <w:b/>
          <w:bCs/>
          <w:sz w:val="22"/>
          <w:lang w:val="en-GB"/>
        </w:rPr>
        <w:tab/>
        <w:t>Funding Sources</w:t>
      </w:r>
    </w:p>
    <w:p w14:paraId="56B31D8E" w14:textId="77777777" w:rsidR="00E4627E" w:rsidRPr="004B30EA" w:rsidRDefault="00E4627E" w:rsidP="00E4627E">
      <w:pPr>
        <w:jc w:val="both"/>
        <w:rPr>
          <w:i/>
          <w:iCs/>
          <w:lang w:val="en-GB"/>
        </w:rPr>
      </w:pPr>
    </w:p>
    <w:p w14:paraId="3081A69B" w14:textId="77777777" w:rsidR="00E4627E" w:rsidRPr="004B30EA" w:rsidRDefault="00E4627E" w:rsidP="00E4627E">
      <w:pPr>
        <w:spacing w:after="200"/>
        <w:jc w:val="both"/>
        <w:rPr>
          <w:b/>
          <w:bCs/>
          <w:i/>
          <w:lang w:val="en-GB"/>
        </w:rPr>
      </w:pPr>
      <w:r w:rsidRPr="004B30EA">
        <w:rPr>
          <w:i/>
          <w:iCs/>
          <w:sz w:val="22"/>
          <w:lang w:val="en-GB"/>
        </w:rPr>
        <w:t xml:space="preserve">Please provide details </w:t>
      </w:r>
      <w:r w:rsidRPr="004B30EA">
        <w:rPr>
          <w:i/>
          <w:sz w:val="22"/>
        </w:rPr>
        <w:t xml:space="preserve">of all </w:t>
      </w:r>
      <w:r w:rsidR="00055F80">
        <w:rPr>
          <w:i/>
          <w:sz w:val="22"/>
        </w:rPr>
        <w:t>sources of funding</w:t>
      </w:r>
      <w:r w:rsidRPr="004B30EA">
        <w:rPr>
          <w:i/>
          <w:sz w:val="22"/>
        </w:rPr>
        <w:t xml:space="preserve"> </w:t>
      </w:r>
      <w:r w:rsidR="00055F80">
        <w:rPr>
          <w:i/>
          <w:sz w:val="22"/>
        </w:rPr>
        <w:t xml:space="preserve">related to the technology proposed, previously and </w:t>
      </w:r>
      <w:r w:rsidRPr="004B30EA">
        <w:rPr>
          <w:i/>
          <w:sz w:val="22"/>
        </w:rPr>
        <w:t>currently held or being applied for by any of the team members</w:t>
      </w:r>
      <w:r w:rsidR="00055F80">
        <w:rPr>
          <w:i/>
          <w:sz w:val="22"/>
        </w:rPr>
        <w:t>.</w:t>
      </w:r>
      <w:r w:rsidRPr="004B30EA">
        <w:rPr>
          <w:i/>
          <w:sz w:val="22"/>
        </w:rPr>
        <w:t xml:space="preserve"> </w:t>
      </w:r>
    </w:p>
    <w:p w14:paraId="78E14FDD" w14:textId="77777777" w:rsidR="00E4627E" w:rsidRPr="004B30EA" w:rsidRDefault="00E4627E" w:rsidP="00E4627E">
      <w:pPr>
        <w:spacing w:after="120" w:line="259" w:lineRule="auto"/>
        <w:jc w:val="both"/>
        <w:rPr>
          <w:b/>
          <w:bCs/>
          <w:i/>
          <w:lang w:val="en-GB"/>
        </w:rPr>
      </w:pPr>
      <w:r>
        <w:rPr>
          <w:b/>
          <w:sz w:val="22"/>
        </w:rPr>
        <w:t>Scope of this section.</w:t>
      </w:r>
      <w:r>
        <w:rPr>
          <w:sz w:val="22"/>
        </w:rPr>
        <w:t xml:space="preserve"> The projects listed below are the funding sources related to the underlying technology that are held, or have been held, by members of the team. They are listed for completeness, including those that have concluded. Funding periods and amounts are held by the University's research administration and are stated there; they will be confirmed at submission.</w:t>
      </w:r>
    </w:p>
    <w:p w14:paraId="76C1BD07" w14:textId="77777777" w:rsidR="00E4627E" w:rsidRDefault="00E4627E" w:rsidP="00E4627E">
      <w:pPr>
        <w:jc w:val="both"/>
        <w:rPr>
          <w:b/>
          <w:bCs/>
          <w:lang w:val="en-GB"/>
        </w:rPr>
      </w:pPr>
    </w:p>
    <w:tbl>
      <w:tblPr>
        <w:tblStyle w:val="TableGrid"/>
        <w:tblW w:w="9639" w:type="dxa"/>
        <w:tblLayout w:type="fixed"/>
        <w:tblLook w:val="04A0" w:firstRow="1" w:lastRow="0" w:firstColumn="1" w:lastColumn="0" w:noHBand="0" w:noVBand="1"/>
      </w:tblPr>
      <w:tblGrid>
        <w:gridCol w:w="2836"/>
        <w:gridCol w:w="1304"/>
        <w:gridCol w:w="4195"/>
        <w:gridCol w:w="1304"/>
      </w:tblGrid>
      <w:tr w:rsidR="00B91483" w14:paraId="6F4E897A" w14:textId="77777777" w:rsidTr="00B91483">
        <w:trPr>
          <w:tblHeader/>
        </w:trPr>
        <w:tc>
          <w:tcPr>
            <w:tcW w:w="2835" w:type="dxa"/>
          </w:tcPr>
          <w:p w14:paraId="017DBD8B" w14:textId="77777777" w:rsidR="00C0740F" w:rsidRDefault="00000000">
            <w:pPr>
              <w:spacing w:after="60"/>
            </w:pPr>
            <w:r>
              <w:rPr>
                <w:b/>
              </w:rPr>
              <w:t>Funding Source</w:t>
            </w:r>
          </w:p>
          <w:p w14:paraId="4FDD24AF" w14:textId="77777777" w:rsidR="00C0740F" w:rsidRDefault="00000000">
            <w:pPr>
              <w:spacing w:after="60"/>
            </w:pPr>
            <w:r>
              <w:rPr>
                <w:b/>
              </w:rPr>
              <w:t>(include industry funding/investment)</w:t>
            </w:r>
          </w:p>
        </w:tc>
        <w:tc>
          <w:tcPr>
            <w:tcW w:w="1304" w:type="dxa"/>
          </w:tcPr>
          <w:p w14:paraId="71D52756" w14:textId="77777777" w:rsidR="00C0740F" w:rsidRDefault="00000000">
            <w:pPr>
              <w:spacing w:after="60"/>
            </w:pPr>
            <w:r>
              <w:rPr>
                <w:b/>
              </w:rPr>
              <w:t>Funding Period</w:t>
            </w:r>
          </w:p>
        </w:tc>
        <w:tc>
          <w:tcPr>
            <w:tcW w:w="4195" w:type="dxa"/>
          </w:tcPr>
          <w:p w14:paraId="19530AC7" w14:textId="77777777" w:rsidR="00C0740F" w:rsidRDefault="00000000">
            <w:pPr>
              <w:spacing w:after="60"/>
            </w:pPr>
            <w:r>
              <w:rPr>
                <w:b/>
              </w:rPr>
              <w:t>Deliverables</w:t>
            </w:r>
          </w:p>
        </w:tc>
        <w:tc>
          <w:tcPr>
            <w:tcW w:w="1304" w:type="dxa"/>
          </w:tcPr>
          <w:p w14:paraId="21D12393" w14:textId="77777777" w:rsidR="00C0740F" w:rsidRDefault="00000000">
            <w:pPr>
              <w:spacing w:after="60"/>
            </w:pPr>
            <w:r>
              <w:rPr>
                <w:b/>
              </w:rPr>
              <w:t>Funding Amount</w:t>
            </w:r>
          </w:p>
        </w:tc>
      </w:tr>
      <w:tr w:rsidR="00B91483" w14:paraId="25AB420A" w14:textId="77777777" w:rsidTr="00B91483">
        <w:tc>
          <w:tcPr>
            <w:tcW w:w="2835" w:type="dxa"/>
          </w:tcPr>
          <w:p w14:paraId="32FD0DAC" w14:textId="77777777" w:rsidR="00C0740F" w:rsidRDefault="00000000">
            <w:pPr>
              <w:spacing w:after="60"/>
            </w:pPr>
            <w:r>
              <w:t>MOE AcRF Tier 1, RG146/23 (currently held)</w:t>
            </w:r>
          </w:p>
        </w:tc>
        <w:tc>
          <w:tcPr>
            <w:tcW w:w="1304" w:type="dxa"/>
          </w:tcPr>
          <w:p w14:paraId="31025F2B" w14:textId="77777777" w:rsidR="00C0740F" w:rsidRDefault="00000000">
            <w:pPr>
              <w:spacing w:after="60"/>
            </w:pPr>
            <w:r>
              <w:rPr>
                <w:highlight w:val="yellow"/>
              </w:rPr>
              <w:t>To be confirmed at submission</w:t>
            </w:r>
          </w:p>
        </w:tc>
        <w:tc>
          <w:tcPr>
            <w:tcW w:w="4195" w:type="dxa"/>
          </w:tcPr>
          <w:p w14:paraId="4309CCBD" w14:textId="77777777" w:rsidR="00C0740F" w:rsidRDefault="00000000">
            <w:pPr>
              <w:spacing w:after="60"/>
            </w:pPr>
            <w:r>
              <w:t xml:space="preserve">Fundamental research on wireless Internet-of-Things sensing and edge intelligence for structural health monitoring. Deliverables are research outcomes: methods, publications and laboratory demonstrations. Provides part of the scientific basis for the triggering </w:t>
            </w:r>
            <w:proofErr w:type="gramStart"/>
            <w:r>
              <w:t>mechanism, but</w:t>
            </w:r>
            <w:proofErr w:type="gramEnd"/>
            <w:r>
              <w:t xml:space="preserve"> does not cover module development or commercial validation.</w:t>
            </w:r>
          </w:p>
        </w:tc>
        <w:tc>
          <w:tcPr>
            <w:tcW w:w="1304" w:type="dxa"/>
          </w:tcPr>
          <w:p w14:paraId="6A003983" w14:textId="77777777" w:rsidR="00C0740F" w:rsidRDefault="00000000">
            <w:pPr>
              <w:spacing w:after="60"/>
            </w:pPr>
            <w:r>
              <w:rPr>
                <w:highlight w:val="yellow"/>
              </w:rPr>
              <w:t>To be confirmed at submission</w:t>
            </w:r>
          </w:p>
        </w:tc>
      </w:tr>
      <w:tr w:rsidR="00B91483" w14:paraId="430BFDDB" w14:textId="77777777" w:rsidTr="00B91483">
        <w:tc>
          <w:tcPr>
            <w:tcW w:w="2835" w:type="dxa"/>
          </w:tcPr>
          <w:p w14:paraId="36113F3E" w14:textId="77777777" w:rsidR="00C0740F" w:rsidRDefault="00000000">
            <w:pPr>
              <w:spacing w:after="60"/>
            </w:pPr>
            <w:r>
              <w:t>NTU CoE Dean's Interdisciplinary Grant 2024, 03INS002320C120 (currently held)</w:t>
            </w:r>
          </w:p>
        </w:tc>
        <w:tc>
          <w:tcPr>
            <w:tcW w:w="1304" w:type="dxa"/>
          </w:tcPr>
          <w:p w14:paraId="4EB3FD8C" w14:textId="77777777" w:rsidR="00C0740F" w:rsidRDefault="00000000">
            <w:pPr>
              <w:spacing w:after="60"/>
            </w:pPr>
            <w:r>
              <w:rPr>
                <w:highlight w:val="yellow"/>
              </w:rPr>
              <w:t>To be confirmed at submission</w:t>
            </w:r>
          </w:p>
        </w:tc>
        <w:tc>
          <w:tcPr>
            <w:tcW w:w="4195" w:type="dxa"/>
          </w:tcPr>
          <w:p w14:paraId="6A12BD65" w14:textId="77777777" w:rsidR="00C0740F" w:rsidRDefault="00000000">
            <w:pPr>
              <w:spacing w:after="60"/>
            </w:pPr>
            <w:r>
              <w:t xml:space="preserve">Interdisciplinary research on edge intelligence and sensing system architecture. Deliverables are research outcomes and platform capability. Supports the embedded computing middleware on which the adaptive layer runs; it does not fund the </w:t>
            </w:r>
            <w:r>
              <w:lastRenderedPageBreak/>
              <w:t>embeddable module, benchmarking against commercial alternatives, or industry pilots.</w:t>
            </w:r>
          </w:p>
        </w:tc>
        <w:tc>
          <w:tcPr>
            <w:tcW w:w="1304" w:type="dxa"/>
          </w:tcPr>
          <w:p w14:paraId="6BF8CE37" w14:textId="77777777" w:rsidR="00C0740F" w:rsidRDefault="00000000">
            <w:pPr>
              <w:spacing w:after="60"/>
            </w:pPr>
            <w:r>
              <w:rPr>
                <w:highlight w:val="yellow"/>
              </w:rPr>
              <w:lastRenderedPageBreak/>
              <w:t>To be confirmed at submission</w:t>
            </w:r>
          </w:p>
        </w:tc>
      </w:tr>
      <w:tr w:rsidR="00C0740F" w14:paraId="34E62944" w14:textId="77777777">
        <w:tc>
          <w:tcPr>
            <w:tcW w:w="2835" w:type="dxa"/>
          </w:tcPr>
          <w:p w14:paraId="3E16875C" w14:textId="77777777" w:rsidR="00C0740F" w:rsidRDefault="00000000">
            <w:pPr>
              <w:spacing w:after="60"/>
            </w:pPr>
            <w:r>
              <w:t>Coastal Protection and Flood Management Research Programme, CFRP-AR01-V4-P1 (awarded): Smart continuous monitoring system for coastal infrastructure based on distributed fibre-optic sensing and wireless IoT technologies</w:t>
            </w:r>
          </w:p>
        </w:tc>
        <w:tc>
          <w:tcPr>
            <w:tcW w:w="1304" w:type="dxa"/>
          </w:tcPr>
          <w:p w14:paraId="0153B53C" w14:textId="77777777" w:rsidR="00C0740F" w:rsidRDefault="00000000">
            <w:pPr>
              <w:spacing w:after="60"/>
            </w:pPr>
            <w:r>
              <w:rPr>
                <w:highlight w:val="yellow"/>
              </w:rPr>
              <w:t>To be confirmed at submission</w:t>
            </w:r>
          </w:p>
        </w:tc>
        <w:tc>
          <w:tcPr>
            <w:tcW w:w="4195" w:type="dxa"/>
          </w:tcPr>
          <w:p w14:paraId="035C65FD" w14:textId="77777777" w:rsidR="00C0740F" w:rsidRDefault="00000000">
            <w:pPr>
              <w:spacing w:after="60"/>
            </w:pPr>
            <w:r>
              <w:t xml:space="preserve">Applied research on continuous monitoring of coastal infrastructure. Deliverables relate to a monitoring system for that application context. Provides an application setting and industry </w:t>
            </w:r>
            <w:proofErr w:type="gramStart"/>
            <w:r>
              <w:t>contacts, but</w:t>
            </w:r>
            <w:proofErr w:type="gramEnd"/>
            <w:r>
              <w:t xml:space="preserve"> is scoped to that programme's monitoring objectives rather than to a product module for third-party equipment manufacturers.</w:t>
            </w:r>
          </w:p>
        </w:tc>
        <w:tc>
          <w:tcPr>
            <w:tcW w:w="1304" w:type="dxa"/>
          </w:tcPr>
          <w:p w14:paraId="0AC14E51" w14:textId="77777777" w:rsidR="00C0740F" w:rsidRDefault="00000000">
            <w:pPr>
              <w:spacing w:after="60"/>
            </w:pPr>
            <w:r>
              <w:rPr>
                <w:highlight w:val="yellow"/>
              </w:rPr>
              <w:t>To be confirmed at submission</w:t>
            </w:r>
          </w:p>
        </w:tc>
      </w:tr>
      <w:tr w:rsidR="00C0740F" w14:paraId="2D530F03" w14:textId="77777777">
        <w:tc>
          <w:tcPr>
            <w:tcW w:w="2835" w:type="dxa"/>
          </w:tcPr>
          <w:p w14:paraId="7CC9D3DF" w14:textId="77777777" w:rsidR="00C0740F" w:rsidRDefault="00000000">
            <w:pPr>
              <w:spacing w:after="60"/>
            </w:pPr>
            <w:r>
              <w:t xml:space="preserve">Cities of Tomorrow (CoT) programme: Novel wireless multi-metric IoT sensing system for real-time structural health monitoring </w:t>
            </w:r>
            <w:r>
              <w:rPr>
                <w:highlight w:val="yellow"/>
              </w:rPr>
              <w:t>(status to be confirmed)</w:t>
            </w:r>
          </w:p>
        </w:tc>
        <w:tc>
          <w:tcPr>
            <w:tcW w:w="1304" w:type="dxa"/>
          </w:tcPr>
          <w:p w14:paraId="65D210F0" w14:textId="77777777" w:rsidR="00C0740F" w:rsidRDefault="00000000">
            <w:pPr>
              <w:spacing w:after="60"/>
            </w:pPr>
            <w:r>
              <w:rPr>
                <w:highlight w:val="yellow"/>
              </w:rPr>
              <w:t>To be confirmed at submission</w:t>
            </w:r>
          </w:p>
        </w:tc>
        <w:tc>
          <w:tcPr>
            <w:tcW w:w="4195" w:type="dxa"/>
          </w:tcPr>
          <w:p w14:paraId="46E0BC00" w14:textId="77777777" w:rsidR="00C0740F" w:rsidRDefault="00000000">
            <w:pPr>
              <w:spacing w:after="60"/>
            </w:pPr>
            <w:r>
              <w:t>Development of a multi-metric wireless IoT sensing platform for structural health monitoring. Deliverables relate to that sensing platform. Complementary to this application in application area, but does not cover the adaptive capture module, its interface specification, or the commercial benchmarking and pilot work proposed here.</w:t>
            </w:r>
          </w:p>
        </w:tc>
        <w:tc>
          <w:tcPr>
            <w:tcW w:w="1304" w:type="dxa"/>
          </w:tcPr>
          <w:p w14:paraId="36992CA9" w14:textId="77777777" w:rsidR="00C0740F" w:rsidRDefault="00000000">
            <w:pPr>
              <w:spacing w:after="60"/>
            </w:pPr>
            <w:r>
              <w:rPr>
                <w:highlight w:val="yellow"/>
              </w:rPr>
              <w:t>To be confirmed at submission</w:t>
            </w:r>
          </w:p>
        </w:tc>
      </w:tr>
      <w:tr w:rsidR="00C0740F" w14:paraId="2C9F781D" w14:textId="77777777">
        <w:tc>
          <w:tcPr>
            <w:tcW w:w="2835" w:type="dxa"/>
          </w:tcPr>
          <w:p w14:paraId="6673A1BB" w14:textId="77777777" w:rsidR="00C0740F" w:rsidRDefault="00000000">
            <w:pPr>
              <w:spacing w:after="60"/>
            </w:pPr>
            <w:r>
              <w:t>MOE AcRF Tier 1, RG121/21 (previously held)</w:t>
            </w:r>
          </w:p>
        </w:tc>
        <w:tc>
          <w:tcPr>
            <w:tcW w:w="1304" w:type="dxa"/>
          </w:tcPr>
          <w:p w14:paraId="7D10733F" w14:textId="77777777" w:rsidR="00C0740F" w:rsidRDefault="00000000">
            <w:pPr>
              <w:spacing w:after="60"/>
            </w:pPr>
            <w:r>
              <w:rPr>
                <w:highlight w:val="yellow"/>
              </w:rPr>
              <w:t>To be confirmed at submission</w:t>
            </w:r>
          </w:p>
        </w:tc>
        <w:tc>
          <w:tcPr>
            <w:tcW w:w="4195" w:type="dxa"/>
          </w:tcPr>
          <w:p w14:paraId="7B2242CD" w14:textId="77777777" w:rsidR="00C0740F" w:rsidRDefault="00000000">
            <w:pPr>
              <w:spacing w:after="60"/>
            </w:pPr>
            <w:r>
              <w:t>Earlier fundamental research on demand-based and energy-efficient wireless smart sensing. Contributed to the background technology acknowledged in the team's publications. Completed; no cost in Section 5 is charged to this project.</w:t>
            </w:r>
          </w:p>
        </w:tc>
        <w:tc>
          <w:tcPr>
            <w:tcW w:w="1304" w:type="dxa"/>
          </w:tcPr>
          <w:p w14:paraId="6C69A9AE" w14:textId="77777777" w:rsidR="00C0740F" w:rsidRDefault="00000000">
            <w:pPr>
              <w:spacing w:after="60"/>
            </w:pPr>
            <w:r>
              <w:rPr>
                <w:highlight w:val="yellow"/>
              </w:rPr>
              <w:t>To be confirmed at submission</w:t>
            </w:r>
          </w:p>
        </w:tc>
      </w:tr>
      <w:tr w:rsidR="00C0740F" w14:paraId="4D0CE6A9" w14:textId="77777777">
        <w:tc>
          <w:tcPr>
            <w:tcW w:w="2835" w:type="dxa"/>
          </w:tcPr>
          <w:p w14:paraId="7CCFCCC5" w14:textId="77777777" w:rsidR="00C0740F" w:rsidRDefault="00000000">
            <w:pPr>
              <w:spacing w:after="60"/>
            </w:pPr>
            <w:r>
              <w:t>NTU Start-up Grant, 03INS001210C120 (previously held)</w:t>
            </w:r>
          </w:p>
        </w:tc>
        <w:tc>
          <w:tcPr>
            <w:tcW w:w="1304" w:type="dxa"/>
          </w:tcPr>
          <w:p w14:paraId="4AEF9268" w14:textId="77777777" w:rsidR="00C0740F" w:rsidRDefault="00000000">
            <w:pPr>
              <w:spacing w:after="60"/>
            </w:pPr>
            <w:r>
              <w:rPr>
                <w:highlight w:val="yellow"/>
              </w:rPr>
              <w:t>To be confirmed at submission</w:t>
            </w:r>
          </w:p>
        </w:tc>
        <w:tc>
          <w:tcPr>
            <w:tcW w:w="4195" w:type="dxa"/>
          </w:tcPr>
          <w:p w14:paraId="63D08EE6" w14:textId="77777777" w:rsidR="00C0740F" w:rsidRDefault="00000000">
            <w:pPr>
              <w:spacing w:after="60"/>
            </w:pPr>
            <w:r>
              <w:t>Start-up support for the Principal Investigator's research programme in smart sensing and structural health monitoring. Contributed to the background technology acknowledged in the team's publications. No cost in Section 5 is charged to this project.</w:t>
            </w:r>
          </w:p>
        </w:tc>
        <w:tc>
          <w:tcPr>
            <w:tcW w:w="1304" w:type="dxa"/>
          </w:tcPr>
          <w:p w14:paraId="5306F5B4" w14:textId="77777777" w:rsidR="00C0740F" w:rsidRDefault="00000000">
            <w:pPr>
              <w:spacing w:after="60"/>
            </w:pPr>
            <w:r>
              <w:rPr>
                <w:highlight w:val="yellow"/>
              </w:rPr>
              <w:t>To be confirmed at submission</w:t>
            </w:r>
          </w:p>
        </w:tc>
      </w:tr>
      <w:tr w:rsidR="00C0740F" w14:paraId="6EE886E8" w14:textId="77777777">
        <w:tc>
          <w:tcPr>
            <w:tcW w:w="2835" w:type="dxa"/>
          </w:tcPr>
          <w:p w14:paraId="02F9CD4C" w14:textId="77777777" w:rsidR="00C0740F" w:rsidRDefault="00000000">
            <w:pPr>
              <w:spacing w:after="60"/>
            </w:pPr>
            <w:r>
              <w:t>AI Singapore translational project, AISG2-TC-2021-001 (previously held)</w:t>
            </w:r>
          </w:p>
        </w:tc>
        <w:tc>
          <w:tcPr>
            <w:tcW w:w="1304" w:type="dxa"/>
          </w:tcPr>
          <w:p w14:paraId="44457F4D" w14:textId="77777777" w:rsidR="00C0740F" w:rsidRDefault="00000000">
            <w:pPr>
              <w:spacing w:after="60"/>
            </w:pPr>
            <w:r>
              <w:rPr>
                <w:highlight w:val="yellow"/>
              </w:rPr>
              <w:t>To be confirmed at submission</w:t>
            </w:r>
          </w:p>
        </w:tc>
        <w:tc>
          <w:tcPr>
            <w:tcW w:w="4195" w:type="dxa"/>
          </w:tcPr>
          <w:p w14:paraId="39318AA3" w14:textId="77777777" w:rsidR="00C0740F" w:rsidRDefault="00000000">
            <w:pPr>
              <w:spacing w:after="60"/>
            </w:pPr>
            <w:r>
              <w:t>Artificial-intelligence-enabled smart sensing for underground transportation infrastructure monitoring, conducted with the Land Transport Authority. Deliverables related to that translational project. Completed; relevant as prior application experience and industry engagement rather than as funding for the proposed work.</w:t>
            </w:r>
          </w:p>
        </w:tc>
        <w:tc>
          <w:tcPr>
            <w:tcW w:w="1304" w:type="dxa"/>
          </w:tcPr>
          <w:p w14:paraId="3CA05BA4" w14:textId="77777777" w:rsidR="00C0740F" w:rsidRDefault="00000000">
            <w:pPr>
              <w:spacing w:after="60"/>
            </w:pPr>
            <w:r>
              <w:rPr>
                <w:highlight w:val="yellow"/>
              </w:rPr>
              <w:t>To be confirmed at submission</w:t>
            </w:r>
          </w:p>
        </w:tc>
      </w:tr>
    </w:tbl>
    <w:p w14:paraId="698C546F" w14:textId="77777777" w:rsidR="00B91483" w:rsidRPr="004B30EA" w:rsidRDefault="00B91483" w:rsidP="00E4627E">
      <w:pPr>
        <w:jc w:val="both"/>
        <w:rPr>
          <w:b/>
          <w:bCs/>
          <w:lang w:val="en-GB"/>
        </w:rPr>
      </w:pPr>
    </w:p>
    <w:p w14:paraId="479024BA" w14:textId="77777777" w:rsidR="00546FA4" w:rsidRDefault="00546FA4">
      <w:pPr>
        <w:rPr>
          <w:sz w:val="22"/>
          <w:szCs w:val="22"/>
          <w:lang w:val="en-GB"/>
        </w:rPr>
      </w:pPr>
    </w:p>
    <w:p w14:paraId="7FDDDDD1" w14:textId="77777777" w:rsidR="00546FA4" w:rsidRDefault="00546FA4">
      <w:pPr>
        <w:rPr>
          <w:sz w:val="22"/>
          <w:szCs w:val="22"/>
          <w:lang w:val="en-GB"/>
        </w:rPr>
      </w:pPr>
    </w:p>
    <w:p w14:paraId="7D938A7E" w14:textId="77777777" w:rsidR="00546FA4" w:rsidRDefault="00546FA4">
      <w:pPr>
        <w:rPr>
          <w:sz w:val="22"/>
          <w:szCs w:val="22"/>
          <w:lang w:val="en-GB"/>
        </w:rPr>
      </w:pPr>
    </w:p>
    <w:p w14:paraId="2034EF73" w14:textId="77777777" w:rsidR="00E45CC9" w:rsidRDefault="00E45CC9">
      <w:pPr>
        <w:rPr>
          <w:sz w:val="22"/>
          <w:szCs w:val="22"/>
          <w:lang w:val="en-GB"/>
        </w:rPr>
      </w:pPr>
    </w:p>
    <w:p w14:paraId="29D2C301" w14:textId="77777777" w:rsidR="004257CD" w:rsidRDefault="004257CD" w:rsidP="004257CD">
      <w:pPr>
        <w:pStyle w:val="ListParagraph"/>
        <w:spacing w:after="120" w:line="259" w:lineRule="auto"/>
        <w:ind w:left="0"/>
        <w:jc w:val="both"/>
        <w:rPr>
          <w:b/>
          <w:sz w:val="28"/>
          <w:szCs w:val="28"/>
        </w:rPr>
      </w:pPr>
      <w:r>
        <w:rPr>
          <w:b/>
          <w:sz w:val="22"/>
        </w:rPr>
        <w:t>Demarcation from the proposed work.</w:t>
      </w:r>
      <w:r>
        <w:rPr>
          <w:sz w:val="22"/>
        </w:rPr>
        <w:t xml:space="preserve"> The projects above fund fundamental and applied research rather than commercialisation. Between them they support the underlying sensing science, the wireless node platform and the embedded computing middleware, and their deliverables are research outcomes such as methods, publications, platform capability and laboratory or field demonstrations within their own application scopes. The work requested here is distinct and incremental: converting the validated triggering mechanism into an embeddable module with a defined interface specification, benchmarking it against the periodic-sampling and fixed-threshold alternatives that customers operate today, and testing it with an equipment-side and a field-</w:t>
      </w:r>
      <w:r>
        <w:rPr>
          <w:sz w:val="22"/>
        </w:rPr>
        <w:lastRenderedPageBreak/>
        <w:t>side partner. No cost item in Section 5 is charged to, or duplicated in, any of the projects above, and manpower funded by those projects is not charged to this application. Where a listed project provides a suitable application setting or an industry contact, the team would seek to use it as a validation opportunity, with the scope and costs of each project kept separate.</w:t>
      </w:r>
    </w:p>
    <w:p w14:paraId="158FC7FF" w14:textId="77777777" w:rsidR="004257CD" w:rsidRDefault="004257CD" w:rsidP="004257CD">
      <w:pPr>
        <w:pStyle w:val="ListParagraph"/>
        <w:numPr>
          <w:ilvl w:val="0"/>
          <w:numId w:val="16"/>
        </w:numPr>
        <w:ind w:hanging="720"/>
        <w:jc w:val="both"/>
        <w:rPr>
          <w:b/>
          <w:sz w:val="28"/>
          <w:szCs w:val="28"/>
        </w:rPr>
      </w:pPr>
      <w:r>
        <w:rPr>
          <w:b/>
          <w:sz w:val="22"/>
          <w:szCs w:val="28"/>
        </w:rPr>
        <w:t xml:space="preserve">Past </w:t>
      </w:r>
      <w:r w:rsidR="006419F0">
        <w:rPr>
          <w:b/>
          <w:sz w:val="22"/>
          <w:szCs w:val="28"/>
        </w:rPr>
        <w:t xml:space="preserve">Application </w:t>
      </w:r>
      <w:r>
        <w:rPr>
          <w:b/>
          <w:sz w:val="22"/>
          <w:szCs w:val="28"/>
        </w:rPr>
        <w:t>Submission</w:t>
      </w:r>
      <w:r w:rsidR="006419F0">
        <w:rPr>
          <w:b/>
          <w:sz w:val="22"/>
          <w:szCs w:val="28"/>
        </w:rPr>
        <w:t>(</w:t>
      </w:r>
      <w:r>
        <w:rPr>
          <w:b/>
          <w:sz w:val="22"/>
          <w:szCs w:val="28"/>
        </w:rPr>
        <w:t>s</w:t>
      </w:r>
      <w:r w:rsidR="006419F0">
        <w:rPr>
          <w:b/>
          <w:sz w:val="22"/>
          <w:szCs w:val="28"/>
        </w:rPr>
        <w:t>)</w:t>
      </w:r>
    </w:p>
    <w:p w14:paraId="47F831D1" w14:textId="77777777" w:rsidR="000B674E" w:rsidRDefault="000B674E" w:rsidP="000B674E">
      <w:pPr>
        <w:rPr>
          <w:b/>
          <w:sz w:val="28"/>
          <w:szCs w:val="28"/>
        </w:rPr>
      </w:pPr>
    </w:p>
    <w:p w14:paraId="179BF0E6" w14:textId="77777777" w:rsidR="000B674E" w:rsidRPr="005B7246" w:rsidRDefault="000B674E" w:rsidP="000B674E">
      <w:pPr>
        <w:jc w:val="both"/>
        <w:rPr>
          <w:lang w:val="en-GB"/>
        </w:rPr>
      </w:pPr>
      <w:r>
        <w:rPr>
          <w:sz w:val="22"/>
          <w:lang w:val="en-GB"/>
        </w:rPr>
        <w:t>Why was your previous application unsuccessful</w:t>
      </w:r>
      <w:r w:rsidRPr="005B7246">
        <w:rPr>
          <w:sz w:val="22"/>
          <w:lang w:val="en-GB"/>
        </w:rPr>
        <w:t>?</w:t>
      </w:r>
    </w:p>
    <w:p w14:paraId="54757674" w14:textId="77777777" w:rsidR="000B674E" w:rsidRPr="005B7246" w:rsidRDefault="000B674E" w:rsidP="000B674E">
      <w:pPr>
        <w:jc w:val="both"/>
        <w:rPr>
          <w:lang w:val="en-GB"/>
        </w:rPr>
      </w:pPr>
    </w:p>
    <w:p w14:paraId="394E243F" w14:textId="77777777" w:rsidR="000B674E" w:rsidRDefault="000B674E" w:rsidP="000B674E">
      <w:pPr>
        <w:spacing w:after="200"/>
        <w:jc w:val="both"/>
        <w:rPr>
          <w:lang w:val="en-GB"/>
        </w:rPr>
      </w:pPr>
      <w:r w:rsidRPr="005B7246">
        <w:rPr>
          <w:sz w:val="22"/>
          <w:lang w:val="en-GB"/>
        </w:rPr>
        <w:t xml:space="preserve">Please provide details on the improvements </w:t>
      </w:r>
      <w:r>
        <w:rPr>
          <w:sz w:val="22"/>
          <w:lang w:val="en-GB"/>
        </w:rPr>
        <w:t xml:space="preserve">and upgrades made in comparison. </w:t>
      </w:r>
    </w:p>
    <w:p w14:paraId="05D15224" w14:textId="77777777" w:rsidR="000B674E" w:rsidRDefault="000B674E" w:rsidP="000B674E">
      <w:pPr>
        <w:spacing w:after="120" w:line="259" w:lineRule="auto"/>
        <w:jc w:val="both"/>
        <w:rPr>
          <w:lang w:val="en-GB"/>
        </w:rPr>
      </w:pPr>
      <w:r>
        <w:rPr>
          <w:sz w:val="22"/>
          <w:highlight w:val="yellow"/>
        </w:rPr>
        <w:t xml:space="preserve">Not applicable. To the best of the team's knowledge this is the first application submitted under the NTUitive Gap Fund scheme. To be confirmed; if an earlier application was submitted, the outcome, the stage at which it was not taken forward, and the improvements made </w:t>
      </w:r>
      <w:proofErr w:type="gramStart"/>
      <w:r>
        <w:rPr>
          <w:sz w:val="22"/>
          <w:highlight w:val="yellow"/>
        </w:rPr>
        <w:t>since</w:t>
      </w:r>
      <w:proofErr w:type="gramEnd"/>
      <w:r>
        <w:rPr>
          <w:sz w:val="22"/>
          <w:highlight w:val="yellow"/>
        </w:rPr>
        <w:t xml:space="preserve"> should be described here.</w:t>
      </w:r>
    </w:p>
    <w:p w14:paraId="4A48ECF8" w14:textId="77777777" w:rsidR="000B674E" w:rsidRPr="000B674E" w:rsidRDefault="000B674E" w:rsidP="000B674E">
      <w:pPr>
        <w:rPr>
          <w:b/>
          <w:sz w:val="28"/>
          <w:szCs w:val="28"/>
          <w:lang w:val="en-GB"/>
        </w:rPr>
      </w:pPr>
    </w:p>
    <w:p w14:paraId="6AB7C147" w14:textId="77777777" w:rsidR="000B674E" w:rsidRPr="000B674E" w:rsidRDefault="000B674E" w:rsidP="000B674E">
      <w:pPr>
        <w:rPr>
          <w:b/>
          <w:sz w:val="28"/>
          <w:szCs w:val="28"/>
        </w:rPr>
      </w:pPr>
    </w:p>
    <w:p w14:paraId="267EC32C" w14:textId="77777777" w:rsidR="000B674E" w:rsidRPr="004257CD" w:rsidRDefault="000B674E" w:rsidP="004257CD">
      <w:pPr>
        <w:pStyle w:val="ListParagraph"/>
        <w:numPr>
          <w:ilvl w:val="0"/>
          <w:numId w:val="16"/>
        </w:numPr>
        <w:ind w:hanging="720"/>
        <w:jc w:val="both"/>
        <w:rPr>
          <w:b/>
          <w:sz w:val="28"/>
          <w:szCs w:val="28"/>
        </w:rPr>
      </w:pPr>
      <w:r>
        <w:rPr>
          <w:b/>
          <w:sz w:val="22"/>
          <w:szCs w:val="28"/>
        </w:rPr>
        <w:t>Declaration by Principal Investigator</w:t>
      </w:r>
    </w:p>
    <w:p w14:paraId="6812248E" w14:textId="77777777" w:rsidR="006649B7" w:rsidRPr="005B7246" w:rsidRDefault="006649B7" w:rsidP="00761106">
      <w:pPr>
        <w:jc w:val="both"/>
        <w:rPr>
          <w:lang w:val="en-GB"/>
        </w:rPr>
      </w:pPr>
    </w:p>
    <w:p w14:paraId="1B1156EC" w14:textId="77777777" w:rsidR="004257CD" w:rsidRPr="000B674E" w:rsidRDefault="000B674E" w:rsidP="00761106">
      <w:pPr>
        <w:spacing w:after="80"/>
        <w:jc w:val="both"/>
        <w:rPr>
          <w:iCs/>
          <w:lang w:val="en-GB"/>
        </w:rPr>
      </w:pPr>
      <w:r w:rsidRPr="000B674E">
        <w:rPr>
          <w:iCs/>
          <w:sz w:val="22"/>
        </w:rPr>
        <w:t xml:space="preserve">I declare that all the above information provided is true and complete to the best of my knowledge.  </w:t>
      </w:r>
    </w:p>
    <w:p w14:paraId="03404E77" w14:textId="77777777" w:rsidR="002F6BA7" w:rsidRDefault="002F6BA7" w:rsidP="00761106">
      <w:pPr>
        <w:jc w:val="both"/>
        <w:rPr>
          <w:lang w:val="en-GB"/>
        </w:rPr>
      </w:pPr>
    </w:p>
    <w:tbl>
      <w:tblPr>
        <w:tblStyle w:val="TableGrid"/>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57"/>
        <w:gridCol w:w="1559"/>
        <w:gridCol w:w="2977"/>
      </w:tblGrid>
      <w:tr w:rsidR="00032DAA" w:rsidRPr="00032DAA" w14:paraId="1137515F" w14:textId="77777777" w:rsidTr="00822801">
        <w:trPr>
          <w:trHeight w:val="1535"/>
        </w:trPr>
        <w:tc>
          <w:tcPr>
            <w:tcW w:w="4957" w:type="dxa"/>
            <w:tcBorders>
              <w:bottom w:val="single" w:sz="4" w:space="0" w:color="auto"/>
            </w:tcBorders>
          </w:tcPr>
          <w:p w14:paraId="550EDD95" w14:textId="77777777" w:rsidR="00032DAA" w:rsidRPr="00032DAA" w:rsidRDefault="00032DAA" w:rsidP="008F093C">
            <w:pPr>
              <w:spacing w:after="40"/>
              <w:rPr>
                <w:sz w:val="24"/>
                <w:szCs w:val="24"/>
              </w:rPr>
            </w:pPr>
          </w:p>
          <w:p w14:paraId="3657795E" w14:textId="77777777" w:rsidR="00032DAA" w:rsidRPr="00032DAA" w:rsidRDefault="00032DAA" w:rsidP="008F093C">
            <w:pPr>
              <w:spacing w:after="40"/>
              <w:rPr>
                <w:sz w:val="24"/>
                <w:szCs w:val="24"/>
              </w:rPr>
            </w:pPr>
          </w:p>
        </w:tc>
        <w:tc>
          <w:tcPr>
            <w:tcW w:w="1559" w:type="dxa"/>
          </w:tcPr>
          <w:p w14:paraId="54D7ECA1" w14:textId="77777777" w:rsidR="00032DAA" w:rsidRPr="00032DAA" w:rsidRDefault="00032DAA" w:rsidP="008F093C">
            <w:pPr>
              <w:spacing w:after="40"/>
              <w:jc w:val="both"/>
              <w:rPr>
                <w:sz w:val="24"/>
                <w:szCs w:val="24"/>
              </w:rPr>
            </w:pPr>
          </w:p>
        </w:tc>
        <w:tc>
          <w:tcPr>
            <w:tcW w:w="2977" w:type="dxa"/>
            <w:tcBorders>
              <w:bottom w:val="single" w:sz="4" w:space="0" w:color="auto"/>
            </w:tcBorders>
          </w:tcPr>
          <w:p w14:paraId="7A9DC263" w14:textId="77777777" w:rsidR="00032DAA" w:rsidRPr="00032DAA" w:rsidRDefault="00032DAA" w:rsidP="008F093C">
            <w:pPr>
              <w:spacing w:after="40"/>
              <w:rPr>
                <w:sz w:val="24"/>
                <w:szCs w:val="24"/>
              </w:rPr>
            </w:pPr>
          </w:p>
        </w:tc>
      </w:tr>
      <w:tr w:rsidR="00032DAA" w:rsidRPr="00032DAA" w14:paraId="7FF7D4E8" w14:textId="77777777" w:rsidTr="00032DAA">
        <w:trPr>
          <w:trHeight w:val="485"/>
        </w:trPr>
        <w:tc>
          <w:tcPr>
            <w:tcW w:w="4957" w:type="dxa"/>
            <w:tcBorders>
              <w:top w:val="single" w:sz="4" w:space="0" w:color="auto"/>
            </w:tcBorders>
          </w:tcPr>
          <w:p w14:paraId="1239514D" w14:textId="77777777" w:rsidR="00032DAA" w:rsidRPr="00032DAA" w:rsidRDefault="00032DAA" w:rsidP="008F093C">
            <w:pPr>
              <w:spacing w:after="40"/>
              <w:jc w:val="center"/>
              <w:rPr>
                <w:sz w:val="24"/>
                <w:szCs w:val="24"/>
              </w:rPr>
            </w:pPr>
            <w:r w:rsidRPr="00032DAA">
              <w:rPr>
                <w:sz w:val="18"/>
                <w:szCs w:val="24"/>
              </w:rPr>
              <w:t xml:space="preserve">Name and Signature of </w:t>
            </w:r>
            <w:r w:rsidR="00822801">
              <w:rPr>
                <w:sz w:val="18"/>
                <w:szCs w:val="24"/>
              </w:rPr>
              <w:t>Principal Investigator</w:t>
            </w:r>
          </w:p>
        </w:tc>
        <w:tc>
          <w:tcPr>
            <w:tcW w:w="1559" w:type="dxa"/>
          </w:tcPr>
          <w:p w14:paraId="3BF0BBC2" w14:textId="77777777" w:rsidR="00032DAA" w:rsidRPr="00032DAA" w:rsidRDefault="00032DAA" w:rsidP="008F093C">
            <w:pPr>
              <w:spacing w:after="40"/>
              <w:jc w:val="center"/>
              <w:rPr>
                <w:sz w:val="24"/>
                <w:szCs w:val="24"/>
              </w:rPr>
            </w:pPr>
          </w:p>
        </w:tc>
        <w:tc>
          <w:tcPr>
            <w:tcW w:w="2977" w:type="dxa"/>
            <w:tcBorders>
              <w:top w:val="single" w:sz="4" w:space="0" w:color="auto"/>
            </w:tcBorders>
          </w:tcPr>
          <w:p w14:paraId="1D5FD194" w14:textId="77777777" w:rsidR="00032DAA" w:rsidRPr="00032DAA" w:rsidRDefault="00032DAA" w:rsidP="008F093C">
            <w:pPr>
              <w:spacing w:after="40"/>
              <w:jc w:val="center"/>
              <w:rPr>
                <w:sz w:val="24"/>
                <w:szCs w:val="24"/>
              </w:rPr>
            </w:pPr>
            <w:r w:rsidRPr="00032DAA">
              <w:rPr>
                <w:sz w:val="18"/>
                <w:szCs w:val="24"/>
              </w:rPr>
              <w:t>Date</w:t>
            </w:r>
          </w:p>
        </w:tc>
      </w:tr>
    </w:tbl>
    <w:p w14:paraId="61AFC6AF" w14:textId="77777777" w:rsidR="000B674E" w:rsidRDefault="000B674E" w:rsidP="000B674E">
      <w:pPr>
        <w:ind w:left="709" w:hanging="709"/>
        <w:jc w:val="both"/>
        <w:rPr>
          <w:sz w:val="28"/>
          <w:szCs w:val="28"/>
          <w:lang w:val="en-GB"/>
        </w:rPr>
      </w:pPr>
    </w:p>
    <w:p w14:paraId="2F6611E6" w14:textId="77777777" w:rsidR="00822801" w:rsidRPr="000B674E" w:rsidRDefault="00822801" w:rsidP="000B674E">
      <w:pPr>
        <w:ind w:left="709" w:hanging="709"/>
        <w:jc w:val="both"/>
        <w:rPr>
          <w:sz w:val="28"/>
          <w:szCs w:val="28"/>
          <w:lang w:val="en-GB"/>
        </w:rPr>
      </w:pPr>
    </w:p>
    <w:p w14:paraId="79C974BA" w14:textId="77777777" w:rsidR="00032DAA" w:rsidRDefault="00000000" w:rsidP="00565A89">
      <w:pPr>
        <w:spacing w:after="80"/>
        <w:ind w:left="392" w:hanging="392"/>
        <w:jc w:val="both"/>
      </w:pPr>
      <w:sdt>
        <w:sdtPr>
          <w:rPr>
            <w:sz w:val="28"/>
            <w:szCs w:val="28"/>
          </w:rPr>
          <w:id w:val="831731642"/>
          <w14:checkbox>
            <w14:checked w14:val="0"/>
            <w14:checkedState w14:val="2611" w14:font="Aptos Narrow"/>
            <w14:uncheckedState w14:val="2610" w14:font="MS Gothic"/>
          </w14:checkbox>
        </w:sdtPr>
        <w:sdtContent>
          <w:r w:rsidR="008735E6">
            <w:rPr>
              <w:rFonts w:hint="eastAsia"/>
              <w:sz w:val="28"/>
              <w:szCs w:val="28"/>
            </w:rPr>
            <w:t>☐</w:t>
          </w:r>
        </w:sdtContent>
      </w:sdt>
      <w:r w:rsidR="00A96FFF">
        <w:rPr>
          <w:sz w:val="22"/>
        </w:rPr>
        <w:t xml:space="preserve"> </w:t>
      </w:r>
      <w:r w:rsidR="008014C9" w:rsidRPr="008014C9">
        <w:rPr>
          <w:sz w:val="22"/>
        </w:rPr>
        <w:t xml:space="preserve">Please tick if you are </w:t>
      </w:r>
      <w:r w:rsidR="000E2458">
        <w:rPr>
          <w:sz w:val="22"/>
        </w:rPr>
        <w:t xml:space="preserve">a </w:t>
      </w:r>
      <w:r w:rsidR="008014C9" w:rsidRPr="008014C9">
        <w:rPr>
          <w:sz w:val="22"/>
        </w:rPr>
        <w:t>research staff. Your supervisor’s endorsement of your application as Principal Investigator is required below.</w:t>
      </w:r>
    </w:p>
    <w:p w14:paraId="408FEB0C" w14:textId="77777777" w:rsidR="008735E6" w:rsidRDefault="008735E6" w:rsidP="00565A89">
      <w:pPr>
        <w:ind w:left="392" w:hanging="392"/>
      </w:pPr>
    </w:p>
    <w:p w14:paraId="6C38FF5A" w14:textId="77777777" w:rsidR="008735E6" w:rsidRDefault="00000000" w:rsidP="008735E6">
      <w:pPr>
        <w:spacing w:after="80"/>
        <w:ind w:left="392" w:hanging="392"/>
        <w:jc w:val="both"/>
        <w:rPr>
          <w:b/>
          <w:sz w:val="28"/>
          <w:szCs w:val="28"/>
          <w:lang w:val="en-GB"/>
        </w:rPr>
      </w:pPr>
      <w:sdt>
        <w:sdtPr>
          <w:rPr>
            <w:sz w:val="28"/>
            <w:szCs w:val="28"/>
          </w:rPr>
          <w:id w:val="-1579584192"/>
          <w14:checkbox>
            <w14:checked w14:val="0"/>
            <w14:checkedState w14:val="2611" w14:font="Aptos Narrow"/>
            <w14:uncheckedState w14:val="2610" w14:font="MS Gothic"/>
          </w14:checkbox>
        </w:sdtPr>
        <w:sdtContent>
          <w:r w:rsidR="007427D6">
            <w:rPr>
              <w:rFonts w:hint="eastAsia"/>
              <w:sz w:val="28"/>
              <w:szCs w:val="28"/>
            </w:rPr>
            <w:t>☐</w:t>
          </w:r>
        </w:sdtContent>
      </w:sdt>
      <w:r w:rsidR="008735E6">
        <w:rPr>
          <w:sz w:val="22"/>
        </w:rPr>
        <w:t xml:space="preserve"> </w:t>
      </w:r>
      <w:r w:rsidR="008735E6" w:rsidRPr="008014C9">
        <w:rPr>
          <w:sz w:val="22"/>
        </w:rPr>
        <w:t xml:space="preserve">Please tick if you are </w:t>
      </w:r>
      <w:r w:rsidR="008735E6">
        <w:rPr>
          <w:sz w:val="22"/>
        </w:rPr>
        <w:t>a PhD student</w:t>
      </w:r>
      <w:r w:rsidR="008735E6" w:rsidRPr="008014C9">
        <w:rPr>
          <w:sz w:val="22"/>
        </w:rPr>
        <w:t xml:space="preserve">. </w:t>
      </w:r>
      <w:r w:rsidR="008735E6">
        <w:rPr>
          <w:sz w:val="22"/>
        </w:rPr>
        <w:t xml:space="preserve">I confirm that my scholarship </w:t>
      </w:r>
      <w:r w:rsidR="00FE297B">
        <w:rPr>
          <w:sz w:val="22"/>
        </w:rPr>
        <w:t>allows</w:t>
      </w:r>
      <w:r w:rsidR="008735E6">
        <w:rPr>
          <w:sz w:val="22"/>
        </w:rPr>
        <w:t xml:space="preserve"> me to participate in this POC project</w:t>
      </w:r>
      <w:r w:rsidR="00FE297B">
        <w:rPr>
          <w:sz w:val="22"/>
        </w:rPr>
        <w:t xml:space="preserve">, and I will remain </w:t>
      </w:r>
      <w:r w:rsidR="00941A4F">
        <w:rPr>
          <w:sz w:val="22"/>
        </w:rPr>
        <w:t>in NTU</w:t>
      </w:r>
      <w:r w:rsidR="00FE297B">
        <w:rPr>
          <w:sz w:val="22"/>
        </w:rPr>
        <w:t xml:space="preserve"> until its completion.</w:t>
      </w:r>
      <w:r w:rsidR="008735E6">
        <w:rPr>
          <w:sz w:val="22"/>
        </w:rPr>
        <w:t xml:space="preserve"> </w:t>
      </w:r>
      <w:r w:rsidR="008735E6" w:rsidRPr="008014C9">
        <w:rPr>
          <w:sz w:val="22"/>
        </w:rPr>
        <w:t>Your supervisor’s endorsement of your application as Principal Investigator is required below.</w:t>
      </w:r>
    </w:p>
    <w:p w14:paraId="61A91149" w14:textId="77777777" w:rsidR="008735E6" w:rsidRDefault="008735E6" w:rsidP="00565A89">
      <w:pPr>
        <w:ind w:left="392" w:hanging="392"/>
        <w:rPr>
          <w:b/>
          <w:sz w:val="28"/>
          <w:szCs w:val="28"/>
          <w:lang w:val="en-GB"/>
        </w:rPr>
      </w:pPr>
    </w:p>
    <w:tbl>
      <w:tblPr>
        <w:tblStyle w:val="TableGrid"/>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57"/>
        <w:gridCol w:w="1559"/>
        <w:gridCol w:w="2977"/>
      </w:tblGrid>
      <w:tr w:rsidR="00822801" w:rsidRPr="00032DAA" w14:paraId="68CA6E2D" w14:textId="77777777" w:rsidTr="008F093C">
        <w:trPr>
          <w:trHeight w:val="1535"/>
        </w:trPr>
        <w:tc>
          <w:tcPr>
            <w:tcW w:w="4957" w:type="dxa"/>
            <w:tcBorders>
              <w:bottom w:val="single" w:sz="4" w:space="0" w:color="auto"/>
            </w:tcBorders>
          </w:tcPr>
          <w:p w14:paraId="2E090572" w14:textId="77777777" w:rsidR="00822801" w:rsidRPr="00032DAA" w:rsidRDefault="00822801" w:rsidP="008F093C">
            <w:pPr>
              <w:spacing w:after="40"/>
              <w:rPr>
                <w:sz w:val="24"/>
                <w:szCs w:val="24"/>
              </w:rPr>
            </w:pPr>
          </w:p>
          <w:p w14:paraId="2B22BDC8" w14:textId="77777777" w:rsidR="00822801" w:rsidRPr="00032DAA" w:rsidRDefault="00822801" w:rsidP="008F093C">
            <w:pPr>
              <w:spacing w:after="40"/>
              <w:rPr>
                <w:sz w:val="24"/>
                <w:szCs w:val="24"/>
              </w:rPr>
            </w:pPr>
          </w:p>
        </w:tc>
        <w:tc>
          <w:tcPr>
            <w:tcW w:w="1559" w:type="dxa"/>
          </w:tcPr>
          <w:p w14:paraId="6ED7738D" w14:textId="77777777" w:rsidR="00822801" w:rsidRPr="00032DAA" w:rsidRDefault="00822801" w:rsidP="008F093C">
            <w:pPr>
              <w:spacing w:after="40"/>
              <w:jc w:val="both"/>
              <w:rPr>
                <w:sz w:val="24"/>
                <w:szCs w:val="24"/>
              </w:rPr>
            </w:pPr>
          </w:p>
        </w:tc>
        <w:tc>
          <w:tcPr>
            <w:tcW w:w="2977" w:type="dxa"/>
            <w:tcBorders>
              <w:bottom w:val="single" w:sz="4" w:space="0" w:color="auto"/>
            </w:tcBorders>
          </w:tcPr>
          <w:p w14:paraId="5A78D684" w14:textId="77777777" w:rsidR="00822801" w:rsidRPr="00032DAA" w:rsidRDefault="00822801" w:rsidP="008F093C">
            <w:pPr>
              <w:spacing w:after="40"/>
              <w:rPr>
                <w:sz w:val="24"/>
                <w:szCs w:val="24"/>
              </w:rPr>
            </w:pPr>
          </w:p>
        </w:tc>
      </w:tr>
      <w:tr w:rsidR="00822801" w:rsidRPr="00032DAA" w14:paraId="7998B746" w14:textId="77777777" w:rsidTr="008F093C">
        <w:trPr>
          <w:trHeight w:val="485"/>
        </w:trPr>
        <w:tc>
          <w:tcPr>
            <w:tcW w:w="4957" w:type="dxa"/>
            <w:tcBorders>
              <w:top w:val="single" w:sz="4" w:space="0" w:color="auto"/>
            </w:tcBorders>
          </w:tcPr>
          <w:p w14:paraId="38F1A797" w14:textId="77777777" w:rsidR="00822801" w:rsidRPr="00032DAA" w:rsidRDefault="00822801" w:rsidP="008F093C">
            <w:pPr>
              <w:spacing w:after="40"/>
              <w:jc w:val="center"/>
              <w:rPr>
                <w:sz w:val="24"/>
                <w:szCs w:val="24"/>
              </w:rPr>
            </w:pPr>
            <w:r w:rsidRPr="00032DAA">
              <w:rPr>
                <w:sz w:val="18"/>
                <w:szCs w:val="24"/>
              </w:rPr>
              <w:t xml:space="preserve">Name and Signature of </w:t>
            </w:r>
            <w:r>
              <w:rPr>
                <w:sz w:val="18"/>
                <w:szCs w:val="24"/>
              </w:rPr>
              <w:t>Supervisor (Faculty)</w:t>
            </w:r>
          </w:p>
        </w:tc>
        <w:tc>
          <w:tcPr>
            <w:tcW w:w="1559" w:type="dxa"/>
          </w:tcPr>
          <w:p w14:paraId="29B70D45" w14:textId="77777777" w:rsidR="00822801" w:rsidRPr="00032DAA" w:rsidRDefault="00822801" w:rsidP="008F093C">
            <w:pPr>
              <w:spacing w:after="40"/>
              <w:jc w:val="center"/>
              <w:rPr>
                <w:sz w:val="24"/>
                <w:szCs w:val="24"/>
              </w:rPr>
            </w:pPr>
          </w:p>
        </w:tc>
        <w:tc>
          <w:tcPr>
            <w:tcW w:w="2977" w:type="dxa"/>
            <w:tcBorders>
              <w:top w:val="single" w:sz="4" w:space="0" w:color="auto"/>
            </w:tcBorders>
          </w:tcPr>
          <w:p w14:paraId="6E84D97E" w14:textId="77777777" w:rsidR="00822801" w:rsidRPr="00032DAA" w:rsidRDefault="00822801" w:rsidP="008F093C">
            <w:pPr>
              <w:spacing w:after="40"/>
              <w:jc w:val="center"/>
              <w:rPr>
                <w:sz w:val="24"/>
                <w:szCs w:val="24"/>
              </w:rPr>
            </w:pPr>
            <w:r w:rsidRPr="00032DAA">
              <w:rPr>
                <w:sz w:val="18"/>
                <w:szCs w:val="24"/>
              </w:rPr>
              <w:t>Date</w:t>
            </w:r>
          </w:p>
        </w:tc>
      </w:tr>
    </w:tbl>
    <w:p w14:paraId="72BBE60C" w14:textId="77777777" w:rsidR="000B674E" w:rsidRDefault="000B674E">
      <w:pPr>
        <w:rPr>
          <w:b/>
          <w:sz w:val="28"/>
          <w:szCs w:val="28"/>
          <w:lang w:val="en-GB"/>
        </w:rPr>
      </w:pPr>
      <w:r>
        <w:rPr>
          <w:b/>
          <w:sz w:val="22"/>
          <w:szCs w:val="28"/>
          <w:lang w:val="en-GB"/>
        </w:rPr>
        <w:br w:type="page"/>
      </w:r>
    </w:p>
    <w:p w14:paraId="2D7550AC" w14:textId="77777777" w:rsidR="004257CD" w:rsidRDefault="004257CD" w:rsidP="00761106">
      <w:pPr>
        <w:jc w:val="both"/>
        <w:rPr>
          <w:b/>
          <w:lang w:val="en-GB"/>
        </w:rPr>
      </w:pPr>
      <w:r w:rsidRPr="004257CD">
        <w:rPr>
          <w:b/>
          <w:sz w:val="22"/>
          <w:szCs w:val="28"/>
          <w:lang w:val="en-GB"/>
        </w:rPr>
        <w:lastRenderedPageBreak/>
        <w:t>ANNEX A</w:t>
      </w:r>
    </w:p>
    <w:p w14:paraId="08A4A922" w14:textId="77777777" w:rsidR="004257CD" w:rsidRDefault="004257CD" w:rsidP="00761106">
      <w:pPr>
        <w:jc w:val="both"/>
        <w:rPr>
          <w:lang w:val="en-GB"/>
        </w:rPr>
      </w:pPr>
    </w:p>
    <w:p w14:paraId="2FF93E3E" w14:textId="77777777" w:rsidR="004257CD" w:rsidRPr="004257CD" w:rsidRDefault="006419F0" w:rsidP="00761106">
      <w:pPr>
        <w:spacing w:after="80"/>
        <w:jc w:val="both"/>
        <w:rPr>
          <w:lang w:val="en-GB"/>
        </w:rPr>
      </w:pPr>
      <w:r>
        <w:rPr>
          <w:sz w:val="22"/>
          <w:lang w:val="en-GB"/>
        </w:rPr>
        <w:t xml:space="preserve">It is compulsory to </w:t>
      </w:r>
      <w:r w:rsidR="004257CD" w:rsidRPr="004257CD">
        <w:rPr>
          <w:sz w:val="22"/>
          <w:lang w:val="en-GB"/>
        </w:rPr>
        <w:t>fill in the Business Model Canvas</w:t>
      </w:r>
      <w:r>
        <w:rPr>
          <w:sz w:val="22"/>
          <w:lang w:val="en-GB"/>
        </w:rPr>
        <w:t xml:space="preserve"> for your project</w:t>
      </w:r>
      <w:r w:rsidR="004257CD">
        <w:rPr>
          <w:sz w:val="22"/>
          <w:lang w:val="en-GB"/>
        </w:rPr>
        <w:t xml:space="preserve">. </w:t>
      </w:r>
      <w:r>
        <w:rPr>
          <w:sz w:val="22"/>
          <w:lang w:val="en-GB"/>
        </w:rPr>
        <w:t>You may submit in a separate sheet due to space constraint.</w:t>
      </w:r>
    </w:p>
    <w:p w14:paraId="07D58F8B" w14:textId="77777777" w:rsidR="004257CD" w:rsidRDefault="004257CD" w:rsidP="00761106">
      <w:pPr>
        <w:jc w:val="both"/>
        <w:rPr>
          <w:b/>
          <w:lang w:val="en-GB"/>
        </w:rPr>
      </w:pPr>
    </w:p>
    <w:p w14:paraId="26F071C2" w14:textId="77777777" w:rsidR="006419F0" w:rsidRDefault="006419F0" w:rsidP="006419F0">
      <w:pPr>
        <w:jc w:val="both"/>
        <w:rPr>
          <w:b/>
          <w:sz w:val="28"/>
          <w:szCs w:val="28"/>
          <w:lang w:val="en-GB"/>
        </w:rPr>
      </w:pPr>
      <w:r>
        <w:rPr>
          <w:b/>
          <w:sz w:val="22"/>
        </w:rPr>
        <w:t>Designed for: CatchWise: Edge-AI Event &amp; Anomaly Capture for Monitoring Systems</w:t>
      </w:r>
    </w:p>
    <w:p w14:paraId="7148E409" w14:textId="77777777" w:rsidR="006419F0" w:rsidRPr="006419F0" w:rsidRDefault="006419F0" w:rsidP="006419F0">
      <w:pPr>
        <w:rPr>
          <w:b/>
          <w:sz w:val="28"/>
          <w:szCs w:val="28"/>
          <w:lang w:val="en-GB"/>
        </w:rPr>
      </w:pPr>
    </w:p>
    <w:tbl>
      <w:tblPr>
        <w:tblStyle w:val="TableGrid"/>
        <w:tblW w:w="9242" w:type="dxa"/>
        <w:tblLayout w:type="fixed"/>
        <w:tblLook w:val="04A0" w:firstRow="1" w:lastRow="0" w:firstColumn="1" w:lastColumn="0" w:noHBand="0" w:noVBand="1"/>
      </w:tblPr>
      <w:tblGrid>
        <w:gridCol w:w="1848"/>
        <w:gridCol w:w="1848"/>
        <w:gridCol w:w="926"/>
        <w:gridCol w:w="922"/>
        <w:gridCol w:w="1849"/>
        <w:gridCol w:w="1849"/>
      </w:tblGrid>
      <w:tr w:rsidR="006419F0" w14:paraId="2F50C5C5" w14:textId="77777777" w:rsidTr="006419F0">
        <w:trPr>
          <w:trHeight w:val="1961"/>
        </w:trPr>
        <w:tc>
          <w:tcPr>
            <w:tcW w:w="1924" w:type="dxa"/>
            <w:vMerge w:val="restart"/>
          </w:tcPr>
          <w:p w14:paraId="14610ED4" w14:textId="77777777" w:rsidR="00C0740F" w:rsidRDefault="00000000">
            <w:pPr>
              <w:spacing w:after="50"/>
            </w:pPr>
            <w:r>
              <w:rPr>
                <w:b/>
                <w:sz w:val="18"/>
              </w:rPr>
              <w:t>Key Partners</w:t>
            </w:r>
          </w:p>
          <w:p w14:paraId="6A82A1AC" w14:textId="77777777" w:rsidR="00C0740F" w:rsidRDefault="00000000">
            <w:pPr>
              <w:spacing w:after="40"/>
            </w:pPr>
            <w:r>
              <w:rPr>
                <w:sz w:val="18"/>
              </w:rPr>
              <w:t xml:space="preserve">Monitoring equipment manufacturers with design authority, who embed the module in their own nodes. First-engagement candidates: </w:t>
            </w:r>
            <w:r>
              <w:rPr>
                <w:sz w:val="18"/>
                <w:highlight w:val="yellow"/>
              </w:rPr>
              <w:t>Ackcio, SensingTech, Geokon, Chengdu Zhongke Ce Kong, MATGEO (not confirmed).</w:t>
            </w:r>
          </w:p>
          <w:p w14:paraId="30812857" w14:textId="77777777" w:rsidR="00C0740F" w:rsidRDefault="00000000">
            <w:pPr>
              <w:spacing w:after="40"/>
            </w:pPr>
            <w:r>
              <w:rPr>
                <w:sz w:val="18"/>
              </w:rPr>
              <w:t xml:space="preserve">Field users and service providers who validate the buying reason: </w:t>
            </w:r>
            <w:r>
              <w:rPr>
                <w:sz w:val="18"/>
                <w:highlight w:val="yellow"/>
              </w:rPr>
              <w:t>Geomotion, Ryobi-G, Smart Sensing, industrial maintenance teams (not confirmed).</w:t>
            </w:r>
          </w:p>
          <w:p w14:paraId="65F557D0" w14:textId="77777777" w:rsidR="00C0740F" w:rsidRDefault="00000000">
            <w:pPr>
              <w:spacing w:after="40"/>
            </w:pPr>
            <w:r>
              <w:rPr>
                <w:sz w:val="18"/>
              </w:rPr>
              <w:t>Contract electronics manufacturers for board fabrication and assembly.</w:t>
            </w:r>
          </w:p>
          <w:p w14:paraId="1036A7F9" w14:textId="77777777" w:rsidR="00C0740F" w:rsidRDefault="00000000">
            <w:pPr>
              <w:spacing w:after="40"/>
            </w:pPr>
            <w:r>
              <w:rPr>
                <w:sz w:val="18"/>
              </w:rPr>
              <w:t>NTUitive, for IP, licensing terms and company-formation assessment.</w:t>
            </w:r>
          </w:p>
          <w:p w14:paraId="1BD6B408" w14:textId="77777777" w:rsidR="00C0740F" w:rsidRDefault="00000000">
            <w:pPr>
              <w:spacing w:after="40"/>
            </w:pPr>
            <w:r>
              <w:rPr>
                <w:sz w:val="18"/>
              </w:rPr>
              <w:t>Distributors and system integrators for Southeast Asia and China.</w:t>
            </w:r>
          </w:p>
        </w:tc>
        <w:tc>
          <w:tcPr>
            <w:tcW w:w="1924" w:type="dxa"/>
          </w:tcPr>
          <w:p w14:paraId="16C54FB4" w14:textId="77777777" w:rsidR="00C0740F" w:rsidRDefault="00000000">
            <w:pPr>
              <w:spacing w:after="50"/>
            </w:pPr>
            <w:r>
              <w:rPr>
                <w:b/>
                <w:sz w:val="18"/>
              </w:rPr>
              <w:t>Key Activities</w:t>
            </w:r>
          </w:p>
          <w:p w14:paraId="2A8F7A18" w14:textId="77777777" w:rsidR="00C0740F" w:rsidRDefault="00000000">
            <w:pPr>
              <w:spacing w:after="40"/>
            </w:pPr>
            <w:r>
              <w:rPr>
                <w:sz w:val="18"/>
              </w:rPr>
              <w:t>Module and firmware development: event-driven acquisition path and adaptive triggering layer.</w:t>
            </w:r>
          </w:p>
          <w:p w14:paraId="5D4BAC0E" w14:textId="77777777" w:rsidR="00C0740F" w:rsidRDefault="00000000">
            <w:pPr>
              <w:spacing w:after="40"/>
            </w:pPr>
            <w:r>
              <w:rPr>
                <w:sz w:val="18"/>
              </w:rPr>
              <w:t>Benchmarking against periodic sampling and fixed-threshold triggering.</w:t>
            </w:r>
          </w:p>
          <w:p w14:paraId="3B147DE9" w14:textId="77777777" w:rsidR="00C0740F" w:rsidRDefault="00000000">
            <w:pPr>
              <w:spacing w:after="40"/>
            </w:pPr>
            <w:r>
              <w:rPr>
                <w:sz w:val="18"/>
              </w:rPr>
              <w:t>Interface specification, integration support and device-level test guidance.</w:t>
            </w:r>
          </w:p>
          <w:p w14:paraId="1C2F31E8" w14:textId="77777777" w:rsidR="00C0740F" w:rsidRDefault="00000000">
            <w:pPr>
              <w:spacing w:after="40"/>
            </w:pPr>
            <w:r>
              <w:rPr>
                <w:sz w:val="18"/>
              </w:rPr>
              <w:t>Pilot deployment and customer discovery.</w:t>
            </w:r>
          </w:p>
          <w:p w14:paraId="599A5816" w14:textId="77777777" w:rsidR="00C0740F" w:rsidRDefault="00000000">
            <w:pPr>
              <w:spacing w:after="40"/>
            </w:pPr>
            <w:r>
              <w:rPr>
                <w:sz w:val="18"/>
              </w:rPr>
              <w:t>IP management and licensing preparation.</w:t>
            </w:r>
          </w:p>
        </w:tc>
        <w:tc>
          <w:tcPr>
            <w:tcW w:w="1924" w:type="dxa"/>
            <w:gridSpan w:val="2"/>
            <w:vMerge w:val="restart"/>
          </w:tcPr>
          <w:p>
            <w:pPr>
              <w:spacing w:after="60"/>
              <w:jc w:val="left"/>
            </w:pPr>
            <w:r/>
            <w:r>
              <w:rPr>
                <w:b/>
                <w:sz w:val="18"/>
              </w:rPr>
              <w:t>Value Propositions</w:t>
            </w:r>
          </w:p>
          <w:p>
            <w:pPr>
              <w:spacing w:after="60"/>
              <w:jc w:val="left"/>
            </w:pPr>
            <w:r>
              <w:rPr>
                <w:b w:val="0"/>
                <w:sz w:val="18"/>
              </w:rPr>
              <w:t>Core: the system notices what matters. Missed detections are held close to zero for the selected event class while false alarms and irrelevant records are progressively suppressed, and the detection decision keeps correcting itself in the field instead of drifting away from the settings chosen at commissioning.</w:t>
            </w:r>
          </w:p>
          <w:p>
            <w:pPr>
              <w:spacing w:after="60"/>
              <w:jc w:val="left"/>
            </w:pPr>
            <w:r>
              <w:rPr>
                <w:b w:val="0"/>
                <w:sz w:val="18"/>
              </w:rPr>
              <w:t>The node can state its own detection quality, including an estimate of what it is likely to be missing, which a fixed-threshold device cannot do because its missed events leave no trace.</w:t>
            </w:r>
          </w:p>
          <w:p>
            <w:pPr>
              <w:spacing w:after="60"/>
              <w:jc w:val="left"/>
            </w:pPr>
            <w:r>
              <w:rPr>
                <w:b w:val="0"/>
                <w:sz w:val="18"/>
              </w:rPr>
              <w:t>For equipment manufacturers: a detection and capture function added to an existing product line without designing, tuning and validating the workflow from scratch, and without replacing their processor, radio, power design or enclosure.</w:t>
            </w:r>
          </w:p>
          <w:p>
            <w:pPr>
              <w:spacing w:after="60"/>
              <w:jc w:val="left"/>
            </w:pPr>
            <w:r>
              <w:rPr>
                <w:b w:val="0"/>
                <w:sz w:val="18"/>
              </w:rPr>
              <w:t>For field users: dependable evidence of the critical moment for incident review, maintenance action and complaint response, with less battery, storage, bandwidth and staff attention spent on records nobody needs.</w:t>
            </w:r>
          </w:p>
        </w:tc>
        <w:tc>
          <w:tcPr>
            <w:tcW w:w="1925" w:type="dxa"/>
          </w:tcPr>
          <w:p w14:paraId="1F75070B" w14:textId="77777777" w:rsidR="00C0740F" w:rsidRDefault="00000000">
            <w:pPr>
              <w:spacing w:after="50"/>
            </w:pPr>
            <w:r>
              <w:rPr>
                <w:b/>
                <w:sz w:val="18"/>
              </w:rPr>
              <w:t>Customer Relationships</w:t>
            </w:r>
          </w:p>
          <w:p w14:paraId="679BF57A" w14:textId="77777777" w:rsidR="00C0740F" w:rsidRDefault="00000000">
            <w:pPr>
              <w:spacing w:after="40"/>
            </w:pPr>
            <w:r>
              <w:rPr>
                <w:sz w:val="18"/>
              </w:rPr>
              <w:t>Joint development and co-validation with the first equipment manufacturer, defining the interface together.</w:t>
            </w:r>
          </w:p>
          <w:p w14:paraId="65254A45" w14:textId="77777777" w:rsidR="00C0740F" w:rsidRDefault="00000000">
            <w:pPr>
              <w:spacing w:after="40"/>
            </w:pPr>
            <w:r>
              <w:rPr>
                <w:sz w:val="18"/>
              </w:rPr>
              <w:t>Paid interface and driver adaptation, with support during device-level testing.</w:t>
            </w:r>
          </w:p>
          <w:p w14:paraId="629F2A0E" w14:textId="77777777" w:rsidR="00C0740F" w:rsidRDefault="00000000">
            <w:pPr>
              <w:spacing w:after="40"/>
            </w:pPr>
            <w:r>
              <w:rPr>
                <w:sz w:val="18"/>
              </w:rPr>
              <w:t>Continuing supply or licensing relationship, with firmware updates and configuration tooling.</w:t>
            </w:r>
          </w:p>
          <w:p w14:paraId="0F1D57FF" w14:textId="77777777" w:rsidR="00C0740F" w:rsidRDefault="00000000">
            <w:pPr>
              <w:spacing w:after="40"/>
            </w:pPr>
            <w:r>
              <w:rPr>
                <w:sz w:val="18"/>
              </w:rPr>
              <w:t>Pilot support for field users through a complete pilot node.</w:t>
            </w:r>
          </w:p>
        </w:tc>
        <w:tc>
          <w:tcPr>
            <w:tcW w:w="1925" w:type="dxa"/>
            <w:vMerge w:val="restart"/>
          </w:tcPr>
          <w:p w14:paraId="73C57D3E" w14:textId="77777777" w:rsidR="00C0740F" w:rsidRDefault="00000000">
            <w:pPr>
              <w:spacing w:after="50"/>
            </w:pPr>
            <w:r>
              <w:rPr>
                <w:b/>
                <w:sz w:val="18"/>
              </w:rPr>
              <w:t>Customer Segments</w:t>
            </w:r>
          </w:p>
          <w:p w14:paraId="7A62A8C8" w14:textId="77777777" w:rsidR="00C0740F" w:rsidRDefault="00000000">
            <w:pPr>
              <w:spacing w:after="40"/>
            </w:pPr>
            <w:r>
              <w:rPr>
                <w:sz w:val="18"/>
              </w:rPr>
              <w:t>Primary: monitoring equipment manufacturers, industrial wireless sensing suppliers and condition-monitoring product companies holding design authority.</w:t>
            </w:r>
          </w:p>
          <w:p w14:paraId="35F20B33" w14:textId="77777777" w:rsidR="00C0740F" w:rsidRDefault="00000000">
            <w:pPr>
              <w:spacing w:after="40"/>
            </w:pPr>
            <w:r>
              <w:rPr>
                <w:sz w:val="18"/>
              </w:rPr>
              <w:t xml:space="preserve">Secondary: monitoring service providers, contractors, industrial maintenance teams, logistics users, </w:t>
            </w:r>
            <w:proofErr w:type="gramStart"/>
            <w:r>
              <w:rPr>
                <w:sz w:val="18"/>
              </w:rPr>
              <w:t>asset</w:t>
            </w:r>
            <w:proofErr w:type="gramEnd"/>
            <w:r>
              <w:rPr>
                <w:sz w:val="18"/>
              </w:rPr>
              <w:t xml:space="preserve"> and project owners.</w:t>
            </w:r>
          </w:p>
          <w:p w14:paraId="21A477D3" w14:textId="77777777" w:rsidR="00C0740F" w:rsidRDefault="00000000">
            <w:pPr>
              <w:spacing w:after="40"/>
            </w:pPr>
            <w:r>
              <w:rPr>
                <w:sz w:val="18"/>
              </w:rPr>
              <w:t>Focus applications: construction vibration, structural and civil-asset response, transport and shock monitoring, industrial equipment anomalies.</w:t>
            </w:r>
          </w:p>
          <w:p w14:paraId="3D959A64" w14:textId="77777777" w:rsidR="00C0740F" w:rsidRDefault="00000000">
            <w:pPr>
              <w:spacing w:after="40"/>
            </w:pPr>
            <w:r>
              <w:rPr>
                <w:sz w:val="18"/>
              </w:rPr>
              <w:t>Geography: Singapore beachhead, Southeast Asia replication, China scale-up.</w:t>
            </w:r>
          </w:p>
        </w:tc>
      </w:tr>
      <w:tr w:rsidR="006419F0" w14:paraId="558D7A3F" w14:textId="77777777" w:rsidTr="006419F0">
        <w:trPr>
          <w:trHeight w:val="1976"/>
        </w:trPr>
        <w:tc>
          <w:tcPr>
            <w:tcW w:w="1924" w:type="dxa"/>
            <w:vMerge/>
          </w:tcPr>
          <w:p w14:paraId="48BFEF6E" w14:textId="77777777" w:rsidR="006419F0" w:rsidRDefault="006419F0" w:rsidP="006419F0">
            <w:pPr>
              <w:jc w:val="center"/>
              <w:rPr>
                <w:b/>
                <w:lang w:val="en-GB"/>
              </w:rPr>
            </w:pPr>
          </w:p>
        </w:tc>
        <w:tc>
          <w:tcPr>
            <w:tcW w:w="1924" w:type="dxa"/>
          </w:tcPr>
          <w:p>
            <w:pPr>
              <w:spacing w:after="60"/>
              <w:jc w:val="left"/>
            </w:pPr>
            <w:r/>
            <w:r>
              <w:rPr>
                <w:b/>
                <w:sz w:val="18"/>
              </w:rPr>
              <w:t>Key Resources</w:t>
            </w:r>
          </w:p>
          <w:p>
            <w:pPr>
              <w:spacing w:after="60"/>
              <w:jc w:val="left"/>
            </w:pPr>
            <w:r>
              <w:rPr>
                <w:b w:val="0"/>
                <w:sz w:val="18"/>
              </w:rPr>
              <w:t>The adaptive detection method and the implementation know-how that makes it run under microcontroller constraints.</w:t>
            </w:r>
          </w:p>
          <w:p>
            <w:pPr>
              <w:spacing w:after="60"/>
              <w:jc w:val="left"/>
            </w:pPr>
            <w:r>
              <w:rPr>
                <w:b w:val="0"/>
                <w:sz w:val="18"/>
              </w:rPr>
              <w:t>Wireless sensing node platform and embedded computing middleware.</w:t>
            </w:r>
          </w:p>
          <w:p>
            <w:pPr>
              <w:spacing w:after="60"/>
              <w:jc w:val="left"/>
            </w:pPr>
            <w:r>
              <w:rPr>
                <w:b w:val="0"/>
                <w:sz w:val="18"/>
              </w:rPr>
              <w:t>Laboratory testbeds and instrumentation for detection-quality, timing and energy measurement.</w:t>
            </w:r>
          </w:p>
          <w:p>
            <w:pPr>
              <w:spacing w:after="60"/>
              <w:jc w:val="left"/>
            </w:pPr>
            <w:r>
              <w:rPr>
                <w:b w:val="0"/>
                <w:sz w:val="18"/>
              </w:rPr>
              <w:t>Research team spanning wireless sensing, edge intelligence and asset monitoring.</w:t>
            </w:r>
          </w:p>
          <w:p>
            <w:pPr>
              <w:spacing w:after="60"/>
              <w:jc w:val="left"/>
            </w:pPr>
            <w:r>
              <w:rPr>
                <w:b w:val="0"/>
                <w:sz w:val="18"/>
              </w:rPr>
              <w:t>Published validation of the method, supporting the performance claims.</w:t>
            </w:r>
          </w:p>
        </w:tc>
        <w:tc>
          <w:tcPr>
            <w:tcW w:w="1924" w:type="dxa"/>
            <w:gridSpan w:val="2"/>
            <w:vMerge/>
          </w:tcPr>
          <w:p w14:paraId="2E26AA49" w14:textId="77777777" w:rsidR="006419F0" w:rsidRDefault="006419F0" w:rsidP="006419F0">
            <w:pPr>
              <w:jc w:val="center"/>
              <w:rPr>
                <w:b/>
                <w:lang w:val="en-GB"/>
              </w:rPr>
            </w:pPr>
          </w:p>
        </w:tc>
        <w:tc>
          <w:tcPr>
            <w:tcW w:w="1925" w:type="dxa"/>
          </w:tcPr>
          <w:p w14:paraId="1C5F8624" w14:textId="77777777" w:rsidR="00C0740F" w:rsidRDefault="00000000">
            <w:pPr>
              <w:spacing w:after="50"/>
            </w:pPr>
            <w:r>
              <w:rPr>
                <w:b/>
                <w:sz w:val="18"/>
              </w:rPr>
              <w:t>Channels</w:t>
            </w:r>
          </w:p>
          <w:p w14:paraId="17A9E1D5" w14:textId="77777777" w:rsidR="00C0740F" w:rsidRDefault="00000000">
            <w:pPr>
              <w:spacing w:after="40"/>
            </w:pPr>
            <w:r>
              <w:rPr>
                <w:sz w:val="18"/>
              </w:rPr>
              <w:t>Direct engagement with equipment manufacturers, who carry the capability into their products.</w:t>
            </w:r>
          </w:p>
          <w:p w14:paraId="6B49582E" w14:textId="77777777" w:rsidR="00C0740F" w:rsidRDefault="00000000">
            <w:pPr>
              <w:spacing w:after="40"/>
            </w:pPr>
            <w:r>
              <w:rPr>
                <w:sz w:val="18"/>
              </w:rPr>
              <w:t>Pilot nodes supplied directly to field users for validation.</w:t>
            </w:r>
          </w:p>
          <w:p w14:paraId="77C8D890" w14:textId="77777777" w:rsidR="00C0740F" w:rsidRDefault="00000000">
            <w:pPr>
              <w:spacing w:after="40"/>
            </w:pPr>
            <w:r>
              <w:rPr>
                <w:sz w:val="18"/>
              </w:rPr>
              <w:t>Licensing through NTUitive for software-only or technology licensing.</w:t>
            </w:r>
          </w:p>
          <w:p w14:paraId="6F291641" w14:textId="77777777" w:rsidR="00C0740F" w:rsidRDefault="00000000">
            <w:pPr>
              <w:spacing w:after="40"/>
            </w:pPr>
            <w:r>
              <w:rPr>
                <w:sz w:val="18"/>
              </w:rPr>
              <w:t>Regional distributors and integrators after the Singapore proof.</w:t>
            </w:r>
          </w:p>
        </w:tc>
        <w:tc>
          <w:tcPr>
            <w:tcW w:w="1925" w:type="dxa"/>
            <w:vMerge/>
          </w:tcPr>
          <w:p w14:paraId="1647A4E4" w14:textId="77777777" w:rsidR="006419F0" w:rsidRDefault="006419F0" w:rsidP="006419F0">
            <w:pPr>
              <w:jc w:val="center"/>
              <w:rPr>
                <w:b/>
                <w:lang w:val="en-GB"/>
              </w:rPr>
            </w:pPr>
          </w:p>
        </w:tc>
      </w:tr>
      <w:tr w:rsidR="006419F0" w14:paraId="79F22780" w14:textId="77777777" w:rsidTr="00B902EC">
        <w:trPr>
          <w:trHeight w:val="2313"/>
        </w:trPr>
        <w:tc>
          <w:tcPr>
            <w:tcW w:w="4811" w:type="dxa"/>
            <w:gridSpan w:val="3"/>
          </w:tcPr>
          <w:p w14:paraId="2F979E4D" w14:textId="77777777" w:rsidR="00C0740F" w:rsidRDefault="00000000">
            <w:pPr>
              <w:spacing w:after="50"/>
            </w:pPr>
            <w:r>
              <w:rPr>
                <w:b/>
                <w:sz w:val="18"/>
              </w:rPr>
              <w:lastRenderedPageBreak/>
              <w:t>Cost Structure</w:t>
            </w:r>
          </w:p>
          <w:p w14:paraId="66A0BA86" w14:textId="77777777" w:rsidR="00C0740F" w:rsidRDefault="00000000">
            <w:pPr>
              <w:spacing w:after="40"/>
            </w:pPr>
            <w:r>
              <w:rPr>
                <w:sz w:val="18"/>
              </w:rPr>
              <w:t>Development, dominant in the early phase: engineering manpower for hardware, firmware and validation; prototype fabrication across design iterations; test, characterisation and design-for-manufacture review.</w:t>
            </w:r>
          </w:p>
          <w:p w14:paraId="3F209C9E" w14:textId="77777777" w:rsidR="00C0740F" w:rsidRDefault="00000000">
            <w:pPr>
              <w:spacing w:after="40"/>
            </w:pPr>
            <w:r>
              <w:rPr>
                <w:sz w:val="18"/>
              </w:rPr>
              <w:t>Delivery: module bill of materials and assembly; interface and driver adaptation per customer; documentation and technical support.</w:t>
            </w:r>
          </w:p>
          <w:p w14:paraId="61252F7D" w14:textId="77777777" w:rsidR="00C0740F" w:rsidRDefault="00000000">
            <w:pPr>
              <w:spacing w:after="40"/>
            </w:pPr>
            <w:r>
              <w:rPr>
                <w:sz w:val="18"/>
              </w:rPr>
              <w:t>Commercial: IP maintenance and licensing, customer discovery, pilot deployment and partner engagement.</w:t>
            </w:r>
          </w:p>
          <w:p w14:paraId="6A9BC34C" w14:textId="77777777" w:rsidR="00C0740F" w:rsidRDefault="00000000">
            <w:pPr>
              <w:spacing w:after="40"/>
            </w:pPr>
            <w:r>
              <w:rPr>
                <w:sz w:val="18"/>
              </w:rPr>
              <w:t>Cost is driven by one-off development and per-customer integration rather than unit manufacturing, so margin improves as the same capability is reused across product lines.</w:t>
            </w:r>
          </w:p>
        </w:tc>
        <w:tc>
          <w:tcPr>
            <w:tcW w:w="4811" w:type="dxa"/>
            <w:gridSpan w:val="3"/>
          </w:tcPr>
          <w:p w14:paraId="74A0223B" w14:textId="77777777" w:rsidR="00C0740F" w:rsidRDefault="00000000">
            <w:pPr>
              <w:spacing w:after="60"/>
            </w:pPr>
            <w:r>
              <w:rPr>
                <w:b/>
                <w:sz w:val="18"/>
              </w:rPr>
              <w:t>Revenue Streams</w:t>
            </w:r>
          </w:p>
          <w:p w14:paraId="3E4E39A7" w14:textId="77777777" w:rsidR="00C0740F" w:rsidRDefault="00000000">
            <w:pPr>
              <w:spacing w:after="60"/>
            </w:pPr>
            <w:r>
              <w:rPr>
                <w:sz w:val="18"/>
              </w:rPr>
              <w:t xml:space="preserve">Module supply with firmware, indicative average selling price </w:t>
            </w:r>
            <w:r>
              <w:rPr>
                <w:sz w:val="18"/>
                <w:highlight w:val="yellow"/>
              </w:rPr>
              <w:t>S$120 per module (illustrative, to be confirmed by customer discovery).</w:t>
            </w:r>
          </w:p>
          <w:p w14:paraId="5A069E33" w14:textId="77777777" w:rsidR="00C0740F" w:rsidRDefault="00000000">
            <w:pPr>
              <w:spacing w:after="60"/>
            </w:pPr>
            <w:r>
              <w:rPr>
                <w:sz w:val="18"/>
              </w:rPr>
              <w:t xml:space="preserve">Paid interface and driver adaptation, indicative </w:t>
            </w:r>
            <w:r>
              <w:rPr>
                <w:sz w:val="18"/>
                <w:highlight w:val="yellow"/>
              </w:rPr>
              <w:t>S$20,000 per integration project (illustrative).</w:t>
            </w:r>
          </w:p>
          <w:p w14:paraId="4AEFDEE5" w14:textId="77777777" w:rsidR="00C0740F" w:rsidRDefault="00000000">
            <w:pPr>
              <w:spacing w:after="60"/>
            </w:pPr>
            <w:r>
              <w:rPr>
                <w:sz w:val="18"/>
              </w:rPr>
              <w:t>Software-only licensing where the customer's hardware is already compatible.</w:t>
            </w:r>
          </w:p>
          <w:p w14:paraId="6F46E542" w14:textId="77777777" w:rsidR="00C0740F" w:rsidRDefault="00000000">
            <w:pPr>
              <w:spacing w:after="60"/>
            </w:pPr>
            <w:r>
              <w:rPr>
                <w:sz w:val="18"/>
              </w:rPr>
              <w:t xml:space="preserve">Technology licensing to established equipment manufacturers, </w:t>
            </w:r>
            <w:proofErr w:type="gramStart"/>
            <w:r>
              <w:rPr>
                <w:sz w:val="18"/>
              </w:rPr>
              <w:t>on the basis of</w:t>
            </w:r>
            <w:proofErr w:type="gramEnd"/>
            <w:r>
              <w:rPr>
                <w:sz w:val="18"/>
              </w:rPr>
              <w:t xml:space="preserve"> know-how and any intellectual property arising from the project.</w:t>
            </w:r>
          </w:p>
          <w:p w14:paraId="0DD60EAA" w14:textId="77777777" w:rsidR="00C0740F" w:rsidRDefault="00000000">
            <w:pPr>
              <w:spacing w:after="60"/>
            </w:pPr>
            <w:r>
              <w:rPr>
                <w:sz w:val="18"/>
              </w:rPr>
              <w:t>Joint-development or non-recurring engineering fees for customer-specific integration.</w:t>
            </w:r>
          </w:p>
          <w:p w14:paraId="67FD42A2" w14:textId="77777777" w:rsidR="00C0740F" w:rsidRDefault="00000000">
            <w:pPr>
              <w:spacing w:after="60"/>
            </w:pPr>
            <w:r>
              <w:rPr>
                <w:sz w:val="18"/>
              </w:rPr>
              <w:t>Complete sensor nodes or pilot devices sold for field validation.</w:t>
            </w:r>
          </w:p>
        </w:tc>
      </w:tr>
    </w:tbl>
    <w:p w14:paraId="59E253DB" w14:textId="77777777" w:rsidR="004257CD" w:rsidRDefault="004257CD" w:rsidP="00761106">
      <w:pPr>
        <w:jc w:val="both"/>
        <w:rPr>
          <w:b/>
          <w:lang w:val="en-GB"/>
        </w:rPr>
      </w:pPr>
    </w:p>
    <w:p w14:paraId="5AB7EA39" w14:textId="77777777" w:rsidR="006419F0" w:rsidRPr="006419F0" w:rsidRDefault="006419F0" w:rsidP="00761106">
      <w:pPr>
        <w:jc w:val="both"/>
        <w:rPr>
          <w:lang w:val="en-GB"/>
        </w:rPr>
      </w:pPr>
      <w:r w:rsidRPr="006419F0">
        <w:rPr>
          <w:sz w:val="22"/>
          <w:lang w:val="en-GB"/>
        </w:rPr>
        <w:t xml:space="preserve">Suggested </w:t>
      </w:r>
      <w:r>
        <w:rPr>
          <w:sz w:val="22"/>
          <w:lang w:val="en-GB"/>
        </w:rPr>
        <w:t xml:space="preserve">reading </w:t>
      </w:r>
      <w:r w:rsidRPr="006419F0">
        <w:rPr>
          <w:sz w:val="22"/>
          <w:lang w:val="en-GB"/>
        </w:rPr>
        <w:t>references:</w:t>
      </w:r>
    </w:p>
    <w:p w14:paraId="5CA17B99" w14:textId="77777777" w:rsidR="006419F0" w:rsidRPr="006419F0" w:rsidRDefault="006419F0" w:rsidP="006419F0">
      <w:pPr>
        <w:pStyle w:val="ListParagraph"/>
        <w:numPr>
          <w:ilvl w:val="0"/>
          <w:numId w:val="17"/>
        </w:numPr>
        <w:jc w:val="both"/>
        <w:rPr>
          <w:sz w:val="24"/>
          <w:szCs w:val="24"/>
        </w:rPr>
      </w:pPr>
      <w:r w:rsidRPr="006419F0">
        <w:rPr>
          <w:sz w:val="22"/>
          <w:szCs w:val="24"/>
        </w:rPr>
        <w:t>Business Model Generation by Alexander Osterwalder and Yves Pigneur</w:t>
      </w:r>
    </w:p>
    <w:p w14:paraId="3A0F9631" w14:textId="77777777" w:rsidR="006419F0" w:rsidRPr="006419F0" w:rsidRDefault="006419F0" w:rsidP="006419F0">
      <w:pPr>
        <w:pStyle w:val="ListParagraph"/>
        <w:numPr>
          <w:ilvl w:val="0"/>
          <w:numId w:val="17"/>
        </w:numPr>
        <w:spacing w:after="80"/>
        <w:jc w:val="both"/>
        <w:rPr>
          <w:sz w:val="24"/>
          <w:szCs w:val="24"/>
        </w:rPr>
      </w:pPr>
      <w:r w:rsidRPr="006419F0">
        <w:rPr>
          <w:sz w:val="22"/>
          <w:szCs w:val="24"/>
        </w:rPr>
        <w:t>Value Proposition Design by Alexander Osterwalder, Yves Pigneur, Greg Bernarda, Alan Smith</w:t>
      </w:r>
    </w:p>
    <w:p w14:paraId="0301A813" w14:textId="77777777" w:rsidR="004257CD" w:rsidRPr="006419F0" w:rsidRDefault="004257CD" w:rsidP="00761106">
      <w:pPr>
        <w:jc w:val="both"/>
        <w:rPr>
          <w:lang w:val="en-GB"/>
        </w:rPr>
      </w:pPr>
    </w:p>
    <w:sectPr w:rsidR="004257CD" w:rsidRPr="006419F0" w:rsidSect="00774B62">
      <w:headerReference w:type="default" r:id="rId13"/>
      <w:footerReference w:type="default" r:id="rId14"/>
      <w:headerReference w:type="first" r:id="rId15"/>
      <w:footerReference w:type="first" r:id="rId16"/>
      <w:pgSz w:w="11900" w:h="16840"/>
      <w:pgMar w:top="1021" w:right="1134" w:bottom="1021" w:left="1134" w:header="0" w:footer="624"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6E404" w14:textId="77777777" w:rsidR="000E7960" w:rsidRDefault="000E7960">
      <w:r>
        <w:separator/>
      </w:r>
    </w:p>
  </w:endnote>
  <w:endnote w:type="continuationSeparator" w:id="0">
    <w:p w14:paraId="09EEDCF8" w14:textId="77777777" w:rsidR="000E7960" w:rsidRDefault="000E79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8B480" w14:textId="77777777" w:rsidR="001A1732" w:rsidRDefault="001A1732" w:rsidP="001A1732">
    <w:pPr>
      <w:pStyle w:val="Footer"/>
      <w:tabs>
        <w:tab w:val="left" w:pos="-2127"/>
      </w:tabs>
      <w:ind w:hanging="18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ED53D" w14:textId="77777777" w:rsidR="00CE63AA" w:rsidRDefault="00CE63AA">
    <w:pPr>
      <w:pStyle w:val="Footer"/>
    </w:pPr>
    <w:r w:rsidRPr="001A1732">
      <w:rPr>
        <w:noProof/>
        <w:lang w:val="en-SG"/>
      </w:rPr>
      <w:drawing>
        <wp:anchor distT="0" distB="0" distL="114300" distR="114300" simplePos="0" relativeHeight="251661312" behindDoc="0" locked="0" layoutInCell="1" allowOverlap="1" wp14:anchorId="4FD1DD2C" wp14:editId="411ED2BA">
          <wp:simplePos x="0" y="0"/>
          <wp:positionH relativeFrom="column">
            <wp:posOffset>-596265</wp:posOffset>
          </wp:positionH>
          <wp:positionV relativeFrom="paragraph">
            <wp:posOffset>-625475</wp:posOffset>
          </wp:positionV>
          <wp:extent cx="7391400" cy="904875"/>
          <wp:effectExtent l="0" t="0" r="0" b="9525"/>
          <wp:wrapSquare wrapText="bothSides"/>
          <wp:docPr id="177894916" name="Picture 177894916" descr="FIONA:jpeg HR:FA NTUitive Letterhead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ONA:jpeg HR:FA NTUitive Letterhead 2.jpg"/>
                  <pic:cNvPicPr>
                    <a:picLocks noChangeAspect="1" noChangeArrowheads="1"/>
                  </pic:cNvPicPr>
                </pic:nvPicPr>
                <pic:blipFill>
                  <a:blip r:embed="rId1" cstate="print">
                    <a:extLst>
                      <a:ext uri="{28A0092B-C50C-407E-A947-70E740481C1C}">
                        <a14:useLocalDpi xmlns:a14="http://schemas.microsoft.com/office/drawing/2010/main" val="0"/>
                      </a:ext>
                    </a:extLst>
                  </a:blip>
                  <a:srcRect b="23913"/>
                  <a:stretch>
                    <a:fillRect/>
                  </a:stretch>
                </pic:blipFill>
                <pic:spPr bwMode="auto">
                  <a:xfrm>
                    <a:off x="0" y="0"/>
                    <a:ext cx="7391400" cy="90487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F685FB" w14:textId="77777777" w:rsidR="000E7960" w:rsidRDefault="000E7960">
      <w:r>
        <w:separator/>
      </w:r>
    </w:p>
  </w:footnote>
  <w:footnote w:type="continuationSeparator" w:id="0">
    <w:p w14:paraId="6FB25581" w14:textId="77777777" w:rsidR="000E7960" w:rsidRDefault="000E7960">
      <w:r>
        <w:continuationSeparator/>
      </w:r>
    </w:p>
  </w:footnote>
  <w:footnote w:id="1">
    <w:p w14:paraId="37B89E36" w14:textId="77777777" w:rsidR="00E4627E" w:rsidRPr="001666DE" w:rsidRDefault="00E4627E" w:rsidP="00E4627E">
      <w:pPr>
        <w:pStyle w:val="FootnoteText"/>
        <w:rPr>
          <w:lang w:val="en-GB"/>
        </w:rPr>
      </w:pPr>
      <w:r>
        <w:rPr>
          <w:rStyle w:val="FootnoteReference"/>
        </w:rPr>
        <w:footnoteRef/>
      </w:r>
      <w:r>
        <w:t xml:space="preserve"> </w:t>
      </w:r>
      <w:r w:rsidRPr="001666DE">
        <w:t>This is essentially a process or cycle of introducing a new product into the market. This includes the need to consider how the prototype or device can successfully enter the market in a sustained and long-term manner. It should also consider the likely customers or users of this new technology.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6EFCD" w14:textId="77777777" w:rsidR="001A1732" w:rsidRDefault="001A1732" w:rsidP="00EC4A65">
    <w:pPr>
      <w:pStyle w:val="Header"/>
      <w:ind w:hanging="1800"/>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7E36E" w14:textId="77777777" w:rsidR="00796B27" w:rsidRDefault="00796B27">
    <w:pPr>
      <w:pStyle w:val="Header"/>
    </w:pPr>
  </w:p>
  <w:p w14:paraId="2B5CF677" w14:textId="77777777" w:rsidR="00796B27" w:rsidRDefault="00796B27">
    <w:pPr>
      <w:pStyle w:val="Header"/>
    </w:pPr>
  </w:p>
  <w:tbl>
    <w:tblPr>
      <w:tblStyle w:val="TableGrid"/>
      <w:tblW w:w="100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1"/>
      <w:gridCol w:w="6294"/>
      <w:gridCol w:w="2126"/>
    </w:tblGrid>
    <w:tr w:rsidR="00774B62" w14:paraId="19FDB10E" w14:textId="77777777" w:rsidTr="00E07E07">
      <w:trPr>
        <w:trHeight w:val="1128"/>
      </w:trPr>
      <w:tc>
        <w:tcPr>
          <w:tcW w:w="1611" w:type="dxa"/>
        </w:tcPr>
        <w:p w14:paraId="2867F53E" w14:textId="77777777" w:rsidR="00774B62" w:rsidRDefault="00774B62" w:rsidP="00796B27">
          <w:pPr>
            <w:pStyle w:val="Header"/>
          </w:pPr>
          <w:r>
            <w:rPr>
              <w:noProof/>
              <w:lang w:val="en-SG"/>
            </w:rPr>
            <w:drawing>
              <wp:inline distT="0" distB="0" distL="0" distR="0" wp14:anchorId="1286D216" wp14:editId="59364A4A">
                <wp:extent cx="885825" cy="9032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TUitive.JPG"/>
                        <pic:cNvPicPr/>
                      </pic:nvPicPr>
                      <pic:blipFill>
                        <a:blip r:embed="rId1">
                          <a:extLst>
                            <a:ext uri="{28A0092B-C50C-407E-A947-70E740481C1C}">
                              <a14:useLocalDpi xmlns:a14="http://schemas.microsoft.com/office/drawing/2010/main" val="0"/>
                            </a:ext>
                          </a:extLst>
                        </a:blip>
                        <a:stretch>
                          <a:fillRect/>
                        </a:stretch>
                      </pic:blipFill>
                      <pic:spPr>
                        <a:xfrm>
                          <a:off x="0" y="0"/>
                          <a:ext cx="885825" cy="903270"/>
                        </a:xfrm>
                        <a:prstGeom prst="rect">
                          <a:avLst/>
                        </a:prstGeom>
                      </pic:spPr>
                    </pic:pic>
                  </a:graphicData>
                </a:graphic>
              </wp:inline>
            </w:drawing>
          </w:r>
        </w:p>
      </w:tc>
      <w:tc>
        <w:tcPr>
          <w:tcW w:w="6294" w:type="dxa"/>
          <w:vAlign w:val="center"/>
        </w:tcPr>
        <w:p w14:paraId="37382656" w14:textId="77777777" w:rsidR="00E07E07" w:rsidRPr="00F84C77" w:rsidRDefault="00774B62" w:rsidP="00E67A3D">
          <w:pPr>
            <w:pStyle w:val="Header"/>
            <w:jc w:val="center"/>
            <w:rPr>
              <w:sz w:val="36"/>
              <w:szCs w:val="36"/>
            </w:rPr>
          </w:pPr>
          <w:proofErr w:type="spellStart"/>
          <w:r w:rsidRPr="00F84C77">
            <w:rPr>
              <w:sz w:val="36"/>
              <w:szCs w:val="36"/>
            </w:rPr>
            <w:t>NTUitive</w:t>
          </w:r>
          <w:proofErr w:type="spellEnd"/>
          <w:r w:rsidRPr="00F84C77">
            <w:rPr>
              <w:sz w:val="36"/>
              <w:szCs w:val="36"/>
            </w:rPr>
            <w:t xml:space="preserve"> </w:t>
          </w:r>
          <w:r w:rsidR="00144042">
            <w:rPr>
              <w:sz w:val="36"/>
              <w:szCs w:val="36"/>
            </w:rPr>
            <w:t>Gap</w:t>
          </w:r>
          <w:r w:rsidR="006419F0">
            <w:rPr>
              <w:sz w:val="36"/>
              <w:szCs w:val="36"/>
            </w:rPr>
            <w:t xml:space="preserve"> (</w:t>
          </w:r>
          <w:r w:rsidR="00144042">
            <w:rPr>
              <w:sz w:val="36"/>
              <w:szCs w:val="36"/>
            </w:rPr>
            <w:t>POC</w:t>
          </w:r>
          <w:r w:rsidR="006419F0">
            <w:rPr>
              <w:sz w:val="36"/>
              <w:szCs w:val="36"/>
            </w:rPr>
            <w:t>)</w:t>
          </w:r>
          <w:r w:rsidR="00E07E07" w:rsidRPr="00F84C77">
            <w:rPr>
              <w:sz w:val="36"/>
              <w:szCs w:val="36"/>
            </w:rPr>
            <w:t xml:space="preserve"> Fund</w:t>
          </w:r>
        </w:p>
        <w:p w14:paraId="002390C8" w14:textId="77777777" w:rsidR="00774B62" w:rsidRPr="00E07E07" w:rsidRDefault="00774B62" w:rsidP="00E67A3D">
          <w:pPr>
            <w:pStyle w:val="Header"/>
            <w:jc w:val="center"/>
            <w:rPr>
              <w:sz w:val="36"/>
              <w:szCs w:val="36"/>
            </w:rPr>
          </w:pPr>
          <w:r w:rsidRPr="00F84C77">
            <w:rPr>
              <w:sz w:val="36"/>
              <w:szCs w:val="36"/>
            </w:rPr>
            <w:t>Application Form</w:t>
          </w:r>
        </w:p>
      </w:tc>
      <w:tc>
        <w:tcPr>
          <w:tcW w:w="2126" w:type="dxa"/>
          <w:vAlign w:val="center"/>
        </w:tcPr>
        <w:p w14:paraId="6F75EC78" w14:textId="77777777" w:rsidR="00774B62" w:rsidRPr="00796B27" w:rsidRDefault="00774B62" w:rsidP="00774B62">
          <w:pPr>
            <w:pStyle w:val="NoSpacing"/>
            <w:spacing w:line="360" w:lineRule="auto"/>
            <w:rPr>
              <w:sz w:val="32"/>
              <w:szCs w:val="32"/>
            </w:rPr>
          </w:pPr>
          <w:r w:rsidRPr="00774B62">
            <w:rPr>
              <w:noProof/>
              <w:sz w:val="18"/>
              <w:szCs w:val="18"/>
              <w:lang w:val="en-SG"/>
            </w:rPr>
            <mc:AlternateContent>
              <mc:Choice Requires="wps">
                <w:drawing>
                  <wp:anchor distT="0" distB="0" distL="114300" distR="114300" simplePos="0" relativeHeight="251663360" behindDoc="0" locked="0" layoutInCell="1" allowOverlap="1" wp14:anchorId="12CCF0D9" wp14:editId="5B4060E3">
                    <wp:simplePos x="0" y="0"/>
                    <wp:positionH relativeFrom="column">
                      <wp:posOffset>-64770</wp:posOffset>
                    </wp:positionH>
                    <wp:positionV relativeFrom="paragraph">
                      <wp:posOffset>-43180</wp:posOffset>
                    </wp:positionV>
                    <wp:extent cx="1304925" cy="1403985"/>
                    <wp:effectExtent l="0" t="0" r="28575" b="24765"/>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4925" cy="1403985"/>
                            </a:xfrm>
                            <a:prstGeom prst="rect">
                              <a:avLst/>
                            </a:prstGeom>
                            <a:solidFill>
                              <a:srgbClr val="FFFFFF"/>
                            </a:solidFill>
                            <a:ln w="9525">
                              <a:solidFill>
                                <a:srgbClr val="000000"/>
                              </a:solidFill>
                              <a:miter lim="800000"/>
                              <a:headEnd/>
                              <a:tailEnd/>
                            </a:ln>
                          </wps:spPr>
                          <wps:txbx>
                            <w:txbxContent>
                              <w:p w14:paraId="79C41013" w14:textId="77777777" w:rsidR="00774B62" w:rsidRPr="00F84C77" w:rsidRDefault="00774B62" w:rsidP="00774B62">
                                <w:pPr>
                                  <w:spacing w:line="360" w:lineRule="auto"/>
                                  <w:rPr>
                                    <w:sz w:val="20"/>
                                    <w:szCs w:val="20"/>
                                  </w:rPr>
                                </w:pPr>
                                <w:r w:rsidRPr="00F84C77">
                                  <w:rPr>
                                    <w:sz w:val="20"/>
                                    <w:szCs w:val="20"/>
                                  </w:rPr>
                                  <w:t>For official use:</w:t>
                                </w:r>
                              </w:p>
                              <w:p w14:paraId="71A98F7A" w14:textId="77777777" w:rsidR="00774B62" w:rsidRPr="00F84C77" w:rsidRDefault="00AD5A81" w:rsidP="00774B62">
                                <w:pPr>
                                  <w:spacing w:line="360" w:lineRule="auto"/>
                                  <w:rPr>
                                    <w:sz w:val="20"/>
                                    <w:szCs w:val="20"/>
                                  </w:rPr>
                                </w:pPr>
                                <w:r>
                                  <w:rPr>
                                    <w:sz w:val="20"/>
                                    <w:szCs w:val="20"/>
                                  </w:rPr>
                                  <w:t>NGF/202</w:t>
                                </w:r>
                                <w:r w:rsidR="00357715">
                                  <w:rPr>
                                    <w:sz w:val="20"/>
                                    <w:szCs w:val="20"/>
                                  </w:rPr>
                                  <w:t>6</w:t>
                                </w:r>
                                <w:r w:rsidR="00774B62" w:rsidRPr="00F84C77">
                                  <w:rPr>
                                    <w:sz w:val="20"/>
                                    <w:szCs w:val="20"/>
                                  </w:rPr>
                                  <w:t>/</w:t>
                                </w:r>
                                <w:r w:rsidR="0062638B">
                                  <w:rPr>
                                    <w:sz w:val="20"/>
                                    <w:szCs w:val="20"/>
                                  </w:rPr>
                                  <w:t>20</w:t>
                                </w:r>
                                <w:r w:rsidR="00774B62" w:rsidRPr="00F84C77">
                                  <w:rPr>
                                    <w:sz w:val="20"/>
                                    <w:szCs w:val="2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12CCF0D9" id="_x0000_t202" coordsize="21600,21600" o:spt="202" path="m,l,21600r21600,l21600,xe">
                    <v:stroke joinstyle="miter"/>
                    <v:path gradientshapeok="t" o:connecttype="rect"/>
                  </v:shapetype>
                  <v:shape id="Text Box 2" o:spid="_x0000_s1026" type="#_x0000_t202" style="position:absolute;margin-left:-5.1pt;margin-top:-3.4pt;width:102.75pt;height:110.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">
                    <v:textbox style="mso-fit-shape-to-text:t">
                      <w:txbxContent>
                        <w:p w14:paraId="52EFEEF4" w14:textId="77777777" w:rsidR="00774B62" w:rsidRPr="00F84C77" w:rsidRDefault="00774B62" w:rsidP="00774B62">
                          <w:pPr>
                            <w:spacing w:line="360" w:lineRule="auto"/>
                            <w:rPr>
                              <w:sz w:val="20"/>
                              <w:szCs w:val="20"/>
                            </w:rPr>
                          </w:pPr>
                          <w:r w:rsidRPr="00F84C77">
                            <w:rPr>
                              <w:sz w:val="20"/>
                              <w:szCs w:val="20"/>
                            </w:rPr>
                            <w:t>For official use:</w:t>
                          </w:r>
                        </w:p>
                        <w:p w14:paraId="59AEF0F6" w14:textId="77777777" w:rsidR="00774B62" w:rsidRPr="00F84C77" w:rsidRDefault="00AD5A81" w:rsidP="00774B62">
                          <w:pPr>
                            <w:spacing w:line="360" w:lineRule="auto"/>
                            <w:rPr>
                              <w:sz w:val="20"/>
                              <w:szCs w:val="20"/>
                            </w:rPr>
                          </w:pPr>
                          <w:r>
                            <w:rPr>
                              <w:sz w:val="20"/>
                              <w:szCs w:val="20"/>
                            </w:rPr>
                            <w:t>NGF/202</w:t>
                          </w:r>
                          <w:r w:rsidR="00357715">
                            <w:rPr>
                              <w:sz w:val="20"/>
                              <w:szCs w:val="20"/>
                            </w:rPr>
                            <w:t>6</w:t>
                          </w:r>
                          <w:r w:rsidR="00774B62" w:rsidRPr="00F84C77">
                            <w:rPr>
                              <w:sz w:val="20"/>
                              <w:szCs w:val="20"/>
                            </w:rPr>
                            <w:t>/</w:t>
                          </w:r>
                          <w:r w:rsidR="0062638B">
                            <w:rPr>
                              <w:sz w:val="20"/>
                              <w:szCs w:val="20"/>
                            </w:rPr>
                            <w:t>20</w:t>
                          </w:r>
                          <w:r w:rsidR="00774B62" w:rsidRPr="00F84C77">
                            <w:rPr>
                              <w:sz w:val="20"/>
                              <w:szCs w:val="20"/>
                            </w:rPr>
                            <w:t>/</w:t>
                          </w:r>
                        </w:p>
                      </w:txbxContent>
                    </v:textbox>
                  </v:shape>
                </w:pict>
              </mc:Fallback>
            </mc:AlternateContent>
          </w:r>
          <w:r>
            <w:rPr>
              <w:sz w:val="18"/>
              <w:szCs w:val="18"/>
            </w:rPr>
            <w:t xml:space="preserve"> </w:t>
          </w:r>
        </w:p>
      </w:tc>
    </w:tr>
  </w:tbl>
  <w:p w14:paraId="347E38E2" w14:textId="77777777" w:rsidR="00796B27" w:rsidRDefault="00796B27" w:rsidP="00796B2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872D6"/>
    <w:multiLevelType w:val="hybridMultilevel"/>
    <w:tmpl w:val="8BE2C31A"/>
    <w:lvl w:ilvl="0" w:tplc="9918C636">
      <w:start w:val="1"/>
      <w:numFmt w:val="lowerLetter"/>
      <w:lvlText w:val="%1)"/>
      <w:lvlJc w:val="left"/>
      <w:pPr>
        <w:ind w:left="-1080" w:hanging="360"/>
      </w:pPr>
      <w:rPr>
        <w:rFonts w:hint="default"/>
      </w:rPr>
    </w:lvl>
    <w:lvl w:ilvl="1" w:tplc="48090019" w:tentative="1">
      <w:start w:val="1"/>
      <w:numFmt w:val="lowerLetter"/>
      <w:lvlText w:val="%2."/>
      <w:lvlJc w:val="left"/>
      <w:pPr>
        <w:ind w:left="-360" w:hanging="360"/>
      </w:pPr>
    </w:lvl>
    <w:lvl w:ilvl="2" w:tplc="4809001B" w:tentative="1">
      <w:start w:val="1"/>
      <w:numFmt w:val="lowerRoman"/>
      <w:lvlText w:val="%3."/>
      <w:lvlJc w:val="right"/>
      <w:pPr>
        <w:ind w:left="360" w:hanging="180"/>
      </w:pPr>
    </w:lvl>
    <w:lvl w:ilvl="3" w:tplc="4809000F" w:tentative="1">
      <w:start w:val="1"/>
      <w:numFmt w:val="decimal"/>
      <w:lvlText w:val="%4."/>
      <w:lvlJc w:val="left"/>
      <w:pPr>
        <w:ind w:left="1080" w:hanging="360"/>
      </w:pPr>
    </w:lvl>
    <w:lvl w:ilvl="4" w:tplc="48090019" w:tentative="1">
      <w:start w:val="1"/>
      <w:numFmt w:val="lowerLetter"/>
      <w:lvlText w:val="%5."/>
      <w:lvlJc w:val="left"/>
      <w:pPr>
        <w:ind w:left="1800" w:hanging="360"/>
      </w:pPr>
    </w:lvl>
    <w:lvl w:ilvl="5" w:tplc="4809001B" w:tentative="1">
      <w:start w:val="1"/>
      <w:numFmt w:val="lowerRoman"/>
      <w:lvlText w:val="%6."/>
      <w:lvlJc w:val="right"/>
      <w:pPr>
        <w:ind w:left="2520" w:hanging="180"/>
      </w:pPr>
    </w:lvl>
    <w:lvl w:ilvl="6" w:tplc="4809000F" w:tentative="1">
      <w:start w:val="1"/>
      <w:numFmt w:val="decimal"/>
      <w:lvlText w:val="%7."/>
      <w:lvlJc w:val="left"/>
      <w:pPr>
        <w:ind w:left="3240" w:hanging="360"/>
      </w:pPr>
    </w:lvl>
    <w:lvl w:ilvl="7" w:tplc="48090019" w:tentative="1">
      <w:start w:val="1"/>
      <w:numFmt w:val="lowerLetter"/>
      <w:lvlText w:val="%8."/>
      <w:lvlJc w:val="left"/>
      <w:pPr>
        <w:ind w:left="3960" w:hanging="360"/>
      </w:pPr>
    </w:lvl>
    <w:lvl w:ilvl="8" w:tplc="4809001B" w:tentative="1">
      <w:start w:val="1"/>
      <w:numFmt w:val="lowerRoman"/>
      <w:lvlText w:val="%9."/>
      <w:lvlJc w:val="right"/>
      <w:pPr>
        <w:ind w:left="4680" w:hanging="180"/>
      </w:pPr>
    </w:lvl>
  </w:abstractNum>
  <w:abstractNum w:abstractNumId="1" w15:restartNumberingAfterBreak="0">
    <w:nsid w:val="0E9407AB"/>
    <w:multiLevelType w:val="hybridMultilevel"/>
    <w:tmpl w:val="F828ADB8"/>
    <w:lvl w:ilvl="0" w:tplc="3572A972">
      <w:start w:val="1"/>
      <w:numFmt w:val="bullet"/>
      <w:lvlText w:val=""/>
      <w:lvlJc w:val="left"/>
      <w:pPr>
        <w:ind w:left="720" w:hanging="360"/>
      </w:pPr>
      <w:rPr>
        <w:rFonts w:ascii="Times New Roman" w:hAnsi="Times New Roman" w:cs="Times New Roman" w:hint="default"/>
      </w:rPr>
    </w:lvl>
    <w:lvl w:ilvl="1" w:tplc="48090003" w:tentative="1">
      <w:start w:val="1"/>
      <w:numFmt w:val="bullet"/>
      <w:lvlText w:val="o"/>
      <w:lvlJc w:val="left"/>
      <w:pPr>
        <w:ind w:left="1440" w:hanging="360"/>
      </w:pPr>
      <w:rPr>
        <w:rFonts w:ascii="Times New Roman" w:hAnsi="Times New Roman" w:cs="Times New Roman" w:hint="default"/>
      </w:rPr>
    </w:lvl>
    <w:lvl w:ilvl="2" w:tplc="48090005" w:tentative="1">
      <w:start w:val="1"/>
      <w:numFmt w:val="bullet"/>
      <w:lvlText w:val=""/>
      <w:lvlJc w:val="left"/>
      <w:pPr>
        <w:ind w:left="2160" w:hanging="360"/>
      </w:pPr>
      <w:rPr>
        <w:rFonts w:ascii="Times New Roman" w:hAnsi="Times New Roman" w:hint="default"/>
      </w:rPr>
    </w:lvl>
    <w:lvl w:ilvl="3" w:tplc="48090001" w:tentative="1">
      <w:start w:val="1"/>
      <w:numFmt w:val="bullet"/>
      <w:lvlText w:val=""/>
      <w:lvlJc w:val="left"/>
      <w:pPr>
        <w:ind w:left="2880" w:hanging="360"/>
      </w:pPr>
      <w:rPr>
        <w:rFonts w:ascii="Times New Roman" w:hAnsi="Times New Roman" w:hint="default"/>
      </w:rPr>
    </w:lvl>
    <w:lvl w:ilvl="4" w:tplc="48090003" w:tentative="1">
      <w:start w:val="1"/>
      <w:numFmt w:val="bullet"/>
      <w:lvlText w:val="o"/>
      <w:lvlJc w:val="left"/>
      <w:pPr>
        <w:ind w:left="3600" w:hanging="360"/>
      </w:pPr>
      <w:rPr>
        <w:rFonts w:ascii="Times New Roman" w:hAnsi="Times New Roman" w:cs="Times New Roman" w:hint="default"/>
      </w:rPr>
    </w:lvl>
    <w:lvl w:ilvl="5" w:tplc="48090005" w:tentative="1">
      <w:start w:val="1"/>
      <w:numFmt w:val="bullet"/>
      <w:lvlText w:val=""/>
      <w:lvlJc w:val="left"/>
      <w:pPr>
        <w:ind w:left="4320" w:hanging="360"/>
      </w:pPr>
      <w:rPr>
        <w:rFonts w:ascii="Times New Roman" w:hAnsi="Times New Roman" w:hint="default"/>
      </w:rPr>
    </w:lvl>
    <w:lvl w:ilvl="6" w:tplc="48090001" w:tentative="1">
      <w:start w:val="1"/>
      <w:numFmt w:val="bullet"/>
      <w:lvlText w:val=""/>
      <w:lvlJc w:val="left"/>
      <w:pPr>
        <w:ind w:left="5040" w:hanging="360"/>
      </w:pPr>
      <w:rPr>
        <w:rFonts w:ascii="Times New Roman" w:hAnsi="Times New Roman" w:hint="default"/>
      </w:rPr>
    </w:lvl>
    <w:lvl w:ilvl="7" w:tplc="48090003" w:tentative="1">
      <w:start w:val="1"/>
      <w:numFmt w:val="bullet"/>
      <w:lvlText w:val="o"/>
      <w:lvlJc w:val="left"/>
      <w:pPr>
        <w:ind w:left="5760" w:hanging="360"/>
      </w:pPr>
      <w:rPr>
        <w:rFonts w:ascii="Times New Roman" w:hAnsi="Times New Roman" w:cs="Times New Roman" w:hint="default"/>
      </w:rPr>
    </w:lvl>
    <w:lvl w:ilvl="8" w:tplc="48090005" w:tentative="1">
      <w:start w:val="1"/>
      <w:numFmt w:val="bullet"/>
      <w:lvlText w:val=""/>
      <w:lvlJc w:val="left"/>
      <w:pPr>
        <w:ind w:left="6480" w:hanging="360"/>
      </w:pPr>
      <w:rPr>
        <w:rFonts w:ascii="Times New Roman" w:hAnsi="Times New Roman" w:hint="default"/>
      </w:rPr>
    </w:lvl>
  </w:abstractNum>
  <w:abstractNum w:abstractNumId="2" w15:restartNumberingAfterBreak="0">
    <w:nsid w:val="182458D0"/>
    <w:multiLevelType w:val="hybridMultilevel"/>
    <w:tmpl w:val="87D0B3A4"/>
    <w:lvl w:ilvl="0" w:tplc="DC2E556C">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1A502E4C"/>
    <w:multiLevelType w:val="hybridMultilevel"/>
    <w:tmpl w:val="B4F6CF0A"/>
    <w:lvl w:ilvl="0" w:tplc="7B5ACF40">
      <w:start w:val="1"/>
      <w:numFmt w:val="decimal"/>
      <w:lvlText w:val="%1."/>
      <w:lvlJc w:val="left"/>
      <w:pPr>
        <w:tabs>
          <w:tab w:val="num" w:pos="1080"/>
        </w:tabs>
        <w:ind w:left="1080" w:hanging="360"/>
      </w:pPr>
      <w:rPr>
        <w:rFonts w:hint="default"/>
        <w:b w:val="0"/>
        <w:i/>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4" w15:restartNumberingAfterBreak="0">
    <w:nsid w:val="1AC05DF1"/>
    <w:multiLevelType w:val="hybridMultilevel"/>
    <w:tmpl w:val="6FF8021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1F967636"/>
    <w:multiLevelType w:val="hybridMultilevel"/>
    <w:tmpl w:val="B4104CD6"/>
    <w:lvl w:ilvl="0" w:tplc="04090001">
      <w:start w:val="1"/>
      <w:numFmt w:val="bullet"/>
      <w:lvlText w:val=""/>
      <w:lvlJc w:val="left"/>
      <w:pPr>
        <w:ind w:left="1440" w:hanging="360"/>
      </w:pPr>
      <w:rPr>
        <w:rFonts w:ascii="Times New Roman" w:hAnsi="Times New Roman" w:hint="default"/>
      </w:rPr>
    </w:lvl>
    <w:lvl w:ilvl="1" w:tplc="04090003" w:tentative="1">
      <w:start w:val="1"/>
      <w:numFmt w:val="bullet"/>
      <w:lvlText w:val="o"/>
      <w:lvlJc w:val="left"/>
      <w:pPr>
        <w:ind w:left="2160" w:hanging="360"/>
      </w:pPr>
      <w:rPr>
        <w:rFonts w:ascii="Times New Roman" w:hAnsi="Times New Roman" w:cs="Times New Roman" w:hint="default"/>
      </w:rPr>
    </w:lvl>
    <w:lvl w:ilvl="2" w:tplc="04090005" w:tentative="1">
      <w:start w:val="1"/>
      <w:numFmt w:val="bullet"/>
      <w:lvlText w:val=""/>
      <w:lvlJc w:val="left"/>
      <w:pPr>
        <w:ind w:left="2880" w:hanging="360"/>
      </w:pPr>
      <w:rPr>
        <w:rFonts w:ascii="Times New Roman" w:hAnsi="Times New Roman" w:hint="default"/>
      </w:rPr>
    </w:lvl>
    <w:lvl w:ilvl="3" w:tplc="04090001" w:tentative="1">
      <w:start w:val="1"/>
      <w:numFmt w:val="bullet"/>
      <w:lvlText w:val=""/>
      <w:lvlJc w:val="left"/>
      <w:pPr>
        <w:ind w:left="3600" w:hanging="360"/>
      </w:pPr>
      <w:rPr>
        <w:rFonts w:ascii="Times New Roman" w:hAnsi="Times New Roman" w:hint="default"/>
      </w:rPr>
    </w:lvl>
    <w:lvl w:ilvl="4" w:tplc="04090003" w:tentative="1">
      <w:start w:val="1"/>
      <w:numFmt w:val="bullet"/>
      <w:lvlText w:val="o"/>
      <w:lvlJc w:val="left"/>
      <w:pPr>
        <w:ind w:left="4320" w:hanging="360"/>
      </w:pPr>
      <w:rPr>
        <w:rFonts w:ascii="Times New Roman" w:hAnsi="Times New Roman" w:cs="Times New Roman" w:hint="default"/>
      </w:rPr>
    </w:lvl>
    <w:lvl w:ilvl="5" w:tplc="04090005" w:tentative="1">
      <w:start w:val="1"/>
      <w:numFmt w:val="bullet"/>
      <w:lvlText w:val=""/>
      <w:lvlJc w:val="left"/>
      <w:pPr>
        <w:ind w:left="5040" w:hanging="360"/>
      </w:pPr>
      <w:rPr>
        <w:rFonts w:ascii="Times New Roman" w:hAnsi="Times New Roman" w:hint="default"/>
      </w:rPr>
    </w:lvl>
    <w:lvl w:ilvl="6" w:tplc="04090001" w:tentative="1">
      <w:start w:val="1"/>
      <w:numFmt w:val="bullet"/>
      <w:lvlText w:val=""/>
      <w:lvlJc w:val="left"/>
      <w:pPr>
        <w:ind w:left="5760" w:hanging="360"/>
      </w:pPr>
      <w:rPr>
        <w:rFonts w:ascii="Times New Roman" w:hAnsi="Times New Roman" w:hint="default"/>
      </w:rPr>
    </w:lvl>
    <w:lvl w:ilvl="7" w:tplc="04090003" w:tentative="1">
      <w:start w:val="1"/>
      <w:numFmt w:val="bullet"/>
      <w:lvlText w:val="o"/>
      <w:lvlJc w:val="left"/>
      <w:pPr>
        <w:ind w:left="6480" w:hanging="360"/>
      </w:pPr>
      <w:rPr>
        <w:rFonts w:ascii="Times New Roman" w:hAnsi="Times New Roman" w:cs="Times New Roman" w:hint="default"/>
      </w:rPr>
    </w:lvl>
    <w:lvl w:ilvl="8" w:tplc="04090005" w:tentative="1">
      <w:start w:val="1"/>
      <w:numFmt w:val="bullet"/>
      <w:lvlText w:val=""/>
      <w:lvlJc w:val="left"/>
      <w:pPr>
        <w:ind w:left="7200" w:hanging="360"/>
      </w:pPr>
      <w:rPr>
        <w:rFonts w:ascii="Times New Roman" w:hAnsi="Times New Roman" w:hint="default"/>
      </w:rPr>
    </w:lvl>
  </w:abstractNum>
  <w:abstractNum w:abstractNumId="6" w15:restartNumberingAfterBreak="0">
    <w:nsid w:val="281D13CA"/>
    <w:multiLevelType w:val="hybridMultilevel"/>
    <w:tmpl w:val="B44C4CBE"/>
    <w:lvl w:ilvl="0" w:tplc="48090015">
      <w:start w:val="1"/>
      <w:numFmt w:val="upp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7" w15:restartNumberingAfterBreak="0">
    <w:nsid w:val="324E24D2"/>
    <w:multiLevelType w:val="hybridMultilevel"/>
    <w:tmpl w:val="F63049D4"/>
    <w:lvl w:ilvl="0" w:tplc="48090015">
      <w:start w:val="1"/>
      <w:numFmt w:val="upp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36575757"/>
    <w:multiLevelType w:val="hybridMultilevel"/>
    <w:tmpl w:val="5E7C2A7C"/>
    <w:lvl w:ilvl="0" w:tplc="04090001">
      <w:start w:val="1"/>
      <w:numFmt w:val="bullet"/>
      <w:lvlText w:val=""/>
      <w:lvlJc w:val="left"/>
      <w:pPr>
        <w:ind w:left="1440" w:hanging="360"/>
      </w:pPr>
      <w:rPr>
        <w:rFonts w:ascii="Times New Roman" w:hAnsi="Times New Roman" w:hint="default"/>
      </w:rPr>
    </w:lvl>
    <w:lvl w:ilvl="1" w:tplc="04090003" w:tentative="1">
      <w:start w:val="1"/>
      <w:numFmt w:val="bullet"/>
      <w:lvlText w:val="o"/>
      <w:lvlJc w:val="left"/>
      <w:pPr>
        <w:ind w:left="2160" w:hanging="360"/>
      </w:pPr>
      <w:rPr>
        <w:rFonts w:ascii="Times New Roman" w:hAnsi="Times New Roman" w:cs="Times New Roman" w:hint="default"/>
      </w:rPr>
    </w:lvl>
    <w:lvl w:ilvl="2" w:tplc="04090005" w:tentative="1">
      <w:start w:val="1"/>
      <w:numFmt w:val="bullet"/>
      <w:lvlText w:val=""/>
      <w:lvlJc w:val="left"/>
      <w:pPr>
        <w:ind w:left="2880" w:hanging="360"/>
      </w:pPr>
      <w:rPr>
        <w:rFonts w:ascii="Times New Roman" w:hAnsi="Times New Roman" w:hint="default"/>
      </w:rPr>
    </w:lvl>
    <w:lvl w:ilvl="3" w:tplc="04090001" w:tentative="1">
      <w:start w:val="1"/>
      <w:numFmt w:val="bullet"/>
      <w:lvlText w:val=""/>
      <w:lvlJc w:val="left"/>
      <w:pPr>
        <w:ind w:left="3600" w:hanging="360"/>
      </w:pPr>
      <w:rPr>
        <w:rFonts w:ascii="Times New Roman" w:hAnsi="Times New Roman" w:hint="default"/>
      </w:rPr>
    </w:lvl>
    <w:lvl w:ilvl="4" w:tplc="04090003" w:tentative="1">
      <w:start w:val="1"/>
      <w:numFmt w:val="bullet"/>
      <w:lvlText w:val="o"/>
      <w:lvlJc w:val="left"/>
      <w:pPr>
        <w:ind w:left="4320" w:hanging="360"/>
      </w:pPr>
      <w:rPr>
        <w:rFonts w:ascii="Times New Roman" w:hAnsi="Times New Roman" w:cs="Times New Roman" w:hint="default"/>
      </w:rPr>
    </w:lvl>
    <w:lvl w:ilvl="5" w:tplc="04090005" w:tentative="1">
      <w:start w:val="1"/>
      <w:numFmt w:val="bullet"/>
      <w:lvlText w:val=""/>
      <w:lvlJc w:val="left"/>
      <w:pPr>
        <w:ind w:left="5040" w:hanging="360"/>
      </w:pPr>
      <w:rPr>
        <w:rFonts w:ascii="Times New Roman" w:hAnsi="Times New Roman" w:hint="default"/>
      </w:rPr>
    </w:lvl>
    <w:lvl w:ilvl="6" w:tplc="04090001" w:tentative="1">
      <w:start w:val="1"/>
      <w:numFmt w:val="bullet"/>
      <w:lvlText w:val=""/>
      <w:lvlJc w:val="left"/>
      <w:pPr>
        <w:ind w:left="5760" w:hanging="360"/>
      </w:pPr>
      <w:rPr>
        <w:rFonts w:ascii="Times New Roman" w:hAnsi="Times New Roman" w:hint="default"/>
      </w:rPr>
    </w:lvl>
    <w:lvl w:ilvl="7" w:tplc="04090003" w:tentative="1">
      <w:start w:val="1"/>
      <w:numFmt w:val="bullet"/>
      <w:lvlText w:val="o"/>
      <w:lvlJc w:val="left"/>
      <w:pPr>
        <w:ind w:left="6480" w:hanging="360"/>
      </w:pPr>
      <w:rPr>
        <w:rFonts w:ascii="Times New Roman" w:hAnsi="Times New Roman" w:cs="Times New Roman" w:hint="default"/>
      </w:rPr>
    </w:lvl>
    <w:lvl w:ilvl="8" w:tplc="04090005" w:tentative="1">
      <w:start w:val="1"/>
      <w:numFmt w:val="bullet"/>
      <w:lvlText w:val=""/>
      <w:lvlJc w:val="left"/>
      <w:pPr>
        <w:ind w:left="7200" w:hanging="360"/>
      </w:pPr>
      <w:rPr>
        <w:rFonts w:ascii="Times New Roman" w:hAnsi="Times New Roman" w:hint="default"/>
      </w:rPr>
    </w:lvl>
  </w:abstractNum>
  <w:abstractNum w:abstractNumId="9" w15:restartNumberingAfterBreak="0">
    <w:nsid w:val="43606EE6"/>
    <w:multiLevelType w:val="hybridMultilevel"/>
    <w:tmpl w:val="37BED2F6"/>
    <w:lvl w:ilvl="0" w:tplc="C3A299EC">
      <w:start w:val="1"/>
      <w:numFmt w:val="bullet"/>
      <w:lvlText w:val=""/>
      <w:lvlJc w:val="left"/>
      <w:pPr>
        <w:ind w:left="720" w:hanging="360"/>
      </w:pPr>
      <w:rPr>
        <w:rFonts w:ascii="Times New Roman" w:hAnsi="Times New Roman" w:hint="default"/>
        <w:color w:val="000000"/>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Times New Roman" w:hAnsi="Times New Roman" w:hint="default"/>
      </w:rPr>
    </w:lvl>
    <w:lvl w:ilvl="3" w:tplc="04090001" w:tentative="1">
      <w:start w:val="1"/>
      <w:numFmt w:val="bullet"/>
      <w:lvlText w:val=""/>
      <w:lvlJc w:val="left"/>
      <w:pPr>
        <w:ind w:left="2880" w:hanging="360"/>
      </w:pPr>
      <w:rPr>
        <w:rFonts w:ascii="Times New Roman" w:hAnsi="Times New Roman"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Times New Roman" w:hAnsi="Times New Roman" w:hint="default"/>
      </w:rPr>
    </w:lvl>
    <w:lvl w:ilvl="6" w:tplc="04090001" w:tentative="1">
      <w:start w:val="1"/>
      <w:numFmt w:val="bullet"/>
      <w:lvlText w:val=""/>
      <w:lvlJc w:val="left"/>
      <w:pPr>
        <w:ind w:left="5040" w:hanging="360"/>
      </w:pPr>
      <w:rPr>
        <w:rFonts w:ascii="Times New Roman" w:hAnsi="Times New Roman"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Times New Roman" w:hAnsi="Times New Roman" w:hint="default"/>
      </w:rPr>
    </w:lvl>
  </w:abstractNum>
  <w:abstractNum w:abstractNumId="10" w15:restartNumberingAfterBreak="0">
    <w:nsid w:val="44A3678E"/>
    <w:multiLevelType w:val="hybridMultilevel"/>
    <w:tmpl w:val="33A6CBF4"/>
    <w:lvl w:ilvl="0" w:tplc="3E2200B4">
      <w:start w:val="1"/>
      <w:numFmt w:val="lowerRoman"/>
      <w:lvlText w:val="%1)"/>
      <w:lvlJc w:val="left"/>
      <w:pPr>
        <w:ind w:left="1800" w:hanging="720"/>
      </w:pPr>
      <w:rPr>
        <w:rFonts w:hint="default"/>
      </w:rPr>
    </w:lvl>
    <w:lvl w:ilvl="1" w:tplc="48090019" w:tentative="1">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11" w15:restartNumberingAfterBreak="0">
    <w:nsid w:val="49383339"/>
    <w:multiLevelType w:val="hybridMultilevel"/>
    <w:tmpl w:val="7FE63CB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start w:val="1"/>
      <w:numFmt w:val="lowerRoman"/>
      <w:lvlText w:val="%3."/>
      <w:lvlJc w:val="right"/>
      <w:pPr>
        <w:ind w:left="2160" w:hanging="180"/>
      </w:pPr>
    </w:lvl>
    <w:lvl w:ilvl="3" w:tplc="4809000F">
      <w:start w:val="1"/>
      <w:numFmt w:val="decimal"/>
      <w:lvlText w:val="%4."/>
      <w:lvlJc w:val="left"/>
      <w:pPr>
        <w:ind w:left="2880" w:hanging="360"/>
      </w:pPr>
    </w:lvl>
    <w:lvl w:ilvl="4" w:tplc="48090019">
      <w:start w:val="1"/>
      <w:numFmt w:val="lowerLetter"/>
      <w:lvlText w:val="%5."/>
      <w:lvlJc w:val="left"/>
      <w:pPr>
        <w:ind w:left="3600" w:hanging="360"/>
      </w:pPr>
    </w:lvl>
    <w:lvl w:ilvl="5" w:tplc="4809001B">
      <w:start w:val="1"/>
      <w:numFmt w:val="lowerRoman"/>
      <w:lvlText w:val="%6."/>
      <w:lvlJc w:val="right"/>
      <w:pPr>
        <w:ind w:left="4320" w:hanging="180"/>
      </w:pPr>
    </w:lvl>
    <w:lvl w:ilvl="6" w:tplc="4809000F">
      <w:start w:val="1"/>
      <w:numFmt w:val="decimal"/>
      <w:lvlText w:val="%7."/>
      <w:lvlJc w:val="left"/>
      <w:pPr>
        <w:ind w:left="5040" w:hanging="360"/>
      </w:pPr>
    </w:lvl>
    <w:lvl w:ilvl="7" w:tplc="48090019">
      <w:start w:val="1"/>
      <w:numFmt w:val="lowerLetter"/>
      <w:lvlText w:val="%8."/>
      <w:lvlJc w:val="left"/>
      <w:pPr>
        <w:ind w:left="5760" w:hanging="360"/>
      </w:pPr>
    </w:lvl>
    <w:lvl w:ilvl="8" w:tplc="4809001B">
      <w:start w:val="1"/>
      <w:numFmt w:val="lowerRoman"/>
      <w:lvlText w:val="%9."/>
      <w:lvlJc w:val="right"/>
      <w:pPr>
        <w:ind w:left="6480" w:hanging="180"/>
      </w:pPr>
    </w:lvl>
  </w:abstractNum>
  <w:abstractNum w:abstractNumId="12" w15:restartNumberingAfterBreak="0">
    <w:nsid w:val="54F21597"/>
    <w:multiLevelType w:val="multilevel"/>
    <w:tmpl w:val="03F886A8"/>
    <w:lvl w:ilvl="0">
      <w:start w:val="1"/>
      <w:numFmt w:val="decimal"/>
      <w:lvlText w:val="%1."/>
      <w:lvlJc w:val="left"/>
      <w:pPr>
        <w:ind w:left="720" w:hanging="720"/>
      </w:pPr>
      <w:rPr>
        <w:rFonts w:hint="default"/>
        <w:b/>
        <w:i w:val="0"/>
        <w:caps/>
        <w:strike w:val="0"/>
        <w:dstrike w:val="0"/>
        <w:vanish w:val="0"/>
        <w:sz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ind w:left="720" w:hanging="720"/>
      </w:pPr>
      <w:rPr>
        <w:rFonts w:ascii="Times New Roman" w:hAnsi="Times New Roman" w:hint="default"/>
        <w:b w:val="0"/>
        <w:i w:val="0"/>
        <w:caps w:val="0"/>
        <w:strike w:val="0"/>
        <w:dstrike w:val="0"/>
        <w:vanish w:val="0"/>
        <w:sz w:val="22"/>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lowerLetter"/>
      <w:lvlText w:val="(%3)"/>
      <w:lvlJc w:val="left"/>
      <w:pPr>
        <w:ind w:left="1440" w:hanging="720"/>
      </w:pPr>
      <w:rPr>
        <w:rFonts w:ascii="Times New Roman" w:hAnsi="Times New Roman" w:hint="default"/>
        <w:b w:val="0"/>
        <w:i w:val="0"/>
        <w:caps w:val="0"/>
        <w:strike w:val="0"/>
        <w:dstrike w:val="0"/>
        <w:vanish w:val="0"/>
        <w:sz w:val="22"/>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Roman"/>
      <w:lvlText w:val="(%4)"/>
      <w:lvlJc w:val="left"/>
      <w:pPr>
        <w:ind w:left="2160" w:hanging="720"/>
      </w:pPr>
      <w:rPr>
        <w:rFonts w:ascii="Times New Roman" w:hAnsi="Times New Roman" w:hint="default"/>
        <w:b w:val="0"/>
        <w:i w:val="0"/>
        <w:caps w:val="0"/>
        <w:strike w:val="0"/>
        <w:dstrike w:val="0"/>
        <w:vanish w:val="0"/>
        <w:sz w:val="22"/>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590D0AED"/>
    <w:multiLevelType w:val="hybridMultilevel"/>
    <w:tmpl w:val="A71698D4"/>
    <w:lvl w:ilvl="0" w:tplc="82EC0B30">
      <w:start w:val="7"/>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5BC8585B"/>
    <w:multiLevelType w:val="hybridMultilevel"/>
    <w:tmpl w:val="A9DE2548"/>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5F5B75A0"/>
    <w:multiLevelType w:val="hybridMultilevel"/>
    <w:tmpl w:val="AC188ABC"/>
    <w:lvl w:ilvl="0" w:tplc="04090001">
      <w:start w:val="1"/>
      <w:numFmt w:val="bullet"/>
      <w:lvlText w:val=""/>
      <w:lvlJc w:val="left"/>
      <w:pPr>
        <w:ind w:left="720" w:hanging="360"/>
      </w:pPr>
      <w:rPr>
        <w:rFonts w:ascii="Times New Roman" w:hAnsi="Times New Roman" w:hint="default"/>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Times New Roman" w:hAnsi="Times New Roman" w:hint="default"/>
      </w:rPr>
    </w:lvl>
    <w:lvl w:ilvl="3" w:tplc="04090001" w:tentative="1">
      <w:start w:val="1"/>
      <w:numFmt w:val="bullet"/>
      <w:lvlText w:val=""/>
      <w:lvlJc w:val="left"/>
      <w:pPr>
        <w:ind w:left="2880" w:hanging="360"/>
      </w:pPr>
      <w:rPr>
        <w:rFonts w:ascii="Times New Roman" w:hAnsi="Times New Roman"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Times New Roman" w:hAnsi="Times New Roman" w:hint="default"/>
      </w:rPr>
    </w:lvl>
    <w:lvl w:ilvl="6" w:tplc="04090001" w:tentative="1">
      <w:start w:val="1"/>
      <w:numFmt w:val="bullet"/>
      <w:lvlText w:val=""/>
      <w:lvlJc w:val="left"/>
      <w:pPr>
        <w:ind w:left="5040" w:hanging="360"/>
      </w:pPr>
      <w:rPr>
        <w:rFonts w:ascii="Times New Roman" w:hAnsi="Times New Roman"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Times New Roman" w:hAnsi="Times New Roman" w:hint="default"/>
      </w:rPr>
    </w:lvl>
  </w:abstractNum>
  <w:abstractNum w:abstractNumId="16" w15:restartNumberingAfterBreak="0">
    <w:nsid w:val="616D6777"/>
    <w:multiLevelType w:val="hybridMultilevel"/>
    <w:tmpl w:val="3E327244"/>
    <w:lvl w:ilvl="0" w:tplc="7B5ACF40">
      <w:start w:val="1"/>
      <w:numFmt w:val="decimal"/>
      <w:lvlText w:val="%1."/>
      <w:lvlJc w:val="left"/>
      <w:pPr>
        <w:tabs>
          <w:tab w:val="num" w:pos="1800"/>
        </w:tabs>
        <w:ind w:left="1800" w:hanging="360"/>
      </w:pPr>
      <w:rPr>
        <w:rFonts w:hint="default"/>
        <w:b w:val="0"/>
        <w:i/>
      </w:rPr>
    </w:lvl>
    <w:lvl w:ilvl="1" w:tplc="08090019" w:tentative="1">
      <w:start w:val="1"/>
      <w:numFmt w:val="lowerLetter"/>
      <w:lvlText w:val="%2."/>
      <w:lvlJc w:val="left"/>
      <w:pPr>
        <w:tabs>
          <w:tab w:val="num" w:pos="2160"/>
        </w:tabs>
        <w:ind w:left="2160" w:hanging="360"/>
      </w:pPr>
    </w:lvl>
    <w:lvl w:ilvl="2" w:tplc="0809001B" w:tentative="1">
      <w:start w:val="1"/>
      <w:numFmt w:val="lowerRoman"/>
      <w:lvlText w:val="%3."/>
      <w:lvlJc w:val="right"/>
      <w:pPr>
        <w:tabs>
          <w:tab w:val="num" w:pos="2880"/>
        </w:tabs>
        <w:ind w:left="2880" w:hanging="180"/>
      </w:pPr>
    </w:lvl>
    <w:lvl w:ilvl="3" w:tplc="0809000F" w:tentative="1">
      <w:start w:val="1"/>
      <w:numFmt w:val="decimal"/>
      <w:lvlText w:val="%4."/>
      <w:lvlJc w:val="left"/>
      <w:pPr>
        <w:tabs>
          <w:tab w:val="num" w:pos="3600"/>
        </w:tabs>
        <w:ind w:left="3600" w:hanging="360"/>
      </w:pPr>
    </w:lvl>
    <w:lvl w:ilvl="4" w:tplc="08090019" w:tentative="1">
      <w:start w:val="1"/>
      <w:numFmt w:val="lowerLetter"/>
      <w:lvlText w:val="%5."/>
      <w:lvlJc w:val="left"/>
      <w:pPr>
        <w:tabs>
          <w:tab w:val="num" w:pos="4320"/>
        </w:tabs>
        <w:ind w:left="4320" w:hanging="360"/>
      </w:pPr>
    </w:lvl>
    <w:lvl w:ilvl="5" w:tplc="0809001B" w:tentative="1">
      <w:start w:val="1"/>
      <w:numFmt w:val="lowerRoman"/>
      <w:lvlText w:val="%6."/>
      <w:lvlJc w:val="right"/>
      <w:pPr>
        <w:tabs>
          <w:tab w:val="num" w:pos="5040"/>
        </w:tabs>
        <w:ind w:left="5040" w:hanging="180"/>
      </w:pPr>
    </w:lvl>
    <w:lvl w:ilvl="6" w:tplc="0809000F" w:tentative="1">
      <w:start w:val="1"/>
      <w:numFmt w:val="decimal"/>
      <w:lvlText w:val="%7."/>
      <w:lvlJc w:val="left"/>
      <w:pPr>
        <w:tabs>
          <w:tab w:val="num" w:pos="5760"/>
        </w:tabs>
        <w:ind w:left="5760" w:hanging="360"/>
      </w:pPr>
    </w:lvl>
    <w:lvl w:ilvl="7" w:tplc="08090019" w:tentative="1">
      <w:start w:val="1"/>
      <w:numFmt w:val="lowerLetter"/>
      <w:lvlText w:val="%8."/>
      <w:lvlJc w:val="left"/>
      <w:pPr>
        <w:tabs>
          <w:tab w:val="num" w:pos="6480"/>
        </w:tabs>
        <w:ind w:left="6480" w:hanging="360"/>
      </w:pPr>
    </w:lvl>
    <w:lvl w:ilvl="8" w:tplc="0809001B" w:tentative="1">
      <w:start w:val="1"/>
      <w:numFmt w:val="lowerRoman"/>
      <w:lvlText w:val="%9."/>
      <w:lvlJc w:val="right"/>
      <w:pPr>
        <w:tabs>
          <w:tab w:val="num" w:pos="7200"/>
        </w:tabs>
        <w:ind w:left="7200" w:hanging="180"/>
      </w:pPr>
    </w:lvl>
  </w:abstractNum>
  <w:abstractNum w:abstractNumId="17" w15:restartNumberingAfterBreak="0">
    <w:nsid w:val="69390751"/>
    <w:multiLevelType w:val="hybridMultilevel"/>
    <w:tmpl w:val="AD16956E"/>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6A173457"/>
    <w:multiLevelType w:val="hybridMultilevel"/>
    <w:tmpl w:val="1854C09E"/>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9" w15:restartNumberingAfterBreak="0">
    <w:nsid w:val="6C6700FB"/>
    <w:multiLevelType w:val="hybridMultilevel"/>
    <w:tmpl w:val="A412B796"/>
    <w:lvl w:ilvl="0" w:tplc="04090001">
      <w:start w:val="1"/>
      <w:numFmt w:val="bullet"/>
      <w:lvlText w:val=""/>
      <w:lvlJc w:val="left"/>
      <w:pPr>
        <w:ind w:left="720" w:hanging="360"/>
      </w:pPr>
      <w:rPr>
        <w:rFonts w:ascii="Times New Roman" w:hAnsi="Times New Roman" w:hint="default"/>
      </w:rPr>
    </w:lvl>
    <w:lvl w:ilvl="1" w:tplc="04090003" w:tentative="1">
      <w:start w:val="1"/>
      <w:numFmt w:val="bullet"/>
      <w:lvlText w:val="o"/>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Times New Roman" w:hAnsi="Times New Roman" w:hint="default"/>
      </w:rPr>
    </w:lvl>
    <w:lvl w:ilvl="3" w:tplc="04090001" w:tentative="1">
      <w:start w:val="1"/>
      <w:numFmt w:val="bullet"/>
      <w:lvlText w:val=""/>
      <w:lvlJc w:val="left"/>
      <w:pPr>
        <w:ind w:left="2880" w:hanging="360"/>
      </w:pPr>
      <w:rPr>
        <w:rFonts w:ascii="Times New Roman" w:hAnsi="Times New Roman" w:hint="default"/>
      </w:rPr>
    </w:lvl>
    <w:lvl w:ilvl="4" w:tplc="04090003" w:tentative="1">
      <w:start w:val="1"/>
      <w:numFmt w:val="bullet"/>
      <w:lvlText w:val="o"/>
      <w:lvlJc w:val="left"/>
      <w:pPr>
        <w:ind w:left="3600" w:hanging="360"/>
      </w:pPr>
      <w:rPr>
        <w:rFonts w:ascii="Times New Roman" w:hAnsi="Times New Roman" w:cs="Times New Roman" w:hint="default"/>
      </w:rPr>
    </w:lvl>
    <w:lvl w:ilvl="5" w:tplc="04090005" w:tentative="1">
      <w:start w:val="1"/>
      <w:numFmt w:val="bullet"/>
      <w:lvlText w:val=""/>
      <w:lvlJc w:val="left"/>
      <w:pPr>
        <w:ind w:left="4320" w:hanging="360"/>
      </w:pPr>
      <w:rPr>
        <w:rFonts w:ascii="Times New Roman" w:hAnsi="Times New Roman" w:hint="default"/>
      </w:rPr>
    </w:lvl>
    <w:lvl w:ilvl="6" w:tplc="04090001" w:tentative="1">
      <w:start w:val="1"/>
      <w:numFmt w:val="bullet"/>
      <w:lvlText w:val=""/>
      <w:lvlJc w:val="left"/>
      <w:pPr>
        <w:ind w:left="5040" w:hanging="360"/>
      </w:pPr>
      <w:rPr>
        <w:rFonts w:ascii="Times New Roman" w:hAnsi="Times New Roman" w:hint="default"/>
      </w:rPr>
    </w:lvl>
    <w:lvl w:ilvl="7" w:tplc="04090003" w:tentative="1">
      <w:start w:val="1"/>
      <w:numFmt w:val="bullet"/>
      <w:lvlText w:val="o"/>
      <w:lvlJc w:val="left"/>
      <w:pPr>
        <w:ind w:left="5760" w:hanging="360"/>
      </w:pPr>
      <w:rPr>
        <w:rFonts w:ascii="Times New Roman" w:hAnsi="Times New Roman" w:cs="Times New Roman" w:hint="default"/>
      </w:rPr>
    </w:lvl>
    <w:lvl w:ilvl="8" w:tplc="04090005" w:tentative="1">
      <w:start w:val="1"/>
      <w:numFmt w:val="bullet"/>
      <w:lvlText w:val=""/>
      <w:lvlJc w:val="left"/>
      <w:pPr>
        <w:ind w:left="6480" w:hanging="360"/>
      </w:pPr>
      <w:rPr>
        <w:rFonts w:ascii="Times New Roman" w:hAnsi="Times New Roman" w:hint="default"/>
      </w:rPr>
    </w:lvl>
  </w:abstractNum>
  <w:abstractNum w:abstractNumId="20" w15:restartNumberingAfterBreak="0">
    <w:nsid w:val="76FA252B"/>
    <w:multiLevelType w:val="hybridMultilevel"/>
    <w:tmpl w:val="FBFC925C"/>
    <w:lvl w:ilvl="0" w:tplc="48090019">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039507129">
    <w:abstractNumId w:val="12"/>
  </w:num>
  <w:num w:numId="2" w16cid:durableId="2093893593">
    <w:abstractNumId w:val="18"/>
  </w:num>
  <w:num w:numId="3" w16cid:durableId="162086307">
    <w:abstractNumId w:val="0"/>
  </w:num>
  <w:num w:numId="4" w16cid:durableId="26107164">
    <w:abstractNumId w:val="10"/>
  </w:num>
  <w:num w:numId="5" w16cid:durableId="1164469773">
    <w:abstractNumId w:val="7"/>
  </w:num>
  <w:num w:numId="6" w16cid:durableId="1782603581">
    <w:abstractNumId w:val="6"/>
  </w:num>
  <w:num w:numId="7" w16cid:durableId="651254072">
    <w:abstractNumId w:val="4"/>
  </w:num>
  <w:num w:numId="8" w16cid:durableId="582833176">
    <w:abstractNumId w:val="17"/>
  </w:num>
  <w:num w:numId="9" w16cid:durableId="317029423">
    <w:abstractNumId w:val="20"/>
  </w:num>
  <w:num w:numId="10" w16cid:durableId="497893025">
    <w:abstractNumId w:val="3"/>
  </w:num>
  <w:num w:numId="11" w16cid:durableId="802887933">
    <w:abstractNumId w:val="16"/>
  </w:num>
  <w:num w:numId="12" w16cid:durableId="1603954812">
    <w:abstractNumId w:val="5"/>
  </w:num>
  <w:num w:numId="13" w16cid:durableId="475025715">
    <w:abstractNumId w:val="9"/>
  </w:num>
  <w:num w:numId="14" w16cid:durableId="2066483459">
    <w:abstractNumId w:val="19"/>
  </w:num>
  <w:num w:numId="15" w16cid:durableId="1438481346">
    <w:abstractNumId w:val="15"/>
  </w:num>
  <w:num w:numId="16" w16cid:durableId="189496462">
    <w:abstractNumId w:val="13"/>
  </w:num>
  <w:num w:numId="17" w16cid:durableId="1676378043">
    <w:abstractNumId w:val="2"/>
  </w:num>
  <w:num w:numId="18" w16cid:durableId="1783378287">
    <w:abstractNumId w:val="1"/>
  </w:num>
  <w:num w:numId="19" w16cid:durableId="31518270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58595321">
    <w:abstractNumId w:val="14"/>
  </w:num>
  <w:num w:numId="21" w16cid:durableId="61652256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1732"/>
    <w:rsid w:val="0001668F"/>
    <w:rsid w:val="00017F88"/>
    <w:rsid w:val="000227C1"/>
    <w:rsid w:val="00032DAA"/>
    <w:rsid w:val="00053CD9"/>
    <w:rsid w:val="00054A61"/>
    <w:rsid w:val="00055F80"/>
    <w:rsid w:val="00057737"/>
    <w:rsid w:val="00084E14"/>
    <w:rsid w:val="0009154C"/>
    <w:rsid w:val="000B1676"/>
    <w:rsid w:val="000B1B44"/>
    <w:rsid w:val="000B674E"/>
    <w:rsid w:val="000C688E"/>
    <w:rsid w:val="000D0768"/>
    <w:rsid w:val="000E2458"/>
    <w:rsid w:val="000E7960"/>
    <w:rsid w:val="00105C5A"/>
    <w:rsid w:val="001338B9"/>
    <w:rsid w:val="00144042"/>
    <w:rsid w:val="0017291E"/>
    <w:rsid w:val="00185E76"/>
    <w:rsid w:val="001A1732"/>
    <w:rsid w:val="001A3B93"/>
    <w:rsid w:val="001A4093"/>
    <w:rsid w:val="001A4B96"/>
    <w:rsid w:val="001B476C"/>
    <w:rsid w:val="001C68C8"/>
    <w:rsid w:val="001E2C07"/>
    <w:rsid w:val="001F2365"/>
    <w:rsid w:val="00237560"/>
    <w:rsid w:val="00244B0F"/>
    <w:rsid w:val="0025020D"/>
    <w:rsid w:val="00260348"/>
    <w:rsid w:val="0027658E"/>
    <w:rsid w:val="00285185"/>
    <w:rsid w:val="00290AC5"/>
    <w:rsid w:val="00293CDB"/>
    <w:rsid w:val="002A291C"/>
    <w:rsid w:val="002A62E7"/>
    <w:rsid w:val="002C26AC"/>
    <w:rsid w:val="002D3E01"/>
    <w:rsid w:val="002D6D8C"/>
    <w:rsid w:val="002F6BA7"/>
    <w:rsid w:val="003151C8"/>
    <w:rsid w:val="0031733A"/>
    <w:rsid w:val="00322EFA"/>
    <w:rsid w:val="00326899"/>
    <w:rsid w:val="00331753"/>
    <w:rsid w:val="00332BEC"/>
    <w:rsid w:val="003342A5"/>
    <w:rsid w:val="0033528D"/>
    <w:rsid w:val="00344E38"/>
    <w:rsid w:val="003459DA"/>
    <w:rsid w:val="00353F88"/>
    <w:rsid w:val="00357715"/>
    <w:rsid w:val="00361F7C"/>
    <w:rsid w:val="00392443"/>
    <w:rsid w:val="003A2854"/>
    <w:rsid w:val="003A4FE8"/>
    <w:rsid w:val="003C2478"/>
    <w:rsid w:val="003D5532"/>
    <w:rsid w:val="003E0F44"/>
    <w:rsid w:val="003E40DA"/>
    <w:rsid w:val="003F4335"/>
    <w:rsid w:val="004222A3"/>
    <w:rsid w:val="0042359B"/>
    <w:rsid w:val="004257CD"/>
    <w:rsid w:val="00427215"/>
    <w:rsid w:val="0043760C"/>
    <w:rsid w:val="004467A8"/>
    <w:rsid w:val="00453AC6"/>
    <w:rsid w:val="004650A2"/>
    <w:rsid w:val="004664D3"/>
    <w:rsid w:val="00475C5E"/>
    <w:rsid w:val="0048055F"/>
    <w:rsid w:val="004A03EA"/>
    <w:rsid w:val="004A245C"/>
    <w:rsid w:val="004B0825"/>
    <w:rsid w:val="004B30EA"/>
    <w:rsid w:val="004C4F3A"/>
    <w:rsid w:val="004E07E3"/>
    <w:rsid w:val="004E1454"/>
    <w:rsid w:val="004F453D"/>
    <w:rsid w:val="005356CA"/>
    <w:rsid w:val="00546FA4"/>
    <w:rsid w:val="00564344"/>
    <w:rsid w:val="00565A89"/>
    <w:rsid w:val="005A2A0A"/>
    <w:rsid w:val="005A6B8E"/>
    <w:rsid w:val="005B3E86"/>
    <w:rsid w:val="005B7246"/>
    <w:rsid w:val="005C1BAB"/>
    <w:rsid w:val="005C3FC4"/>
    <w:rsid w:val="005E627F"/>
    <w:rsid w:val="005F08AD"/>
    <w:rsid w:val="006161FC"/>
    <w:rsid w:val="00620A12"/>
    <w:rsid w:val="00623CEA"/>
    <w:rsid w:val="0062535F"/>
    <w:rsid w:val="0062638B"/>
    <w:rsid w:val="0063226B"/>
    <w:rsid w:val="00635739"/>
    <w:rsid w:val="00640E23"/>
    <w:rsid w:val="006419F0"/>
    <w:rsid w:val="00646A70"/>
    <w:rsid w:val="00650890"/>
    <w:rsid w:val="006649B7"/>
    <w:rsid w:val="006925A5"/>
    <w:rsid w:val="006A3D68"/>
    <w:rsid w:val="006B40B6"/>
    <w:rsid w:val="006F10BA"/>
    <w:rsid w:val="006F453C"/>
    <w:rsid w:val="00706C81"/>
    <w:rsid w:val="007222EB"/>
    <w:rsid w:val="007347D0"/>
    <w:rsid w:val="00741384"/>
    <w:rsid w:val="007427D6"/>
    <w:rsid w:val="0074323F"/>
    <w:rsid w:val="00751C9A"/>
    <w:rsid w:val="00761106"/>
    <w:rsid w:val="00773741"/>
    <w:rsid w:val="00774B62"/>
    <w:rsid w:val="00795F69"/>
    <w:rsid w:val="00796B27"/>
    <w:rsid w:val="007B06F8"/>
    <w:rsid w:val="007D4AE5"/>
    <w:rsid w:val="007E5595"/>
    <w:rsid w:val="008014C9"/>
    <w:rsid w:val="0080323F"/>
    <w:rsid w:val="00810E7A"/>
    <w:rsid w:val="00822801"/>
    <w:rsid w:val="00826D5E"/>
    <w:rsid w:val="008271FF"/>
    <w:rsid w:val="00834C12"/>
    <w:rsid w:val="008735E6"/>
    <w:rsid w:val="008A4EBB"/>
    <w:rsid w:val="008B6AD6"/>
    <w:rsid w:val="008D7304"/>
    <w:rsid w:val="008E4EB9"/>
    <w:rsid w:val="0094165D"/>
    <w:rsid w:val="00941A4F"/>
    <w:rsid w:val="00946976"/>
    <w:rsid w:val="009561D9"/>
    <w:rsid w:val="00976985"/>
    <w:rsid w:val="009A0236"/>
    <w:rsid w:val="009F2A85"/>
    <w:rsid w:val="00A046D5"/>
    <w:rsid w:val="00A04FCD"/>
    <w:rsid w:val="00A36ECB"/>
    <w:rsid w:val="00A62EFF"/>
    <w:rsid w:val="00A763B7"/>
    <w:rsid w:val="00A96E7A"/>
    <w:rsid w:val="00A96FFF"/>
    <w:rsid w:val="00AA34D9"/>
    <w:rsid w:val="00AC318E"/>
    <w:rsid w:val="00AC44DB"/>
    <w:rsid w:val="00AD5A81"/>
    <w:rsid w:val="00AE78B0"/>
    <w:rsid w:val="00B05705"/>
    <w:rsid w:val="00B11316"/>
    <w:rsid w:val="00B35F69"/>
    <w:rsid w:val="00B46ECB"/>
    <w:rsid w:val="00B50BD9"/>
    <w:rsid w:val="00B628DE"/>
    <w:rsid w:val="00B76593"/>
    <w:rsid w:val="00B879FF"/>
    <w:rsid w:val="00B91483"/>
    <w:rsid w:val="00B9616B"/>
    <w:rsid w:val="00BA1BD2"/>
    <w:rsid w:val="00BA527B"/>
    <w:rsid w:val="00BB0AC9"/>
    <w:rsid w:val="00BD709A"/>
    <w:rsid w:val="00BF4F8F"/>
    <w:rsid w:val="00C0237C"/>
    <w:rsid w:val="00C0740F"/>
    <w:rsid w:val="00C2540E"/>
    <w:rsid w:val="00C2733A"/>
    <w:rsid w:val="00C27782"/>
    <w:rsid w:val="00C33BB8"/>
    <w:rsid w:val="00C446EE"/>
    <w:rsid w:val="00C706C6"/>
    <w:rsid w:val="00C71ADF"/>
    <w:rsid w:val="00C758D0"/>
    <w:rsid w:val="00C82AF2"/>
    <w:rsid w:val="00C85B29"/>
    <w:rsid w:val="00C9380D"/>
    <w:rsid w:val="00CA3B28"/>
    <w:rsid w:val="00CE30CE"/>
    <w:rsid w:val="00CE63AA"/>
    <w:rsid w:val="00CF2128"/>
    <w:rsid w:val="00CF5BA3"/>
    <w:rsid w:val="00D0012B"/>
    <w:rsid w:val="00D041D9"/>
    <w:rsid w:val="00D05D43"/>
    <w:rsid w:val="00D15E5A"/>
    <w:rsid w:val="00D23136"/>
    <w:rsid w:val="00D40531"/>
    <w:rsid w:val="00D43CE7"/>
    <w:rsid w:val="00D50F5E"/>
    <w:rsid w:val="00D6793C"/>
    <w:rsid w:val="00D70113"/>
    <w:rsid w:val="00D74172"/>
    <w:rsid w:val="00DA7364"/>
    <w:rsid w:val="00DB12CF"/>
    <w:rsid w:val="00DF2DFB"/>
    <w:rsid w:val="00DF3C11"/>
    <w:rsid w:val="00E07257"/>
    <w:rsid w:val="00E07E07"/>
    <w:rsid w:val="00E1756A"/>
    <w:rsid w:val="00E37FF5"/>
    <w:rsid w:val="00E40931"/>
    <w:rsid w:val="00E40D8B"/>
    <w:rsid w:val="00E43C8D"/>
    <w:rsid w:val="00E45CC9"/>
    <w:rsid w:val="00E4627E"/>
    <w:rsid w:val="00E54E77"/>
    <w:rsid w:val="00E67A3D"/>
    <w:rsid w:val="00E7649E"/>
    <w:rsid w:val="00E8197E"/>
    <w:rsid w:val="00E87013"/>
    <w:rsid w:val="00E94D4B"/>
    <w:rsid w:val="00EA4213"/>
    <w:rsid w:val="00EB0789"/>
    <w:rsid w:val="00EB1A8F"/>
    <w:rsid w:val="00EC24DD"/>
    <w:rsid w:val="00EC4A65"/>
    <w:rsid w:val="00ED17E7"/>
    <w:rsid w:val="00F05FC7"/>
    <w:rsid w:val="00F07163"/>
    <w:rsid w:val="00F13E13"/>
    <w:rsid w:val="00F14672"/>
    <w:rsid w:val="00F24C0C"/>
    <w:rsid w:val="00F34686"/>
    <w:rsid w:val="00F61A83"/>
    <w:rsid w:val="00F6574F"/>
    <w:rsid w:val="00F84C77"/>
    <w:rsid w:val="00FC5F61"/>
    <w:rsid w:val="00FD282B"/>
    <w:rsid w:val="00FE297B"/>
    <w:rsid w:val="00FE39AB"/>
    <w:rsid w:val="00FE4C36"/>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743CA2"/>
  <w15:docId w15:val="{0E38158B-88B0-4AD8-8579-F35214DB3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6B8E"/>
    <w:rPr>
      <w:rFonts w:eastAsia="Times New Roman"/>
      <w:color w:val="000000"/>
    </w:rPr>
  </w:style>
  <w:style w:type="paragraph" w:styleId="Heading3">
    <w:name w:val="heading 3"/>
    <w:basedOn w:val="Normal"/>
    <w:next w:val="Normal"/>
    <w:link w:val="Heading3Char"/>
    <w:qFormat/>
    <w:rsid w:val="006161FC"/>
    <w:pPr>
      <w:keepNext/>
      <w:widowControl w:val="0"/>
      <w:tabs>
        <w:tab w:val="center" w:pos="4080"/>
      </w:tabs>
      <w:jc w:val="right"/>
      <w:outlineLvl w:val="2"/>
    </w:pPr>
    <w:rPr>
      <w:sz w:val="22"/>
      <w:szCs w:val="20"/>
      <w:u w:val="single"/>
      <w:lang w:val="en-GB"/>
    </w:rPr>
  </w:style>
  <w:style w:type="paragraph" w:styleId="Heading4">
    <w:name w:val="heading 4"/>
    <w:basedOn w:val="Normal"/>
    <w:next w:val="Normal"/>
    <w:link w:val="Heading4Char"/>
    <w:qFormat/>
    <w:rsid w:val="006161FC"/>
    <w:pPr>
      <w:keepNext/>
      <w:widowControl w:val="0"/>
      <w:jc w:val="center"/>
      <w:outlineLvl w:val="3"/>
    </w:pPr>
    <w:rPr>
      <w:b/>
      <w:sz w:val="22"/>
      <w:szCs w:val="20"/>
      <w:u w:val="single"/>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A1732"/>
    <w:pPr>
      <w:tabs>
        <w:tab w:val="center" w:pos="4320"/>
        <w:tab w:val="right" w:pos="8640"/>
      </w:tabs>
    </w:pPr>
  </w:style>
  <w:style w:type="character" w:customStyle="1" w:styleId="HeaderChar">
    <w:name w:val="Header Char"/>
    <w:basedOn w:val="DefaultParagraphFont"/>
    <w:link w:val="Header"/>
    <w:uiPriority w:val="99"/>
    <w:rsid w:val="001A1732"/>
    <w:rPr>
      <w:rFonts w:ascii="Times New Roman" w:hAnsi="Times New Roman"/>
      <w:color w:val="000000"/>
    </w:rPr>
  </w:style>
  <w:style w:type="paragraph" w:styleId="Footer">
    <w:name w:val="footer"/>
    <w:basedOn w:val="Normal"/>
    <w:link w:val="FooterChar"/>
    <w:uiPriority w:val="99"/>
    <w:unhideWhenUsed/>
    <w:rsid w:val="001A1732"/>
    <w:pPr>
      <w:tabs>
        <w:tab w:val="center" w:pos="4320"/>
        <w:tab w:val="right" w:pos="8640"/>
      </w:tabs>
    </w:pPr>
  </w:style>
  <w:style w:type="character" w:customStyle="1" w:styleId="FooterChar">
    <w:name w:val="Footer Char"/>
    <w:basedOn w:val="DefaultParagraphFont"/>
    <w:link w:val="Footer"/>
    <w:uiPriority w:val="99"/>
    <w:rsid w:val="001A1732"/>
    <w:rPr>
      <w:rFonts w:ascii="Times New Roman" w:hAnsi="Times New Roman"/>
      <w:color w:val="000000"/>
    </w:rPr>
  </w:style>
  <w:style w:type="table" w:styleId="TableGrid">
    <w:name w:val="Table Grid"/>
    <w:basedOn w:val="TableNormal"/>
    <w:uiPriority w:val="59"/>
    <w:rsid w:val="001A1732"/>
    <w:rPr>
      <w:color w:val="000000"/>
      <w:sz w:val="22"/>
      <w:szCs w:val="22"/>
      <w:lang w:bidi="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EC4A65"/>
    <w:rPr>
      <w:sz w:val="16"/>
      <w:szCs w:val="16"/>
    </w:rPr>
  </w:style>
  <w:style w:type="character" w:customStyle="1" w:styleId="BalloonTextChar">
    <w:name w:val="Balloon Text Char"/>
    <w:basedOn w:val="DefaultParagraphFont"/>
    <w:link w:val="BalloonText"/>
    <w:uiPriority w:val="99"/>
    <w:semiHidden/>
    <w:rsid w:val="00EC4A65"/>
    <w:rPr>
      <w:rFonts w:ascii="Times New Roman" w:hAnsi="Times New Roman" w:cs="Times New Roman"/>
      <w:color w:val="000000"/>
      <w:sz w:val="16"/>
      <w:szCs w:val="16"/>
    </w:rPr>
  </w:style>
  <w:style w:type="paragraph" w:styleId="ListParagraph">
    <w:name w:val="List Paragraph"/>
    <w:basedOn w:val="Normal"/>
    <w:uiPriority w:val="34"/>
    <w:qFormat/>
    <w:rsid w:val="000C688E"/>
    <w:pPr>
      <w:ind w:left="720"/>
      <w:contextualSpacing/>
    </w:pPr>
    <w:rPr>
      <w:sz w:val="20"/>
      <w:szCs w:val="20"/>
      <w:lang w:val="en-GB"/>
    </w:rPr>
  </w:style>
  <w:style w:type="table" w:customStyle="1" w:styleId="TableGrid1">
    <w:name w:val="Table Grid1"/>
    <w:basedOn w:val="TableNormal"/>
    <w:next w:val="TableGrid"/>
    <w:uiPriority w:val="59"/>
    <w:rsid w:val="00B76593"/>
    <w:rPr>
      <w:rFonts w:eastAsia="Times New Roman"/>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rsid w:val="006161FC"/>
    <w:rPr>
      <w:rFonts w:ascii="Times New Roman" w:eastAsia="Times New Roman" w:hAnsi="Times New Roman" w:cs="Times New Roman"/>
      <w:color w:val="000000"/>
      <w:sz w:val="22"/>
      <w:szCs w:val="20"/>
      <w:u w:val="single"/>
      <w:lang w:val="en-GB"/>
    </w:rPr>
  </w:style>
  <w:style w:type="character" w:customStyle="1" w:styleId="Heading4Char">
    <w:name w:val="Heading 4 Char"/>
    <w:basedOn w:val="DefaultParagraphFont"/>
    <w:link w:val="Heading4"/>
    <w:rsid w:val="006161FC"/>
    <w:rPr>
      <w:rFonts w:ascii="Times New Roman" w:eastAsia="Times New Roman" w:hAnsi="Times New Roman" w:cs="Times New Roman"/>
      <w:b/>
      <w:color w:val="000000"/>
      <w:sz w:val="22"/>
      <w:szCs w:val="20"/>
      <w:u w:val="single"/>
      <w:lang w:val="en-GB"/>
    </w:rPr>
  </w:style>
  <w:style w:type="paragraph" w:styleId="NoSpacing">
    <w:name w:val="No Spacing"/>
    <w:uiPriority w:val="1"/>
    <w:qFormat/>
    <w:rsid w:val="00AC318E"/>
    <w:rPr>
      <w:rFonts w:eastAsia="Times New Roman"/>
      <w:color w:val="000000"/>
      <w:sz w:val="22"/>
      <w:szCs w:val="22"/>
    </w:rPr>
  </w:style>
  <w:style w:type="paragraph" w:styleId="Title">
    <w:name w:val="Title"/>
    <w:basedOn w:val="Normal"/>
    <w:link w:val="TitleChar"/>
    <w:uiPriority w:val="99"/>
    <w:qFormat/>
    <w:rsid w:val="00AC318E"/>
    <w:pPr>
      <w:spacing w:before="240" w:after="60"/>
      <w:jc w:val="center"/>
      <w:outlineLvl w:val="0"/>
    </w:pPr>
    <w:rPr>
      <w:b/>
      <w:bCs/>
      <w:kern w:val="28"/>
      <w:sz w:val="32"/>
      <w:szCs w:val="32"/>
      <w:lang w:val="en-GB"/>
    </w:rPr>
  </w:style>
  <w:style w:type="character" w:customStyle="1" w:styleId="TitleChar">
    <w:name w:val="Title Char"/>
    <w:basedOn w:val="DefaultParagraphFont"/>
    <w:link w:val="Title"/>
    <w:uiPriority w:val="99"/>
    <w:rsid w:val="00AC318E"/>
    <w:rPr>
      <w:rFonts w:ascii="Times New Roman" w:eastAsia="Times New Roman" w:hAnsi="Times New Roman" w:cs="Times New Roman"/>
      <w:b/>
      <w:bCs/>
      <w:color w:val="000000"/>
      <w:kern w:val="28"/>
      <w:sz w:val="32"/>
      <w:szCs w:val="32"/>
      <w:lang w:val="en-GB"/>
    </w:rPr>
  </w:style>
  <w:style w:type="character" w:styleId="Hyperlink">
    <w:name w:val="Hyperlink"/>
    <w:uiPriority w:val="99"/>
    <w:unhideWhenUsed/>
    <w:rsid w:val="00AC318E"/>
    <w:rPr>
      <w:rFonts w:ascii="Times New Roman" w:hAnsi="Times New Roman"/>
      <w:color w:val="000000"/>
      <w:u w:val="single"/>
    </w:rPr>
  </w:style>
  <w:style w:type="paragraph" w:styleId="FootnoteText">
    <w:name w:val="footnote text"/>
    <w:basedOn w:val="Normal"/>
    <w:link w:val="FootnoteTextChar"/>
    <w:semiHidden/>
    <w:rsid w:val="00E4627E"/>
    <w:rPr>
      <w:sz w:val="20"/>
      <w:szCs w:val="20"/>
    </w:rPr>
  </w:style>
  <w:style w:type="character" w:customStyle="1" w:styleId="FootnoteTextChar">
    <w:name w:val="Footnote Text Char"/>
    <w:basedOn w:val="DefaultParagraphFont"/>
    <w:link w:val="FootnoteText"/>
    <w:semiHidden/>
    <w:rsid w:val="00E4627E"/>
    <w:rPr>
      <w:rFonts w:ascii="Times New Roman" w:eastAsia="Times New Roman" w:hAnsi="Times New Roman" w:cs="Times New Roman"/>
      <w:color w:val="000000"/>
      <w:sz w:val="20"/>
      <w:szCs w:val="20"/>
    </w:rPr>
  </w:style>
  <w:style w:type="character" w:styleId="FootnoteReference">
    <w:name w:val="footnote reference"/>
    <w:semiHidden/>
    <w:rsid w:val="00E4627E"/>
    <w:rPr>
      <w:rFonts w:ascii="Times New Roman" w:hAnsi="Times New Roman"/>
      <w:color w:val="000000"/>
      <w:vertAlign w:val="superscript"/>
    </w:rPr>
  </w:style>
  <w:style w:type="character" w:styleId="UnresolvedMention">
    <w:name w:val="Unresolved Mention"/>
    <w:basedOn w:val="DefaultParagraphFont"/>
    <w:uiPriority w:val="99"/>
    <w:semiHidden/>
    <w:unhideWhenUsed/>
    <w:rsid w:val="00053CD9"/>
    <w:rPr>
      <w:rFonts w:ascii="Times New Roman" w:hAnsi="Times New Roman"/>
      <w:color w:val="000000"/>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9430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ap_fund@ntu.edu.sg" TargetMode="Externa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CBEFD32-A8FB-4332-B0FD-416BD4CC14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376</TotalTime>
  <Pages>26</Pages>
  <Words>13215</Words>
  <Characters>75328</Characters>
  <Application>Microsoft Office Word</Application>
  <DocSecurity>0</DocSecurity>
  <Lines>627</Lines>
  <Paragraphs>176</Paragraphs>
  <ScaleCrop>false</ScaleCrop>
  <HeadingPairs>
    <vt:vector size="2" baseType="variant">
      <vt:variant>
        <vt:lpstr>Title</vt:lpstr>
      </vt:variant>
      <vt:variant>
        <vt:i4>1</vt:i4>
      </vt:variant>
    </vt:vector>
  </HeadingPairs>
  <TitlesOfParts>
    <vt:vector size="1" baseType="lpstr">
      <vt:lpstr/>
    </vt:vector>
  </TitlesOfParts>
  <Company>NANYANG TECHNOLOGICAL UNIVERSITY</Company>
  <LinksUpToDate>false</LinksUpToDate>
  <CharactersWithSpaces>88367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Chong Wei Teng</dc:creator>
  <cp:lastModifiedBy>#CUI SHUAIWEN#</cp:lastModifiedBy>
  <cp:revision>59</cp:revision>
  <cp:lastPrinted>2014-09-30T03:41:00Z</cp:lastPrinted>
  <dcterms:created xsi:type="dcterms:W3CDTF">2025-07-01T22:56:00Z</dcterms:created>
  <dcterms:modified xsi:type="dcterms:W3CDTF">2026-09-02T12:32:00Z</dcterms:modified>
</cp:coreProperties>
</file>