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BBA5B" w14:textId="5CCC9CC3" w:rsidR="00AC318E" w:rsidRPr="004B30EA" w:rsidRDefault="00AC318E" w:rsidP="00F84C77">
      <w:pPr>
        <w:jc w:val="both"/>
        <w:rPr>
          <w:rFonts w:ascii="Times New Roman" w:hAnsi="Times New Roman" w:cs="Times New Roman"/>
        </w:rPr>
      </w:pPr>
      <w:r w:rsidRPr="004B30EA">
        <w:rPr>
          <w:rFonts w:ascii="Times New Roman" w:hAnsi="Times New Roman" w:cs="Times New Roman"/>
          <w:b/>
        </w:rPr>
        <w:t xml:space="preserve">Kindly fill in the following sections and submit the completed form to NTUitive via email </w:t>
      </w:r>
      <w:hyperlink r:id="rId8" w:history="1">
        <w:r w:rsidR="00053CD9" w:rsidRPr="00210800">
          <w:rPr>
            <w:rStyle w:val="Hyperlink"/>
            <w:rFonts w:ascii="Times New Roman" w:hAnsi="Times New Roman" w:cs="Times New Roman"/>
          </w:rPr>
          <w:t>gap_fund@ntu.edu.sg</w:t>
        </w:r>
      </w:hyperlink>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WORKING DRAFT | For PI review, not submission | 31 August 2026</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Planning basis: </w:t>
      </w:r>
      <w:r>
        <w:rPr>
          <w:rFonts w:ascii="Times New Roman" w:hAnsi="Times New Roman" w:eastAsia="SimSun"/>
          <w:b w:val="0"/>
          <w:sz w:val="24"/>
          <w:color w:val="000000"/>
        </w:rPr>
        <w:t>12 months; S$180,000 direct costs, unchanged as a draft budget. Commercial scope updated to the V4 module-led strategy. [CONFIRM] items require PI or NTUitive verification; signatures and personal declarations remain uncompleted.</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Ind w:w="0" w:type="dxa"/>
        <w:tblLayout w:type="fixed"/>
        <w:tblCellMar>
          <w:top w:w="70" w:type="dxa"/>
          <w:bottom w:w="70" w:type="dxa"/>
          <w:left w:w="108" w:type="dxa"/>
          <w:right w:w="108" w:type="dxa"/>
        </w:tblCellMar>
      </w:tblPr>
      <w:tblGrid>
        <w:gridCol w:w="3082"/>
        <w:gridCol w:w="6550"/>
      </w:tblGrid>
      <w:tr w:rsidR="00AC318E" w:rsidRPr="004B30EA" w14:paraId="3F9F3530" w14:textId="77777777" w:rsidTr="00AD5A81">
        <w:trPr>
          <w:trHeight w:val="398"/>
        </w:trPr>
        <w:tc>
          <w:tcPr>
            <w:tcW w:w="3082" w:type="dxa"/>
            <w:tcBorders>
              <w:bottom w:val="single" w:sz="4" w:space="0" w:color="auto"/>
            </w:tcBorders>
            <w:vAlign w:val="top"/>
          </w:tcPr>
          <w:p w14:paraId="0C1272D5" w14:textId="77777777" w:rsidR="00AC318E" w:rsidRPr="004B30EA" w:rsidRDefault="00E4627E" w:rsidP="00352D26">
            <w:pPr>
              <w:widowControl w:val="0"/>
              <w:rPr>
                <w:rFonts w:ascii="Times New Roman" w:hAnsi="Times New Roman" w:cs="Times New Roman"/>
                <w:b/>
              </w:rPr>
            </w:pPr>
            <w:r w:rsidRPr="004B30EA">
              <w:rPr>
                <w:rFonts w:ascii="Times New Roman" w:hAnsi="Times New Roman" w:cs="Times New Roman"/>
                <w:b/>
              </w:rPr>
              <w:t>Project Title</w:t>
            </w:r>
            <w:r w:rsidR="00AC318E" w:rsidRPr="004B30EA">
              <w:rPr>
                <w:rFonts w:ascii="Times New Roman" w:hAnsi="Times New Roman" w:cs="Times New Roman"/>
                <w:b/>
              </w:rPr>
              <w:t>:</w:t>
            </w:r>
          </w:p>
        </w:tc>
        <w:tc>
          <w:tcPr>
            <w:tcW w:w="6550" w:type="dxa"/>
            <w:tcBorders>
              <w:bottom w:val="single" w:sz="4" w:space="0" w:color="auto"/>
            </w:tcBorders>
            <w:vAlign w:val="top"/>
          </w:tcPr>
          <w:p w14:paraId="3ACC0316" w14:textId="77777777" w:rsidR="00AC318E" w:rsidRPr="004B30EA" w:rsidRDefault="00AC318E" w:rsidP="00352D26">
            <w:pPr>
              <w:keepNext w:val="0"/>
              <w:keepLines/>
              <w:widowControl/>
              <w:spacing w:before="0" w:after="0" w:line="252" w:lineRule="auto"/>
              <w:ind w:left="0" w:right="0" w:firstLine="0"/>
              <w:jc w:val="left"/>
              <w:rPr>
                <w:rFonts w:ascii="Times New Roman" w:hAnsi="Times New Roman" w:cs="Times New Roman"/>
                <w:b/>
              </w:rPr>
              <w:kinsoku w:val="1"/>
            </w:pPr>
            <w:r>
              <w:rPr>
                <w:rFonts w:ascii="Times New Roman" w:hAnsi="Times New Roman" w:eastAsia="SimSun"/>
                <w:b w:val="0"/>
                <w:sz w:val="24"/>
                <w:color w:val="000000"/>
              </w:rPr>
              <w:t>Low-Power Event Capture Module for Monitoring Equipment</w:t>
            </w:r>
          </w:p>
        </w:tc>
      </w:tr>
      <w:tr w:rsidR="00AC318E" w:rsidRPr="004B30EA" w14:paraId="4AF6DF14" w14:textId="77777777" w:rsidTr="00AD5A81">
        <w:trPr>
          <w:trHeight w:val="398"/>
        </w:trPr>
        <w:tc>
          <w:tcPr>
            <w:tcW w:w="3082" w:type="dxa"/>
            <w:tcBorders>
              <w:bottom w:val="nil"/>
            </w:tcBorders>
            <w:vAlign w:val="top"/>
          </w:tcPr>
          <w:p w14:paraId="59C8563E" w14:textId="77777777" w:rsidR="00AC318E" w:rsidRPr="004B30EA" w:rsidRDefault="00AC318E" w:rsidP="00AC318E">
            <w:pPr>
              <w:widowControl w:val="0"/>
              <w:rPr>
                <w:rFonts w:ascii="Times New Roman" w:hAnsi="Times New Roman" w:cs="Times New Roman"/>
                <w:sz w:val="22"/>
                <w:szCs w:val="22"/>
              </w:rPr>
            </w:pPr>
            <w:r w:rsidRPr="004B30EA">
              <w:rPr>
                <w:rFonts w:ascii="Times New Roman" w:hAnsi="Times New Roman" w:cs="Times New Roman"/>
                <w:sz w:val="22"/>
                <w:szCs w:val="22"/>
              </w:rPr>
              <w:t>Name of Lead PI:</w:t>
            </w:r>
          </w:p>
        </w:tc>
        <w:tc>
          <w:tcPr>
            <w:tcW w:w="6550" w:type="dxa"/>
            <w:tcBorders>
              <w:bottom w:val="nil"/>
            </w:tcBorders>
            <w:vAlign w:val="top"/>
          </w:tcPr>
          <w:p w14:paraId="75A16043" w14:textId="77777777" w:rsidR="00AC318E" w:rsidRPr="004B30EA" w:rsidRDefault="00AC318E" w:rsidP="00352D26">
            <w:pPr>
              <w:keepNext w:val="0"/>
              <w:keepLines/>
              <w:widowControl/>
              <w:spacing w:before="0" w:after="0" w:line="252" w:lineRule="auto"/>
              <w:ind w:left="0" w:right="0" w:firstLine="0"/>
              <w:jc w:val="left"/>
              <w:rPr>
                <w:rFonts w:ascii="Times New Roman" w:hAnsi="Times New Roman" w:cs="Times New Roman"/>
                <w:b/>
                <w:sz w:val="22"/>
                <w:szCs w:val="22"/>
              </w:rPr>
              <w:kinsoku w:val="1"/>
            </w:pPr>
            <w:r>
              <w:rPr>
                <w:rFonts w:ascii="Times New Roman" w:hAnsi="Times New Roman" w:eastAsia="SimSun"/>
                <w:b w:val="0"/>
                <w:i w:val="0"/>
                <w:sz w:val="24"/>
                <w:color w:val="000000"/>
              </w:rPr>
              <w:t>Asst Prof Yuguang Fu [proposed Lead PI; confirm]</w:t>
            </w:r>
          </w:p>
        </w:tc>
      </w:tr>
      <w:tr w:rsidR="00AC318E" w:rsidRPr="004B30EA" w14:paraId="6CBE4D38" w14:textId="77777777" w:rsidTr="00AD5A81">
        <w:trPr>
          <w:trHeight w:val="398"/>
        </w:trPr>
        <w:tc>
          <w:tcPr>
            <w:tcW w:w="3082" w:type="dxa"/>
            <w:tcBorders>
              <w:top w:val="nil"/>
              <w:bottom w:val="nil"/>
            </w:tcBorders>
            <w:vAlign w:val="top"/>
          </w:tcPr>
          <w:p w14:paraId="7BD8DC1A" w14:textId="77777777" w:rsidR="00AC318E" w:rsidRPr="004B30EA" w:rsidRDefault="00AC318E" w:rsidP="00AC318E">
            <w:pPr>
              <w:widowControl w:val="0"/>
              <w:rPr>
                <w:rFonts w:ascii="Times New Roman" w:hAnsi="Times New Roman" w:cs="Times New Roman"/>
                <w:sz w:val="22"/>
                <w:szCs w:val="22"/>
              </w:rPr>
            </w:pPr>
            <w:r w:rsidRPr="004B30EA">
              <w:rPr>
                <w:rFonts w:ascii="Times New Roman" w:hAnsi="Times New Roman" w:cs="Times New Roman"/>
                <w:sz w:val="22"/>
                <w:szCs w:val="22"/>
              </w:rPr>
              <w:t>School/Institute:</w:t>
            </w:r>
          </w:p>
        </w:tc>
        <w:tc>
          <w:tcPr>
            <w:tcW w:w="6550" w:type="dxa"/>
            <w:tcBorders>
              <w:top w:val="nil"/>
              <w:bottom w:val="nil"/>
            </w:tcBorders>
            <w:vAlign w:val="top"/>
          </w:tcPr>
          <w:p w14:paraId="4980C97B" w14:textId="77777777" w:rsidR="00AC318E" w:rsidRPr="004B30EA" w:rsidRDefault="00AC318E" w:rsidP="00352D26">
            <w:pPr>
              <w:keepNext w:val="0"/>
              <w:keepLines/>
              <w:widowControl/>
              <w:spacing w:before="0" w:after="0" w:line="252" w:lineRule="auto"/>
              <w:ind w:left="0" w:right="0" w:firstLine="0"/>
              <w:jc w:val="left"/>
              <w:rPr>
                <w:rFonts w:ascii="Times New Roman" w:hAnsi="Times New Roman" w:cs="Times New Roman"/>
                <w:b/>
                <w:sz w:val="22"/>
                <w:szCs w:val="22"/>
              </w:rPr>
              <w:kinsoku w:val="1"/>
            </w:pPr>
            <w:r>
              <w:rPr>
                <w:rFonts w:ascii="Times New Roman" w:hAnsi="Times New Roman" w:eastAsia="SimSun"/>
                <w:b w:val="0"/>
                <w:i w:val="0"/>
                <w:sz w:val="24"/>
                <w:color w:val="000000"/>
              </w:rPr>
              <w:t>School of Civil and Environmental Engineering, NTU</w:t>
            </w:r>
          </w:p>
        </w:tc>
      </w:tr>
      <w:tr w:rsidR="00AC318E" w:rsidRPr="004B30EA" w14:paraId="42BBEE26" w14:textId="77777777" w:rsidTr="00AD5A81">
        <w:trPr>
          <w:trHeight w:val="398"/>
        </w:trPr>
        <w:tc>
          <w:tcPr>
            <w:tcW w:w="3082" w:type="dxa"/>
            <w:tcBorders>
              <w:top w:val="nil"/>
              <w:bottom w:val="nil"/>
            </w:tcBorders>
            <w:vAlign w:val="top"/>
          </w:tcPr>
          <w:p w14:paraId="5BA55FDE" w14:textId="77777777" w:rsidR="00AC318E" w:rsidRPr="004B30EA" w:rsidRDefault="00AC318E" w:rsidP="00352D26">
            <w:pPr>
              <w:widowControl w:val="0"/>
              <w:rPr>
                <w:rFonts w:ascii="Times New Roman" w:hAnsi="Times New Roman" w:cs="Times New Roman"/>
                <w:sz w:val="22"/>
                <w:szCs w:val="22"/>
              </w:rPr>
            </w:pPr>
            <w:r w:rsidRPr="004B30EA">
              <w:rPr>
                <w:rFonts w:ascii="Times New Roman" w:hAnsi="Times New Roman" w:cs="Times New Roman"/>
                <w:sz w:val="22"/>
                <w:szCs w:val="22"/>
              </w:rPr>
              <w:t>Email:</w:t>
            </w:r>
          </w:p>
        </w:tc>
        <w:tc>
          <w:tcPr>
            <w:tcW w:w="6550" w:type="dxa"/>
            <w:tcBorders>
              <w:top w:val="nil"/>
              <w:bottom w:val="nil"/>
            </w:tcBorders>
            <w:vAlign w:val="top"/>
          </w:tcPr>
          <w:p w14:paraId="725BB1AB" w14:textId="77777777" w:rsidR="00AC318E" w:rsidRPr="004B30EA" w:rsidRDefault="00AC318E" w:rsidP="00352D26">
            <w:pPr>
              <w:keepNext w:val="0"/>
              <w:keepLines/>
              <w:widowControl/>
              <w:spacing w:before="0" w:after="0" w:line="252" w:lineRule="auto"/>
              <w:ind w:left="0" w:right="0" w:firstLine="0"/>
              <w:jc w:val="left"/>
              <w:rPr>
                <w:rFonts w:ascii="Times New Roman" w:hAnsi="Times New Roman" w:cs="Times New Roman"/>
                <w:sz w:val="22"/>
                <w:szCs w:val="22"/>
              </w:rPr>
              <w:kinsoku w:val="1"/>
            </w:pPr>
            <w:r>
              <w:rPr>
                <w:rFonts w:ascii="Times New Roman" w:hAnsi="Times New Roman" w:eastAsia="SimSun"/>
                <w:b w:val="0"/>
                <w:i w:val="0"/>
                <w:sz w:val="24"/>
                <w:color w:val="000000"/>
              </w:rPr>
              <w:t>yuguang.fu@ntu.edu.sg</w:t>
            </w:r>
          </w:p>
        </w:tc>
      </w:tr>
      <w:tr w:rsidR="00AC318E" w:rsidRPr="004B30EA" w14:paraId="757EFC3B" w14:textId="77777777" w:rsidTr="00AD5A81">
        <w:trPr>
          <w:trHeight w:val="398"/>
        </w:trPr>
        <w:tc>
          <w:tcPr>
            <w:tcW w:w="3082" w:type="dxa"/>
            <w:tcBorders>
              <w:top w:val="nil"/>
            </w:tcBorders>
            <w:vAlign w:val="top"/>
          </w:tcPr>
          <w:p w14:paraId="3EABF98D" w14:textId="0E4F6838" w:rsidR="00AC318E" w:rsidRPr="004B30EA" w:rsidRDefault="00C85B29" w:rsidP="00AC318E">
            <w:pPr>
              <w:widowControl w:val="0"/>
              <w:rPr>
                <w:rFonts w:ascii="Times New Roman" w:hAnsi="Times New Roman" w:cs="Times New Roman"/>
                <w:sz w:val="22"/>
                <w:szCs w:val="22"/>
              </w:rPr>
            </w:pPr>
            <w:r>
              <w:rPr>
                <w:rFonts w:ascii="Times New Roman" w:hAnsi="Times New Roman" w:cs="Times New Roman"/>
                <w:sz w:val="22"/>
                <w:szCs w:val="22"/>
              </w:rPr>
              <w:t>Contact number</w:t>
            </w:r>
            <w:r w:rsidR="00AC318E" w:rsidRPr="004B30EA">
              <w:rPr>
                <w:rFonts w:ascii="Times New Roman" w:hAnsi="Times New Roman" w:cs="Times New Roman"/>
                <w:sz w:val="22"/>
                <w:szCs w:val="22"/>
              </w:rPr>
              <w:t>:</w:t>
            </w:r>
          </w:p>
        </w:tc>
        <w:tc>
          <w:tcPr>
            <w:tcW w:w="6550" w:type="dxa"/>
            <w:tcBorders>
              <w:top w:val="nil"/>
            </w:tcBorders>
            <w:vAlign w:val="top"/>
          </w:tcPr>
          <w:p w14:paraId="66917694" w14:textId="77777777" w:rsidR="00AC318E" w:rsidRPr="004B30EA" w:rsidRDefault="00AC318E" w:rsidP="00352D26">
            <w:pPr>
              <w:keepNext w:val="0"/>
              <w:keepLines/>
              <w:widowControl/>
              <w:spacing w:before="0" w:after="0" w:line="252" w:lineRule="auto"/>
              <w:ind w:left="0" w:right="0" w:firstLine="0"/>
              <w:jc w:val="left"/>
              <w:rPr>
                <w:rFonts w:ascii="Times New Roman" w:hAnsi="Times New Roman" w:cs="Times New Roman"/>
                <w:sz w:val="22"/>
                <w:szCs w:val="22"/>
              </w:rPr>
              <w:kinsoku w:val="1"/>
            </w:pPr>
            <w:r>
              <w:rPr>
                <w:rFonts w:ascii="Times New Roman" w:hAnsi="Times New Roman" w:eastAsia="SimSun"/>
                <w:b w:val="0"/>
                <w:i w:val="0"/>
                <w:sz w:val="24"/>
                <w:color w:val="000000"/>
              </w:rPr>
              <w:t>[CONFIRM: preferred Lead PI contact number]</w:t>
            </w:r>
          </w:p>
        </w:tc>
      </w:tr>
      <w:tr w:rsidR="00AD5A81" w:rsidRPr="004B30EA" w14:paraId="2BD06CDD" w14:textId="77777777" w:rsidTr="00AD5A81">
        <w:trPr>
          <w:trHeight w:val="303"/>
        </w:trPr>
        <w:tc>
          <w:tcPr>
            <w:tcW w:w="3082" w:type="dxa"/>
            <w:tcBorders>
              <w:top w:val="nil"/>
            </w:tcBorders>
            <w:vAlign w:val="top"/>
          </w:tcPr>
          <w:p w14:paraId="239F55ED" w14:textId="77777777" w:rsidR="00AD5A81" w:rsidRPr="004B30EA" w:rsidRDefault="00AD5A81" w:rsidP="00AC318E">
            <w:pPr>
              <w:widowControl w:val="0"/>
              <w:rPr>
                <w:rFonts w:ascii="Times New Roman" w:hAnsi="Times New Roman" w:cs="Times New Roman"/>
                <w:sz w:val="22"/>
                <w:szCs w:val="22"/>
              </w:rPr>
            </w:pPr>
            <w:r>
              <w:rPr>
                <w:rFonts w:ascii="Times New Roman" w:hAnsi="Times New Roman" w:cs="Times New Roman"/>
                <w:sz w:val="22"/>
                <w:szCs w:val="22"/>
              </w:rPr>
              <w:t>Name of Co-PI (if any)</w:t>
            </w:r>
          </w:p>
        </w:tc>
        <w:tc>
          <w:tcPr>
            <w:tcW w:w="6550" w:type="dxa"/>
            <w:tcBorders>
              <w:top w:val="nil"/>
            </w:tcBorders>
            <w:vAlign w:val="top"/>
          </w:tcPr>
          <w:p w14:paraId="32B02D8E" w14:textId="77777777" w:rsidR="00AD5A81" w:rsidRPr="004B30EA" w:rsidRDefault="00AD5A81" w:rsidP="00352D26">
            <w:pPr>
              <w:keepNext w:val="0"/>
              <w:keepLines/>
              <w:widowControl/>
              <w:spacing w:before="0" w:after="0" w:line="252" w:lineRule="auto"/>
              <w:ind w:left="0" w:right="0" w:firstLine="0"/>
              <w:jc w:val="left"/>
              <w:rPr>
                <w:rFonts w:ascii="Times New Roman" w:hAnsi="Times New Roman" w:cs="Times New Roman"/>
                <w:sz w:val="22"/>
                <w:szCs w:val="22"/>
              </w:rPr>
              <w:kinsoku w:val="1"/>
            </w:pPr>
            <w:r>
              <w:rPr>
                <w:rFonts w:ascii="Times New Roman" w:hAnsi="Times New Roman" w:eastAsia="SimSun"/>
                <w:b w:val="0"/>
                <w:i w:val="0"/>
                <w:sz w:val="24"/>
                <w:color w:val="000000"/>
              </w:rPr>
              <w:t>[CONFIRM: Co-PI, if applicable]</w:t>
            </w:r>
          </w:p>
        </w:tc>
      </w:tr>
      <w:tr w:rsidR="001338B9" w:rsidRPr="004B30EA" w14:paraId="3FC71307" w14:textId="77777777" w:rsidTr="00AD5A81">
        <w:trPr>
          <w:trHeight w:val="323"/>
        </w:trPr>
        <w:tc>
          <w:tcPr>
            <w:tcW w:w="3082" w:type="dxa"/>
            <w:vAlign w:val="top"/>
          </w:tcPr>
          <w:p w14:paraId="75ED30AD" w14:textId="77777777" w:rsidR="001338B9" w:rsidRPr="004B30EA" w:rsidRDefault="001338B9" w:rsidP="00AD5A81">
            <w:pPr>
              <w:widowControl w:val="0"/>
              <w:rPr>
                <w:rFonts w:ascii="Times New Roman" w:hAnsi="Times New Roman" w:cs="Times New Roman"/>
                <w:sz w:val="22"/>
                <w:szCs w:val="22"/>
              </w:rPr>
            </w:pPr>
            <w:r w:rsidRPr="004B30EA">
              <w:rPr>
                <w:rFonts w:ascii="Times New Roman" w:hAnsi="Times New Roman" w:cs="Times New Roman"/>
                <w:sz w:val="22"/>
                <w:szCs w:val="22"/>
              </w:rPr>
              <w:t>Other Team Members (if any)</w:t>
            </w:r>
          </w:p>
        </w:tc>
        <w:tc>
          <w:tcPr>
            <w:tcW w:w="6550" w:type="dxa"/>
            <w:vAlign w:val="top"/>
          </w:tcPr>
          <w:p w14:paraId="2771473F" w14:textId="77777777" w:rsidR="001338B9" w:rsidRPr="004B30EA" w:rsidRDefault="001338B9" w:rsidP="00352D26">
            <w:pPr>
              <w:keepNext w:val="0"/>
              <w:keepLines/>
              <w:widowControl/>
              <w:spacing w:before="0" w:after="0" w:line="252" w:lineRule="auto"/>
              <w:ind w:left="0" w:right="0" w:firstLine="0"/>
              <w:jc w:val="left"/>
              <w:rPr>
                <w:rFonts w:ascii="Times New Roman" w:hAnsi="Times New Roman" w:cs="Times New Roman"/>
                <w:sz w:val="22"/>
                <w:szCs w:val="22"/>
              </w:rPr>
              <w:kinsoku w:val="1"/>
            </w:pPr>
            <w:r>
              <w:rPr>
                <w:rFonts w:ascii="Times New Roman" w:hAnsi="Times New Roman" w:eastAsia="SimSun"/>
                <w:b w:val="0"/>
                <w:i w:val="0"/>
                <w:sz w:val="24"/>
                <w:color w:val="000000"/>
              </w:rPr>
              <w:t>Shuaiwen Cui (proposed technical / commercial lead); further roles in Section 2.7.</w:t>
            </w:r>
          </w:p>
        </w:tc>
      </w:tr>
    </w:tbl>
    <w:p w14:paraId="3A0E09DA" w14:textId="77777777" w:rsidR="00AC318E" w:rsidRPr="004B30EA" w:rsidRDefault="00AC318E" w:rsidP="00AC318E">
      <w:pPr>
        <w:spacing w:after="120" w:line="40" w:lineRule="exact"/>
        <w:rPr>
          <w:rFonts w:ascii="Times New Roman" w:hAnsi="Times New Roman" w:cs="Times New Roman"/>
          <w:vanish/>
        </w:rPr>
      </w:pP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Ind w:w="0" w:type="dxa"/>
        <w:tblLayout w:type="fixed"/>
        <w:tblCellMar>
          <w:top w:w="70" w:type="dxa"/>
          <w:bottom w:w="70" w:type="dxa"/>
          <w:left w:w="108" w:type="dxa"/>
          <w:right w:w="108" w:type="dxa"/>
        </w:tblCellMar>
      </w:tblPr>
      <w:tblGrid>
        <w:gridCol w:w="9632"/>
      </w:tblGrid>
      <w:tr w:rsidR="00AC318E" w:rsidRPr="004B30EA" w14:paraId="3ABFA82D" w14:textId="77777777" w:rsidTr="00352D26">
        <w:tc>
          <w:tcPr>
            <w:tcW w:w="9632" w:type="dxa"/>
            <w:vAlign w:val="top"/>
          </w:tcPr>
          <w:p w14:paraId="479CB0EF" w14:textId="77777777" w:rsidR="00AC318E" w:rsidRPr="004B30EA" w:rsidRDefault="00AC318E" w:rsidP="00352D26">
            <w:pPr>
              <w:widowControl w:val="0"/>
              <w:rPr>
                <w:rFonts w:ascii="Times New Roman" w:hAnsi="Times New Roman" w:cs="Times New Roman"/>
              </w:rPr>
            </w:pPr>
            <w:r w:rsidRPr="004B30EA">
              <w:rPr>
                <w:rFonts w:ascii="Times New Roman" w:hAnsi="Times New Roman" w:cs="Times New Roman"/>
              </w:rPr>
              <w:t>Kindly check where applicable</w:t>
            </w:r>
          </w:p>
          <w:p w14:paraId="613C9844" w14:textId="77777777" w:rsidR="00AC318E" w:rsidRPr="004B30EA" w:rsidRDefault="00AC318E" w:rsidP="00352D26">
            <w:pPr>
              <w:widowControl w:val="0"/>
              <w:rPr>
                <w:rFonts w:ascii="Times New Roman" w:hAnsi="Times New Roman" w:cs="Times New Roman"/>
              </w:rPr>
            </w:pPr>
          </w:p>
          <w:p w14:paraId="6CAA4191" w14:textId="0E36FC9E" w:rsidR="00AC318E" w:rsidRPr="004B30EA" w:rsidRDefault="00AC318E" w:rsidP="00332BEC">
            <w:pPr>
              <w:pStyle w:val="ListParagraph"/>
              <w:widowControl w:val="0"/>
              <w:numPr>
                <w:ilvl w:val="0"/>
                <w:numId w:val="2"/>
              </w:numPr>
              <w:rPr>
                <w:sz w:val="24"/>
                <w:szCs w:val="24"/>
              </w:rPr>
            </w:pPr>
            <w:r w:rsidRPr="004B30EA">
              <w:rPr>
                <w:sz w:val="24"/>
                <w:szCs w:val="24"/>
              </w:rPr>
              <w:t xml:space="preserve">Is this proposal covered by any existing IP? </w:t>
            </w:r>
            <w:r w:rsidR="00F84C77">
              <w:rPr>
                <w:sz w:val="24"/>
                <w:szCs w:val="24"/>
              </w:rPr>
              <w:tab/>
            </w:r>
            <w:r w:rsidR="00F84C77">
              <w:rPr>
                <w:sz w:val="24"/>
                <w:szCs w:val="24"/>
              </w:rPr>
              <w:tab/>
            </w:r>
            <w:r w:rsidR="00F84C77">
              <w:rPr>
                <w:sz w:val="24"/>
                <w:szCs w:val="24"/>
              </w:rPr>
              <w:tab/>
            </w:r>
            <w:r w:rsidR="00F84C77">
              <w:rPr>
                <w:sz w:val="24"/>
                <w:szCs w:val="24"/>
              </w:rPr>
              <w:tab/>
            </w:r>
            <w:sdt>
              <w:sdtPr>
                <w:rPr>
                  <w:sz w:val="28"/>
                  <w:szCs w:val="28"/>
                </w:rPr>
                <w:id w:val="298114195"/>
                <w14:checkbox>
                  <w14:checked w14:val="1"/>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1295056467"/>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BF4F8F" w:rsidRPr="004B30EA">
              <w:rPr>
                <w:sz w:val="24"/>
                <w:szCs w:val="24"/>
              </w:rPr>
              <w:t xml:space="preserve"> </w:t>
            </w:r>
            <w:r w:rsidRPr="004B30EA">
              <w:rPr>
                <w:sz w:val="24"/>
                <w:szCs w:val="24"/>
              </w:rPr>
              <w:t>No</w:t>
            </w:r>
          </w:p>
          <w:p w14:paraId="5AA241D9" w14:textId="77777777" w:rsidR="00AC318E" w:rsidRPr="004B30EA" w:rsidRDefault="00AC318E" w:rsidP="00352D26">
            <w:pPr>
              <w:keepNext w:val="0"/>
              <w:keepLines w:val="0"/>
              <w:widowControl/>
              <w:spacing w:before="0" w:after="120" w:line="252" w:lineRule="auto"/>
              <w:ind w:left="0" w:right="0" w:firstLine="0"/>
              <w:jc w:val="left"/>
              <w:rPr>
                <w:sz w:val="24"/>
                <w:szCs w:val="24"/>
              </w:rPr>
              <w:kinsoku w:val="1"/>
            </w:pPr>
            <w:r>
              <w:rPr>
                <w:rFonts w:ascii="Times New Roman" w:hAnsi="Times New Roman" w:eastAsia="SimSun"/>
                <w:b w:val="0"/>
                <w:i w:val="0"/>
                <w:sz w:val="24"/>
                <w:color w:val="000000"/>
              </w:rPr>
              <w:t>If NTU IP, please state: Adaptive Triggering Mechanism for Time-Series Data Sensing on Edge Devices. Internal reference 2025-249; [CONFIRM formal TD number].</w:t>
            </w:r>
          </w:p>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Singapore provisional application 10202502426R, filed 26 August 2025, per April 2026 records. [CONFIRM current conversion / PCT status before submission.]</w:t>
            </w:r>
          </w:p>
          <w:p w14:paraId="1DC50A82" w14:textId="77777777" w:rsidR="00AC318E" w:rsidRPr="004257CD" w:rsidRDefault="00AC318E" w:rsidP="004257CD">
            <w:pPr>
              <w:pStyle w:val="ListParagraph"/>
              <w:widowControl w:val="0"/>
              <w:rPr>
                <w:i/>
                <w:sz w:val="24"/>
                <w:szCs w:val="24"/>
              </w:rPr>
            </w:pPr>
            <w:r w:rsidRPr="004B30EA">
              <w:rPr>
                <w:i/>
                <w:sz w:val="24"/>
                <w:szCs w:val="24"/>
              </w:rPr>
              <w:t>*If a Technology Disclosure (TD) has previously been submitted to N</w:t>
            </w:r>
            <w:r w:rsidR="00BA527B">
              <w:rPr>
                <w:i/>
                <w:sz w:val="24"/>
                <w:szCs w:val="24"/>
              </w:rPr>
              <w:t>TUitive</w:t>
            </w:r>
            <w:r w:rsidRPr="004B30EA">
              <w:rPr>
                <w:i/>
                <w:sz w:val="24"/>
                <w:szCs w:val="24"/>
              </w:rPr>
              <w:t xml:space="preserve"> on any invention related to this </w:t>
            </w:r>
            <w:r w:rsidR="004E1454">
              <w:rPr>
                <w:i/>
                <w:sz w:val="24"/>
                <w:szCs w:val="24"/>
              </w:rPr>
              <w:t>Gap Fund</w:t>
            </w:r>
            <w:r w:rsidRPr="004B30EA">
              <w:rPr>
                <w:i/>
                <w:sz w:val="24"/>
                <w:szCs w:val="24"/>
              </w:rPr>
              <w:t xml:space="preserve"> project</w:t>
            </w:r>
            <w:r w:rsidR="004257CD">
              <w:rPr>
                <w:i/>
                <w:sz w:val="24"/>
                <w:szCs w:val="24"/>
              </w:rPr>
              <w:t xml:space="preserve">. If a new Technology Disclosure will be submitted to NTUitive, please write in the above: </w:t>
            </w:r>
            <w:r w:rsidR="004257CD" w:rsidRPr="004257CD">
              <w:rPr>
                <w:b/>
                <w:i/>
                <w:sz w:val="24"/>
                <w:szCs w:val="24"/>
              </w:rPr>
              <w:t>New TD under Submission.</w:t>
            </w:r>
            <w:r w:rsidR="004257CD">
              <w:rPr>
                <w:i/>
                <w:sz w:val="24"/>
                <w:szCs w:val="24"/>
              </w:rPr>
              <w:t xml:space="preserve"> </w:t>
            </w:r>
            <w:r w:rsidRPr="004257CD">
              <w:rPr>
                <w:sz w:val="24"/>
                <w:szCs w:val="24"/>
              </w:rPr>
              <w:t xml:space="preserve"> </w:t>
            </w:r>
          </w:p>
          <w:p w14:paraId="2B30ED8D" w14:textId="77777777" w:rsidR="00AC318E" w:rsidRPr="004B30EA" w:rsidRDefault="00AC318E" w:rsidP="00352D26">
            <w:pPr>
              <w:keepNext w:val="0"/>
              <w:keepLines w:val="0"/>
              <w:widowControl/>
              <w:spacing w:before="0" w:after="120" w:line="252" w:lineRule="auto"/>
              <w:ind w:left="0" w:right="0" w:firstLine="0"/>
              <w:jc w:val="left"/>
              <w:rPr>
                <w:sz w:val="24"/>
                <w:szCs w:val="24"/>
              </w:rPr>
              <w:kinsoku w:val="1"/>
            </w:pPr>
            <w:r>
              <w:rPr>
                <w:rFonts w:ascii="Times New Roman" w:hAnsi="Times New Roman" w:eastAsia="SimSun"/>
                <w:b w:val="0"/>
                <w:i w:val="0"/>
                <w:sz w:val="24"/>
                <w:color w:val="000000"/>
              </w:rPr>
              <w:t>If non-NTU IP, kindly state: third-party components/software in Section 3.1; licence review pending.</w:t>
            </w:r>
          </w:p>
          <w:p w14:paraId="0F160946" w14:textId="77777777" w:rsidR="00AC318E" w:rsidRPr="004B30EA" w:rsidRDefault="00AC318E" w:rsidP="00352D26">
            <w:pPr>
              <w:pStyle w:val="ListParagraph"/>
              <w:widowControl w:val="0"/>
              <w:rPr>
                <w:i/>
                <w:sz w:val="24"/>
                <w:szCs w:val="24"/>
              </w:rPr>
            </w:pPr>
            <w:r w:rsidRPr="004B30EA">
              <w:rPr>
                <w:i/>
                <w:sz w:val="24"/>
                <w:szCs w:val="24"/>
              </w:rPr>
              <w:t>Kindly also elaborate for non-NTU IPs, whether the IP has been returned to you by NTU or whether it is your own IP.</w:t>
            </w:r>
          </w:p>
          <w:p w14:paraId="5B6E8E1B" w14:textId="77777777" w:rsidR="00AC318E" w:rsidRPr="004B30EA" w:rsidRDefault="00AC318E" w:rsidP="00352D26">
            <w:pPr>
              <w:pStyle w:val="ListParagraph"/>
              <w:widowControl w:val="0"/>
              <w:rPr>
                <w:sz w:val="24"/>
                <w:szCs w:val="24"/>
              </w:rPr>
            </w:pPr>
          </w:p>
          <w:p w14:paraId="3B4E8D2E" w14:textId="269DB0B6" w:rsidR="00AC318E" w:rsidRPr="004B30EA" w:rsidRDefault="00AC318E" w:rsidP="00332BEC">
            <w:pPr>
              <w:pStyle w:val="ListParagraph"/>
              <w:widowControl w:val="0"/>
              <w:numPr>
                <w:ilvl w:val="0"/>
                <w:numId w:val="2"/>
              </w:numPr>
              <w:rPr>
                <w:sz w:val="24"/>
                <w:szCs w:val="24"/>
              </w:rPr>
            </w:pPr>
            <w:r w:rsidRPr="004B30EA">
              <w:rPr>
                <w:sz w:val="24"/>
                <w:szCs w:val="24"/>
              </w:rPr>
              <w:t xml:space="preserve">Has the research of this application been completed? </w:t>
            </w:r>
            <w:r w:rsidR="00F84C77">
              <w:rPr>
                <w:sz w:val="24"/>
                <w:szCs w:val="24"/>
              </w:rPr>
              <w:tab/>
            </w:r>
            <w:r w:rsidR="00F84C77">
              <w:rPr>
                <w:sz w:val="24"/>
                <w:szCs w:val="24"/>
              </w:rPr>
              <w:tab/>
            </w:r>
            <w:sdt>
              <w:sdtPr>
                <w:rPr>
                  <w:sz w:val="28"/>
                  <w:szCs w:val="28"/>
                </w:rPr>
                <w:id w:val="1253470745"/>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1685399415"/>
                <w14:checkbox>
                  <w14:checked w14:val="1"/>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No</w:t>
            </w:r>
          </w:p>
          <w:p w14:paraId="4F8B02B7" w14:textId="1E403833" w:rsidR="00AC318E" w:rsidRPr="004B30EA" w:rsidRDefault="000227C1" w:rsidP="00352D26">
            <w:pPr>
              <w:pStyle w:val="ListParagraph"/>
              <w:widowControl w:val="0"/>
              <w:rPr>
                <w:sz w:val="24"/>
                <w:szCs w:val="24"/>
              </w:rPr>
            </w:pPr>
            <w:r>
              <w:rPr>
                <w:sz w:val="24"/>
                <w:szCs w:val="24"/>
              </w:rPr>
              <w:t>H</w:t>
            </w:r>
            <w:r w:rsidR="00AC318E" w:rsidRPr="004B30EA">
              <w:rPr>
                <w:sz w:val="24"/>
                <w:szCs w:val="24"/>
              </w:rPr>
              <w:t>as any proof-of-principle been obtained?</w:t>
            </w:r>
            <w:r w:rsidR="00F84C77">
              <w:rPr>
                <w:sz w:val="24"/>
                <w:szCs w:val="24"/>
              </w:rPr>
              <w:tab/>
            </w:r>
            <w:r w:rsidR="00F84C77">
              <w:rPr>
                <w:sz w:val="24"/>
                <w:szCs w:val="24"/>
              </w:rPr>
              <w:tab/>
            </w:r>
            <w:r>
              <w:rPr>
                <w:sz w:val="24"/>
                <w:szCs w:val="24"/>
              </w:rPr>
              <w:tab/>
            </w:r>
            <w:r w:rsidR="00F84C77">
              <w:rPr>
                <w:sz w:val="24"/>
                <w:szCs w:val="24"/>
              </w:rPr>
              <w:tab/>
            </w:r>
            <w:sdt>
              <w:sdtPr>
                <w:rPr>
                  <w:sz w:val="28"/>
                  <w:szCs w:val="28"/>
                </w:rPr>
                <w:id w:val="-255514142"/>
                <w14:checkbox>
                  <w14:checked w14:val="1"/>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AC318E" w:rsidRPr="004B30EA">
              <w:rPr>
                <w:sz w:val="24"/>
                <w:szCs w:val="24"/>
              </w:rPr>
              <w:t xml:space="preserve">  Yes  </w:t>
            </w:r>
            <w:sdt>
              <w:sdtPr>
                <w:rPr>
                  <w:sz w:val="28"/>
                  <w:szCs w:val="28"/>
                </w:rPr>
                <w:id w:val="622737231"/>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BF4F8F" w:rsidRPr="004B30EA">
              <w:rPr>
                <w:sz w:val="24"/>
                <w:szCs w:val="24"/>
              </w:rPr>
              <w:t xml:space="preserve"> </w:t>
            </w:r>
            <w:r w:rsidR="00AC318E" w:rsidRPr="004B30EA">
              <w:rPr>
                <w:sz w:val="24"/>
                <w:szCs w:val="24"/>
              </w:rPr>
              <w:t xml:space="preserve"> No</w:t>
            </w:r>
          </w:p>
          <w:p w14:paraId="22F3FAA1" w14:textId="20B8B33A" w:rsidR="00AC318E" w:rsidRPr="004B30EA" w:rsidRDefault="000227C1" w:rsidP="00352D26">
            <w:pPr>
              <w:pStyle w:val="ListParagraph"/>
              <w:widowControl w:val="0"/>
              <w:rPr>
                <w:sz w:val="24"/>
                <w:szCs w:val="24"/>
              </w:rPr>
            </w:pPr>
            <w:r>
              <w:rPr>
                <w:sz w:val="24"/>
                <w:szCs w:val="24"/>
              </w:rPr>
              <w:t>H</w:t>
            </w:r>
            <w:r w:rsidR="00AC318E" w:rsidRPr="004B30EA">
              <w:rPr>
                <w:sz w:val="24"/>
                <w:szCs w:val="24"/>
              </w:rPr>
              <w:t xml:space="preserve">as any paper on this technology been published? </w:t>
            </w:r>
            <w:r w:rsidR="00F84C77">
              <w:rPr>
                <w:sz w:val="24"/>
                <w:szCs w:val="24"/>
              </w:rPr>
              <w:tab/>
            </w:r>
            <w:r>
              <w:rPr>
                <w:sz w:val="24"/>
                <w:szCs w:val="24"/>
              </w:rPr>
              <w:tab/>
            </w:r>
            <w:r w:rsidR="00F84C77">
              <w:rPr>
                <w:sz w:val="24"/>
                <w:szCs w:val="24"/>
              </w:rPr>
              <w:tab/>
            </w:r>
            <w:sdt>
              <w:sdtPr>
                <w:rPr>
                  <w:sz w:val="28"/>
                  <w:szCs w:val="28"/>
                </w:rPr>
                <w:id w:val="1444812818"/>
                <w14:checkbox>
                  <w14:checked w14:val="1"/>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AC318E" w:rsidRPr="004B30EA">
              <w:rPr>
                <w:sz w:val="24"/>
                <w:szCs w:val="24"/>
              </w:rPr>
              <w:t xml:space="preserve"> Yes </w:t>
            </w:r>
            <w:r w:rsidR="00BF4F8F">
              <w:rPr>
                <w:sz w:val="24"/>
                <w:szCs w:val="24"/>
              </w:rPr>
              <w:t xml:space="preserve"> </w:t>
            </w:r>
            <w:r w:rsidR="00AC318E" w:rsidRPr="004B30EA">
              <w:rPr>
                <w:sz w:val="24"/>
                <w:szCs w:val="24"/>
              </w:rPr>
              <w:t xml:space="preserve"> </w:t>
            </w:r>
            <w:sdt>
              <w:sdtPr>
                <w:rPr>
                  <w:sz w:val="28"/>
                  <w:szCs w:val="28"/>
                </w:rPr>
                <w:id w:val="1730653237"/>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AC318E" w:rsidRPr="004B30EA">
              <w:rPr>
                <w:sz w:val="24"/>
                <w:szCs w:val="24"/>
              </w:rPr>
              <w:t xml:space="preserve"> No</w:t>
            </w:r>
          </w:p>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Laboratory proof and publication exist; the proposed application-specific product validation is not complete. See Section 3.2.</w:t>
            </w:r>
          </w:p>
          <w:p w14:paraId="04E2A54B" w14:textId="77777777" w:rsidR="00AC318E" w:rsidRPr="004B30EA" w:rsidRDefault="00AC318E" w:rsidP="00352D26">
            <w:pPr>
              <w:pStyle w:val="ListParagraph"/>
              <w:widowControl w:val="0"/>
              <w:rPr>
                <w:sz w:val="24"/>
                <w:szCs w:val="24"/>
              </w:rPr>
            </w:pPr>
          </w:p>
          <w:p w14:paraId="05EBE792" w14:textId="09FEABBF" w:rsidR="00D041D9" w:rsidRDefault="0001668F" w:rsidP="00332BEC">
            <w:pPr>
              <w:pStyle w:val="ListParagraph"/>
              <w:widowControl w:val="0"/>
              <w:numPr>
                <w:ilvl w:val="0"/>
                <w:numId w:val="2"/>
              </w:numPr>
              <w:rPr>
                <w:sz w:val="24"/>
                <w:szCs w:val="24"/>
              </w:rPr>
            </w:pPr>
            <w:r w:rsidRPr="0001668F">
              <w:rPr>
                <w:sz w:val="24"/>
                <w:szCs w:val="24"/>
              </w:rPr>
              <w:t xml:space="preserve">Have you </w:t>
            </w:r>
            <w:r w:rsidR="000227C1">
              <w:rPr>
                <w:sz w:val="24"/>
                <w:szCs w:val="24"/>
              </w:rPr>
              <w:t xml:space="preserve">previously </w:t>
            </w:r>
            <w:r w:rsidRPr="0001668F">
              <w:rPr>
                <w:sz w:val="24"/>
                <w:szCs w:val="24"/>
              </w:rPr>
              <w:t xml:space="preserve">applied for </w:t>
            </w:r>
            <w:r w:rsidR="00D041D9">
              <w:rPr>
                <w:sz w:val="24"/>
                <w:szCs w:val="24"/>
              </w:rPr>
              <w:t xml:space="preserve">previous </w:t>
            </w:r>
            <w:r w:rsidR="00144042">
              <w:rPr>
                <w:sz w:val="24"/>
                <w:szCs w:val="24"/>
              </w:rPr>
              <w:t xml:space="preserve">NTUitive Gap Fund </w:t>
            </w:r>
            <w:r w:rsidR="00D041D9">
              <w:rPr>
                <w:sz w:val="24"/>
                <w:szCs w:val="24"/>
              </w:rPr>
              <w:t>calls</w:t>
            </w:r>
            <w:r w:rsidR="00144042">
              <w:rPr>
                <w:sz w:val="24"/>
                <w:szCs w:val="24"/>
              </w:rPr>
              <w:t>?</w:t>
            </w:r>
          </w:p>
          <w:p w14:paraId="461F7DCB" w14:textId="5CFA4C87" w:rsidR="008E4EB9" w:rsidRPr="004B30EA" w:rsidRDefault="004257CD" w:rsidP="004257CD">
            <w:pPr>
              <w:pStyle w:val="ListParagraph"/>
              <w:widowControl w:val="0"/>
              <w:rPr>
                <w:sz w:val="24"/>
                <w:szCs w:val="24"/>
              </w:rPr>
            </w:pPr>
            <w:r>
              <w:rPr>
                <w:sz w:val="24"/>
                <w:szCs w:val="24"/>
              </w:rPr>
              <w:tab/>
            </w:r>
            <w:r>
              <w:rPr>
                <w:sz w:val="24"/>
                <w:szCs w:val="24"/>
              </w:rPr>
              <w:tab/>
            </w:r>
            <w:r>
              <w:rPr>
                <w:sz w:val="24"/>
                <w:szCs w:val="24"/>
              </w:rPr>
              <w:tab/>
            </w:r>
            <w:r w:rsidR="00D041D9">
              <w:rPr>
                <w:sz w:val="24"/>
                <w:szCs w:val="24"/>
              </w:rPr>
              <w:t xml:space="preserve">                      </w:t>
            </w:r>
            <w:r>
              <w:rPr>
                <w:sz w:val="24"/>
                <w:szCs w:val="24"/>
              </w:rPr>
              <w:t xml:space="preserve">                              </w:t>
            </w:r>
            <w:r w:rsidR="00D041D9">
              <w:rPr>
                <w:sz w:val="24"/>
                <w:szCs w:val="24"/>
              </w:rPr>
              <w:t xml:space="preserve">          </w:t>
            </w:r>
            <w:r w:rsidR="00F84C77">
              <w:rPr>
                <w:sz w:val="24"/>
                <w:szCs w:val="24"/>
              </w:rPr>
              <w:tab/>
            </w:r>
            <w:sdt>
              <w:sdtPr>
                <w:rPr>
                  <w:sz w:val="28"/>
                  <w:szCs w:val="28"/>
                </w:rPr>
                <w:id w:val="2025118682"/>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8E4EB9" w:rsidRPr="004B30EA">
              <w:rPr>
                <w:sz w:val="24"/>
                <w:szCs w:val="24"/>
              </w:rPr>
              <w:t xml:space="preserve"> Yes </w:t>
            </w:r>
            <w:r w:rsidR="00BF4F8F">
              <w:rPr>
                <w:sz w:val="24"/>
                <w:szCs w:val="24"/>
              </w:rPr>
              <w:t xml:space="preserve"> </w:t>
            </w:r>
            <w:r w:rsidR="008E4EB9" w:rsidRPr="004B30EA">
              <w:rPr>
                <w:sz w:val="24"/>
                <w:szCs w:val="24"/>
              </w:rPr>
              <w:t xml:space="preserve"> </w:t>
            </w:r>
            <w:sdt>
              <w:sdtPr>
                <w:rPr>
                  <w:sz w:val="28"/>
                  <w:szCs w:val="28"/>
                </w:rPr>
                <w:id w:val="-1413000661"/>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8E4EB9" w:rsidRPr="004B30EA">
              <w:rPr>
                <w:sz w:val="24"/>
                <w:szCs w:val="24"/>
              </w:rPr>
              <w:t xml:space="preserve">  No</w:t>
            </w:r>
          </w:p>
          <w:p w14:paraId="41299F9A" w14:textId="1F500C73" w:rsidR="00AC318E" w:rsidRDefault="006649B7" w:rsidP="008E4EB9">
            <w:pPr>
              <w:pStyle w:val="ListParagraph"/>
              <w:widowControl w:val="0"/>
              <w:rPr>
                <w:sz w:val="24"/>
                <w:szCs w:val="24"/>
              </w:rPr>
            </w:pPr>
            <w:r>
              <w:rPr>
                <w:sz w:val="24"/>
                <w:szCs w:val="24"/>
              </w:rPr>
              <w:t xml:space="preserve">If yes, </w:t>
            </w:r>
            <w:r w:rsidR="00761106">
              <w:rPr>
                <w:sz w:val="24"/>
                <w:szCs w:val="24"/>
              </w:rPr>
              <w:t>was it successful in the previous grant call</w:t>
            </w:r>
            <w:r>
              <w:rPr>
                <w:sz w:val="24"/>
                <w:szCs w:val="24"/>
              </w:rPr>
              <w:t xml:space="preserve">? </w:t>
            </w:r>
            <w:r w:rsidR="00F84C77">
              <w:rPr>
                <w:sz w:val="24"/>
                <w:szCs w:val="24"/>
              </w:rPr>
              <w:tab/>
            </w:r>
            <w:r w:rsidR="00F84C77">
              <w:rPr>
                <w:sz w:val="24"/>
                <w:szCs w:val="24"/>
              </w:rPr>
              <w:tab/>
            </w:r>
            <w:r w:rsidR="00F84C77">
              <w:rPr>
                <w:sz w:val="24"/>
                <w:szCs w:val="24"/>
              </w:rPr>
              <w:tab/>
            </w:r>
            <w:sdt>
              <w:sdtPr>
                <w:rPr>
                  <w:sz w:val="28"/>
                  <w:szCs w:val="28"/>
                </w:rPr>
                <w:id w:val="-353340259"/>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715046467"/>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No</w:t>
            </w:r>
          </w:p>
          <w:p w14:paraId="74DC9C07" w14:textId="77777777" w:rsidR="00761106" w:rsidRDefault="006649B7" w:rsidP="008E4EB9">
            <w:pPr>
              <w:pStyle w:val="ListParagraph"/>
              <w:widowControl w:val="0"/>
              <w:rPr>
                <w:sz w:val="24"/>
                <w:szCs w:val="24"/>
              </w:rPr>
            </w:pPr>
            <w:r>
              <w:rPr>
                <w:sz w:val="24"/>
                <w:szCs w:val="24"/>
              </w:rPr>
              <w:t xml:space="preserve">If </w:t>
            </w:r>
            <w:r w:rsidR="00761106">
              <w:rPr>
                <w:sz w:val="24"/>
                <w:szCs w:val="24"/>
              </w:rPr>
              <w:t>no</w:t>
            </w:r>
            <w:r>
              <w:rPr>
                <w:sz w:val="24"/>
                <w:szCs w:val="24"/>
              </w:rPr>
              <w:t xml:space="preserve">, </w:t>
            </w:r>
            <w:r w:rsidR="00761106">
              <w:rPr>
                <w:sz w:val="24"/>
                <w:szCs w:val="24"/>
              </w:rPr>
              <w:t>at which stage was it rejected?</w:t>
            </w:r>
            <w:r w:rsidR="006419F0">
              <w:rPr>
                <w:sz w:val="24"/>
                <w:szCs w:val="24"/>
              </w:rPr>
              <w:t xml:space="preserve"> Please complete </w:t>
            </w:r>
            <w:r w:rsidR="006419F0" w:rsidRPr="006419F0">
              <w:rPr>
                <w:sz w:val="24"/>
                <w:szCs w:val="24"/>
              </w:rPr>
              <w:t>Section 7.</w:t>
            </w:r>
            <w:r w:rsidR="00F84C77">
              <w:rPr>
                <w:sz w:val="24"/>
                <w:szCs w:val="24"/>
              </w:rPr>
              <w:tab/>
            </w:r>
            <w:r w:rsidR="00761106">
              <w:rPr>
                <w:sz w:val="24"/>
                <w:szCs w:val="24"/>
              </w:rPr>
              <w:tab/>
            </w:r>
            <w:r w:rsidR="00761106">
              <w:rPr>
                <w:sz w:val="24"/>
                <w:szCs w:val="24"/>
              </w:rPr>
              <w:tab/>
            </w:r>
            <w:r w:rsidR="00761106">
              <w:rPr>
                <w:sz w:val="24"/>
                <w:szCs w:val="24"/>
              </w:rPr>
              <w:tab/>
            </w:r>
          </w:p>
          <w:p w14:paraId="4E5AA484" w14:textId="400FA66C" w:rsidR="00761106" w:rsidRPr="00761106" w:rsidRDefault="00E07257" w:rsidP="00761106">
            <w:pPr>
              <w:pStyle w:val="ListParagraph"/>
              <w:widowControl w:val="0"/>
              <w:rPr>
                <w:sz w:val="24"/>
                <w:szCs w:val="24"/>
              </w:rPr>
            </w:pPr>
            <w:sdt>
              <w:sdtPr>
                <w:rPr>
                  <w:sz w:val="28"/>
                  <w:szCs w:val="28"/>
                </w:rPr>
                <w:id w:val="-1451850525"/>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Preliminary</w:t>
            </w:r>
            <w:r w:rsidR="006649B7">
              <w:rPr>
                <w:sz w:val="24"/>
                <w:szCs w:val="24"/>
              </w:rPr>
              <w:t xml:space="preserve"> </w:t>
            </w:r>
            <w:sdt>
              <w:sdtPr>
                <w:rPr>
                  <w:sz w:val="28"/>
                  <w:szCs w:val="28"/>
                </w:rPr>
                <w:id w:val="-1980216438"/>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 xml:space="preserve">Internal Review </w:t>
            </w:r>
            <w:sdt>
              <w:sdtPr>
                <w:rPr>
                  <w:sz w:val="28"/>
                  <w:szCs w:val="28"/>
                </w:rPr>
                <w:id w:val="-623155351"/>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External Review</w:t>
            </w:r>
            <w:r w:rsidR="00761106" w:rsidRPr="00761106">
              <w:rPr>
                <w:sz w:val="24"/>
                <w:szCs w:val="24"/>
              </w:rPr>
              <w:tab/>
            </w:r>
            <w:r w:rsidR="00761106" w:rsidRPr="00761106">
              <w:rPr>
                <w:sz w:val="24"/>
                <w:szCs w:val="24"/>
              </w:rPr>
              <w:tab/>
            </w:r>
            <w:r w:rsidR="00761106" w:rsidRPr="00761106">
              <w:rPr>
                <w:sz w:val="24"/>
                <w:szCs w:val="24"/>
              </w:rPr>
              <w:tab/>
            </w:r>
          </w:p>
          <w:p w14:paraId="7DC32634" w14:textId="77777777" w:rsidR="00AC318E" w:rsidRPr="004B30EA" w:rsidRDefault="00AC318E" w:rsidP="00352D26">
            <w:pPr>
              <w:pStyle w:val="ListParagraph"/>
              <w:widowControl w:val="0"/>
              <w:ind w:left="0"/>
              <w:rPr>
                <w:sz w:val="24"/>
                <w:szCs w:val="24"/>
              </w:rPr>
            </w:pPr>
          </w:p>
          <w:p w14:paraId="429D889C" w14:textId="3DB732DE" w:rsidR="00AC318E" w:rsidRPr="004B30EA" w:rsidRDefault="00AC318E" w:rsidP="00332BEC">
            <w:pPr>
              <w:pStyle w:val="ListParagraph"/>
              <w:widowControl w:val="0"/>
              <w:numPr>
                <w:ilvl w:val="0"/>
                <w:numId w:val="2"/>
              </w:numPr>
              <w:rPr>
                <w:sz w:val="24"/>
                <w:szCs w:val="24"/>
              </w:rPr>
            </w:pPr>
            <w:r w:rsidRPr="004B30EA">
              <w:rPr>
                <w:sz w:val="24"/>
                <w:szCs w:val="24"/>
              </w:rPr>
              <w:t xml:space="preserve">Have you started any spin-off companies? </w:t>
            </w:r>
            <w:r w:rsidR="00F84C77">
              <w:rPr>
                <w:sz w:val="24"/>
                <w:szCs w:val="24"/>
              </w:rPr>
              <w:tab/>
            </w:r>
            <w:r w:rsidR="00F84C77">
              <w:rPr>
                <w:sz w:val="24"/>
                <w:szCs w:val="24"/>
              </w:rPr>
              <w:tab/>
            </w:r>
            <w:r w:rsidR="00F84C77">
              <w:rPr>
                <w:sz w:val="24"/>
                <w:szCs w:val="24"/>
              </w:rPr>
              <w:tab/>
            </w:r>
            <w:r w:rsidR="00F84C77">
              <w:rPr>
                <w:sz w:val="24"/>
                <w:szCs w:val="24"/>
              </w:rPr>
              <w:tab/>
            </w:r>
            <w:sdt>
              <w:sdtPr>
                <w:rPr>
                  <w:sz w:val="28"/>
                  <w:szCs w:val="28"/>
                </w:rPr>
                <w:id w:val="-1171719938"/>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1562212983"/>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No</w:t>
            </w:r>
          </w:p>
          <w:p w14:paraId="308E9BEB" w14:textId="77777777" w:rsidR="00AC318E" w:rsidRPr="004B30EA" w:rsidRDefault="00AC318E" w:rsidP="00352D26">
            <w:pPr>
              <w:keepNext w:val="0"/>
              <w:keepLines w:val="0"/>
              <w:widowControl/>
              <w:spacing w:before="0" w:after="120" w:line="252" w:lineRule="auto"/>
              <w:ind w:left="0" w:right="0" w:firstLine="0"/>
              <w:jc w:val="left"/>
              <w:rPr>
                <w:sz w:val="24"/>
                <w:szCs w:val="24"/>
              </w:rPr>
              <w:kinsoku w:val="1"/>
            </w:pPr>
            <w:r>
              <w:rPr>
                <w:rFonts w:ascii="Times New Roman" w:hAnsi="Times New Roman" w:eastAsia="SimSun"/>
                <w:b w:val="0"/>
                <w:i w:val="0"/>
                <w:sz w:val="24"/>
                <w:color w:val="000000"/>
              </w:rPr>
              <w:t>If yes, state company name, UEN and incorporation date: [CONFIRM with PI; no company status inferred].</w:t>
            </w:r>
          </w:p>
          <w:p w14:paraId="6A0058A4" w14:textId="77777777" w:rsidR="00AC318E" w:rsidRPr="00332BEC" w:rsidRDefault="00AC318E" w:rsidP="00352D26">
            <w:pPr>
              <w:pStyle w:val="ListParagraph"/>
              <w:widowControl w:val="0"/>
              <w:ind w:left="709"/>
              <w:rPr>
                <w:sz w:val="24"/>
                <w:szCs w:val="24"/>
              </w:rPr>
            </w:pPr>
          </w:p>
          <w:p w14:paraId="4178A6B5" w14:textId="3201DEFF" w:rsidR="00332BEC" w:rsidRDefault="00332BEC" w:rsidP="00332BEC">
            <w:pPr>
              <w:pStyle w:val="ListParagraph"/>
              <w:widowControl w:val="0"/>
              <w:numPr>
                <w:ilvl w:val="0"/>
                <w:numId w:val="2"/>
              </w:numPr>
              <w:rPr>
                <w:sz w:val="24"/>
                <w:szCs w:val="24"/>
              </w:rPr>
            </w:pPr>
            <w:r w:rsidRPr="00332BEC">
              <w:rPr>
                <w:sz w:val="24"/>
                <w:szCs w:val="24"/>
              </w:rPr>
              <w:t xml:space="preserve">Are you interested in </w:t>
            </w:r>
            <w:sdt>
              <w:sdtPr>
                <w:rPr>
                  <w:sz w:val="28"/>
                  <w:szCs w:val="28"/>
                </w:rPr>
                <w:id w:val="-377780759"/>
                <w14:checkbox>
                  <w14:checked w14:val="1"/>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332BEC">
              <w:rPr>
                <w:sz w:val="24"/>
                <w:szCs w:val="24"/>
              </w:rPr>
              <w:t xml:space="preserve"> Licensing the technology </w:t>
            </w:r>
            <w:sdt>
              <w:sdtPr>
                <w:rPr>
                  <w:sz w:val="28"/>
                  <w:szCs w:val="28"/>
                </w:rPr>
                <w:id w:val="1829251606"/>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Pr>
                <w:sz w:val="24"/>
                <w:szCs w:val="24"/>
              </w:rPr>
              <w:t xml:space="preserve"> </w:t>
            </w:r>
            <w:r w:rsidR="00640E23">
              <w:rPr>
                <w:sz w:val="24"/>
                <w:szCs w:val="24"/>
              </w:rPr>
              <w:t>C</w:t>
            </w:r>
            <w:r w:rsidRPr="00332BEC">
              <w:rPr>
                <w:sz w:val="24"/>
                <w:szCs w:val="24"/>
              </w:rPr>
              <w:t xml:space="preserve">reating a spin-off </w:t>
            </w:r>
            <w:r>
              <w:rPr>
                <w:sz w:val="24"/>
                <w:szCs w:val="24"/>
              </w:rPr>
              <w:t xml:space="preserve"> </w:t>
            </w:r>
            <w:sdt>
              <w:sdtPr>
                <w:rPr>
                  <w:sz w:val="28"/>
                  <w:szCs w:val="28"/>
                </w:rPr>
                <w:id w:val="190109659"/>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332BEC">
              <w:rPr>
                <w:sz w:val="24"/>
                <w:szCs w:val="24"/>
              </w:rPr>
              <w:t xml:space="preserve"> </w:t>
            </w:r>
            <w:r w:rsidR="00640E23">
              <w:rPr>
                <w:sz w:val="24"/>
                <w:szCs w:val="24"/>
              </w:rPr>
              <w:t>T</w:t>
            </w:r>
            <w:r w:rsidRPr="00332BEC">
              <w:rPr>
                <w:sz w:val="24"/>
                <w:szCs w:val="24"/>
              </w:rPr>
              <w:t>o be decided later.</w:t>
            </w:r>
          </w:p>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Proposed route: NTUitive-managed licensing, including to a possible Singapore spin-off; final vehicle subject to commercial validation.</w:t>
            </w:r>
          </w:p>
          <w:p w14:paraId="5EF30A7C" w14:textId="77777777" w:rsidR="00332BEC" w:rsidRPr="00332BEC" w:rsidRDefault="00332BEC" w:rsidP="00332BEC">
            <w:pPr>
              <w:pStyle w:val="ListParagraph"/>
              <w:widowControl w:val="0"/>
              <w:rPr>
                <w:sz w:val="24"/>
                <w:szCs w:val="24"/>
              </w:rPr>
            </w:pPr>
          </w:p>
          <w:p w14:paraId="2A55765A" w14:textId="586F769A" w:rsidR="00AC318E" w:rsidRPr="004B30EA" w:rsidRDefault="00AC318E" w:rsidP="00332BEC">
            <w:pPr>
              <w:pStyle w:val="ListParagraph"/>
              <w:widowControl w:val="0"/>
              <w:numPr>
                <w:ilvl w:val="0"/>
                <w:numId w:val="2"/>
              </w:numPr>
              <w:rPr>
                <w:sz w:val="24"/>
                <w:szCs w:val="24"/>
              </w:rPr>
            </w:pPr>
            <w:r w:rsidRPr="00332BEC">
              <w:rPr>
                <w:sz w:val="24"/>
                <w:szCs w:val="24"/>
              </w:rPr>
              <w:t>Are you</w:t>
            </w:r>
            <w:r w:rsidRPr="004B30EA">
              <w:rPr>
                <w:sz w:val="24"/>
                <w:szCs w:val="24"/>
              </w:rPr>
              <w:t xml:space="preserve"> in discussion with any companies in the industry? </w:t>
            </w:r>
            <w:r w:rsidR="00F84C77">
              <w:rPr>
                <w:sz w:val="24"/>
                <w:szCs w:val="24"/>
              </w:rPr>
              <w:tab/>
            </w:r>
            <w:r w:rsidR="00F84C77">
              <w:rPr>
                <w:sz w:val="24"/>
                <w:szCs w:val="24"/>
              </w:rPr>
              <w:tab/>
            </w:r>
            <w:sdt>
              <w:sdtPr>
                <w:rPr>
                  <w:sz w:val="28"/>
                  <w:szCs w:val="28"/>
                </w:rPr>
                <w:id w:val="-1446315535"/>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1109969033"/>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00BF4F8F" w:rsidRPr="004B30EA">
              <w:rPr>
                <w:sz w:val="24"/>
                <w:szCs w:val="24"/>
              </w:rPr>
              <w:t xml:space="preserve"> </w:t>
            </w:r>
            <w:r w:rsidR="00BF4F8F">
              <w:rPr>
                <w:sz w:val="24"/>
                <w:szCs w:val="24"/>
              </w:rPr>
              <w:t xml:space="preserve"> </w:t>
            </w:r>
            <w:r w:rsidRPr="004B30EA">
              <w:rPr>
                <w:sz w:val="24"/>
                <w:szCs w:val="24"/>
              </w:rPr>
              <w:t>No</w:t>
            </w:r>
          </w:p>
          <w:p w14:paraId="0C6728DF" w14:textId="77777777" w:rsidR="00AC318E" w:rsidRPr="0062535F" w:rsidRDefault="00AC318E" w:rsidP="00332BEC">
            <w:pPr>
              <w:keepNext w:val="0"/>
              <w:keepLines w:val="0"/>
              <w:widowControl/>
              <w:spacing w:before="0" w:after="120" w:line="252" w:lineRule="auto"/>
              <w:ind w:left="0" w:right="0" w:firstLine="0"/>
              <w:jc w:val="left"/>
              <w:rPr>
                <w:sz w:val="24"/>
                <w:szCs w:val="24"/>
                <w:lang w:val="en-SG"/>
              </w:rPr>
              <w:kinsoku w:val="1"/>
            </w:pPr>
            <w:r>
              <w:rPr>
                <w:rFonts w:ascii="Times New Roman" w:hAnsi="Times New Roman" w:eastAsia="SimSun"/>
                <w:b w:val="0"/>
                <w:i w:val="0"/>
                <w:sz w:val="24"/>
                <w:color w:val="000000"/>
              </w:rPr>
              <w:t>April 2026 internal materials report exchanges with LTA, Surbana Jurong, Terralab, Santarli and R.A.K. Materials Consultants. [CONFIRM current discussions; these are not purchase commitments.]</w:t>
            </w:r>
          </w:p>
          <w:p w14:paraId="6D1434EE" w14:textId="6BA95CB5" w:rsidR="00332BEC" w:rsidRPr="004B30EA" w:rsidRDefault="00332BEC" w:rsidP="00332BEC">
            <w:pPr>
              <w:pStyle w:val="ListParagraph"/>
              <w:widowControl w:val="0"/>
              <w:numPr>
                <w:ilvl w:val="0"/>
                <w:numId w:val="2"/>
              </w:numPr>
              <w:rPr>
                <w:sz w:val="24"/>
                <w:szCs w:val="24"/>
              </w:rPr>
            </w:pPr>
            <w:r w:rsidRPr="004B30EA">
              <w:rPr>
                <w:sz w:val="24"/>
                <w:szCs w:val="24"/>
              </w:rPr>
              <w:t xml:space="preserve">Has this project received any prior funding? </w:t>
            </w:r>
            <w:r>
              <w:rPr>
                <w:sz w:val="24"/>
                <w:szCs w:val="24"/>
              </w:rPr>
              <w:tab/>
            </w:r>
            <w:r>
              <w:rPr>
                <w:sz w:val="24"/>
                <w:szCs w:val="24"/>
              </w:rPr>
              <w:tab/>
            </w:r>
            <w:r>
              <w:rPr>
                <w:sz w:val="24"/>
                <w:szCs w:val="24"/>
              </w:rPr>
              <w:tab/>
            </w:r>
            <w:r>
              <w:rPr>
                <w:sz w:val="24"/>
                <w:szCs w:val="24"/>
              </w:rPr>
              <w:tab/>
            </w:r>
            <w:sdt>
              <w:sdtPr>
                <w:rPr>
                  <w:sz w:val="28"/>
                  <w:szCs w:val="28"/>
                </w:rPr>
                <w:id w:val="500619617"/>
                <w14:checkbox>
                  <w14:checked w14:val="1"/>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304900488"/>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No</w:t>
            </w:r>
          </w:p>
          <w:p w14:paraId="3B3F92C9" w14:textId="77777777" w:rsidR="00332BEC" w:rsidRPr="004B30EA" w:rsidRDefault="00332BEC" w:rsidP="00332BEC">
            <w:pPr>
              <w:keepNext w:val="0"/>
              <w:keepLines w:val="0"/>
              <w:widowControl/>
              <w:spacing w:before="0" w:after="120" w:line="252" w:lineRule="auto"/>
              <w:ind w:left="0" w:right="0" w:firstLine="0"/>
              <w:jc w:val="left"/>
              <w:rPr>
                <w:sz w:val="24"/>
                <w:szCs w:val="24"/>
              </w:rPr>
              <w:kinsoku w:val="1"/>
            </w:pPr>
            <w:r>
              <w:rPr>
                <w:rFonts w:ascii="Times New Roman" w:hAnsi="Times New Roman" w:eastAsia="SimSun"/>
                <w:b w:val="0"/>
                <w:i w:val="0"/>
                <w:sz w:val="24"/>
                <w:color w:val="000000"/>
              </w:rPr>
              <w:t>Related background funding is disclosed in Section 6. This does not establish that a distinct commercial product project was previously funded.</w:t>
            </w:r>
          </w:p>
          <w:p w14:paraId="78B4FE6D" w14:textId="77777777" w:rsidR="00332BEC" w:rsidRPr="00332BEC" w:rsidRDefault="00332BEC" w:rsidP="00332BEC">
            <w:pPr>
              <w:widowControl w:val="0"/>
              <w:rPr>
                <w:rFonts w:ascii="Times New Roman" w:hAnsi="Times New Roman" w:cs="Times New Roman"/>
              </w:rPr>
            </w:pPr>
          </w:p>
          <w:p w14:paraId="2125678C" w14:textId="60216C13" w:rsidR="00332BEC" w:rsidRPr="00332BEC" w:rsidRDefault="00332BEC" w:rsidP="00332BEC">
            <w:pPr>
              <w:pStyle w:val="ListParagraph"/>
              <w:numPr>
                <w:ilvl w:val="0"/>
                <w:numId w:val="2"/>
              </w:numPr>
              <w:contextualSpacing w:val="0"/>
              <w:rPr>
                <w:sz w:val="24"/>
                <w:szCs w:val="24"/>
              </w:rPr>
            </w:pPr>
            <w:r w:rsidRPr="00332BEC">
              <w:rPr>
                <w:sz w:val="24"/>
                <w:szCs w:val="24"/>
              </w:rPr>
              <w:t>Do you have research funding in place to further this technology (excluding potential POC grant)?</w:t>
            </w:r>
            <w:r>
              <w:rPr>
                <w:sz w:val="24"/>
                <w:szCs w:val="24"/>
              </w:rPr>
              <w:t xml:space="preserve">                                                                                        </w:t>
            </w:r>
            <w:sdt>
              <w:sdtPr>
                <w:rPr>
                  <w:sz w:val="28"/>
                  <w:szCs w:val="28"/>
                </w:rPr>
                <w:id w:val="1085724750"/>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2029474730"/>
                <w14:checkbox>
                  <w14:checked w14:val="0"/>
                  <w14:checkedState w14:val="2611" w14:font="Aptos Narrow"/>
                  <w14:uncheckedState w14:val="2610" w14:font="MS Gothic"/>
                </w14:checkbox>
              </w:sdtPr>
              <w:sdtEndPr/>
              <w:sdtContent>
                <w:r w:rsidR="00BF4F8F">
                  <w:rPr>
                    <w:rFonts w:ascii="MS Gothic" w:eastAsia="MS Gothic" w:hAnsi="MS Gothic" w:hint="eastAsia"/>
                    <w:sz w:val="28"/>
                    <w:szCs w:val="28"/>
                  </w:rPr>
                  <w:t>☐</w:t>
                </w:r>
              </w:sdtContent>
            </w:sdt>
            <w:r w:rsidRPr="004B30EA">
              <w:rPr>
                <w:sz w:val="24"/>
                <w:szCs w:val="24"/>
              </w:rPr>
              <w:t xml:space="preserve">  No</w:t>
            </w:r>
          </w:p>
          <w:p w14:paraId="6E18376D" w14:textId="77777777" w:rsidR="00332BEC" w:rsidRDefault="00332BEC" w:rsidP="00332BEC">
            <w:pPr>
              <w:keepNext w:val="0"/>
              <w:keepLines w:val="0"/>
              <w:widowControl/>
              <w:spacing w:before="0" w:after="120" w:line="252" w:lineRule="auto"/>
              <w:ind w:left="0" w:right="0" w:firstLine="0"/>
              <w:jc w:val="left"/>
              <w:rPr>
                <w:sz w:val="24"/>
                <w:szCs w:val="24"/>
              </w:rPr>
              <w:kinsoku w:val="1"/>
            </w:pPr>
            <w:r>
              <w:rPr>
                <w:rFonts w:ascii="Times New Roman" w:hAnsi="Times New Roman" w:eastAsia="SimSun"/>
                <w:b w:val="0"/>
                <w:i w:val="0"/>
                <w:sz w:val="24"/>
                <w:color w:val="000000"/>
              </w:rPr>
              <w:t>[CONFIRM current awards, remaining scope and funding status; Section 6 identifies the available records and discrepancies.]</w:t>
            </w:r>
          </w:p>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Unchecked items, including previous Gap Fund applications and current company discussions, are awaiting PI confirmation; they do not mean "No".</w:t>
            </w:r>
          </w:p>
          <w:p w14:paraId="2BAA2E51" w14:textId="7D784FBF" w:rsidR="00332BEC" w:rsidRPr="00332BEC" w:rsidRDefault="00332BEC" w:rsidP="00332BEC">
            <w:pPr>
              <w:pStyle w:val="ListParagraph"/>
              <w:widowControl w:val="0"/>
              <w:rPr>
                <w:sz w:val="24"/>
                <w:szCs w:val="24"/>
              </w:rPr>
            </w:pPr>
          </w:p>
        </w:tc>
      </w:tr>
    </w:tbl>
    <w:p w14:paraId="50B84972" w14:textId="77777777" w:rsidR="00E4627E" w:rsidRDefault="00E4627E" w:rsidP="00E4627E">
      <w:pPr>
        <w:keepNext/>
        <w:keepLines/>
        <w:pageBreakBefore/>
        <w:spacing w:before="240" w:after="160"/>
        <w:jc w:val="both"/>
        <w:rPr>
          <w:rFonts w:ascii="Times New Roman" w:hAnsi="Times New Roman" w:cs="Times New Roman"/>
          <w:b/>
          <w:sz w:val="28"/>
          <w:szCs w:val="28"/>
        </w:rPr>
      </w:pPr>
      <w:r w:rsidRPr="004B30EA">
        <w:rPr>
          <w:rFonts w:ascii="Times New Roman" w:hAnsi="Times New Roman" w:cs="Times New Roman"/>
          <w:b/>
          <w:sz w:val="28"/>
          <w:szCs w:val="28"/>
        </w:rPr>
        <w:t>Project Details</w:t>
      </w:r>
    </w:p>
    <w:p w14:paraId="4D79829A" w14:textId="77777777" w:rsidR="00E4627E" w:rsidRPr="004B30EA" w:rsidRDefault="00E4627E" w:rsidP="00E4627E">
      <w:pPr>
        <w:keepNext/>
        <w:keepLines/>
        <w:spacing w:before="240" w:after="160"/>
        <w:jc w:val="both"/>
        <w:rPr>
          <w:rFonts w:ascii="Times New Roman" w:hAnsi="Times New Roman" w:cs="Times New Roman"/>
          <w:b/>
          <w:bCs/>
          <w:sz w:val="28"/>
          <w:szCs w:val="28"/>
          <w:lang w:val="en-GB"/>
        </w:rPr>
      </w:pPr>
      <w:r w:rsidRPr="004B30EA">
        <w:rPr>
          <w:rFonts w:ascii="Times New Roman" w:hAnsi="Times New Roman" w:cs="Times New Roman"/>
          <w:b/>
          <w:bCs/>
          <w:sz w:val="28"/>
          <w:szCs w:val="28"/>
          <w:lang w:val="en-GB"/>
        </w:rPr>
        <w:t>1.</w:t>
      </w:r>
      <w:r w:rsidRPr="004B30EA">
        <w:rPr>
          <w:rFonts w:ascii="Times New Roman" w:hAnsi="Times New Roman" w:cs="Times New Roman"/>
          <w:b/>
          <w:bCs/>
          <w:sz w:val="28"/>
          <w:szCs w:val="28"/>
          <w:lang w:val="en-GB"/>
        </w:rPr>
        <w:tab/>
        <w:t>Executive Summary</w:t>
      </w:r>
    </w:p>
    <w:p w14:paraId="5487B307" w14:textId="77777777" w:rsidR="00E4627E" w:rsidRPr="004B30EA" w:rsidRDefault="00E4627E" w:rsidP="00E4627E">
      <w:pPr>
        <w:jc w:val="both"/>
        <w:rPr>
          <w:rFonts w:ascii="Times New Roman" w:hAnsi="Times New Roman" w:cs="Times New Roman"/>
          <w:i/>
          <w:iCs/>
          <w:lang w:val="en-GB"/>
        </w:rPr>
      </w:pPr>
      <w:r w:rsidRPr="004B30EA">
        <w:rPr>
          <w:rFonts w:ascii="Times New Roman" w:hAnsi="Times New Roman" w:cs="Times New Roman"/>
          <w:i/>
          <w:iCs/>
          <w:lang w:val="en-GB"/>
        </w:rPr>
        <w:t xml:space="preserve">Please give </w:t>
      </w:r>
      <w:proofErr w:type="gramStart"/>
      <w:r w:rsidRPr="004B30EA">
        <w:rPr>
          <w:rFonts w:ascii="Times New Roman" w:hAnsi="Times New Roman" w:cs="Times New Roman"/>
          <w:i/>
          <w:iCs/>
          <w:lang w:val="en-GB"/>
        </w:rPr>
        <w:t>a brief summary</w:t>
      </w:r>
      <w:proofErr w:type="gramEnd"/>
      <w:r w:rsidRPr="004B30EA">
        <w:rPr>
          <w:rFonts w:ascii="Times New Roman" w:hAnsi="Times New Roman" w:cs="Times New Roman"/>
          <w:i/>
          <w:iCs/>
          <w:lang w:val="en-GB"/>
        </w:rPr>
        <w:t xml:space="preserve"> (no more than 500 words), with minimal technical terms, of the objectives and the scope of the project. The summary should also include the market need, proposed solution and comparison with </w:t>
      </w:r>
      <w:r w:rsidR="000227C1">
        <w:rPr>
          <w:rFonts w:ascii="Times New Roman" w:hAnsi="Times New Roman" w:cs="Times New Roman"/>
          <w:i/>
          <w:iCs/>
          <w:lang w:val="en-GB"/>
        </w:rPr>
        <w:t>competitors</w:t>
      </w:r>
      <w:r w:rsidRPr="004B30EA">
        <w:rPr>
          <w:rFonts w:ascii="Times New Roman" w:hAnsi="Times New Roman" w:cs="Times New Roman"/>
          <w:b/>
          <w:bCs/>
          <w:i/>
          <w:iCs/>
          <w:lang w:val="en-GB"/>
        </w:rPr>
        <w:t>.</w:t>
      </w:r>
      <w:r w:rsidRPr="004B30EA">
        <w:rPr>
          <w:rFonts w:ascii="Times New Roman" w:hAnsi="Times New Roman" w:cs="Times New Roman"/>
          <w:i/>
          <w:iCs/>
          <w:lang w:val="en-GB"/>
        </w:rPr>
        <w:t xml:space="preserve"> </w:t>
      </w:r>
    </w:p>
    <w:p>
      <w:pPr>
        <w:keepNext w:val="0"/>
        <w:keepLines w:val="0"/>
        <w:widowControl/>
        <w:spacing w:before="0" w:after="120" w:line="252" w:lineRule="auto"/>
        <w:ind w:left="0" w:right="0" w:firstLine="0"/>
        <w:jc w:val="left"/>
        <w:kinsoku w:val="1"/>
      </w:pPr>
      <w:r>
        <w:rPr>
          <w:rFonts w:ascii="Times New Roman" w:hAnsi="Times New Roman" w:eastAsia="SimSun"/>
          <w:b w:val="0"/>
          <w:sz w:val="24"/>
          <w:color w:val="000000"/>
        </w:rPr>
        <w:t>Short-lived impacts and abnormal vibration can occur between scheduled measurements. Monitoring teams need usable event records, while equipment manufacturers must balance capture quality, battery life and development effort. Existing chips, recorders and embedded boards already provide triggering. The commercial opportunity is therefore an application-proven acquisition subsystem, not triggering alone or a claim to capture every anomaly.</w:t>
      </w:r>
    </w:p>
    <w:p>
      <w:pPr>
        <w:keepNext w:val="0"/>
        <w:keepLines w:val="0"/>
        <w:widowControl/>
        <w:spacing w:before="0" w:after="120" w:line="252" w:lineRule="auto"/>
        <w:ind w:left="0" w:right="0" w:firstLine="0"/>
        <w:jc w:val="left"/>
        <w:kinsoku w:val="1"/>
      </w:pPr>
      <w:r>
        <w:rPr>
          <w:rFonts w:ascii="Times New Roman" w:hAnsi="Times New Roman" w:eastAsia="SimSun"/>
          <w:b w:val="0"/>
          <w:sz w:val="24"/>
          <w:color w:val="000000"/>
        </w:rPr>
        <w:t>This project will develop an embedded low-power event-acquisition module with firmware for monitoring equipment manufacturers. A low-power sentinel detects motion using threshold and duration rules; adaptive software adjusts these settings as background conditions change. The module wakes higher-resolution acquisition, retains available sentinel pre-event context and aligns overlapping records from different-resolution sensors within the same node. It cannot recover high-resolution samples that were never acquired.</w:t>
      </w:r>
    </w:p>
    <w:p>
      <w:pPr>
        <w:keepNext w:val="0"/>
        <w:keepLines w:val="0"/>
        <w:widowControl/>
        <w:spacing w:before="0" w:after="120" w:line="252" w:lineRule="auto"/>
        <w:ind w:left="0" w:right="0" w:firstLine="0"/>
        <w:jc w:val="left"/>
        <w:kinsoku w:val="1"/>
      </w:pPr>
      <w:r>
        <w:rPr>
          <w:rFonts w:ascii="Times New Roman" w:hAnsi="Times New Roman" w:eastAsia="SimSun"/>
          <w:b w:val="0"/>
          <w:sz w:val="24"/>
          <w:color w:val="000000"/>
        </w:rPr>
        <w:t>The first validation setting is intermittent engineering vibration or impact in battery-powered construction or infrastructure monitoring. Only events observable by the sentinel and distinguishable through its trigger rules are in scope. Reference assemblies will support comparisons with existing instruments; the product will not replace statutory monitoring, engineering judgement or independent safety alarms.</w:t>
      </w:r>
    </w:p>
    <w:p>
      <w:pPr>
        <w:keepNext w:val="0"/>
        <w:keepLines w:val="0"/>
        <w:widowControl/>
        <w:spacing w:before="0" w:after="120" w:line="252" w:lineRule="auto"/>
        <w:ind w:left="0" w:right="0" w:firstLine="0"/>
        <w:jc w:val="left"/>
        <w:kinsoku w:val="1"/>
      </w:pPr>
      <w:r>
        <w:rPr>
          <w:rFonts w:ascii="Times New Roman" w:hAnsi="Times New Roman" w:eastAsia="SimSun"/>
          <w:b w:val="0"/>
          <w:sz w:val="24"/>
          <w:color w:val="000000"/>
        </w:rPr>
        <w:t>The preferred route is OEM co-development, followed by repeat module sales including basic firmware, with separate integration fees. Software-only licensing is an option on compatible customer hardware; annual subscriptions are not assumed. Singapore candidates include Ackcio and SensingTech, with Geomotion or Ryobi-G as field evaluators. MATGEO in Thailand and Geokang Technologies / BGK and Chengdu Zhongke Measurement and Control in China provide further discovery routes. None is a confirmed customer or partner.</w:t>
      </w:r>
    </w:p>
    <w:p>
      <w:pPr>
        <w:keepNext w:val="0"/>
        <w:keepLines w:val="0"/>
        <w:widowControl/>
        <w:spacing w:before="0" w:after="120" w:line="252" w:lineRule="auto"/>
        <w:ind w:left="0" w:right="0" w:firstLine="0"/>
        <w:jc w:val="left"/>
        <w:kinsoku w:val="1"/>
      </w:pPr>
      <w:r>
        <w:rPr>
          <w:rFonts w:ascii="Times New Roman" w:hAnsi="Times New Roman" w:eastAsia="SimSun"/>
          <w:b w:val="0"/>
          <w:sz w:val="24"/>
          <w:color w:val="000000"/>
        </w:rPr>
        <w:t>NTU's SATM research and LiftNode prototype provide the foundation. G-Link-200-OEM already offers an embedded event-acquisition board, while ADI Voyager4 supports customer self-development. Our proposed incremental value is adaptive settings, low-power acquisition coordination and within-node data alignment with lower integration effort; these benefits require comparable tests. The proposed 12-month, S$180,000 programme will deliver ten module-based evaluation assemblies, an OEM package, controlled comparisons and a costed customer assessment. Adoption volumes, price and willingness to pay remain hypotheses to validate, not secured demand.</w:t>
      </w:r>
    </w:p>
    <w:p w14:paraId="18CB081D" w14:textId="77777777" w:rsidR="00E4627E" w:rsidRPr="004B30EA" w:rsidRDefault="00E4627E" w:rsidP="00E4627E">
      <w:pPr>
        <w:keepNext/>
        <w:keepLines/>
        <w:pageBreakBefore/>
        <w:spacing w:before="240" w:after="160"/>
        <w:jc w:val="both"/>
        <w:rPr>
          <w:rFonts w:ascii="Times New Roman" w:hAnsi="Times New Roman" w:cs="Times New Roman"/>
          <w:b/>
          <w:bCs/>
          <w:sz w:val="28"/>
          <w:szCs w:val="28"/>
          <w:lang w:val="en-GB"/>
        </w:rPr>
      </w:pPr>
      <w:r w:rsidRPr="004B30EA">
        <w:rPr>
          <w:rFonts w:ascii="Times New Roman" w:hAnsi="Times New Roman" w:cs="Times New Roman"/>
          <w:b/>
          <w:bCs/>
          <w:sz w:val="28"/>
          <w:szCs w:val="28"/>
          <w:lang w:val="en-GB"/>
        </w:rPr>
        <w:t>2.</w:t>
      </w:r>
      <w:r w:rsidRPr="004B30EA">
        <w:rPr>
          <w:rFonts w:ascii="Times New Roman" w:hAnsi="Times New Roman" w:cs="Times New Roman"/>
          <w:b/>
          <w:bCs/>
          <w:sz w:val="28"/>
          <w:szCs w:val="28"/>
          <w:lang w:val="en-GB"/>
        </w:rPr>
        <w:tab/>
        <w:t>Value Proposition</w:t>
      </w:r>
    </w:p>
    <w:p w14:paraId="4F20C8B0" w14:textId="77777777" w:rsidR="00E4627E" w:rsidRPr="004B30EA" w:rsidRDefault="00E4627E" w:rsidP="00E4627E">
      <w:pPr>
        <w:keepNext/>
        <w:keepLines/>
        <w:spacing w:before="240" w:after="160"/>
        <w:jc w:val="both"/>
        <w:rPr>
          <w:rFonts w:ascii="Times New Roman" w:hAnsi="Times New Roman" w:cs="Times New Roman"/>
          <w:b/>
          <w:bCs/>
          <w:lang w:val="en-GB"/>
        </w:rPr>
      </w:pPr>
      <w:r w:rsidRPr="004B30EA">
        <w:rPr>
          <w:rFonts w:ascii="Times New Roman" w:hAnsi="Times New Roman" w:cs="Times New Roman"/>
          <w:b/>
          <w:bCs/>
          <w:lang w:val="en-GB"/>
        </w:rPr>
        <w:t>2.1</w:t>
      </w:r>
      <w:r w:rsidRPr="004B30EA">
        <w:rPr>
          <w:rFonts w:ascii="Times New Roman" w:hAnsi="Times New Roman" w:cs="Times New Roman"/>
          <w:b/>
          <w:bCs/>
          <w:lang w:val="en-GB"/>
        </w:rPr>
        <w:tab/>
        <w:t>Problem Statement</w:t>
      </w:r>
    </w:p>
    <w:p w14:paraId="594509F2" w14:textId="77777777" w:rsidR="00E4627E" w:rsidRPr="004B30EA" w:rsidRDefault="00E4627E" w:rsidP="00E4627E">
      <w:pPr>
        <w:jc w:val="both"/>
        <w:rPr>
          <w:rFonts w:ascii="Times New Roman" w:hAnsi="Times New Roman" w:cs="Times New Roman"/>
          <w:b/>
          <w:bCs/>
          <w:lang w:val="en-GB"/>
        </w:rPr>
      </w:pPr>
      <w:r w:rsidRPr="004B30EA">
        <w:rPr>
          <w:rFonts w:ascii="Times New Roman" w:hAnsi="Times New Roman" w:cs="Times New Roman"/>
          <w:i/>
          <w:iCs/>
          <w:lang w:val="en-GB"/>
        </w:rPr>
        <w:t xml:space="preserve">Briefly describe the problem to be solved and existing </w:t>
      </w:r>
      <w:r w:rsidR="000227C1">
        <w:rPr>
          <w:rFonts w:ascii="Times New Roman" w:hAnsi="Times New Roman" w:cs="Times New Roman"/>
          <w:i/>
          <w:iCs/>
          <w:lang w:val="en-GB"/>
        </w:rPr>
        <w:t>solutions in the market</w:t>
      </w:r>
      <w:r w:rsidRPr="004B30EA">
        <w:rPr>
          <w:rFonts w:ascii="Times New Roman" w:hAnsi="Times New Roman" w:cs="Times New Roman"/>
          <w:i/>
          <w:iCs/>
          <w:lang w:val="en-GB"/>
        </w:rPr>
        <w:t>.</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Customer problem. </w:t>
      </w:r>
      <w:r>
        <w:rPr>
          <w:rFonts w:ascii="Times New Roman" w:hAnsi="Times New Roman" w:eastAsia="SimSun"/>
          <w:b w:val="0"/>
          <w:sz w:val="24"/>
          <w:color w:val="000000"/>
        </w:rPr>
        <w:t>Battery-powered monitoring must capture short target events without repeatedly waking the detailed acquisition channel for background disturbances. Users need interpretable pre-event and post-event records; OEMs need an acquisition subsystem that fits their sensors, power budget and firmware without disproportionate development effort.</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Evidence of demand. </w:t>
      </w:r>
      <w:hyperlink r:id="rIdV4Update1">
        <w:r>
          <w:rPr>
            <w:rFonts w:ascii="Times New Roman" w:hAnsi="Times New Roman" w:eastAsia="SimSun"/>
            <w:sz w:val="24"/>
            <w:color w:val="0000FF"/>
            <w:u w:val="single"/>
          </w:rPr>
          <w:t>Monnit states that periodic sampling is not suitable for short impacts</w:t>
        </w:r>
      </w:hyperlink>
      <w:r>
        <w:rPr>
          <w:rFonts w:ascii="Times New Roman" w:hAnsi="Times New Roman" w:eastAsia="SimSun"/>
          <w:b w:val="0"/>
          <w:sz w:val="24"/>
          <w:color w:val="000000"/>
        </w:rPr>
        <w:t xml:space="preserve">. </w:t>
      </w:r>
      <w:hyperlink r:id="rIdV4Update2">
        <w:r>
          <w:rPr>
            <w:rFonts w:ascii="Times New Roman" w:hAnsi="Times New Roman" w:eastAsia="SimSun"/>
            <w:sz w:val="24"/>
            <w:color w:val="0000FF"/>
            <w:u w:val="single"/>
          </w:rPr>
          <w:t>Ryobi-G offers vibration investigations and related engineering support</w:t>
        </w:r>
      </w:hyperlink>
      <w:r>
        <w:rPr>
          <w:rFonts w:ascii="Times New Roman" w:hAnsi="Times New Roman" w:eastAsia="SimSun"/>
          <w:b w:val="0"/>
          <w:sz w:val="24"/>
          <w:color w:val="000000"/>
        </w:rPr>
        <w:t xml:space="preserve">, while </w:t>
      </w:r>
      <w:hyperlink r:id="rIdV4Update3">
        <w:r>
          <w:rPr>
            <w:rFonts w:ascii="Times New Roman" w:hAnsi="Times New Roman" w:eastAsia="SimSun"/>
            <w:sz w:val="24"/>
            <w:color w:val="0000FF"/>
            <w:u w:val="single"/>
          </w:rPr>
          <w:t>Bina Marga discusses remote wireless bridge monitoring and energy constraints</w:t>
        </w:r>
      </w:hyperlink>
      <w:r>
        <w:rPr>
          <w:rFonts w:ascii="Times New Roman" w:hAnsi="Times New Roman" w:eastAsia="SimSun"/>
          <w:b w:val="0"/>
          <w:sz w:val="24"/>
          <w:color w:val="000000"/>
        </w:rPr>
        <w:t>. These establish acquisition, evidence and maintenance needs, not willingness to purchase this particular module.</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Remaining gap. </w:t>
      </w:r>
      <w:r>
        <w:rPr>
          <w:rFonts w:ascii="Times New Roman" w:hAnsi="Times New Roman" w:eastAsia="SimSun"/>
          <w:b w:val="0"/>
          <w:sz w:val="24"/>
          <w:color w:val="000000"/>
        </w:rPr>
        <w:t>Existing chips, buffered recorders and event-triggered boards address parts of the problem. Target battery-powered installations with sentinel-visible intermittent events and a measurable integration, record-quality or maintenance burden. Within-node alignment is an engineering requirement; its separate willingness-to-pay case remains unproven.</w:t>
      </w:r>
    </w:p>
    <w:p w14:paraId="0B64E095" w14:textId="77777777" w:rsidR="00E4627E" w:rsidRPr="004B30EA" w:rsidRDefault="00E4627E" w:rsidP="00E4627E">
      <w:pPr>
        <w:keepNext/>
        <w:keepLines/>
        <w:spacing w:before="240" w:after="160"/>
        <w:jc w:val="both"/>
        <w:rPr>
          <w:rFonts w:ascii="Times New Roman" w:hAnsi="Times New Roman" w:cs="Times New Roman"/>
          <w:b/>
          <w:bCs/>
          <w:lang w:val="en-GB"/>
        </w:rPr>
      </w:pPr>
      <w:r w:rsidRPr="004B30EA">
        <w:rPr>
          <w:rFonts w:ascii="Times New Roman" w:hAnsi="Times New Roman" w:cs="Times New Roman"/>
          <w:b/>
          <w:bCs/>
          <w:lang w:val="en-GB"/>
        </w:rPr>
        <w:t>2.2</w:t>
      </w:r>
      <w:r w:rsidRPr="004B30EA">
        <w:rPr>
          <w:rFonts w:ascii="Times New Roman" w:hAnsi="Times New Roman" w:cs="Times New Roman"/>
          <w:b/>
          <w:bCs/>
          <w:lang w:val="en-GB"/>
        </w:rPr>
        <w:tab/>
        <w:t>Industry Analysis/Market Assessment</w:t>
      </w:r>
    </w:p>
    <w:p w14:paraId="372AA395" w14:textId="77777777" w:rsidR="00E4627E" w:rsidRPr="004B30EA" w:rsidRDefault="00E4627E" w:rsidP="00E4627E">
      <w:pPr>
        <w:jc w:val="both"/>
        <w:rPr>
          <w:rFonts w:ascii="Times New Roman" w:hAnsi="Times New Roman" w:cs="Times New Roman"/>
          <w:b/>
          <w:bCs/>
          <w:i/>
          <w:lang w:val="en-GB"/>
        </w:rPr>
      </w:pPr>
      <w:r w:rsidRPr="004B30EA">
        <w:rPr>
          <w:rFonts w:ascii="Times New Roman" w:hAnsi="Times New Roman" w:cs="Times New Roman"/>
          <w:i/>
          <w:iCs/>
          <w:lang w:val="en-GB"/>
        </w:rPr>
        <w:t xml:space="preserve">The team should perform an industry analysis/market assessment to identify current and future market trends. It should include the market segment (i.e. the </w:t>
      </w:r>
      <w:r w:rsidR="000227C1">
        <w:rPr>
          <w:rFonts w:ascii="Times New Roman" w:hAnsi="Times New Roman" w:cs="Times New Roman"/>
          <w:i/>
          <w:iCs/>
          <w:lang w:val="en-GB"/>
        </w:rPr>
        <w:t>targ</w:t>
      </w:r>
      <w:r w:rsidR="008A4EBB">
        <w:rPr>
          <w:rFonts w:ascii="Times New Roman" w:hAnsi="Times New Roman" w:cs="Times New Roman"/>
          <w:i/>
          <w:iCs/>
          <w:lang w:val="en-GB"/>
        </w:rPr>
        <w:t>e</w:t>
      </w:r>
      <w:r w:rsidR="000227C1">
        <w:rPr>
          <w:rFonts w:ascii="Times New Roman" w:hAnsi="Times New Roman" w:cs="Times New Roman"/>
          <w:i/>
          <w:iCs/>
          <w:lang w:val="en-GB"/>
        </w:rPr>
        <w:t>ted</w:t>
      </w:r>
      <w:r w:rsidRPr="004B30EA">
        <w:rPr>
          <w:rFonts w:ascii="Times New Roman" w:hAnsi="Times New Roman" w:cs="Times New Roman"/>
          <w:i/>
          <w:iCs/>
          <w:lang w:val="en-GB"/>
        </w:rPr>
        <w:t xml:space="preserve"> customers) and customer analysis.  </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Market context. </w:t>
      </w:r>
      <w:r>
        <w:rPr>
          <w:rFonts w:ascii="Times New Roman" w:hAnsi="Times New Roman" w:eastAsia="SimSun"/>
          <w:b w:val="0"/>
          <w:sz w:val="24"/>
          <w:color w:val="000000"/>
        </w:rPr>
        <w:t xml:space="preserve">Grand View Research estimates 2025 global structural health monitoring at </w:t>
      </w:r>
      <w:hyperlink r:id="rIdGAP3">
        <w:r>
          <w:rPr>
            <w:rFonts w:ascii="Times New Roman" w:hAnsi="Times New Roman" w:eastAsia="SimSun"/>
            <w:sz w:val="24"/>
            <w:color w:val="0000FF"/>
            <w:u w:val="single"/>
          </w:rPr>
          <w:t>US$4.4 billion</w:t>
        </w:r>
      </w:hyperlink>
      <w:r>
        <w:rPr>
          <w:rFonts w:ascii="Times New Roman" w:hAnsi="Times New Roman" w:eastAsia="SimSun"/>
          <w:b w:val="0"/>
          <w:sz w:val="24"/>
          <w:color w:val="000000"/>
        </w:rPr>
        <w:t xml:space="preserve">, including </w:t>
      </w:r>
      <w:hyperlink r:id="rIdGAP4">
        <w:r>
          <w:rPr>
            <w:rFonts w:ascii="Times New Roman" w:hAnsi="Times New Roman" w:eastAsia="SimSun"/>
            <w:sz w:val="24"/>
            <w:color w:val="0000FF"/>
            <w:u w:val="single"/>
          </w:rPr>
          <w:t>US$1.6293 billion wireless</w:t>
        </w:r>
      </w:hyperlink>
      <w:r>
        <w:rPr>
          <w:rFonts w:ascii="Times New Roman" w:hAnsi="Times New Roman" w:eastAsia="SimSun"/>
          <w:b w:val="0"/>
          <w:sz w:val="24"/>
          <w:color w:val="000000"/>
        </w:rPr>
        <w:t xml:space="preserve">. The adjacent </w:t>
      </w:r>
      <w:hyperlink r:id="rIdV4Update4">
        <w:r>
          <w:rPr>
            <w:rFonts w:ascii="Times New Roman" w:hAnsi="Times New Roman" w:eastAsia="SimSun"/>
            <w:sz w:val="24"/>
            <w:color w:val="0000FF"/>
            <w:u w:val="single"/>
          </w:rPr>
          <w:t>wireless equipment-condition monitoring market was US$802.4 million in 2024</w:t>
        </w:r>
      </w:hyperlink>
      <w:r>
        <w:rPr>
          <w:rFonts w:ascii="Times New Roman" w:hAnsi="Times New Roman" w:eastAsia="SimSun"/>
          <w:b w:val="0"/>
          <w:sz w:val="24"/>
          <w:color w:val="000000"/>
        </w:rPr>
        <w:t>. These categories overlap and include products outside our scope; they are not additive or a measure of module demand.</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Singapore. </w:t>
      </w:r>
      <w:hyperlink r:id="rIdV4Update5">
        <w:r>
          <w:rPr>
            <w:rFonts w:ascii="Times New Roman" w:hAnsi="Times New Roman" w:eastAsia="SimSun"/>
            <w:sz w:val="24"/>
            <w:color w:val="0000FF"/>
            <w:u w:val="single"/>
          </w:rPr>
          <w:t>Ackcio</w:t>
        </w:r>
      </w:hyperlink>
      <w:r>
        <w:rPr>
          <w:rFonts w:ascii="Times New Roman" w:hAnsi="Times New Roman" w:eastAsia="SimSun"/>
          <w:b w:val="0"/>
          <w:sz w:val="24"/>
          <w:color w:val="000000"/>
        </w:rPr>
        <w:t xml:space="preserve"> is a monitoring-equipment integration candidate. </w:t>
      </w:r>
      <w:hyperlink r:id="rIdV4Update6">
        <w:r>
          <w:rPr>
            <w:rFonts w:ascii="Times New Roman" w:hAnsi="Times New Roman" w:eastAsia="SimSun"/>
            <w:sz w:val="24"/>
            <w:color w:val="0000FF"/>
            <w:u w:val="single"/>
          </w:rPr>
          <w:t>SensingTech VM2030</w:t>
        </w:r>
      </w:hyperlink>
      <w:r>
        <w:rPr>
          <w:rFonts w:ascii="Times New Roman" w:hAnsi="Times New Roman" w:eastAsia="SimSun"/>
          <w:b w:val="0"/>
          <w:sz w:val="24"/>
          <w:color w:val="000000"/>
        </w:rPr>
        <w:t xml:space="preserve"> already combines interval and triggered vibration records; verify its design and procurement authority before treating it as an OEM. Approach product / embedded-engineering leads about interfaces, annual applicable shipments and outsourcing economics. </w:t>
      </w:r>
      <w:hyperlink r:id="rIdV4Update7">
        <w:r>
          <w:rPr>
            <w:rFonts w:ascii="Times New Roman" w:hAnsi="Times New Roman" w:eastAsia="SimSun"/>
            <w:sz w:val="24"/>
            <w:color w:val="0000FF"/>
            <w:u w:val="single"/>
          </w:rPr>
          <w:t>Geomotion</w:t>
        </w:r>
      </w:hyperlink>
      <w:r>
        <w:rPr>
          <w:rFonts w:ascii="Times New Roman" w:hAnsi="Times New Roman" w:eastAsia="SimSun"/>
          <w:b w:val="0"/>
          <w:sz w:val="24"/>
          <w:color w:val="000000"/>
        </w:rPr>
        <w:t xml:space="preserve"> and </w:t>
      </w:r>
      <w:hyperlink r:id="rIdV4Update2">
        <w:r>
          <w:rPr>
            <w:rFonts w:ascii="Times New Roman" w:hAnsi="Times New Roman" w:eastAsia="SimSun"/>
            <w:sz w:val="24"/>
            <w:color w:val="0000FF"/>
            <w:u w:val="single"/>
          </w:rPr>
          <w:t>Ryobi-G</w:t>
        </w:r>
      </w:hyperlink>
      <w:r>
        <w:rPr>
          <w:rFonts w:ascii="Times New Roman" w:hAnsi="Times New Roman" w:eastAsia="SimSun"/>
          <w:b w:val="0"/>
          <w:sz w:val="24"/>
          <w:color w:val="000000"/>
        </w:rPr>
        <w:t xml:space="preserve"> are field-validation or reference-device buyers, not presumed bare-module purchasers.</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Southeast Asia. </w:t>
      </w:r>
      <w:hyperlink r:id="rIdV4Update8">
        <w:r>
          <w:rPr>
            <w:rFonts w:ascii="Times New Roman" w:hAnsi="Times New Roman" w:eastAsia="SimSun"/>
            <w:sz w:val="24"/>
            <w:color w:val="0000FF"/>
            <w:u w:val="single"/>
          </w:rPr>
          <w:t>MATGEO in Thailand</w:t>
        </w:r>
      </w:hyperlink>
      <w:r>
        <w:rPr>
          <w:rFonts w:ascii="Times New Roman" w:hAnsi="Times New Roman" w:eastAsia="SimSun"/>
          <w:b w:val="0"/>
          <w:sz w:val="24"/>
          <w:color w:val="000000"/>
        </w:rPr>
        <w:t xml:space="preserve"> provides regional instrument assembly and technical capability; confirm local product-design rights before proposing module integration. </w:t>
      </w:r>
      <w:hyperlink r:id="rIdV4Update9">
        <w:r>
          <w:rPr>
            <w:rFonts w:ascii="Times New Roman" w:hAnsi="Times New Roman" w:eastAsia="SimSun"/>
            <w:sz w:val="24"/>
            <w:color w:val="0000FF"/>
            <w:u w:val="single"/>
          </w:rPr>
          <w:t>Smart Sensing Technology in Malaysia</w:t>
        </w:r>
      </w:hyperlink>
      <w:r>
        <w:rPr>
          <w:rFonts w:ascii="Times New Roman" w:hAnsi="Times New Roman" w:eastAsia="SimSun"/>
          <w:b w:val="0"/>
          <w:sz w:val="24"/>
          <w:color w:val="000000"/>
        </w:rPr>
        <w:t xml:space="preserve"> is a monitoring-service prospect; </w:t>
      </w:r>
      <w:hyperlink r:id="rIdV4Update10">
        <w:r>
          <w:rPr>
            <w:rFonts w:ascii="Times New Roman" w:hAnsi="Times New Roman" w:eastAsia="SimSun"/>
            <w:sz w:val="24"/>
            <w:color w:val="0000FF"/>
            <w:u w:val="single"/>
          </w:rPr>
          <w:t>Placid Asia</w:t>
        </w:r>
      </w:hyperlink>
      <w:r>
        <w:rPr>
          <w:rFonts w:ascii="Times New Roman" w:hAnsi="Times New Roman" w:eastAsia="SimSun"/>
          <w:b w:val="0"/>
          <w:sz w:val="24"/>
          <w:color w:val="000000"/>
        </w:rPr>
        <w:t xml:space="preserve"> and </w:t>
      </w:r>
      <w:hyperlink r:id="rIdV4Update11">
        <w:r>
          <w:rPr>
            <w:rFonts w:ascii="Times New Roman" w:hAnsi="Times New Roman" w:eastAsia="SimSun"/>
            <w:sz w:val="24"/>
            <w:color w:val="0000FF"/>
            <w:u w:val="single"/>
          </w:rPr>
          <w:t>Geonoise</w:t>
        </w:r>
      </w:hyperlink>
      <w:r>
        <w:rPr>
          <w:rFonts w:ascii="Times New Roman" w:hAnsi="Times New Roman" w:eastAsia="SimSun"/>
          <w:b w:val="0"/>
          <w:sz w:val="24"/>
          <w:color w:val="000000"/>
        </w:rPr>
        <w:t xml:space="preserve"> provide equipment/service channels. They would normally adopt an integrated device through an OEM. Indonesian bridge-monitoring owners offer demand validation, not proven direct module procurement.</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China. </w:t>
      </w:r>
      <w:hyperlink r:id="rIdGAP9">
        <w:r>
          <w:rPr>
            <w:rFonts w:ascii="Times New Roman" w:hAnsi="Times New Roman" w:eastAsia="SimSun"/>
            <w:sz w:val="24"/>
            <w:color w:val="0000FF"/>
            <w:u w:val="single"/>
          </w:rPr>
          <w:t>Geokang Technologies / BGK9600</w:t>
        </w:r>
      </w:hyperlink>
      <w:r>
        <w:rPr>
          <w:rFonts w:ascii="Times New Roman" w:hAnsi="Times New Roman" w:eastAsia="SimSun"/>
          <w:b w:val="0"/>
          <w:sz w:val="24"/>
          <w:color w:val="000000"/>
        </w:rPr>
        <w:t xml:space="preserve"> and </w:t>
      </w:r>
      <w:hyperlink r:id="rIdV4Update12">
        <w:r>
          <w:rPr>
            <w:rFonts w:ascii="Times New Roman" w:hAnsi="Times New Roman" w:eastAsia="SimSun"/>
            <w:sz w:val="24"/>
            <w:color w:val="0000FF"/>
            <w:u w:val="single"/>
          </w:rPr>
          <w:t>Chengdu Zhongke TCT-2</w:t>
        </w:r>
      </w:hyperlink>
      <w:r>
        <w:rPr>
          <w:rFonts w:ascii="Times New Roman" w:hAnsi="Times New Roman" w:eastAsia="SimSun"/>
          <w:b w:val="0"/>
          <w:sz w:val="24"/>
          <w:color w:val="000000"/>
        </w:rPr>
        <w:t xml:space="preserve"> have relevant event-recording products and are competitors or conditional OEM buyers. Approach R&amp;D and product leads to verify product control, event coverage and annual shipments. </w:t>
      </w:r>
      <w:hyperlink r:id="rIdV4Update13">
        <w:r>
          <w:rPr>
            <w:rFonts w:ascii="Times New Roman" w:hAnsi="Times New Roman" w:eastAsia="SimSun"/>
            <w:sz w:val="24"/>
            <w:color w:val="0000FF"/>
            <w:u w:val="single"/>
          </w:rPr>
          <w:t>Huace</w:t>
        </w:r>
      </w:hyperlink>
      <w:r>
        <w:rPr>
          <w:rFonts w:ascii="Times New Roman" w:hAnsi="Times New Roman" w:eastAsia="SimSun"/>
          <w:b w:val="0"/>
          <w:sz w:val="24"/>
          <w:color w:val="000000"/>
        </w:rPr>
        <w:t xml:space="preserve"> is a wider equipment/integration prospect. </w:t>
      </w:r>
      <w:hyperlink r:id="rIdV4Update14">
        <w:r>
          <w:rPr>
            <w:rFonts w:ascii="Times New Roman" w:hAnsi="Times New Roman" w:eastAsia="SimSun"/>
            <w:sz w:val="24"/>
            <w:color w:val="0000FF"/>
            <w:u w:val="single"/>
          </w:rPr>
          <w:t>Nantong's 2025 tender covered 41 new and two upgraded bridges</w:t>
        </w:r>
      </w:hyperlink>
      <w:r>
        <w:rPr>
          <w:rFonts w:ascii="Times New Roman" w:hAnsi="Times New Roman" w:eastAsia="SimSun"/>
          <w:b w:val="0"/>
          <w:sz w:val="24"/>
          <w:color w:val="000000"/>
        </w:rPr>
        <w:t>: use the owner-integrator-equipment chain for access, not the entire contract value as module revenue.</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Reachable opportunity. </w:t>
      </w:r>
      <w:r>
        <w:rPr>
          <w:rFonts w:ascii="Times New Roman" w:hAnsi="Times New Roman" w:eastAsia="SimSun"/>
          <w:b w:val="0"/>
          <w:sz w:val="24"/>
          <w:color w:val="000000"/>
        </w:rPr>
        <w:t>The V4 report maps 27 regional candidate accounts or buying-chain organisations, not qualified sales leads. A discovery scenario for five priority equipment suppliers (Ackcio, SensingTech, MATGEO, BGK and Chengdu Zhongke) assumes 500-2,000 modules each annually at S$120: S$300,000-1.2 million module revenue per year. Volumes, buying authority and price are unverified; no defensible common denominator supports product market-share percentages.</w:t>
      </w:r>
    </w:p>
    <w:p w14:paraId="16C0580C" w14:textId="77777777" w:rsidR="00E4627E" w:rsidRPr="004B30EA" w:rsidRDefault="00E4627E" w:rsidP="00E4627E">
      <w:pPr>
        <w:keepNext/>
        <w:keepLines/>
        <w:pageBreakBefore/>
        <w:spacing w:before="240" w:after="160"/>
        <w:jc w:val="both"/>
        <w:rPr>
          <w:rFonts w:ascii="Times New Roman" w:hAnsi="Times New Roman" w:cs="Times New Roman"/>
          <w:b/>
          <w:bCs/>
          <w:lang w:val="en-GB"/>
        </w:rPr>
      </w:pPr>
      <w:r w:rsidRPr="004B30EA">
        <w:rPr>
          <w:rFonts w:ascii="Times New Roman" w:hAnsi="Times New Roman" w:cs="Times New Roman"/>
          <w:b/>
          <w:bCs/>
          <w:lang w:val="en-GB"/>
        </w:rPr>
        <w:t>2.3</w:t>
      </w:r>
      <w:r w:rsidRPr="004B30EA">
        <w:rPr>
          <w:rFonts w:ascii="Times New Roman" w:hAnsi="Times New Roman" w:cs="Times New Roman"/>
          <w:b/>
          <w:bCs/>
          <w:lang w:val="en-GB"/>
        </w:rPr>
        <w:tab/>
        <w:t>Proposed Approach</w:t>
      </w:r>
    </w:p>
    <w:p w14:paraId="1B84A736" w14:textId="77777777" w:rsidR="00E4627E" w:rsidRPr="004B30EA" w:rsidRDefault="00E4627E" w:rsidP="00E4627E">
      <w:pPr>
        <w:jc w:val="both"/>
        <w:rPr>
          <w:rFonts w:ascii="Times New Roman" w:hAnsi="Times New Roman" w:cs="Times New Roman"/>
          <w:i/>
          <w:iCs/>
          <w:lang w:val="en-GB"/>
        </w:rPr>
      </w:pPr>
      <w:r w:rsidRPr="004B30EA">
        <w:rPr>
          <w:rFonts w:ascii="Times New Roman" w:hAnsi="Times New Roman" w:cs="Times New Roman"/>
          <w:i/>
          <w:iCs/>
          <w:lang w:val="en-GB"/>
        </w:rPr>
        <w:t xml:space="preserve">Please describe how the proposed approach meets an unmet commercial or societal need. </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Primary product. </w:t>
      </w:r>
      <w:r>
        <w:rPr>
          <w:rFonts w:ascii="Times New Roman" w:hAnsi="Times New Roman" w:eastAsia="SimSun"/>
          <w:b w:val="0"/>
          <w:sz w:val="24"/>
          <w:color w:val="000000"/>
        </w:rPr>
        <w:t>An embedded acquisition board with a low-power sentinel, controller, buffer, power/wake control, interfaces and basic firmware. The default module excludes the high-resolution sensor, radio, enclosure, cloud and final-device certification. A selected high-resolution sensor is optional. An evaluation assembly combines these elements for testing; it is not a commitment to launch a full monitoring-service business.</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Core mechanism. </w:t>
      </w:r>
      <w:r>
        <w:rPr>
          <w:rFonts w:ascii="Times New Roman" w:hAnsi="Times New Roman" w:eastAsia="SimSun"/>
          <w:b w:val="0"/>
          <w:sz w:val="24"/>
          <w:color w:val="000000"/>
        </w:rPr>
        <w:t>An ADXL362/ADXL367-class sentinel applies threshold and duration rules. SATM adapts these parameters within agreed limits; a qualifying event wakes higher-resolution acquisition. Firmware retains available sentinel context, aligns the overlapping records within that node and exports an event package with timestamps, sampling settings, trigger reasons and quality flags.</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Boundary and integration. </w:t>
      </w:r>
      <w:r>
        <w:rPr>
          <w:rFonts w:ascii="Times New Roman" w:hAnsi="Times New Roman" w:eastAsia="SimSun"/>
          <w:b w:val="0"/>
          <w:sz w:val="24"/>
          <w:color w:val="000000"/>
        </w:rPr>
        <w:t>Only sentinel-observable, rule-triggerable events are covered. Low-resolution pre-event context is not full-bandwidth pre-event data. The synchronisation task concerns different-resolution sensors on one node, not cross-node network timing. Provide fixed-parameter fallback, manual lock and local storage; validate wake-up, settling, drift and alignment before making performance claims.</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Service and delivery. </w:t>
      </w:r>
      <w:r>
        <w:rPr>
          <w:rFonts w:ascii="Times New Roman" w:hAnsi="Times New Roman" w:eastAsia="SimSun"/>
          <w:b w:val="0"/>
          <w:sz w:val="24"/>
          <w:color w:val="000000"/>
        </w:rPr>
        <w:t>Joint engineering adapts the module to an OEM sensor, host and data interface for an agreed one-time fee. Basic firmware accompanies the board; a software development kit and compatible-hardware licence offer an alternative delivery route. OEMs retain the complete product; monitoring partners retain installation, calibration, reporting and site-response responsibilities. Audio and light remain future modalities.</w:t>
      </w:r>
    </w:p>
    <w:p w14:paraId="2CE734BC" w14:textId="77777777" w:rsidR="00E4627E" w:rsidRPr="004B30EA" w:rsidRDefault="00E4627E" w:rsidP="00E4627E">
      <w:pPr>
        <w:keepNext/>
        <w:keepLines/>
        <w:spacing w:before="240" w:after="160"/>
        <w:jc w:val="both"/>
        <w:rPr>
          <w:rFonts w:ascii="Times New Roman" w:hAnsi="Times New Roman" w:cs="Times New Roman"/>
          <w:b/>
          <w:bCs/>
          <w:lang w:val="en-GB"/>
        </w:rPr>
      </w:pPr>
      <w:r w:rsidRPr="004B30EA">
        <w:rPr>
          <w:rFonts w:ascii="Times New Roman" w:hAnsi="Times New Roman" w:cs="Times New Roman"/>
          <w:b/>
          <w:bCs/>
          <w:lang w:val="en-GB"/>
        </w:rPr>
        <w:t>2.4</w:t>
      </w:r>
      <w:r w:rsidRPr="004B30EA">
        <w:rPr>
          <w:rFonts w:ascii="Times New Roman" w:hAnsi="Times New Roman" w:cs="Times New Roman"/>
          <w:b/>
          <w:bCs/>
          <w:lang w:val="en-GB"/>
        </w:rPr>
        <w:tab/>
        <w:t>Benefits and Costs</w:t>
      </w:r>
    </w:p>
    <w:p w14:paraId="4CD4E8E4" w14:textId="77777777" w:rsidR="00E4627E" w:rsidRPr="004B30EA" w:rsidRDefault="00E4627E" w:rsidP="00E4627E">
      <w:pPr>
        <w:jc w:val="both"/>
        <w:rPr>
          <w:rFonts w:ascii="Times New Roman" w:hAnsi="Times New Roman" w:cs="Times New Roman"/>
          <w:b/>
          <w:bCs/>
          <w:lang w:val="en-GB"/>
        </w:rPr>
      </w:pPr>
      <w:r w:rsidRPr="004B30EA">
        <w:rPr>
          <w:rFonts w:ascii="Times New Roman" w:hAnsi="Times New Roman" w:cs="Times New Roman"/>
          <w:i/>
          <w:iCs/>
          <w:lang w:val="en-GB"/>
        </w:rPr>
        <w:t>Please describe how the proposed technolo</w:t>
      </w:r>
      <w:r w:rsidR="00C82AF2">
        <w:rPr>
          <w:rFonts w:ascii="Times New Roman" w:hAnsi="Times New Roman" w:cs="Times New Roman"/>
          <w:i/>
          <w:iCs/>
          <w:lang w:val="en-GB"/>
        </w:rPr>
        <w:t>gy impacts industry needs and the value creation in</w:t>
      </w:r>
      <w:r w:rsidRPr="004B30EA">
        <w:rPr>
          <w:rFonts w:ascii="Times New Roman" w:hAnsi="Times New Roman" w:cs="Times New Roman"/>
          <w:i/>
          <w:iCs/>
          <w:lang w:val="en-GB"/>
        </w:rPr>
        <w:t xml:space="preserve"> Singapore. It must include the value-add to customers that adopt the technology such as the manufacturability and scalability, production costs and consideration </w:t>
      </w:r>
      <w:r w:rsidR="00C82AF2">
        <w:rPr>
          <w:rFonts w:ascii="Times New Roman" w:hAnsi="Times New Roman" w:cs="Times New Roman"/>
          <w:i/>
          <w:iCs/>
          <w:lang w:val="en-GB"/>
        </w:rPr>
        <w:t xml:space="preserve">for </w:t>
      </w:r>
      <w:r w:rsidRPr="004B30EA">
        <w:rPr>
          <w:rFonts w:ascii="Times New Roman" w:hAnsi="Times New Roman" w:cs="Times New Roman"/>
          <w:i/>
          <w:iCs/>
          <w:lang w:val="en-GB"/>
        </w:rPr>
        <w:t xml:space="preserve">the cost of adoption (e.g. change in production line, compatibility and ease of incorporation with existing </w:t>
      </w:r>
      <w:r w:rsidR="00C82AF2">
        <w:rPr>
          <w:rFonts w:ascii="Times New Roman" w:hAnsi="Times New Roman" w:cs="Times New Roman"/>
          <w:i/>
          <w:iCs/>
          <w:lang w:val="en-GB"/>
        </w:rPr>
        <w:t>processes</w:t>
      </w:r>
      <w:r w:rsidRPr="004B30EA">
        <w:rPr>
          <w:rFonts w:ascii="Times New Roman" w:hAnsi="Times New Roman" w:cs="Times New Roman"/>
          <w:i/>
          <w:iCs/>
          <w:lang w:val="en-GB"/>
        </w:rPr>
        <w:t xml:space="preserve">). </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Customer value. </w:t>
      </w:r>
      <w:r>
        <w:rPr>
          <w:rFonts w:ascii="Times New Roman" w:hAnsi="Times New Roman" w:eastAsia="SimSun"/>
          <w:b w:val="0"/>
          <w:sz w:val="24"/>
          <w:color w:val="000000"/>
        </w:rPr>
        <w:t>Measure event-record usefulness, avoided manual tuning, whole-node energy and maintenance visits separately, against a customer-accepted capture level. Low-power prehistory and overlapping-sensor alignment must be labelled honestly. A reduction in missed events, review work or visits cannot be converted into revenue without customer evidence.</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Illustrative maintenance economics. </w:t>
      </w:r>
      <w:r>
        <w:rPr>
          <w:rFonts w:ascii="Times New Roman" w:hAnsi="Times New Roman" w:eastAsia="SimSun"/>
          <w:b w:val="0"/>
          <w:sz w:val="24"/>
          <w:color w:val="000000"/>
        </w:rPr>
        <w:t>Assume 20 nodes improve from one-year to 1.4-year battery life, with a S$120 incremental module cost per node and S$600 integration: S$3,000 upfront. If one S$600 trip services all nodes, annualised savings are (1 - 1/1.4) x 600 = S$171, implying 17.5-year simple payback. If each node requires a separate S$300 trip, annual savings are S$1,714 and payback 1.75 years. These are unvalidated scenarios; clustered easy-access sites may not justify the upgrade on battery savings alone.</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Manufacturing and adoption. </w:t>
      </w:r>
      <w:r>
        <w:rPr>
          <w:rFonts w:ascii="Times New Roman" w:hAnsi="Times New Roman" w:eastAsia="SimSun"/>
          <w:b w:val="0"/>
          <w:sz w:val="24"/>
          <w:color w:val="000000"/>
        </w:rPr>
        <w:t>Use commercial sensors, processors and PCB assembly. V4 assumes S$120 per module including basic firmware and S$60 direct hardware/test/warranty cost; supplier quotations are required. The price excludes the high-resolution sensor, radio and enclosure. Integration needs pinout, power, timing, driver, host and qualification work. OEM savings from avoided in-house engineering and the cost of our adaptation service must be assessed together.</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Singapore value creation. </w:t>
      </w:r>
      <w:r>
        <w:rPr>
          <w:rFonts w:ascii="Times New Roman" w:hAnsi="Times New Roman" w:eastAsia="SimSun"/>
          <w:b w:val="0"/>
          <w:sz w:val="24"/>
          <w:color w:val="000000"/>
        </w:rPr>
        <w:t>Keep core firmware, application knowledge, integration engineering and licensing capability in Singapore. Local OEMs can embed the module in regional products; monitoring firms provide event samples and evaluation workflows. OEMs handle final-device manufacturing and certification, while service firms handle field delivery. Grant costs remain incremental NTU work, not partner-company operations.</w:t>
      </w:r>
    </w:p>
    <w:p w14:paraId="0E6DA301" w14:textId="77777777" w:rsidR="00E4627E" w:rsidRPr="004B30EA" w:rsidRDefault="00E4627E" w:rsidP="00E4627E">
      <w:pPr>
        <w:keepNext/>
        <w:keepLines/>
        <w:pageBreakBefore/>
        <w:spacing w:before="240" w:after="160"/>
        <w:jc w:val="both"/>
        <w:rPr>
          <w:rFonts w:ascii="Times New Roman" w:hAnsi="Times New Roman" w:cs="Times New Roman"/>
          <w:b/>
          <w:bCs/>
          <w:lang w:val="en-GB"/>
        </w:rPr>
      </w:pPr>
      <w:r w:rsidRPr="004B30EA">
        <w:rPr>
          <w:rFonts w:ascii="Times New Roman" w:hAnsi="Times New Roman" w:cs="Times New Roman"/>
          <w:b/>
          <w:bCs/>
          <w:lang w:val="en-GB"/>
        </w:rPr>
        <w:t>2.5</w:t>
      </w:r>
      <w:r w:rsidRPr="004B30EA">
        <w:rPr>
          <w:rFonts w:ascii="Times New Roman" w:hAnsi="Times New Roman" w:cs="Times New Roman"/>
          <w:b/>
          <w:bCs/>
          <w:lang w:val="en-GB"/>
        </w:rPr>
        <w:tab/>
        <w:t>Competitors</w:t>
      </w:r>
    </w:p>
    <w:p w14:paraId="3CF4F1B0" w14:textId="77777777" w:rsidR="00E4627E" w:rsidRPr="004B30EA" w:rsidRDefault="00E4627E" w:rsidP="00E4627E">
      <w:pPr>
        <w:jc w:val="both"/>
        <w:rPr>
          <w:rFonts w:ascii="Times New Roman" w:hAnsi="Times New Roman" w:cs="Times New Roman"/>
          <w:i/>
          <w:iCs/>
          <w:lang w:val="en-GB"/>
        </w:rPr>
      </w:pPr>
      <w:r w:rsidRPr="004B30EA">
        <w:rPr>
          <w:rFonts w:ascii="Times New Roman" w:hAnsi="Times New Roman" w:cs="Times New Roman"/>
          <w:i/>
          <w:iCs/>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Comparison by product level. </w:t>
      </w:r>
      <w:hyperlink r:id="rIdV4Update15">
        <w:r>
          <w:rPr>
            <w:rFonts w:ascii="Times New Roman" w:hAnsi="Times New Roman" w:eastAsia="SimSun"/>
            <w:sz w:val="24"/>
            <w:color w:val="0000FF"/>
            <w:u w:val="single"/>
          </w:rPr>
          <w:t>ADXL367</w:t>
        </w:r>
      </w:hyperlink>
      <w:r>
        <w:rPr>
          <w:rFonts w:ascii="Times New Roman" w:hAnsi="Times New Roman" w:eastAsia="SimSun"/>
          <w:b w:val="0"/>
          <w:sz w:val="24"/>
          <w:color w:val="000000"/>
        </w:rPr>
        <w:t xml:space="preserve">, Bosch, ST and TDK supply components that enable OEM self-development, not equivalent complete products. The table compares the closest board-level and development substitutes. </w:t>
      </w:r>
      <w:hyperlink r:id="rIdGAP10">
        <w:r>
          <w:rPr>
            <w:rFonts w:ascii="Times New Roman" w:hAnsi="Times New Roman" w:eastAsia="SimSun"/>
            <w:sz w:val="24"/>
            <w:color w:val="0000FF"/>
            <w:u w:val="single"/>
          </w:rPr>
          <w:t>Move</w:t>
        </w:r>
      </w:hyperlink>
      <w:r>
        <w:rPr>
          <w:rFonts w:ascii="Times New Roman" w:hAnsi="Times New Roman" w:eastAsia="SimSun"/>
          <w:b w:val="0"/>
          <w:sz w:val="24"/>
          <w:color w:val="000000"/>
        </w:rPr>
        <w:t xml:space="preserve">, </w:t>
      </w:r>
      <w:hyperlink r:id="rIdV4Update16">
        <w:r>
          <w:rPr>
            <w:rFonts w:ascii="Times New Roman" w:hAnsi="Times New Roman" w:eastAsia="SimSun"/>
            <w:sz w:val="24"/>
            <w:color w:val="0000FF"/>
            <w:u w:val="single"/>
          </w:rPr>
          <w:t>Worldsensing</w:t>
        </w:r>
      </w:hyperlink>
      <w:r>
        <w:rPr>
          <w:rFonts w:ascii="Times New Roman" w:hAnsi="Times New Roman" w:eastAsia="SimSun"/>
          <w:b w:val="0"/>
          <w:sz w:val="24"/>
          <w:color w:val="000000"/>
        </w:rPr>
        <w:t xml:space="preserve">, </w:t>
      </w:r>
      <w:hyperlink r:id="rIdV4Update17">
        <w:r>
          <w:rPr>
            <w:rFonts w:ascii="Times New Roman" w:hAnsi="Times New Roman" w:eastAsia="SimSun"/>
            <w:sz w:val="24"/>
            <w:color w:val="0000FF"/>
            <w:u w:val="single"/>
          </w:rPr>
          <w:t>NCD</w:t>
        </w:r>
      </w:hyperlink>
      <w:r>
        <w:rPr>
          <w:rFonts w:ascii="Times New Roman" w:hAnsi="Times New Roman" w:eastAsia="SimSun"/>
          <w:b w:val="0"/>
          <w:sz w:val="24"/>
          <w:color w:val="000000"/>
        </w:rPr>
        <w:t xml:space="preserve"> and </w:t>
      </w:r>
      <w:hyperlink r:id="rIdV4Update18">
        <w:r>
          <w:rPr>
            <w:rFonts w:ascii="Times New Roman" w:hAnsi="Times New Roman" w:eastAsia="SimSun"/>
            <w:sz w:val="24"/>
            <w:color w:val="0000FF"/>
            <w:u w:val="single"/>
          </w:rPr>
          <w:t>Instantel</w:t>
        </w:r>
      </w:hyperlink>
      <w:r>
        <w:rPr>
          <w:rFonts w:ascii="Times New Roman" w:hAnsi="Times New Roman" w:eastAsia="SimSun"/>
          <w:b w:val="0"/>
          <w:sz w:val="24"/>
          <w:color w:val="000000"/>
        </w:rPr>
        <w:t xml:space="preserve"> sell nodes or instruments; service firms sell deployment and reporting. A node supplier can compete with our reference device yet buy our module if integration creates sufficient value. No like-for-like market shares or field superiority are claimed.</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Ind w:w="0" w:type="dxa"/>
        <w:tblLayout w:type="fixed"/>
        <w:tblCellMar>
          <w:top w:w="70" w:type="dxa"/>
          <w:bottom w:w="70" w:type="dxa"/>
          <w:left w:w="108" w:type="dxa"/>
          <w:right w:w="108" w:type="dxa"/>
        </w:tblCellMar>
      </w:tblPr>
      <w:tblGrid>
        <w:gridCol w:w="2023"/>
        <w:gridCol w:w="2601"/>
        <w:gridCol w:w="2504"/>
        <w:gridCol w:w="2504"/>
      </w:tblGrid>
      <w:tr w:rsidR="00E4627E" w:rsidRPr="004B30EA" w14:paraId="082E4E35" w14:textId="77777777" w:rsidTr="00E52F3C">
        <w:trPr>
          <w:cantSplit/>
          <w:tblHeader/>
        </w:trPr>
        <w:tc>
          <w:tcPr>
            <w:tcW w:w="2023" w:type="dxa"/>
            <w:shd w:val="clear" w:color="auto" w:fill="BFBFBF"/>
            <w:vAlign w:val="top"/>
          </w:tcPr>
          <w:p w14:paraId="4A52A6A8"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sz w:val="24"/>
                <w:color w:val="000000"/>
              </w:rPr>
              <w:t>Competitive Analysis</w:t>
            </w:r>
          </w:p>
        </w:tc>
        <w:tc>
          <w:tcPr>
            <w:tcW w:w="2601" w:type="dxa"/>
            <w:shd w:val="clear" w:color="auto" w:fill="BFBFBF"/>
            <w:vAlign w:val="top"/>
          </w:tcPr>
          <w:p w14:paraId="5FD05B9D"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sz w:val="24"/>
                <w:color w:val="000000"/>
              </w:rPr>
              <w:t>NTU's proposed module</w:t>
            </w:r>
          </w:p>
        </w:tc>
        <w:tc>
          <w:tcPr>
            <w:tcW w:w="2504" w:type="dxa"/>
            <w:shd w:val="clear" w:color="auto" w:fill="BFBFBF"/>
            <w:vAlign w:val="top"/>
          </w:tcPr>
          <w:p w14:paraId="5757750B"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hyperlink r:id="rIdV4Update19">
              <w:r>
                <w:rPr>
                  <w:rFonts w:ascii="Times New Roman" w:hAnsi="Times New Roman" w:eastAsia="SimSun"/>
                  <w:sz w:val="24"/>
                  <w:color w:val="0000FF"/>
                  <w:u w:val="single"/>
                </w:rPr>
                <w:t>G-Link-200-OEM</w:t>
              </w:r>
            </w:hyperlink>
          </w:p>
        </w:tc>
        <w:tc>
          <w:tcPr>
            <w:tcW w:w="2504" w:type="dxa"/>
            <w:shd w:val="clear" w:color="auto" w:fill="BFBFBF"/>
            <w:vAlign w:val="top"/>
          </w:tcPr>
          <w:p w14:paraId="51320D1F"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hyperlink r:id="rIdV4Update20">
              <w:r>
                <w:rPr>
                  <w:rFonts w:ascii="Times New Roman" w:hAnsi="Times New Roman" w:eastAsia="SimSun"/>
                  <w:sz w:val="24"/>
                  <w:color w:val="0000FF"/>
                  <w:u w:val="single"/>
                </w:rPr>
                <w:t>ADI Voyager4</w:t>
              </w:r>
            </w:hyperlink>
          </w:p>
        </w:tc>
      </w:tr>
      <w:tr w:rsidR="00E4627E" w:rsidRPr="004B30EA" w14:paraId="0ADC167B" w14:textId="77777777" w:rsidTr="00E52F3C">
        <w:trPr>
          <w:cantSplit/>
        </w:trPr>
        <w:tc>
          <w:tcPr>
            <w:tcW w:w="2023" w:type="dxa"/>
            <w:vAlign w:val="top"/>
          </w:tcPr>
          <w:p w14:paraId="737B08F7"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Commercial form</w:t>
            </w:r>
          </w:p>
        </w:tc>
        <w:tc>
          <w:tcPr>
            <w:tcW w:w="2601" w:type="dxa"/>
            <w:vAlign w:val="top"/>
          </w:tcPr>
          <w:p w14:paraId="5213D108"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Embedded board + basic firmware; optional sensor and paid adaptation.</w:t>
            </w:r>
          </w:p>
        </w:tc>
        <w:tc>
          <w:tcPr>
            <w:tcW w:w="2504" w:type="dxa"/>
            <w:vAlign w:val="top"/>
          </w:tcPr>
          <w:p w14:paraId="5D470FEC"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Embedded wireless acceleration acquisition board.</w:t>
            </w:r>
          </w:p>
        </w:tc>
        <w:tc>
          <w:tcPr>
            <w:tcW w:w="2504" w:type="dxa"/>
            <w:vAlign w:val="top"/>
          </w:tcPr>
          <w:p w14:paraId="0A3ABFC8"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Reference/development platform for equipment designers.</w:t>
            </w:r>
          </w:p>
        </w:tc>
      </w:tr>
      <w:tr w:rsidR="00E4627E" w:rsidRPr="004B30EA" w14:paraId="287A4C0E" w14:textId="77777777" w:rsidTr="00E52F3C">
        <w:trPr>
          <w:cantSplit/>
        </w:trPr>
        <w:tc>
          <w:tcPr>
            <w:tcW w:w="2023" w:type="dxa"/>
            <w:vAlign w:val="top"/>
          </w:tcPr>
          <w:p w14:paraId="3857105A"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Existing / proposed mechanism</w:t>
            </w:r>
          </w:p>
        </w:tc>
        <w:tc>
          <w:tcPr>
            <w:tcW w:w="2601" w:type="dxa"/>
            <w:vAlign w:val="top"/>
          </w:tcPr>
          <w:p w14:paraId="7F1B11DA"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Adaptive threshold and duration; wake detailed sensor; retain sentinel context; align overlap within one node.</w:t>
            </w:r>
          </w:p>
        </w:tc>
        <w:tc>
          <w:tcPr>
            <w:tcW w:w="2504" w:type="dxa"/>
            <w:vAlign w:val="top"/>
          </w:tcPr>
          <w:p w14:paraId="4C88CB23"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Three-axis recording with event, periodic and continuous modes; raw waveforms up to 4,096 Hz.</w:t>
            </w:r>
          </w:p>
        </w:tc>
        <w:tc>
          <w:tcPr>
            <w:tcW w:w="2504" w:type="dxa"/>
            <w:vAlign w:val="top"/>
          </w:tcPr>
          <w:p w14:paraId="36E5C9C5"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ADXL382 acquisition; optional ADXL367 shock-related BLE wake-up and edge processing.</w:t>
            </w:r>
          </w:p>
        </w:tc>
      </w:tr>
      <w:tr w:rsidR="00E4627E" w:rsidRPr="004B30EA" w14:paraId="7547388F" w14:textId="77777777" w:rsidTr="00E52F3C">
        <w:trPr>
          <w:cantSplit/>
        </w:trPr>
        <w:tc>
          <w:tcPr>
            <w:tcW w:w="2023" w:type="dxa"/>
            <w:vAlign w:val="top"/>
          </w:tcPr>
          <w:p w14:paraId="76C4857B"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Incremental value to prove</w:t>
            </w:r>
          </w:p>
        </w:tc>
        <w:tc>
          <w:tcPr>
            <w:tcW w:w="2601" w:type="dxa"/>
            <w:vAlign w:val="top"/>
          </w:tcPr>
          <w:p w14:paraId="6C41BC10"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Comparable event coverage, energy and alignment quality with lower OEM integration effort.</w:t>
            </w:r>
          </w:p>
        </w:tc>
        <w:tc>
          <w:tcPr>
            <w:tcW w:w="2504" w:type="dxa"/>
            <w:vAlign w:val="top"/>
          </w:tcPr>
          <w:p w14:paraId="30D89FBC"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Mature board-level substitute; do not presume lack of internal adaptation.</w:t>
            </w:r>
          </w:p>
        </w:tc>
        <w:tc>
          <w:tcPr>
            <w:tcW w:w="2504" w:type="dxa"/>
            <w:vAlign w:val="top"/>
          </w:tcPr>
          <w:p w14:paraId="0174B4C2"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OEM can develop internally; our module must justify external purchase.</w:t>
            </w:r>
          </w:p>
        </w:tc>
      </w:tr>
      <w:tr w:rsidR="00E4627E" w:rsidRPr="004B30EA" w14:paraId="7547388F" w14:textId="77777777" w:rsidTr="00E52F3C">
        <w:trPr>
          <w:cantSplit/>
        </w:trPr>
        <w:tc>
          <w:tcPr>
            <w:tcW w:w="2023" w:type="dxa"/>
            <w:vAlign w:val="top"/>
          </w:tcPr>
          <w:p w14:paraId="76C4857B"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Cost / limitation</w:t>
            </w:r>
          </w:p>
        </w:tc>
        <w:tc>
          <w:tcPr>
            <w:tcW w:w="2601" w:type="dxa"/>
            <w:vAlign w:val="top"/>
          </w:tcPr>
          <w:p w14:paraId="6C41BC10"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S$120 board incl. basic firmware: hypothesis. Qualification, field evidence and design-in remain pending.</w:t>
            </w:r>
          </w:p>
        </w:tc>
        <w:tc>
          <w:tcPr>
            <w:tcW w:w="2504" w:type="dxa"/>
            <w:vAlign w:val="top"/>
          </w:tcPr>
          <w:p w14:paraId="30D89FBC"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Same-condition testing and OEM quote needed; not a like-for-like module-price benchmark.</w:t>
            </w:r>
          </w:p>
        </w:tc>
        <w:tc>
          <w:tcPr>
            <w:tcW w:w="2504" w:type="dxa"/>
            <w:vAlign w:val="top"/>
          </w:tcPr>
          <w:p w14:paraId="0174B4C2"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sz w:val="24"/>
                <w:color w:val="000000"/>
              </w:rPr>
              <w:t>Development kit is not a validated finished product for our use case; customer retains engineering work.</w:t>
            </w:r>
          </w:p>
        </w:tc>
      </w:tr>
    </w:tbl>
    <w:p w14:paraId="0E32E46C" w14:textId="77777777" w:rsidR="00E4627E" w:rsidRPr="004B30EA" w:rsidRDefault="00E4627E" w:rsidP="00E4627E">
      <w:pPr>
        <w:keepNext/>
        <w:keepLines/>
        <w:pageBreakBefore/>
        <w:spacing w:before="240" w:after="160"/>
        <w:jc w:val="both"/>
        <w:rPr>
          <w:rFonts w:ascii="Times New Roman" w:hAnsi="Times New Roman" w:cs="Times New Roman"/>
          <w:b/>
          <w:bCs/>
          <w:lang w:val="en-GB"/>
        </w:rPr>
      </w:pPr>
      <w:r w:rsidRPr="004B30EA">
        <w:rPr>
          <w:rFonts w:ascii="Times New Roman" w:hAnsi="Times New Roman" w:cs="Times New Roman"/>
          <w:b/>
          <w:bCs/>
          <w:szCs w:val="28"/>
          <w:lang w:val="en-GB"/>
        </w:rPr>
        <w:t>2.6</w:t>
      </w:r>
      <w:r w:rsidRPr="004B30EA">
        <w:rPr>
          <w:rFonts w:ascii="Times New Roman" w:hAnsi="Times New Roman" w:cs="Times New Roman"/>
          <w:b/>
          <w:bCs/>
          <w:szCs w:val="28"/>
          <w:lang w:val="en-GB"/>
        </w:rPr>
        <w:tab/>
      </w:r>
      <w:r w:rsidRPr="004B30EA">
        <w:rPr>
          <w:rFonts w:ascii="Times New Roman" w:hAnsi="Times New Roman" w:cs="Times New Roman"/>
          <w:b/>
          <w:bCs/>
          <w:lang w:val="en-GB"/>
        </w:rPr>
        <w:t>Path to Commercialisation and Commercial Potential</w:t>
      </w:r>
    </w:p>
    <w:p w14:paraId="13A62858" w14:textId="77777777" w:rsidR="00E4627E" w:rsidRPr="004B30EA" w:rsidRDefault="00E4627E" w:rsidP="00E4627E">
      <w:pPr>
        <w:jc w:val="both"/>
        <w:rPr>
          <w:rFonts w:ascii="Times New Roman" w:hAnsi="Times New Roman" w:cs="Times New Roman"/>
        </w:rPr>
      </w:pPr>
      <w:r w:rsidRPr="004B30EA">
        <w:rPr>
          <w:rFonts w:ascii="Times New Roman" w:hAnsi="Times New Roman" w:cs="Times New Roman"/>
          <w:i/>
          <w:iCs/>
          <w:lang w:val="en-GB"/>
        </w:rPr>
        <w:t>Please provide details on the preferred “path to commercialisation”</w:t>
      </w:r>
      <w:r w:rsidRPr="004B30EA">
        <w:rPr>
          <w:rStyle w:val="FootnoteReference"/>
          <w:rFonts w:ascii="Times New Roman" w:hAnsi="Times New Roman" w:cs="Times New Roman"/>
          <w:i/>
          <w:iCs/>
          <w:lang w:val="en-GB"/>
        </w:rPr>
        <w:footnoteReference w:id="1"/>
      </w:r>
      <w:r w:rsidRPr="004B30EA">
        <w:rPr>
          <w:rFonts w:ascii="Times New Roman" w:hAnsi="Times New Roman" w:cs="Times New Roman"/>
          <w:i/>
          <w:iCs/>
          <w:lang w:val="en-GB"/>
        </w:rPr>
        <w:t xml:space="preserve">. It must include the expected product/service to be developed, mode of commercialisation (e.g. licensing the technology, or forming a start-up), how the team plans to get there (e.g. use of programmes &amp; partners at </w:t>
      </w:r>
      <w:r w:rsidR="00BA527B">
        <w:rPr>
          <w:rFonts w:ascii="Times New Roman" w:hAnsi="Times New Roman" w:cs="Times New Roman"/>
          <w:i/>
          <w:iCs/>
          <w:lang w:val="en-GB"/>
        </w:rPr>
        <w:t>NTUitive</w:t>
      </w:r>
      <w:r w:rsidRPr="004B30EA">
        <w:rPr>
          <w:rFonts w:ascii="Times New Roman" w:hAnsi="Times New Roman" w:cs="Times New Roman"/>
          <w:i/>
          <w:iCs/>
          <w:lang w:val="en-GB"/>
        </w:rPr>
        <w:t xml:space="preserve"> or industry contacts) and an estimated timeline for the commercialisation to take place. </w:t>
      </w:r>
      <w:r w:rsidRPr="004B30EA">
        <w:rPr>
          <w:rFonts w:ascii="Times New Roman" w:hAnsi="Times New Roman" w:cs="Times New Roman"/>
          <w:bCs/>
          <w:i/>
          <w:lang w:val="en"/>
        </w:rPr>
        <w:t>Describe key partnerships with clinicians, companies or other institutes that will enhance the commercialization potential of the proposed technology, and</w:t>
      </w:r>
      <w:r w:rsidRPr="004B30EA">
        <w:rPr>
          <w:rFonts w:ascii="Times New Roman" w:hAnsi="Times New Roman" w:cs="Times New Roman"/>
          <w:i/>
          <w:iCs/>
          <w:lang w:val="en-GB"/>
        </w:rPr>
        <w:t xml:space="preserve"> the risk factors to commercialisation (e.g. technical or market uncertainty). Highlight the aspects of this work that would attract investors or companies to develop the prototype or product from this </w:t>
      </w:r>
      <w:r w:rsidR="00BA527B">
        <w:rPr>
          <w:rFonts w:ascii="Times New Roman" w:hAnsi="Times New Roman" w:cs="Times New Roman"/>
          <w:i/>
          <w:iCs/>
          <w:lang w:val="en-GB"/>
        </w:rPr>
        <w:t>Gap Fund</w:t>
      </w:r>
      <w:r w:rsidRPr="004B30EA">
        <w:rPr>
          <w:rFonts w:ascii="Times New Roman" w:hAnsi="Times New Roman" w:cs="Times New Roman"/>
          <w:i/>
          <w:iCs/>
          <w:lang w:val="en-GB"/>
        </w:rPr>
        <w:t xml:space="preserve"> work into a commercial entity. </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Preferred path. </w:t>
      </w:r>
      <w:r>
        <w:rPr>
          <w:rFonts w:ascii="Times New Roman" w:hAnsi="Times New Roman" w:eastAsia="SimSun"/>
          <w:b w:val="0"/>
          <w:sz w:val="24"/>
          <w:color w:val="000000"/>
        </w:rPr>
        <w:t>Develop and validate the module at NTU, with an OEM and a monitoring evaluator where available. Subject to NTUitive IP review, license the technology to an equipment partner and/or a Singapore spin-off that supplies modules, firmware and integration support. The legal vehicle remains undecided. OEM co-development is the first market-entry route; a complete monitoring-service business is not the initial proposition.</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Sequence. </w:t>
      </w:r>
      <w:r>
        <w:rPr>
          <w:rFonts w:ascii="Times New Roman" w:hAnsi="Times New Roman" w:eastAsia="SimSun"/>
          <w:b w:val="0"/>
          <w:sz w:val="24"/>
          <w:color w:val="000000"/>
        </w:rPr>
        <w:t>Months 0-2: agree the event, interface and evaluation criteria. Months 2-5: build module-based evaluation assemblies. Months 5-8: compare energy, event records and alignment at NTU. Months 8-10: seek a Singapore demonstration, subject to permission. Months 10-12: complete costs, production-test documentation and a paid evaluation or conditional integration proposal. Repeat sales follow validation, not an assumed grant-period order.</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Revenue model. </w:t>
      </w:r>
      <w:r>
        <w:rPr>
          <w:rFonts w:ascii="Times New Roman" w:hAnsi="Times New Roman" w:eastAsia="SimSun"/>
          <w:b w:val="0"/>
          <w:sz w:val="24"/>
          <w:color w:val="000000"/>
        </w:rPr>
        <w:t>Module sales include basic firmware; new OEM adaptation is separately charged. On compatible customer hardware, software licensing is an alternative to board sales, not an automatic additional annual fee. Reference assemblies may be sold for evaluation. Recurring fees require a defined continuing service and customer agreement; neither annual device licences nor site subscriptions are assumed in the financial case.</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Annual sales scenarios. </w:t>
      </w:r>
      <w:r>
        <w:rPr>
          <w:rFonts w:ascii="Times New Roman" w:hAnsi="Times New Roman" w:eastAsia="SimSun"/>
          <w:b w:val="0"/>
          <w:sz w:val="24"/>
          <w:color w:val="000000"/>
        </w:rPr>
        <w:t>Assume S$120/module, S$60 direct cost, S$20,000 revenue and S$12,000 cost per new adaptation, and S$300,000 other annual operating costs. At 3,000 modules plus two adaptations, revenue is S$400,000 and operating loss S$104,000. At 10,000 modules plus three adaptations, revenue is S$1.26 million and operating profit S$324,000. With two adaptations, break-even is about 4,734 modules. All are hypotheses, excluding tax, financing and NTU licence charges; OEM and end-user volumes are not double-counted.</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Investment case and risks. </w:t>
      </w:r>
      <w:r>
        <w:rPr>
          <w:rFonts w:ascii="Times New Roman" w:hAnsi="Times New Roman" w:eastAsia="SimSun"/>
          <w:b w:val="0"/>
          <w:sz w:val="24"/>
          <w:color w:val="000000"/>
        </w:rPr>
        <w:t>The intended investable outcome is a repeatable OEM subsystem with a documented customer benefit, defined IP rights and evidence of product-line adoption. Incumbent boards and OEM self-development are strong alternatives. Commercial progress depends on measured integration savings or acquisition/maintenance value, acceptable unit margin and repeat shipments, not the size of the entire monitoring industry.</w:t>
      </w:r>
    </w:p>
    <w:p w14:paraId="3B26923E" w14:textId="77777777" w:rsidR="00E4627E" w:rsidRPr="004B30EA" w:rsidRDefault="00E4627E" w:rsidP="00E4627E">
      <w:pPr>
        <w:keepNext/>
        <w:keepLines/>
        <w:pageBreakBefore/>
        <w:spacing w:before="240" w:after="160"/>
        <w:jc w:val="both"/>
        <w:rPr>
          <w:rFonts w:ascii="Times New Roman" w:hAnsi="Times New Roman" w:cs="Times New Roman"/>
          <w:bCs/>
          <w:lang w:val="en"/>
        </w:rPr>
      </w:pPr>
      <w:r w:rsidRPr="004B30EA">
        <w:rPr>
          <w:rFonts w:ascii="Times New Roman" w:hAnsi="Times New Roman" w:cs="Times New Roman"/>
          <w:b/>
          <w:bCs/>
          <w:lang w:val="en"/>
        </w:rPr>
        <w:t>2.7</w:t>
      </w:r>
      <w:r w:rsidRPr="004B30EA">
        <w:rPr>
          <w:rFonts w:ascii="Times New Roman" w:hAnsi="Times New Roman" w:cs="Times New Roman"/>
          <w:b/>
          <w:bCs/>
          <w:lang w:val="en"/>
        </w:rPr>
        <w:tab/>
        <w:t>Team</w:t>
      </w:r>
    </w:p>
    <w:p w14:paraId="150EF1C5" w14:textId="77777777" w:rsidR="00E4627E" w:rsidRPr="004B30EA" w:rsidRDefault="00E4627E" w:rsidP="00E4627E">
      <w:pPr>
        <w:jc w:val="both"/>
        <w:rPr>
          <w:rFonts w:ascii="Times New Roman" w:hAnsi="Times New Roman" w:cs="Times New Roman"/>
          <w:bCs/>
          <w:i/>
          <w:lang w:val="en"/>
        </w:rPr>
      </w:pPr>
      <w:r w:rsidRPr="004B30EA">
        <w:rPr>
          <w:rFonts w:ascii="Times New Roman" w:hAnsi="Times New Roman" w:cs="Times New Roman"/>
          <w:bCs/>
          <w:i/>
          <w:lang w:val="en"/>
        </w:rPr>
        <w:t xml:space="preserve">Please provide </w:t>
      </w:r>
      <w:proofErr w:type="gramStart"/>
      <w:r w:rsidRPr="004B30EA">
        <w:rPr>
          <w:rFonts w:ascii="Times New Roman" w:hAnsi="Times New Roman" w:cs="Times New Roman"/>
          <w:bCs/>
          <w:i/>
          <w:lang w:val="en"/>
        </w:rPr>
        <w:t>a brief summary</w:t>
      </w:r>
      <w:proofErr w:type="gramEnd"/>
      <w:r w:rsidRPr="004B30EA">
        <w:rPr>
          <w:rFonts w:ascii="Times New Roman" w:hAnsi="Times New Roman" w:cs="Times New Roman"/>
          <w:bCs/>
          <w:i/>
          <w:lang w:val="en"/>
        </w:rPr>
        <w:t xml:space="preserve"> of the relevant expertise and qualifications of existing and future team members. </w:t>
      </w:r>
      <w:r w:rsidR="00322EFA">
        <w:rPr>
          <w:rFonts w:ascii="Times New Roman" w:hAnsi="Times New Roman" w:cs="Times New Roman"/>
          <w:bCs/>
          <w:i/>
          <w:lang w:val="en"/>
        </w:rPr>
        <w:t>Please also provide their basic contact details.</w:t>
      </w:r>
      <w:r w:rsidRPr="004B30EA">
        <w:rPr>
          <w:rFonts w:ascii="Times New Roman" w:hAnsi="Times New Roman" w:cs="Times New Roman"/>
          <w:bCs/>
          <w:i/>
          <w:lang w:val="en"/>
        </w:rPr>
        <w:t xml:space="preserve">  </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Proposed Lead PI: Asst Prof Yuguang Fu. </w:t>
      </w:r>
      <w:r>
        <w:rPr>
          <w:rFonts w:ascii="Times New Roman" w:hAnsi="Times New Roman" w:eastAsia="SimSun"/>
          <w:b w:val="0"/>
          <w:i w:val="0"/>
          <w:sz w:val="24"/>
          <w:color w:val="000000"/>
        </w:rPr>
        <w:t xml:space="preserve">School of Civil and Environmental Engineering, NTU; yuguang.fu@ntu.edu.sg. Expertise in wireless structural monitoring, smart sensing and digital twins. His </w:t>
      </w:r>
      <w:hyperlink r:id="rIdGAP12">
        <w:r>
          <w:rPr>
            <w:rFonts w:ascii="Times New Roman" w:hAnsi="Times New Roman" w:eastAsia="SimSun"/>
            <w:sz w:val="24"/>
            <w:color w:val="0000FF"/>
            <w:u w:val="single"/>
          </w:rPr>
          <w:t>NTU profile</w:t>
        </w:r>
      </w:hyperlink>
      <w:r>
        <w:rPr>
          <w:rFonts w:ascii="Times New Roman" w:hAnsi="Times New Roman" w:eastAsia="SimSun"/>
          <w:b w:val="0"/>
          <w:i w:val="0"/>
          <w:sz w:val="24"/>
          <w:color w:val="000000"/>
        </w:rPr>
        <w:t xml:space="preserve"> records prior sensor-commercialisation work at Embedor Technologies. Proposed responsibility: technical supervision, application definition, industry engagement and grant governance. [CONFIRM Lead PI designation and effort.]</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Proposed technical / commercial lead: Shuaiwen Cui. </w:t>
      </w:r>
      <w:r>
        <w:rPr>
          <w:rFonts w:ascii="Times New Roman" w:hAnsi="Times New Roman" w:eastAsia="SimSun"/>
          <w:b w:val="0"/>
          <w:i w:val="0"/>
          <w:sz w:val="24"/>
          <w:color w:val="000000"/>
        </w:rPr>
        <w:t>SHUAIWEN001@e.ntu.edu.sg. First author of the SATM journal paper and named co-inventor in the provisional application materials; experience in LiftNode, embedded implementation and experimental validation. Proposed responsibility: product requirements, firmware integration, comparison tests and customer discovery. [CONFIRM current appointment, eligibility and effort.]</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Additional expertise. </w:t>
      </w:r>
      <w:r>
        <w:rPr>
          <w:rFonts w:ascii="Times New Roman" w:hAnsi="Times New Roman" w:eastAsia="SimSun"/>
          <w:b w:val="0"/>
          <w:i w:val="0"/>
          <w:sz w:val="24"/>
          <w:color w:val="000000"/>
        </w:rPr>
        <w:t>The patent materials name Xiao Yu and Xuewen Yu as co-inventors; project participation and roles require confirmation and are not inferred from inventorship. The budget proposes one new embedded research engineer for 12 months and one new validation project officer for six months. Existing PI/team salaries are excluded. Customer adoption and sales capability will be developed with NTUitive and a qualified industry channel.</w:t>
      </w:r>
    </w:p>
    <w:p w14:paraId="1F049457" w14:textId="77777777" w:rsidR="00E4627E" w:rsidRPr="004B30EA" w:rsidRDefault="00E4627E" w:rsidP="00E4627E">
      <w:pPr>
        <w:keepNext/>
        <w:keepLines/>
        <w:spacing w:before="240" w:after="160"/>
        <w:jc w:val="both"/>
        <w:rPr>
          <w:rFonts w:ascii="Times New Roman" w:hAnsi="Times New Roman" w:cs="Times New Roman"/>
          <w:b/>
          <w:bCs/>
          <w:lang w:val="en-GB"/>
        </w:rPr>
      </w:pPr>
      <w:r w:rsidRPr="004B30EA">
        <w:rPr>
          <w:rFonts w:ascii="Times New Roman" w:hAnsi="Times New Roman" w:cs="Times New Roman"/>
          <w:b/>
          <w:bCs/>
          <w:lang w:val="en-GB"/>
        </w:rPr>
        <w:t>2.8</w:t>
      </w:r>
      <w:r w:rsidRPr="004B30EA">
        <w:rPr>
          <w:rFonts w:ascii="Times New Roman" w:hAnsi="Times New Roman" w:cs="Times New Roman"/>
          <w:b/>
          <w:bCs/>
          <w:lang w:val="en-GB"/>
        </w:rPr>
        <w:tab/>
        <w:t xml:space="preserve">Endorsements by Potential Investors or Customers </w:t>
      </w:r>
    </w:p>
    <w:p w14:paraId="70BDACFC" w14:textId="77777777" w:rsidR="00E4627E" w:rsidRPr="004B30EA" w:rsidRDefault="00E4627E" w:rsidP="00E4627E">
      <w:pPr>
        <w:jc w:val="both"/>
        <w:rPr>
          <w:rFonts w:ascii="Times New Roman" w:hAnsi="Times New Roman" w:cs="Times New Roman"/>
          <w:i/>
          <w:iCs/>
          <w:lang w:val="en-GB"/>
        </w:rPr>
      </w:pPr>
      <w:r w:rsidRPr="004B30EA">
        <w:rPr>
          <w:rFonts w:ascii="Times New Roman" w:hAnsi="Times New Roman" w:cs="Times New Roman"/>
          <w:i/>
          <w:iCs/>
          <w:lang w:val="en-GB"/>
        </w:rPr>
        <w:t xml:space="preserve">Please provide details of industry assessment in the potential outcome of the </w:t>
      </w:r>
      <w:r w:rsidR="00BA527B">
        <w:rPr>
          <w:rFonts w:ascii="Times New Roman" w:hAnsi="Times New Roman" w:cs="Times New Roman"/>
          <w:i/>
          <w:iCs/>
          <w:lang w:val="en-GB"/>
        </w:rPr>
        <w:t>Gap Fund</w:t>
      </w:r>
      <w:r w:rsidRPr="004B30EA">
        <w:rPr>
          <w:rFonts w:ascii="Times New Roman" w:hAnsi="Times New Roman" w:cs="Times New Roman"/>
          <w:i/>
          <w:iCs/>
          <w:lang w:val="en-GB"/>
        </w:rPr>
        <w:t xml:space="preserve">. </w:t>
      </w:r>
      <w:r w:rsidR="00C2733A">
        <w:rPr>
          <w:rFonts w:ascii="Times New Roman" w:hAnsi="Times New Roman" w:cs="Times New Roman"/>
          <w:i/>
          <w:iCs/>
          <w:lang w:val="en-GB"/>
        </w:rPr>
        <w:t xml:space="preserve">Industry support letter or Letter of Intent (LOI) should be </w:t>
      </w:r>
      <w:r w:rsidR="006649B7">
        <w:rPr>
          <w:rFonts w:ascii="Times New Roman" w:hAnsi="Times New Roman" w:cs="Times New Roman"/>
          <w:i/>
          <w:iCs/>
          <w:lang w:val="en-GB"/>
        </w:rPr>
        <w:t xml:space="preserve">dated </w:t>
      </w:r>
      <w:r w:rsidR="00C2733A">
        <w:rPr>
          <w:rFonts w:ascii="Times New Roman" w:hAnsi="Times New Roman" w:cs="Times New Roman"/>
          <w:i/>
          <w:iCs/>
          <w:lang w:val="en-GB"/>
        </w:rPr>
        <w:t xml:space="preserve">within three months of Gap Fund application. </w:t>
      </w:r>
      <w:r w:rsidRPr="004B30EA">
        <w:rPr>
          <w:rFonts w:ascii="Times New Roman" w:hAnsi="Times New Roman" w:cs="Times New Roman"/>
          <w:i/>
          <w:iCs/>
          <w:lang w:val="en-GB"/>
        </w:rPr>
        <w:t xml:space="preserve">Any industry endorsement of the potential benefits, </w:t>
      </w:r>
      <w:r w:rsidR="0080323F">
        <w:rPr>
          <w:rFonts w:ascii="Times New Roman" w:hAnsi="Times New Roman" w:cs="Times New Roman"/>
          <w:i/>
          <w:iCs/>
          <w:lang w:val="en-GB"/>
        </w:rPr>
        <w:t xml:space="preserve">an industry benchmark of technical specifications, </w:t>
      </w:r>
      <w:r w:rsidRPr="004B30EA">
        <w:rPr>
          <w:rFonts w:ascii="Times New Roman" w:hAnsi="Times New Roman" w:cs="Times New Roman"/>
          <w:i/>
          <w:iCs/>
          <w:lang w:val="en-GB"/>
        </w:rPr>
        <w:t>commercial value and marketability of the project outcome, or company incorporation as par</w:t>
      </w:r>
      <w:r w:rsidR="0080323F">
        <w:rPr>
          <w:rFonts w:ascii="Times New Roman" w:hAnsi="Times New Roman" w:cs="Times New Roman"/>
          <w:i/>
          <w:iCs/>
          <w:lang w:val="en-GB"/>
        </w:rPr>
        <w:t>t of the pathway to commercialis</w:t>
      </w:r>
      <w:r w:rsidRPr="004B30EA">
        <w:rPr>
          <w:rFonts w:ascii="Times New Roman" w:hAnsi="Times New Roman" w:cs="Times New Roman"/>
          <w:i/>
          <w:iCs/>
          <w:lang w:val="en-GB"/>
        </w:rPr>
        <w:t xml:space="preserve">ation during the </w:t>
      </w:r>
      <w:r w:rsidR="00BA527B">
        <w:rPr>
          <w:rFonts w:ascii="Times New Roman" w:hAnsi="Times New Roman" w:cs="Times New Roman"/>
          <w:i/>
          <w:iCs/>
          <w:lang w:val="en-GB"/>
        </w:rPr>
        <w:t>Gap Fund</w:t>
      </w:r>
      <w:r w:rsidRPr="004B30EA">
        <w:rPr>
          <w:rFonts w:ascii="Times New Roman" w:hAnsi="Times New Roman" w:cs="Times New Roman"/>
          <w:i/>
          <w:iCs/>
          <w:lang w:val="en-GB"/>
        </w:rPr>
        <w:t xml:space="preserve">, or pre-secured customer orders, will be favourably viewed. If future funding support/customer orders is contingent on certain KPIs being met during </w:t>
      </w:r>
      <w:r w:rsidR="00BA527B">
        <w:rPr>
          <w:rFonts w:ascii="Times New Roman" w:hAnsi="Times New Roman" w:cs="Times New Roman"/>
          <w:i/>
          <w:iCs/>
          <w:lang w:val="en-GB"/>
        </w:rPr>
        <w:t>Gap Fund</w:t>
      </w:r>
      <w:r w:rsidRPr="004B30EA">
        <w:rPr>
          <w:rFonts w:ascii="Times New Roman" w:hAnsi="Times New Roman" w:cs="Times New Roman"/>
          <w:i/>
          <w:iCs/>
          <w:lang w:val="en-GB"/>
        </w:rPr>
        <w:t xml:space="preserve">, please make sure that these KPIs are included in this section. </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Existing engagement, not an endorsement. </w:t>
      </w:r>
      <w:r>
        <w:rPr>
          <w:rFonts w:ascii="Times New Roman" w:hAnsi="Times New Roman" w:eastAsia="SimSun"/>
          <w:b w:val="0"/>
          <w:i w:val="0"/>
          <w:sz w:val="24"/>
          <w:color w:val="000000"/>
        </w:rPr>
        <w:t>The April 2026 patent conversion materials record LTA exchanges through AISG2-TC-2021-001, Surbana Jurong/Terralab engagement through the coastal monitoring project, and preliminary Santarli/R.A.K. Materials Consultants discussions. These are team-reported research relationships; no current signed endorsement, order or conditional investment for this Gap Fund product has been supplied.</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Support to obtain. </w:t>
      </w:r>
      <w:r>
        <w:rPr>
          <w:rFonts w:ascii="Times New Roman" w:hAnsi="Times New Roman" w:eastAsia="SimSun"/>
          <w:b w:val="0"/>
          <w:sz w:val="24"/>
          <w:color w:val="000000"/>
        </w:rPr>
        <w:t>Seek an OEM evaluation statement on interfaces, responsibilities and conditions for an integration decision. Separately obtain a monitoring-user letter defining the event, evaluator, permitted trial and intended buying chain. Ackcio, SensingTech, Geomotion and Ryobi-G remain outreach candidates, not collaborators or endorsers.</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Before submission. </w:t>
      </w:r>
      <w:r>
        <w:rPr>
          <w:rFonts w:ascii="Times New Roman" w:hAnsi="Times New Roman" w:eastAsia="SimSun"/>
          <w:b w:val="0"/>
          <w:i w:val="0"/>
          <w:sz w:val="24"/>
          <w:color w:val="000000"/>
        </w:rPr>
        <w:t>[CONFIRM: current contacts and permission to name each organisation; attach support letters dated within three months of the actual application date.] Any customer-specific performance condition or contingent order must be reproduced in Section 4 once agreed. No such commercial condition is currently represented as committed.</w:t>
      </w:r>
    </w:p>
    <w:p w14:paraId="4B7AC3E3" w14:textId="77777777" w:rsidR="00E4627E" w:rsidRPr="004B30EA" w:rsidRDefault="00E4627E" w:rsidP="00E4627E">
      <w:pPr>
        <w:keepNext/>
        <w:keepLines/>
        <w:pageBreakBefore/>
        <w:spacing w:before="240" w:after="160"/>
        <w:jc w:val="both"/>
        <w:rPr>
          <w:rFonts w:ascii="Times New Roman" w:hAnsi="Times New Roman" w:cs="Times New Roman"/>
          <w:b/>
          <w:bCs/>
          <w:sz w:val="28"/>
          <w:szCs w:val="28"/>
          <w:lang w:val="en-GB"/>
        </w:rPr>
      </w:pPr>
      <w:r w:rsidRPr="004B30EA">
        <w:rPr>
          <w:rFonts w:ascii="Times New Roman" w:hAnsi="Times New Roman" w:cs="Times New Roman"/>
          <w:b/>
          <w:bCs/>
          <w:sz w:val="28"/>
          <w:szCs w:val="28"/>
          <w:lang w:val="en-GB"/>
        </w:rPr>
        <w:t>3.</w:t>
      </w:r>
      <w:r w:rsidRPr="004B30EA">
        <w:rPr>
          <w:rFonts w:ascii="Times New Roman" w:hAnsi="Times New Roman" w:cs="Times New Roman"/>
          <w:b/>
          <w:bCs/>
          <w:sz w:val="28"/>
          <w:szCs w:val="28"/>
          <w:lang w:val="en-GB"/>
        </w:rPr>
        <w:tab/>
        <w:t>Technology</w:t>
      </w:r>
    </w:p>
    <w:p w14:paraId="53DD3274" w14:textId="77777777" w:rsidR="00E4627E" w:rsidRPr="004B30EA" w:rsidRDefault="00E4627E" w:rsidP="00E4627E">
      <w:pPr>
        <w:keepNext/>
        <w:keepLines/>
        <w:spacing w:before="240" w:after="160"/>
        <w:jc w:val="both"/>
        <w:rPr>
          <w:rFonts w:ascii="Times New Roman" w:hAnsi="Times New Roman" w:cs="Times New Roman"/>
          <w:b/>
          <w:bCs/>
          <w:lang w:val="en-GB"/>
        </w:rPr>
      </w:pPr>
      <w:r w:rsidRPr="004B30EA">
        <w:rPr>
          <w:rFonts w:ascii="Times New Roman" w:hAnsi="Times New Roman" w:cs="Times New Roman"/>
          <w:b/>
          <w:bCs/>
          <w:lang w:val="en-GB"/>
        </w:rPr>
        <w:t>3.1</w:t>
      </w:r>
      <w:r w:rsidRPr="004B30EA">
        <w:rPr>
          <w:rFonts w:ascii="Times New Roman" w:hAnsi="Times New Roman" w:cs="Times New Roman"/>
          <w:b/>
          <w:bCs/>
          <w:lang w:val="en-GB"/>
        </w:rPr>
        <w:tab/>
        <w:t>Background Intellectual Property (IP) / Underlying Technology</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Ind w:w="0" w:type="dxa"/>
        <w:tblLayout w:type="fixed"/>
        <w:tblCellMar>
          <w:top w:w="70" w:type="dxa"/>
          <w:bottom w:w="70" w:type="dxa"/>
          <w:left w:w="108" w:type="dxa"/>
          <w:right w:w="108" w:type="dxa"/>
        </w:tblCellMar>
      </w:tblPr>
      <w:tblGrid>
        <w:gridCol w:w="3564"/>
        <w:gridCol w:w="3179"/>
        <w:gridCol w:w="2889"/>
      </w:tblGrid>
      <w:tr w:rsidR="00E4627E" w:rsidRPr="004B30EA" w14:paraId="2C2B30A3" w14:textId="77777777" w:rsidTr="00E52F3C">
        <w:trPr>
          <w:cantSplit/>
          <w:tblHeader/>
        </w:trPr>
        <w:tc>
          <w:tcPr>
            <w:tcW w:w="3564" w:type="dxa"/>
            <w:shd w:val="clear" w:color="auto" w:fill="CCCCCC"/>
            <w:vAlign w:val="top"/>
          </w:tcPr>
          <w:p w14:paraId="67E4D013"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Description</w:t>
            </w:r>
          </w:p>
        </w:tc>
        <w:tc>
          <w:tcPr>
            <w:tcW w:w="3179" w:type="dxa"/>
            <w:shd w:val="clear" w:color="auto" w:fill="CCCCCC"/>
            <w:vAlign w:val="top"/>
          </w:tcPr>
          <w:p w14:paraId="500F649C"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Type of IP</w:t>
            </w:r>
          </w:p>
        </w:tc>
        <w:tc>
          <w:tcPr>
            <w:tcW w:w="2889" w:type="dxa"/>
            <w:shd w:val="clear" w:color="auto" w:fill="CCCCCC"/>
            <w:vAlign w:val="top"/>
          </w:tcPr>
          <w:p w14:paraId="79938A3D"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Owner (if applicable)</w:t>
            </w:r>
          </w:p>
        </w:tc>
      </w:tr>
      <w:tr w:rsidR="00E4627E" w:rsidRPr="004B30EA" w14:paraId="4C3082D1" w14:textId="77777777" w:rsidTr="00E52F3C">
        <w:trPr>
          <w:cantSplit/>
        </w:trPr>
        <w:tc>
          <w:tcPr>
            <w:tcW w:w="3564" w:type="dxa"/>
            <w:vAlign w:val="top"/>
          </w:tcPr>
          <w:p w14:paraId="0FF5950A"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Adaptive Triggering Mechanism for Time-Series Data Sensing on Edge Devices; internal reference 2025-249.</w:t>
            </w:r>
          </w:p>
        </w:tc>
        <w:tc>
          <w:tcPr>
            <w:tcW w:w="3179" w:type="dxa"/>
            <w:vAlign w:val="top"/>
          </w:tcPr>
          <w:p w14:paraId="5B636078"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Singapore provisional application 10202502426R, filed 26 Aug 2025, as stated in April 2026 conversion material.</w:t>
            </w:r>
          </w:p>
        </w:tc>
        <w:tc>
          <w:tcPr>
            <w:tcW w:w="2889" w:type="dxa"/>
            <w:vAlign w:val="top"/>
          </w:tcPr>
          <w:p w14:paraId="0E78D282"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Nanyang Technological University, as named applicant. [CONFIRM present status, formal TD identifier and licence availability.]</w:t>
            </w:r>
          </w:p>
        </w:tc>
      </w:tr>
      <w:tr w:rsidR="00E4627E" w:rsidRPr="004B30EA" w14:paraId="4C3082D1" w14:textId="77777777" w:rsidTr="00E52F3C">
        <w:trPr>
          <w:cantSplit/>
        </w:trPr>
        <w:tc>
          <w:tcPr>
            <w:tcW w:w="3564" w:type="dxa"/>
            <w:vAlign w:val="top"/>
          </w:tcPr>
          <w:p w14:paraId="0FF5950A"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SATM feedback control, parameter optimisation and edge implementation; LiftNode research prototype.</w:t>
            </w:r>
          </w:p>
        </w:tc>
        <w:tc>
          <w:tcPr>
            <w:tcW w:w="3179" w:type="dxa"/>
            <w:vAlign w:val="top"/>
          </w:tcPr>
          <w:p w14:paraId="5B636078"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hyperlink r:id="rIdGAP13">
              <w:r>
                <w:rPr>
                  <w:rFonts w:ascii="Times New Roman" w:hAnsi="Times New Roman" w:eastAsia="SimSun"/>
                  <w:sz w:val="24"/>
                  <w:color w:val="0000FF"/>
                  <w:u w:val="single"/>
                </w:rPr>
                <w:t>Published research</w:t>
              </w:r>
            </w:hyperlink>
            <w:r>
              <w:rPr>
                <w:rFonts w:ascii="Times New Roman" w:hAnsi="Times New Roman" w:eastAsia="SimSun"/>
                <w:b w:val="0"/>
                <w:i w:val="0"/>
                <w:sz w:val="24"/>
                <w:color w:val="000000"/>
              </w:rPr>
              <w:t>, software and hardware know-how. Product-specific firmware, interfaces and validation are the proposed new work.</w:t>
            </w:r>
          </w:p>
        </w:tc>
        <w:tc>
          <w:tcPr>
            <w:tcW w:w="2889" w:type="dxa"/>
            <w:vAlign w:val="top"/>
          </w:tcPr>
          <w:p w14:paraId="0E78D282"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NTU-developed background; confirm code/hardware ownership, collaborator rights and the version available for licensing.</w:t>
            </w:r>
          </w:p>
        </w:tc>
      </w:tr>
      <w:tr w:rsidR="00E4627E" w:rsidRPr="004B30EA" w14:paraId="4C3082D1" w14:textId="77777777" w:rsidTr="00E52F3C">
        <w:trPr>
          <w:cantSplit/>
        </w:trPr>
        <w:tc>
          <w:tcPr>
            <w:tcW w:w="3564" w:type="dxa"/>
            <w:vAlign w:val="top"/>
          </w:tcPr>
          <w:p w14:paraId="0FF5950A"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Third-party processors, sensors, software libraries and any partner platform interfaces.</w:t>
            </w:r>
          </w:p>
        </w:tc>
        <w:tc>
          <w:tcPr>
            <w:tcW w:w="3179" w:type="dxa"/>
            <w:vAlign w:val="top"/>
          </w:tcPr>
          <w:p w14:paraId="5B636078"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Commercial components, external code licences and interface permissions; not inventions owned by the team.</w:t>
            </w:r>
          </w:p>
        </w:tc>
        <w:tc>
          <w:tcPr>
            <w:tcW w:w="2889" w:type="dxa"/>
            <w:vAlign w:val="top"/>
          </w:tcPr>
          <w:p w14:paraId="0E78D282"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i/>
                <w:iCs/>
                <w:lang w:val="en-GB"/>
              </w:rPr>
              <w:kinsoku w:val="1"/>
            </w:pPr>
            <w:r>
              <w:rPr>
                <w:rFonts w:ascii="Times New Roman" w:hAnsi="Times New Roman" w:eastAsia="SimSun"/>
                <w:b w:val="0"/>
                <w:i w:val="0"/>
                <w:sz w:val="24"/>
                <w:color w:val="000000"/>
              </w:rPr>
              <w:t>Respective third parties. Complete a bill of materials and software-licence review before distributing an OEM package.</w:t>
            </w:r>
          </w:p>
        </w:tc>
      </w:tr>
    </w:tbl>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Confidential IP note. </w:t>
      </w:r>
      <w:r>
        <w:rPr>
          <w:rFonts w:ascii="Times New Roman" w:hAnsi="Times New Roman" w:eastAsia="SimSun"/>
          <w:b w:val="0"/>
          <w:i w:val="0"/>
          <w:sz w:val="24"/>
          <w:color w:val="000000"/>
        </w:rPr>
        <w:t>IP status evidence: the local April 2026 conversion document and signed assignment records support the recorded filing history. They do not establish completion of conversion or the present scope of protection. [CONFIRM with NTUitive before submission.]</w:t>
      </w:r>
    </w:p>
    <w:p w14:paraId="2A6E0D71" w14:textId="77777777" w:rsidR="00E4627E" w:rsidRPr="004B30EA" w:rsidRDefault="00E4627E" w:rsidP="00E4627E">
      <w:pPr>
        <w:keepNext/>
        <w:keepLines/>
        <w:pageBreakBefore/>
        <w:spacing w:before="240" w:after="160"/>
        <w:jc w:val="both"/>
        <w:rPr>
          <w:rFonts w:ascii="Times New Roman" w:hAnsi="Times New Roman" w:cs="Times New Roman"/>
          <w:b/>
          <w:bCs/>
          <w:lang w:val="en-GB"/>
        </w:rPr>
      </w:pPr>
      <w:r w:rsidRPr="004B30EA">
        <w:rPr>
          <w:rFonts w:ascii="Times New Roman" w:hAnsi="Times New Roman" w:cs="Times New Roman"/>
          <w:b/>
          <w:bCs/>
          <w:lang w:val="en-GB"/>
        </w:rPr>
        <w:t>3.2</w:t>
      </w:r>
      <w:r w:rsidRPr="004B30EA">
        <w:rPr>
          <w:rFonts w:ascii="Times New Roman" w:hAnsi="Times New Roman" w:cs="Times New Roman"/>
          <w:b/>
          <w:bCs/>
          <w:lang w:val="en-GB"/>
        </w:rPr>
        <w:tab/>
        <w:t>Detailed Technical Description (Maximum 6 pages)</w:t>
      </w:r>
    </w:p>
    <w:p w14:paraId="23C8D878" w14:textId="77777777" w:rsidR="00E4627E" w:rsidRPr="004B30EA" w:rsidRDefault="00E4627E" w:rsidP="00E4627E">
      <w:pPr>
        <w:jc w:val="both"/>
        <w:rPr>
          <w:rFonts w:ascii="Times New Roman" w:hAnsi="Times New Roman" w:cs="Times New Roman"/>
          <w:i/>
          <w:iCs/>
          <w:lang w:val="en-GB"/>
        </w:rPr>
      </w:pPr>
      <w:r w:rsidRPr="004B30EA">
        <w:rPr>
          <w:rFonts w:ascii="Times New Roman" w:hAnsi="Times New Roman" w:cs="Times New Roman"/>
          <w:i/>
          <w:iCs/>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rFonts w:ascii="Times New Roman" w:hAnsi="Times New Roman" w:cs="Times New Roman"/>
          <w:i/>
          <w:iCs/>
          <w:lang w:val="en-GB"/>
        </w:rPr>
        <w:t xml:space="preserve">application platform, </w:t>
      </w:r>
      <w:r w:rsidRPr="004B30EA">
        <w:rPr>
          <w:rFonts w:ascii="Times New Roman" w:hAnsi="Times New Roman" w:cs="Times New Roman"/>
          <w:i/>
          <w:iCs/>
          <w:lang w:val="en-GB"/>
        </w:rPr>
        <w:t xml:space="preserve">etc) should be provided. </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Application and output. </w:t>
      </w:r>
      <w:r>
        <w:rPr>
          <w:rFonts w:ascii="Times New Roman" w:hAnsi="Times New Roman" w:eastAsia="SimSun"/>
          <w:b w:val="0"/>
          <w:sz w:val="24"/>
          <w:color w:val="000000"/>
        </w:rPr>
        <w:t>Develop an embedded event-acquisition subsystem and reference assemblies for intermittent vibration/impact in battery-powered engineering monitoring. Agree the event envelope, placement, signal bandwidth and measurement use with an evaluator. The output supports human review, not damage diagnosis or disaster prediction. Water-pressure transients, medical events, high-frequency weak faults and audio/light modalities are outside the current validation scope.</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Existing proof. </w:t>
      </w:r>
      <w:r>
        <w:rPr>
          <w:rFonts w:ascii="Times New Roman" w:hAnsi="Times New Roman" w:eastAsia="SimSun"/>
          <w:b w:val="0"/>
          <w:i w:val="0"/>
          <w:sz w:val="24"/>
          <w:color w:val="000000"/>
        </w:rPr>
        <w:t xml:space="preserve">The </w:t>
      </w:r>
      <w:hyperlink r:id="rIdGAP13">
        <w:r>
          <w:rPr>
            <w:rFonts w:ascii="Times New Roman" w:hAnsi="Times New Roman" w:eastAsia="SimSun"/>
            <w:sz w:val="24"/>
            <w:color w:val="0000FF"/>
            <w:u w:val="single"/>
          </w:rPr>
          <w:t>2025 SATM paper, Table 5</w:t>
        </w:r>
      </w:hyperlink>
      <w:r>
        <w:rPr>
          <w:rFonts w:ascii="Times New Roman" w:hAnsi="Times New Roman" w:eastAsia="SimSun"/>
          <w:b w:val="0"/>
          <w:i w:val="0"/>
          <w:sz w:val="24"/>
          <w:color w:val="000000"/>
        </w:rPr>
        <w:t>, reports a combined detection score of 0.9396, precision of 90.84% and recall of 94.36%; the conservative manual baseline gives 0.8025, 50.00% and 100.00%, respectively. Precision is the share of captured events that are relevant; recall is the share of relevant events captured. Thus the demonstrated improvement is a different trade-off, not zero missed events. These laboratory results do not establish commercial field performance or a 30% energy saving.</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Hardware maturity. </w:t>
      </w:r>
      <w:r>
        <w:rPr>
          <w:rFonts w:ascii="Times New Roman" w:hAnsi="Times New Roman" w:eastAsia="SimSun"/>
          <w:b w:val="0"/>
          <w:sz w:val="24"/>
          <w:color w:val="000000"/>
        </w:rPr>
        <w:t>April 2026 records describe a fabricated LiftNode prototype and low-power sentinel/high-fidelity sensor arrangement; some power-control and network functions were still under development. The grant will productise the relevant local acquisition chain into a reproducible module. Cross-node wake-up is not a required claim for this module; within-node cross-resolution alignment is an explicit validation task.</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Acquisition architecture. </w:t>
      </w:r>
      <w:r>
        <w:rPr>
          <w:rFonts w:ascii="Times New Roman" w:hAnsi="Times New Roman" w:eastAsia="SimSun"/>
          <w:b w:val="0"/>
          <w:sz w:val="24"/>
          <w:color w:val="000000"/>
        </w:rPr>
        <w:t>Use an ADXL362/ADXL367-class sentinel with threshold and duration event rules, a controller, buffer and managed higher-resolution sensor interface. Begin with the demonstrated 100 Hz sentinel configuration; choose the detailed-channel rate, range and filtering to match the agreed event. Sensor observability and wake-up timing limit which events can be captured, regardless of the adaptation algorithm.</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Pre-event context and alignment. </w:t>
      </w:r>
      <w:r>
        <w:rPr>
          <w:rFonts w:ascii="Times New Roman" w:hAnsi="Times New Roman" w:eastAsia="SimSun"/>
          <w:b w:val="0"/>
          <w:sz w:val="24"/>
          <w:color w:val="000000"/>
        </w:rPr>
        <w:t>Preserve available low-resolution sentinel data before wake-up and overlap it with the higher-resolution stream after activation. Estimate within-node timing offset and drift, account for different sampling rates and delays, and retain source/resolution labels. Measure alignment error against a reference. Unacquired high-resolution onset, clipped data and gaps must be flagged, not silently reconstructed.</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Adaptive software. </w:t>
      </w:r>
      <w:r>
        <w:rPr>
          <w:rFonts w:ascii="Times New Roman" w:hAnsi="Times New Roman" w:eastAsia="SimSun"/>
          <w:b w:val="0"/>
          <w:i w:val="0"/>
          <w:sz w:val="24"/>
          <w:color w:val="000000"/>
        </w:rPr>
        <w:t>The SATM estimates recording performance from available observations and adjusts threshold and duration settings using feedback, Bayesian optimisation and lightweight on-device models. Simulated or historical data support initial settings; field observations support bounded updates. The customer-facing software exposes limits, operating state and a configuration audit trail, rather than requiring the customer to understand the optimisation algorithm.</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Differentiation and defensibility. </w:t>
      </w:r>
      <w:hyperlink r:id="rIdV4Update19">
        <w:r>
          <w:rPr>
            <w:rFonts w:ascii="Times New Roman" w:hAnsi="Times New Roman" w:eastAsia="SimSun"/>
            <w:sz w:val="24"/>
            <w:color w:val="0000FF"/>
            <w:u w:val="single"/>
          </w:rPr>
          <w:t>G-Link-200-OEM</w:t>
        </w:r>
      </w:hyperlink>
      <w:r>
        <w:rPr>
          <w:rFonts w:ascii="Times New Roman" w:hAnsi="Times New Roman" w:eastAsia="SimSun"/>
          <w:b w:val="0"/>
          <w:sz w:val="24"/>
          <w:color w:val="000000"/>
        </w:rPr>
        <w:t xml:space="preserve"> is already an embedded event-triggered acquisition board; </w:t>
      </w:r>
      <w:hyperlink r:id="rIdV4Update20">
        <w:r>
          <w:rPr>
            <w:rFonts w:ascii="Times New Roman" w:hAnsi="Times New Roman" w:eastAsia="SimSun"/>
            <w:sz w:val="24"/>
            <w:color w:val="0000FF"/>
            <w:u w:val="single"/>
          </w:rPr>
          <w:t>ADI Voyager4</w:t>
        </w:r>
      </w:hyperlink>
      <w:r>
        <w:rPr>
          <w:rFonts w:ascii="Times New Roman" w:hAnsi="Times New Roman" w:eastAsia="SimSun"/>
          <w:b w:val="0"/>
          <w:sz w:val="24"/>
          <w:color w:val="000000"/>
        </w:rPr>
        <w:t xml:space="preserve"> supports self-development with a neighbouring low-power architecture. Our proposed value is the validated combination of adaptive threshold/duration selection, acquisition power coordination and within-node cross-resolution alignment, delivered as a reusable integration package. Chip-level wake-up or module packaging alone is not a novelty claim. NTUitive must confirm IP scope, licensing rights and third-party dependencies.</w:t>
      </w:r>
    </w:p>
    <w:p>
      <w:pPr>
        <w:keepNext w:val="0"/>
        <w:keepLines/>
        <w:widowControl/>
        <w:spacing w:before="0" w:after="120" w:line="252" w:lineRule="auto"/>
        <w:ind w:left="0" w:right="0" w:firstLine="0"/>
        <w:jc w:val="left"/>
        <w:kinsoku w:val="1"/>
      </w:pPr>
      <w:r>
        <w:rPr>
          <w:rFonts w:ascii="Times New Roman" w:hAnsi="Times New Roman" w:eastAsia="SimSun"/>
          <w:b/>
          <w:i w:val="0"/>
          <w:sz w:val="24"/>
          <w:color w:val="000000"/>
        </w:rPr>
        <w:t xml:space="preserve">Safety and control. </w:t>
      </w:r>
      <w:r>
        <w:rPr>
          <w:rFonts w:ascii="Times New Roman" w:hAnsi="Times New Roman" w:eastAsia="SimSun"/>
          <w:b w:val="0"/>
          <w:i w:val="0"/>
          <w:sz w:val="24"/>
          <w:color w:val="000000"/>
        </w:rPr>
        <w:t>Set fixed bounds, a protected fallback configuration, a manual lock, watchdog/restart behaviour and versioned rollback. Adaptation must not modify a customer's independent safety alarm settings. Compare power interruption, communications outage, buffer exhaustion and configuration corruption behaviour. Operate in parallel with the existing monitoring system until the customer's acceptance conditions are met.</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Validation design. </w:t>
      </w:r>
      <w:r>
        <w:rPr>
          <w:rFonts w:ascii="Times New Roman" w:hAnsi="Times New Roman" w:eastAsia="SimSun"/>
          <w:b w:val="0"/>
          <w:sz w:val="24"/>
          <w:color w:val="000000"/>
        </w:rPr>
        <w:t>Define target events and labels before optimisation; separate tuning from held-out evaluation. Use an independently recording reference so missed events can be counted. The draft test plan includes three background conditions, 200 labelled events and 200 non-event windows, subject to protocol review. Report the dataset composition and uncertainty. Triggered files alone cannot establish event recall.</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Comparison and measures. </w:t>
      </w:r>
      <w:r>
        <w:rPr>
          <w:rFonts w:ascii="Times New Roman" w:hAnsi="Times New Roman" w:eastAsia="SimSun"/>
          <w:b w:val="0"/>
          <w:sz w:val="24"/>
          <w:color w:val="000000"/>
        </w:rPr>
        <w:t>Compare with a well-tuned fixed-threshold baseline and, where accessible, a commercial acquisition board or recorder under comparable sensor/bandwidth conditions. Report event recall, false records per hour, available prehistory, waveform quality, wake-up delay, within-node overlap alignment error, total energy and integration/tuning effort. Include processor, detailed sensor, storage and any radio in whole-node energy accounting.</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Acceptance basis. </w:t>
      </w:r>
      <w:r>
        <w:rPr>
          <w:rFonts w:ascii="Times New Roman" w:hAnsi="Times New Roman" w:eastAsia="SimSun"/>
          <w:b w:val="0"/>
          <w:sz w:val="24"/>
          <w:color w:val="000000"/>
        </w:rPr>
        <w:t>Agree event coverage and record-quality criteria with the PI and evaluator before testing. Assess adaptive and fixed settings at comparable recall; report any missed-event trade-off and energy overhead. Do not promise a universal accuracy, fixed lifetime gain or alignment tolerance before the sensor pair and use case are selected. The deliverable is a reproducible comparison and a documented adoption decision basis.</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Outputs and integration. </w:t>
      </w:r>
      <w:r>
        <w:rPr>
          <w:rFonts w:ascii="Times New Roman" w:hAnsi="Times New Roman" w:eastAsia="SimSun"/>
          <w:b w:val="0"/>
          <w:sz w:val="24"/>
          <w:color w:val="000000"/>
        </w:rPr>
        <w:t>Deliver ten module-based evaluation assemblies, one OEM firmware/development package, an event-data exporter, documented host interface, comparison report and costed adoption case. Record power, pinout, timing, control ownership and example host code. Include production tests and a support boundary. Only incremental NTU productisation work not already funded elsewhere is charged to the grant.</w:t>
      </w:r>
    </w:p>
    <w:p w14:paraId="0C1666AE" w14:textId="77777777" w:rsidR="00E4627E" w:rsidRPr="004B30EA" w:rsidRDefault="00E4627E" w:rsidP="00E4627E">
      <w:pPr>
        <w:jc w:val="both"/>
        <w:rPr>
          <w:rFonts w:ascii="Times New Roman" w:hAnsi="Times New Roman" w:cs="Times New Roman"/>
          <w:bCs/>
          <w:i/>
          <w:lang w:val="en-GB"/>
        </w:rPr>
      </w:pPr>
      <w:r w:rsidRPr="004B30EA">
        <w:rPr>
          <w:rFonts w:ascii="Times New Roman" w:hAnsi="Times New Roman" w:cs="Times New Roman"/>
          <w:i/>
          <w:iCs/>
          <w:lang w:val="en-GB"/>
        </w:rPr>
        <w:lastRenderedPageBreak/>
        <w:t xml:space="preserve">You should also state succinctly how your technology is better than the current state of the art (i.e. your secret sauce). </w:t>
      </w:r>
      <w:r w:rsidRPr="004B30EA">
        <w:rPr>
          <w:rFonts w:ascii="Times New Roman" w:hAnsi="Times New Roman" w:cs="Times New Roman"/>
          <w:bCs/>
          <w:i/>
          <w:lang w:val="en-GB"/>
        </w:rPr>
        <w:t xml:space="preserve">For clear and easy comparison of your technology with commercial/state of the art, please </w:t>
      </w:r>
      <w:r w:rsidR="0080323F">
        <w:rPr>
          <w:rFonts w:ascii="Times New Roman" w:hAnsi="Times New Roman" w:cs="Times New Roman"/>
          <w:bCs/>
          <w:i/>
          <w:lang w:val="en-GB"/>
        </w:rPr>
        <w:t>tabulate in the</w:t>
      </w:r>
      <w:r w:rsidRPr="004B30EA">
        <w:rPr>
          <w:rFonts w:ascii="Times New Roman" w:hAnsi="Times New Roman" w:cs="Times New Roman"/>
          <w:bCs/>
          <w:i/>
          <w:lang w:val="en-GB"/>
        </w:rPr>
        <w:t xml:space="preserve"> format</w:t>
      </w:r>
      <w:r w:rsidR="0080323F">
        <w:rPr>
          <w:rFonts w:ascii="Times New Roman" w:hAnsi="Times New Roman" w:cs="Times New Roman"/>
          <w:bCs/>
          <w:i/>
          <w:lang w:val="en-GB"/>
        </w:rPr>
        <w:t xml:space="preserve"> below</w:t>
      </w:r>
      <w:r w:rsidRPr="004B30EA">
        <w:rPr>
          <w:rFonts w:ascii="Times New Roman" w:hAnsi="Times New Roman" w:cs="Times New Roman"/>
          <w:bCs/>
          <w:i/>
          <w:lang w:val="en-GB"/>
        </w:rPr>
        <w:t>:</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Ind w:w="0" w:type="dxa"/>
        <w:tblLayout w:type="fixed"/>
        <w:tblCellMar>
          <w:top w:w="70" w:type="dxa"/>
          <w:bottom w:w="70" w:type="dxa"/>
          <w:left w:w="108" w:type="dxa"/>
          <w:right w:w="108" w:type="dxa"/>
        </w:tblCellMar>
      </w:tblPr>
      <w:tblGrid>
        <w:gridCol w:w="2408"/>
        <w:gridCol w:w="2601"/>
        <w:gridCol w:w="2312"/>
        <w:gridCol w:w="2311"/>
      </w:tblGrid>
      <w:tr w:rsidR="00E4627E" w:rsidRPr="004B30EA" w14:paraId="3494C567" w14:textId="77777777" w:rsidTr="00E52F3C">
        <w:trPr>
          <w:cantSplit/>
          <w:tblHeader/>
        </w:trPr>
        <w:tc>
          <w:tcPr>
            <w:tcW w:w="2408" w:type="dxa"/>
            <w:shd w:val="clear" w:color="auto" w:fill="BFBFBF"/>
            <w:vAlign w:val="top"/>
          </w:tcPr>
          <w:p w14:paraId="5D18F8BF"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Parameters / Characteristics</w:t>
            </w:r>
          </w:p>
        </w:tc>
        <w:tc>
          <w:tcPr>
            <w:tcW w:w="2601" w:type="dxa"/>
            <w:shd w:val="clear" w:color="auto" w:fill="BFBFBF"/>
            <w:vAlign w:val="top"/>
          </w:tcPr>
          <w:p w14:paraId="220B987F" w14:textId="77777777" w:rsidR="00E4627E" w:rsidRPr="004B30EA" w:rsidRDefault="006419F0"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NTU SATM research / proposed product</w:t>
            </w:r>
          </w:p>
        </w:tc>
        <w:tc>
          <w:tcPr>
            <w:tcW w:w="2312" w:type="dxa"/>
            <w:shd w:val="clear" w:color="auto" w:fill="BFBFBF"/>
            <w:vAlign w:val="top"/>
          </w:tcPr>
          <w:p w14:paraId="31E60333"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Conservative manual baseline</w:t>
            </w:r>
          </w:p>
        </w:tc>
        <w:tc>
          <w:tcPr>
            <w:tcW w:w="2311" w:type="dxa"/>
            <w:shd w:val="clear" w:color="auto" w:fill="BFBFBF"/>
            <w:vAlign w:val="top"/>
          </w:tcPr>
          <w:p w14:paraId="601584CE"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Batch exhaustive research baseline</w:t>
            </w:r>
          </w:p>
        </w:tc>
      </w:tr>
      <w:tr w:rsidR="00E4627E" w:rsidRPr="004B30EA" w14:paraId="58371C4A" w14:textId="77777777" w:rsidTr="00E52F3C">
        <w:trPr>
          <w:cantSplit/>
        </w:trPr>
        <w:tc>
          <w:tcPr>
            <w:tcW w:w="2408" w:type="dxa"/>
            <w:vAlign w:val="top"/>
          </w:tcPr>
          <w:p w14:paraId="4A65CFD7"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Published combined detection score</w:t>
            </w:r>
          </w:p>
        </w:tc>
        <w:tc>
          <w:tcPr>
            <w:tcW w:w="2601" w:type="dxa"/>
            <w:vAlign w:val="top"/>
          </w:tcPr>
          <w:p w14:paraId="3EE359A0"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0.9396</w:t>
            </w:r>
          </w:p>
        </w:tc>
        <w:tc>
          <w:tcPr>
            <w:tcW w:w="2312" w:type="dxa"/>
            <w:vAlign w:val="top"/>
          </w:tcPr>
          <w:p w14:paraId="32F225E5"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0.8025</w:t>
            </w:r>
          </w:p>
        </w:tc>
        <w:tc>
          <w:tcPr>
            <w:tcW w:w="2311" w:type="dxa"/>
            <w:vAlign w:val="top"/>
          </w:tcPr>
          <w:p w14:paraId="0EA482B5"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0.9350</w:t>
            </w:r>
          </w:p>
        </w:tc>
      </w:tr>
      <w:tr w:rsidR="00E4627E" w:rsidRPr="004B30EA" w14:paraId="476F10D2" w14:textId="77777777" w:rsidTr="00E52F3C">
        <w:trPr>
          <w:cantSplit/>
        </w:trPr>
        <w:tc>
          <w:tcPr>
            <w:tcW w:w="2408" w:type="dxa"/>
            <w:vAlign w:val="top"/>
          </w:tcPr>
          <w:p w14:paraId="5545281C"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Published precision / recall</w:t>
            </w:r>
          </w:p>
        </w:tc>
        <w:tc>
          <w:tcPr>
            <w:tcW w:w="2601" w:type="dxa"/>
            <w:vAlign w:val="top"/>
          </w:tcPr>
          <w:p w14:paraId="5920A338"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90.84% / 94.36%</w:t>
            </w:r>
          </w:p>
        </w:tc>
        <w:tc>
          <w:tcPr>
            <w:tcW w:w="2312" w:type="dxa"/>
            <w:vAlign w:val="top"/>
          </w:tcPr>
          <w:p w14:paraId="54228E82"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50.00% / 100.00%</w:t>
            </w:r>
          </w:p>
        </w:tc>
        <w:tc>
          <w:tcPr>
            <w:tcW w:w="2311" w:type="dxa"/>
            <w:vAlign w:val="top"/>
          </w:tcPr>
          <w:p w14:paraId="4CC1F209"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90.56% / 93.84%</w:t>
            </w:r>
          </w:p>
        </w:tc>
      </w:tr>
      <w:tr w:rsidR="00E4627E" w:rsidRPr="004B30EA" w14:paraId="1C1F9B46" w14:textId="77777777" w:rsidTr="00E52F3C">
        <w:trPr>
          <w:cantSplit/>
        </w:trPr>
        <w:tc>
          <w:tcPr>
            <w:tcW w:w="2408" w:type="dxa"/>
            <w:vAlign w:val="top"/>
          </w:tcPr>
          <w:p w14:paraId="0AE5220F"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Published relative computation overhead</w:t>
            </w:r>
          </w:p>
        </w:tc>
        <w:tc>
          <w:tcPr>
            <w:tcW w:w="2601" w:type="dxa"/>
            <w:vAlign w:val="top"/>
          </w:tcPr>
          <w:p w14:paraId="13583DCB"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200 (edge)</w:t>
            </w:r>
          </w:p>
        </w:tc>
        <w:tc>
          <w:tcPr>
            <w:tcW w:w="2312" w:type="dxa"/>
            <w:vAlign w:val="top"/>
          </w:tcPr>
          <w:p w14:paraId="3B474BE5"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1 (cloud)</w:t>
            </w:r>
          </w:p>
        </w:tc>
        <w:tc>
          <w:tcPr>
            <w:tcW w:w="2311" w:type="dxa"/>
            <w:vAlign w:val="top"/>
          </w:tcPr>
          <w:p w14:paraId="39375E0B"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15,354 (cloud)</w:t>
            </w:r>
          </w:p>
        </w:tc>
      </w:tr>
      <w:tr w:rsidR="00E4627E" w:rsidRPr="004B30EA" w14:paraId="1C1F9B46" w14:textId="77777777" w:rsidTr="00E52F3C">
        <w:trPr>
          <w:cantSplit/>
        </w:trPr>
        <w:tc>
          <w:tcPr>
            <w:tcW w:w="2408" w:type="dxa"/>
            <w:vAlign w:val="top"/>
          </w:tcPr>
          <w:p w14:paraId="0AE5220F"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Interpretation</w:t>
            </w:r>
          </w:p>
        </w:tc>
        <w:tc>
          <w:tcPr>
            <w:tcW w:w="2601" w:type="dxa"/>
            <w:vAlign w:val="top"/>
          </w:tcPr>
          <w:p w14:paraId="13583DCB"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hyperlink r:id="rIdGAP13">
              <w:r>
                <w:rPr>
                  <w:rFonts w:ascii="Times New Roman" w:hAnsi="Times New Roman" w:eastAsia="SimSun"/>
                  <w:sz w:val="24"/>
                  <w:color w:val="0000FF"/>
                  <w:u w:val="single"/>
                </w:rPr>
                <w:t>Table 5 laboratory values.</w:t>
              </w:r>
            </w:hyperlink>
            <w:r>
              <w:rPr>
                <w:rFonts w:ascii="Times New Roman" w:hAnsi="Times New Roman" w:eastAsia="SimSun"/>
                <w:b w:val="0"/>
                <w:i w:val="0"/>
                <w:sz w:val="24"/>
                <w:color w:val="000000"/>
              </w:rPr>
              <w:t xml:space="preserve"> Proposed product and field outcomes remain to be measured.</w:t>
            </w:r>
          </w:p>
        </w:tc>
        <w:tc>
          <w:tcPr>
            <w:tcW w:w="2312" w:type="dxa"/>
            <w:vAlign w:val="top"/>
          </w:tcPr>
          <w:p w14:paraId="3B474BE5"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High recall with many irrelevant captures in this experiment.</w:t>
            </w:r>
          </w:p>
        </w:tc>
        <w:tc>
          <w:tcPr>
            <w:tcW w:w="2311" w:type="dxa"/>
            <w:vAlign w:val="top"/>
          </w:tcPr>
          <w:p w14:paraId="39375E0B"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Cs/>
                <w:lang w:val="en-GB"/>
              </w:rPr>
              <w:kinsoku w:val="1"/>
            </w:pPr>
            <w:r>
              <w:rPr>
                <w:rFonts w:ascii="Times New Roman" w:hAnsi="Times New Roman" w:eastAsia="SimSun"/>
                <w:b w:val="0"/>
                <w:i w:val="0"/>
                <w:sz w:val="24"/>
                <w:color w:val="000000"/>
              </w:rPr>
              <w:t>Near-equivalent score; resource assumptions differ from edge execution.</w:t>
            </w:r>
          </w:p>
        </w:tc>
      </w:tr>
    </w:tbl>
    <w:p w14:paraId="02B47C32" w14:textId="77777777" w:rsidR="00E4627E" w:rsidRPr="004B30EA" w:rsidRDefault="00E4627E" w:rsidP="00E4627E">
      <w:pPr>
        <w:keepNext/>
        <w:keepLines/>
        <w:pageBreakBefore/>
        <w:spacing w:before="240" w:after="160"/>
        <w:jc w:val="both"/>
        <w:rPr>
          <w:rFonts w:ascii="Times New Roman" w:hAnsi="Times New Roman" w:cs="Times New Roman"/>
          <w:b/>
          <w:bCs/>
          <w:sz w:val="28"/>
          <w:lang w:val="en-GB"/>
        </w:rPr>
      </w:pPr>
      <w:r w:rsidRPr="004B30EA">
        <w:rPr>
          <w:rFonts w:ascii="Times New Roman" w:hAnsi="Times New Roman" w:cs="Times New Roman"/>
          <w:b/>
          <w:bCs/>
          <w:sz w:val="28"/>
          <w:lang w:val="en-GB"/>
        </w:rPr>
        <w:t>4.</w:t>
      </w:r>
      <w:r w:rsidRPr="004B30EA">
        <w:rPr>
          <w:rFonts w:ascii="Times New Roman" w:hAnsi="Times New Roman" w:cs="Times New Roman"/>
          <w:b/>
          <w:bCs/>
          <w:sz w:val="28"/>
          <w:lang w:val="en-GB"/>
        </w:rPr>
        <w:tab/>
        <w:t>Project Milestones</w:t>
      </w:r>
    </w:p>
    <w:p w14:paraId="5195AA30" w14:textId="77777777" w:rsidR="00E4627E" w:rsidRPr="004B30EA" w:rsidRDefault="00E4627E" w:rsidP="00E4627E">
      <w:pPr>
        <w:jc w:val="both"/>
        <w:rPr>
          <w:rFonts w:ascii="Times New Roman" w:hAnsi="Times New Roman" w:cs="Times New Roman"/>
          <w:bCs/>
          <w:i/>
          <w:lang w:val="en-GB"/>
        </w:rPr>
      </w:pPr>
      <w:r w:rsidRPr="004B30EA">
        <w:rPr>
          <w:rFonts w:ascii="Times New Roman" w:hAnsi="Times New Roman" w:cs="Times New Roman"/>
          <w:bCs/>
          <w:i/>
          <w:lang w:val="en-GB"/>
        </w:rPr>
        <w:t xml:space="preserve">Describe specific project </w:t>
      </w:r>
      <w:r w:rsidR="000D0768">
        <w:rPr>
          <w:rFonts w:ascii="Times New Roman" w:hAnsi="Times New Roman" w:cs="Times New Roman"/>
          <w:bCs/>
          <w:i/>
          <w:lang w:val="en-GB"/>
        </w:rPr>
        <w:t>timeline</w:t>
      </w:r>
      <w:r w:rsidRPr="004B30EA">
        <w:rPr>
          <w:rFonts w:ascii="Times New Roman" w:hAnsi="Times New Roman" w:cs="Times New Roman"/>
          <w:bCs/>
          <w:i/>
          <w:lang w:val="en-GB"/>
        </w:rPr>
        <w:t xml:space="preserve"> in terms of “project months or weeks” </w:t>
      </w:r>
      <w:r w:rsidR="000D0768">
        <w:rPr>
          <w:rFonts w:ascii="Times New Roman" w:hAnsi="Times New Roman" w:cs="Times New Roman"/>
          <w:bCs/>
          <w:i/>
          <w:lang w:val="en-GB"/>
        </w:rPr>
        <w:t>for meeting of quantifiable</w:t>
      </w:r>
      <w:r w:rsidRPr="004B30EA">
        <w:rPr>
          <w:rFonts w:ascii="Times New Roman" w:hAnsi="Times New Roman" w:cs="Times New Roman"/>
          <w:bCs/>
          <w:i/>
          <w:lang w:val="en-GB"/>
        </w:rPr>
        <w:t xml:space="preserve"> </w:t>
      </w:r>
      <w:r w:rsidR="000D0768">
        <w:rPr>
          <w:rFonts w:ascii="Times New Roman" w:hAnsi="Times New Roman" w:cs="Times New Roman"/>
          <w:bCs/>
          <w:i/>
          <w:lang w:val="en-GB"/>
        </w:rPr>
        <w:t xml:space="preserve">milestones such as attaining certain technical specifications, </w:t>
      </w:r>
      <w:r w:rsidRPr="004B30EA">
        <w:rPr>
          <w:rFonts w:ascii="Times New Roman" w:hAnsi="Times New Roman" w:cs="Times New Roman"/>
          <w:bCs/>
          <w:i/>
          <w:lang w:val="en-GB"/>
        </w:rPr>
        <w:t>fabrication, testing, refinement, field tests, etc.</w:t>
      </w:r>
    </w:p>
    <w:p>
      <w:pPr>
        <w:keepNext w:val="0"/>
        <w:keepLines w:val="0"/>
        <w:widowControl/>
        <w:spacing w:before="0" w:after="120" w:line="252" w:lineRule="auto"/>
        <w:ind w:left="0" w:right="0" w:firstLine="0"/>
        <w:jc w:val="left"/>
        <w:kinsoku w:val="1"/>
      </w:pPr>
      <w:r>
        <w:rPr>
          <w:rFonts w:ascii="Times New Roman" w:hAnsi="Times New Roman" w:eastAsia="SimSun"/>
          <w:b/>
          <w:sz w:val="24"/>
          <w:color w:val="000000"/>
        </w:rPr>
        <w:t xml:space="preserve">Proposed duration: </w:t>
      </w:r>
      <w:r>
        <w:rPr>
          <w:rFonts w:ascii="Times New Roman" w:hAnsi="Times New Roman" w:eastAsia="SimSun"/>
          <w:b w:val="0"/>
          <w:sz w:val="24"/>
          <w:color w:val="000000"/>
        </w:rPr>
        <w:t>12 months from the approved start date. The milestones are a draft delivery plan for PI agreement, not customer commitments. Performance criteria will be agreed for the selected event and sensor pair. All grant-funded work remains at NTU; external demonstrations require permission and appropriate access, data and funding arrangements.</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Ind w:w="0" w:type="dxa"/>
        <w:tblLayout w:type="fixed"/>
        <w:tblCellMar>
          <w:top w:w="70" w:type="dxa"/>
          <w:bottom w:w="70" w:type="dxa"/>
          <w:left w:w="108" w:type="dxa"/>
          <w:right w:w="108" w:type="dxa"/>
        </w:tblCellMar>
      </w:tblPr>
      <w:tblGrid>
        <w:gridCol w:w="1252"/>
        <w:gridCol w:w="1252"/>
        <w:gridCol w:w="7128"/>
      </w:tblGrid>
      <w:tr w:rsidR="00E4627E" w:rsidRPr="004B30EA" w14:paraId="260DDC13" w14:textId="77777777" w:rsidTr="00E52F3C">
        <w:trPr>
          <w:cantSplit/>
          <w:tblHeader/>
        </w:trPr>
        <w:tc>
          <w:tcPr>
            <w:tcW w:w="1252" w:type="dxa"/>
            <w:shd w:val="clear" w:color="auto" w:fill="CCCCCC"/>
            <w:vAlign w:val="top"/>
          </w:tcPr>
          <w:p w14:paraId="4CD25C4D"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Start</w:t>
            </w:r>
          </w:p>
        </w:tc>
        <w:tc>
          <w:tcPr>
            <w:tcW w:w="1252" w:type="dxa"/>
            <w:shd w:val="clear" w:color="auto" w:fill="CCCCCC"/>
            <w:vAlign w:val="top"/>
          </w:tcPr>
          <w:p w14:paraId="3D2BE265"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End</w:t>
            </w:r>
          </w:p>
        </w:tc>
        <w:tc>
          <w:tcPr>
            <w:tcW w:w="7128" w:type="dxa"/>
            <w:shd w:val="clear" w:color="auto" w:fill="CCCCCC"/>
            <w:vAlign w:val="top"/>
          </w:tcPr>
          <w:p w14:paraId="57991029" w14:textId="77777777" w:rsidR="00E4627E" w:rsidRPr="004B30EA" w:rsidRDefault="00E4627E" w:rsidP="00E52F3C">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Description</w:t>
            </w:r>
          </w:p>
        </w:tc>
      </w:tr>
      <w:tr w:rsidR="00E4627E" w:rsidRPr="004B30EA" w14:paraId="312059CF" w14:textId="77777777" w:rsidTr="00E52F3C">
        <w:trPr>
          <w:cantSplit/>
        </w:trPr>
        <w:tc>
          <w:tcPr>
            <w:tcW w:w="1252" w:type="dxa"/>
            <w:vAlign w:val="top"/>
          </w:tcPr>
          <w:p w14:paraId="7CC07CF2"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0</w:t>
            </w:r>
          </w:p>
        </w:tc>
        <w:tc>
          <w:tcPr>
            <w:tcW w:w="1252" w:type="dxa"/>
            <w:vAlign w:val="top"/>
          </w:tcPr>
          <w:p w14:paraId="7F864B05"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2</w:t>
            </w:r>
          </w:p>
        </w:tc>
        <w:tc>
          <w:tcPr>
            <w:tcW w:w="7128" w:type="dxa"/>
            <w:vAlign w:val="top"/>
          </w:tcPr>
          <w:p w14:paraId="5DF8E970"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sz w:val="24"/>
                <w:color w:val="000000"/>
              </w:rPr>
              <w:t>M1 - Requirements and buying case. Complete eight structured discussions: at least four equipment/OEM and four monitoring-user, service or integration discussions. Select one event/sensor envelope and an initial host interface. Document the buyer, evaluation protocol, adoption cost, IP status and non-overlap with existing funding.</w:t>
            </w:r>
          </w:p>
        </w:tc>
      </w:tr>
      <w:tr w:rsidR="00E4627E" w:rsidRPr="004B30EA" w14:paraId="66234AF2" w14:textId="77777777" w:rsidTr="00E52F3C">
        <w:trPr>
          <w:cantSplit/>
        </w:trPr>
        <w:tc>
          <w:tcPr>
            <w:tcW w:w="1252" w:type="dxa"/>
            <w:vAlign w:val="top"/>
          </w:tcPr>
          <w:p w14:paraId="41223829"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2</w:t>
            </w:r>
          </w:p>
        </w:tc>
        <w:tc>
          <w:tcPr>
            <w:tcW w:w="1252" w:type="dxa"/>
            <w:vAlign w:val="top"/>
          </w:tcPr>
          <w:p w14:paraId="58D14E31"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5</w:t>
            </w:r>
          </w:p>
        </w:tc>
        <w:tc>
          <w:tcPr>
            <w:tcW w:w="7128" w:type="dxa"/>
            <w:vAlign w:val="top"/>
          </w:tcPr>
          <w:p w14:paraId="70B18AB6"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sz w:val="24"/>
                <w:color w:val="000000"/>
              </w:rPr>
              <w:t>M2 - Module prototype. Complete two hardware/firmware iterations and ten module-based evaluation assemblies. Deliver local event files, configuration history, fallback and an OEM interface. Characterise wake-up delay, available sentinel prehistory and overlapping-sensor timing.</w:t>
            </w:r>
          </w:p>
        </w:tc>
      </w:tr>
      <w:tr w:rsidR="00E4627E" w:rsidRPr="004B30EA" w14:paraId="66234AF2" w14:textId="77777777" w:rsidTr="00E52F3C">
        <w:trPr>
          <w:cantSplit/>
        </w:trPr>
        <w:tc>
          <w:tcPr>
            <w:tcW w:w="1252" w:type="dxa"/>
            <w:vAlign w:val="top"/>
          </w:tcPr>
          <w:p w14:paraId="41223829"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5</w:t>
            </w:r>
          </w:p>
        </w:tc>
        <w:tc>
          <w:tcPr>
            <w:tcW w:w="1252" w:type="dxa"/>
            <w:vAlign w:val="top"/>
          </w:tcPr>
          <w:p w14:paraId="58D14E31"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8</w:t>
            </w:r>
          </w:p>
        </w:tc>
        <w:tc>
          <w:tcPr>
            <w:tcW w:w="7128" w:type="dxa"/>
            <w:vAlign w:val="top"/>
          </w:tcPr>
          <w:p w14:paraId="70B18AB6"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sz w:val="24"/>
                <w:color w:val="000000"/>
              </w:rPr>
              <w:t>M3 - Controlled comparison. Evaluate the draft corpus of 200 labelled events and 200 non-event windows across three backgrounds. Compare fixed/adaptive settings at comparable recall; report false records, waveform quality, alignment error, whole-node energy and integration/tuning effort. Agree criteria before testing.</w:t>
            </w:r>
          </w:p>
        </w:tc>
      </w:tr>
      <w:tr w:rsidR="00E4627E" w:rsidRPr="004B30EA" w14:paraId="66234AF2" w14:textId="77777777" w:rsidTr="00E52F3C">
        <w:trPr>
          <w:cantSplit/>
        </w:trPr>
        <w:tc>
          <w:tcPr>
            <w:tcW w:w="1252" w:type="dxa"/>
            <w:vAlign w:val="top"/>
          </w:tcPr>
          <w:p w14:paraId="41223829"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8</w:t>
            </w:r>
          </w:p>
        </w:tc>
        <w:tc>
          <w:tcPr>
            <w:tcW w:w="1252" w:type="dxa"/>
            <w:vAlign w:val="top"/>
          </w:tcPr>
          <w:p w14:paraId="58D14E31"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10</w:t>
            </w:r>
          </w:p>
        </w:tc>
        <w:tc>
          <w:tcPr>
            <w:tcW w:w="7128" w:type="dxa"/>
            <w:vAlign w:val="top"/>
          </w:tcPr>
          <w:p w14:paraId="70B18AB6"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sz w:val="24"/>
                <w:color w:val="000000"/>
              </w:rPr>
              <w:t>M4 - Application assessment. Seek one approved Singapore demonstration, targeting four weeks of parallel recording. Obtain technical feedback and measured operating costs. If access is delayed, use NTU replay with customer-reviewed records and disclose the remaining field-validation gap.</w:t>
            </w:r>
          </w:p>
        </w:tc>
      </w:tr>
      <w:tr w:rsidR="00E4627E" w:rsidRPr="004B30EA" w14:paraId="66234AF2" w14:textId="77777777" w:rsidTr="00E52F3C">
        <w:trPr>
          <w:cantSplit/>
        </w:trPr>
        <w:tc>
          <w:tcPr>
            <w:tcW w:w="1252" w:type="dxa"/>
            <w:vAlign w:val="top"/>
          </w:tcPr>
          <w:p w14:paraId="41223829"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10</w:t>
            </w:r>
          </w:p>
        </w:tc>
        <w:tc>
          <w:tcPr>
            <w:tcW w:w="1252" w:type="dxa"/>
            <w:vAlign w:val="top"/>
          </w:tcPr>
          <w:p w14:paraId="58D14E31"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Month 12</w:t>
            </w:r>
          </w:p>
        </w:tc>
        <w:tc>
          <w:tcPr>
            <w:tcW w:w="7128" w:type="dxa"/>
            <w:vAlign w:val="top"/>
          </w:tcPr>
          <w:p w14:paraId="70B18AB6"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sz w:val="24"/>
                <w:color w:val="000000"/>
              </w:rPr>
              <w:t>M5 - OEM readiness. Deliver firmware/SDK, host-interface examples, a costed bill of materials, production-test procedure, adoption case and NTUitive licensing recommendation. Seek a paid evaluation or conditional integration letter; report outcomes without assuming purchase commitments.</w:t>
            </w:r>
          </w:p>
        </w:tc>
      </w:tr>
    </w:tbl>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Submit the six-month interim report/presentation in Month 7 and the final report within three months of project completion, following the supplied RIE2030 guidelines. [CONFIRM reporting schedule with NTUitive.]</w:t>
      </w:r>
    </w:p>
    <w:p w14:paraId="335FEFC2" w14:textId="77777777" w:rsidR="00E4627E" w:rsidRPr="004B30EA" w:rsidRDefault="00E4627E" w:rsidP="00E4627E">
      <w:pPr>
        <w:keepNext/>
        <w:keepLines/>
        <w:pageBreakBefore/>
        <w:spacing w:before="240" w:after="160"/>
        <w:jc w:val="both"/>
        <w:rPr>
          <w:rFonts w:ascii="Times New Roman" w:hAnsi="Times New Roman" w:cs="Times New Roman"/>
          <w:b/>
          <w:bCs/>
          <w:sz w:val="28"/>
          <w:lang w:val="en-GB"/>
        </w:rPr>
      </w:pPr>
      <w:r w:rsidRPr="004B30EA">
        <w:rPr>
          <w:rFonts w:ascii="Times New Roman" w:hAnsi="Times New Roman" w:cs="Times New Roman"/>
          <w:b/>
          <w:bCs/>
          <w:sz w:val="28"/>
          <w:lang w:val="en-GB"/>
        </w:rPr>
        <w:t>5.</w:t>
      </w:r>
      <w:r w:rsidRPr="004B30EA">
        <w:rPr>
          <w:rFonts w:ascii="Times New Roman" w:hAnsi="Times New Roman" w:cs="Times New Roman"/>
          <w:b/>
          <w:bCs/>
          <w:sz w:val="28"/>
          <w:lang w:val="en-GB"/>
        </w:rPr>
        <w:tab/>
        <w:t>Budget</w:t>
      </w:r>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Ind w:w="0" w:type="dxa"/>
        <w:tblLayout w:type="fixed"/>
        <w:tblCellMar>
          <w:top w:w="70" w:type="dxa"/>
          <w:bottom w:w="70" w:type="dxa"/>
          <w:left w:w="108" w:type="dxa"/>
          <w:right w:w="108" w:type="dxa"/>
        </w:tblCellMar>
      </w:tblPr>
      <w:tblGrid>
        <w:gridCol w:w="7706"/>
        <w:gridCol w:w="1926"/>
      </w:tblGrid>
      <w:tr w:rsidR="00E4627E" w:rsidRPr="004B30EA" w14:paraId="4DE55A47" w14:textId="77777777" w:rsidTr="00E52F3C">
        <w:trPr>
          <w:cantSplit/>
        </w:trPr>
        <w:tc>
          <w:tcPr>
            <w:tcW w:w="7706" w:type="dxa"/>
            <w:vAlign w:val="top"/>
          </w:tcPr>
          <w:p w14:paraId="2D12F8BF"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Manpower</w:t>
              <w:br/>
              <w:t>New, project-specific NTU hires only. Embedded research engineer: 12 months x S$7,000 = S$84,000. Validation project officer: 6 months x S$4,000 = S$24,000. Loaded monthly planning rates; no PI or existing-team salary charged.</w:t>
            </w:r>
          </w:p>
        </w:tc>
        <w:tc>
          <w:tcPr>
            <w:tcW w:w="1926" w:type="dxa"/>
            <w:vAlign w:val="top"/>
          </w:tcPr>
          <w:p w14:paraId="0B5EC62D"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lang w:val="en-GB"/>
              </w:rPr>
              <w:kinsoku w:val="1"/>
            </w:pPr>
            <w:r>
              <w:rPr>
                <w:rFonts w:ascii="Times New Roman" w:hAnsi="Times New Roman" w:eastAsia="SimSun"/>
                <w:b w:val="0"/>
                <w:i w:val="0"/>
                <w:sz w:val="24"/>
                <w:color w:val="000000"/>
              </w:rPr>
              <w:t>S$108,000</w:t>
            </w:r>
          </w:p>
        </w:tc>
      </w:tr>
      <w:tr w:rsidR="00E4627E" w:rsidRPr="004B30EA" w14:paraId="438A0D86" w14:textId="77777777" w:rsidTr="00E52F3C">
        <w:trPr>
          <w:cantSplit/>
        </w:trPr>
        <w:tc>
          <w:tcPr>
            <w:tcW w:w="7706" w:type="dxa"/>
            <w:vAlign w:val="top"/>
          </w:tcPr>
          <w:p w14:paraId="72C53CE4"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sz w:val="24"/>
                <w:color w:val="000000"/>
              </w:rPr>
              <w:t>Equipment</w:t>
              <w:br/>
              <w:t>Ten sensor/interface evaluation sets for module-based assemblies: S$12,000. One reference acquisition/timing set: S$12,000. Dedicated power/electrical test accessories: S$6,000. Reuse suitable existing equipment first.</w:t>
            </w:r>
          </w:p>
        </w:tc>
        <w:tc>
          <w:tcPr>
            <w:tcW w:w="1926" w:type="dxa"/>
            <w:vAlign w:val="top"/>
          </w:tcPr>
          <w:p w14:paraId="795EC3CA"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lang w:val="en-GB"/>
              </w:rPr>
              <w:kinsoku w:val="1"/>
            </w:pPr>
            <w:r>
              <w:rPr>
                <w:rFonts w:ascii="Times New Roman" w:hAnsi="Times New Roman" w:eastAsia="SimSun"/>
                <w:b w:val="0"/>
                <w:i w:val="0"/>
                <w:sz w:val="24"/>
                <w:color w:val="000000"/>
              </w:rPr>
              <w:t>S$30,000</w:t>
            </w:r>
          </w:p>
        </w:tc>
      </w:tr>
      <w:tr w:rsidR="00E4627E" w:rsidRPr="004B30EA" w14:paraId="15A58666" w14:textId="77777777" w:rsidTr="00E52F3C">
        <w:trPr>
          <w:cantSplit/>
        </w:trPr>
        <w:tc>
          <w:tcPr>
            <w:tcW w:w="7706" w:type="dxa"/>
            <w:tcBorders>
              <w:bottom w:val="double" w:sz="4" w:space="0" w:color="auto"/>
            </w:tcBorders>
            <w:vAlign w:val="top"/>
          </w:tcPr>
          <w:p w14:paraId="2235B24F"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OOE (other operating expenditure)</w:t>
              <w:br/>
              <w:t>PCB fabrication/assembly across three iterations: S$12,000; enclosures/fixtures: S$6,000; project-specific calibration and pre-compliance tests: S$12,000; incremental NTU laboratory test services: S$6,000; dedicated data-acquisition/storage software and consumables: S$6,000.</w:t>
            </w:r>
          </w:p>
        </w:tc>
        <w:tc>
          <w:tcPr>
            <w:tcW w:w="1926" w:type="dxa"/>
            <w:tcBorders>
              <w:bottom w:val="double" w:sz="4" w:space="0" w:color="auto"/>
            </w:tcBorders>
            <w:vAlign w:val="top"/>
          </w:tcPr>
          <w:p w14:paraId="6B78D58E"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lang w:val="en-GB"/>
              </w:rPr>
              <w:kinsoku w:val="1"/>
            </w:pPr>
            <w:r>
              <w:rPr>
                <w:rFonts w:ascii="Times New Roman" w:hAnsi="Times New Roman" w:eastAsia="SimSun"/>
                <w:b w:val="0"/>
                <w:i w:val="0"/>
                <w:sz w:val="24"/>
                <w:color w:val="000000"/>
              </w:rPr>
              <w:t>S$42,000</w:t>
            </w:r>
          </w:p>
        </w:tc>
      </w:tr>
      <w:tr w:rsidR="00E4627E" w:rsidRPr="004B30EA" w14:paraId="7B427A77" w14:textId="77777777" w:rsidTr="00E52F3C">
        <w:trPr>
          <w:cantSplit/>
        </w:trPr>
        <w:tc>
          <w:tcPr>
            <w:tcW w:w="7706" w:type="dxa"/>
            <w:tcBorders>
              <w:top w:val="double" w:sz="4" w:space="0" w:color="auto"/>
            </w:tcBorders>
            <w:vAlign w:val="top"/>
          </w:tcPr>
          <w:p w14:paraId="0A21C5F5"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Total proposed direct-cost request</w:t>
              <w:br/>
              <w:t>12-month project; subject to approved scope and quotations.</w:t>
            </w:r>
          </w:p>
        </w:tc>
        <w:tc>
          <w:tcPr>
            <w:tcW w:w="1926" w:type="dxa"/>
            <w:tcBorders>
              <w:top w:val="double" w:sz="4" w:space="0" w:color="auto"/>
            </w:tcBorders>
            <w:vAlign w:val="top"/>
          </w:tcPr>
          <w:p w14:paraId="314D3DA4" w14:textId="77777777" w:rsidR="00E4627E" w:rsidRPr="004B30EA" w:rsidRDefault="00E4627E" w:rsidP="00E52F3C">
            <w:pPr>
              <w:keepNext w:val="0"/>
              <w:keepLines/>
              <w:widowControl/>
              <w:spacing w:before="0" w:after="0" w:line="252" w:lineRule="auto"/>
              <w:ind w:left="0" w:right="0" w:firstLine="0"/>
              <w:jc w:val="left"/>
              <w:rPr>
                <w:rFonts w:ascii="Times New Roman" w:hAnsi="Times New Roman" w:cs="Times New Roman"/>
                <w:lang w:val="en-GB"/>
              </w:rPr>
              <w:kinsoku w:val="1"/>
            </w:pPr>
            <w:r>
              <w:rPr>
                <w:rFonts w:ascii="Times New Roman" w:hAnsi="Times New Roman" w:eastAsia="SimSun"/>
                <w:b w:val="0"/>
                <w:i w:val="0"/>
                <w:sz w:val="24"/>
                <w:color w:val="000000"/>
              </w:rPr>
              <w:t>S$180,000</w:t>
            </w:r>
          </w:p>
        </w:tc>
      </w:tr>
    </w:tbl>
    <w:p w14:paraId="406128C8" w14:textId="623B761D" w:rsidR="00E4627E" w:rsidRPr="00C706C6" w:rsidRDefault="00C706C6" w:rsidP="00C706C6">
      <w:pPr>
        <w:jc w:val="both"/>
        <w:rPr>
          <w:rFonts w:ascii="Times New Roman" w:hAnsi="Times New Roman" w:cs="Times New Roman"/>
          <w:i/>
          <w:iCs/>
        </w:rPr>
      </w:pPr>
      <w:r w:rsidRPr="00C706C6">
        <w:rPr>
          <w:rFonts w:ascii="Times New Roman" w:hAnsi="Times New Roman" w:cs="Times New Roman"/>
          <w:i/>
          <w:iCs/>
        </w:rPr>
        <w:t>*Please leave out overheads when planning for budget at this stage</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Budget basis. </w:t>
      </w:r>
      <w:r>
        <w:rPr>
          <w:rFonts w:ascii="Times New Roman" w:hAnsi="Times New Roman" w:eastAsia="SimSun"/>
          <w:b w:val="0"/>
          <w:i w:val="0"/>
          <w:sz w:val="24"/>
          <w:color w:val="000000"/>
        </w:rPr>
        <w:t>This is a planning budget, not a supplier quotation or a spending authorisation. Amounts include applicable GST and eligible employment on-costs. Procurement is incremental and project-specific, incurred by NTU and subject to fundability review. Equipment covers reusable measurement/test assets; OOE covers prototype consumables and iteration services, with no duplicate charging.</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Excluded costs. </w:t>
      </w:r>
      <w:r>
        <w:rPr>
          <w:rFonts w:ascii="Times New Roman" w:hAnsi="Times New Roman" w:eastAsia="SimSun"/>
          <w:b w:val="0"/>
          <w:i w:val="0"/>
          <w:sz w:val="24"/>
          <w:color w:val="000000"/>
        </w:rPr>
        <w:t>No overhead, existing manpower, general office equipment/software, rent, patent filing, legal fees, entertainment, overseas expansion or partner-company payroll is included. Match each final invoice and staff effort to an approved deliverable; do not charge work funded by the grants in Section 6.</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Before submission. </w:t>
      </w:r>
      <w:r>
        <w:rPr>
          <w:rFonts w:ascii="Times New Roman" w:hAnsi="Times New Roman" w:eastAsia="SimSun"/>
          <w:b w:val="0"/>
          <w:i w:val="0"/>
          <w:sz w:val="24"/>
          <w:color w:val="000000"/>
        </w:rPr>
        <w:t>[CONFIRM: staffing availability and HR costing; equipment already available; procurement quotations; GST treatment; eligibility of calibration/test/software items; final amount requested.] The requested amount is below the supplied RIE2030 cap of S$250,000 and duration below 18 months.</w:t>
      </w:r>
    </w:p>
    <w:p w14:paraId="7400C7ED" w14:textId="77777777" w:rsidR="00E4627E" w:rsidRPr="004B30EA" w:rsidRDefault="00E4627E" w:rsidP="00E4627E">
      <w:pPr>
        <w:keepNext/>
        <w:keepLines/>
        <w:pageBreakBefore/>
        <w:spacing w:before="240" w:after="160"/>
        <w:jc w:val="both"/>
        <w:rPr>
          <w:rFonts w:ascii="Times New Roman" w:hAnsi="Times New Roman" w:cs="Times New Roman"/>
          <w:b/>
          <w:bCs/>
          <w:sz w:val="28"/>
          <w:lang w:val="en-GB"/>
        </w:rPr>
      </w:pPr>
      <w:r w:rsidRPr="004B30EA">
        <w:rPr>
          <w:rFonts w:ascii="Times New Roman" w:hAnsi="Times New Roman" w:cs="Times New Roman"/>
          <w:b/>
          <w:bCs/>
          <w:sz w:val="28"/>
          <w:lang w:val="en-GB"/>
        </w:rPr>
        <w:t>6.</w:t>
      </w:r>
      <w:r w:rsidRPr="004B30EA">
        <w:rPr>
          <w:rFonts w:ascii="Times New Roman" w:hAnsi="Times New Roman" w:cs="Times New Roman"/>
          <w:b/>
          <w:bCs/>
          <w:sz w:val="28"/>
          <w:lang w:val="en-GB"/>
        </w:rPr>
        <w:tab/>
        <w:t>Funding Sources</w:t>
      </w:r>
    </w:p>
    <w:p w14:paraId="4E7E9E3D" w14:textId="77777777" w:rsidR="00E4627E" w:rsidRPr="004B30EA" w:rsidRDefault="00E4627E" w:rsidP="00E4627E">
      <w:pPr>
        <w:jc w:val="both"/>
        <w:rPr>
          <w:rFonts w:ascii="Times New Roman" w:hAnsi="Times New Roman" w:cs="Times New Roman"/>
          <w:b/>
          <w:bCs/>
          <w:i/>
          <w:lang w:val="en-GB"/>
        </w:rPr>
      </w:pPr>
      <w:r w:rsidRPr="004B30EA">
        <w:rPr>
          <w:rFonts w:ascii="Times New Roman" w:hAnsi="Times New Roman" w:cs="Times New Roman"/>
          <w:i/>
          <w:iCs/>
          <w:lang w:val="en-GB"/>
        </w:rPr>
        <w:t xml:space="preserve">Please provide details </w:t>
      </w:r>
      <w:r w:rsidRPr="004B30EA">
        <w:rPr>
          <w:rFonts w:ascii="Times New Roman" w:hAnsi="Times New Roman" w:cs="Times New Roman"/>
          <w:i/>
        </w:rPr>
        <w:t xml:space="preserve">of all </w:t>
      </w:r>
      <w:r w:rsidR="00055F80">
        <w:rPr>
          <w:rFonts w:ascii="Times New Roman" w:hAnsi="Times New Roman" w:cs="Times New Roman"/>
          <w:i/>
        </w:rPr>
        <w:t>sources of funding</w:t>
      </w:r>
      <w:r w:rsidRPr="004B30EA">
        <w:rPr>
          <w:rFonts w:ascii="Times New Roman" w:hAnsi="Times New Roman" w:cs="Times New Roman"/>
          <w:i/>
        </w:rPr>
        <w:t xml:space="preserve"> </w:t>
      </w:r>
      <w:r w:rsidR="00055F80">
        <w:rPr>
          <w:rFonts w:ascii="Times New Roman" w:hAnsi="Times New Roman" w:cs="Times New Roman"/>
          <w:i/>
        </w:rPr>
        <w:t xml:space="preserve">related to the technology proposed, previously and </w:t>
      </w:r>
      <w:r w:rsidRPr="004B30EA">
        <w:rPr>
          <w:rFonts w:ascii="Times New Roman" w:hAnsi="Times New Roman" w:cs="Times New Roman"/>
          <w:i/>
        </w:rPr>
        <w:t>currently held or being applied for by any of the team members</w:t>
      </w:r>
      <w:r w:rsidR="00055F80">
        <w:rPr>
          <w:rFonts w:ascii="Times New Roman" w:hAnsi="Times New Roman" w:cs="Times New Roman"/>
          <w:i/>
        </w:rPr>
        <w:t>.</w:t>
      </w:r>
      <w:r w:rsidRPr="004B30EA">
        <w:rPr>
          <w:rFonts w:ascii="Times New Roman" w:hAnsi="Times New Roman" w:cs="Times New Roman"/>
          <w:i/>
        </w:rPr>
        <w:t xml:space="preserve"> </w:t>
      </w:r>
    </w:p>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The records below are disclosed for reconciliation, not as proof of current uncommitted funding. Sources are the May 2025 technology disclosure, the published paper and the April 2026 conversion materials. The PI must verify award letters, dates, amounts, current balances and deliverable overlap before submission.</w:t>
      </w:r>
    </w:p>
    <w:tbl>
      <w:tblPr>
        <w:tblStyle w:val="TableGrid"/>
        <w:tblW w:w="9632" w:type="dxa"/>
        <w:tblLook w:val="04A0" w:firstRow="1" w:lastRow="0" w:firstColumn="1" w:lastColumn="0" w:noHBand="0" w:noVBand="1"/>
        <w:tblInd w:w="0" w:type="dxa"/>
        <w:tblLayout w:type="fixed"/>
        <w:tblCellMar>
          <w:top w:w="70" w:type="dxa"/>
          <w:bottom w:w="70" w:type="dxa"/>
          <w:left w:w="108" w:type="dxa"/>
          <w:right w:w="108" w:type="dxa"/>
        </w:tblCellMar>
      </w:tblPr>
      <w:tblGrid>
        <w:gridCol w:w="2793"/>
        <w:gridCol w:w="2023"/>
        <w:gridCol w:w="3082"/>
        <w:gridCol w:w="1734"/>
      </w:tblGrid>
      <w:tr w:rsidR="00B91483" w14:paraId="10011109" w14:textId="77777777" w:rsidTr="00B91483">
        <w:trPr>
          <w:cantSplit/>
          <w:tblHeader/>
        </w:trPr>
        <w:tc>
          <w:tcPr>
            <w:tcW w:w="2793" w:type="dxa"/>
            <w:vAlign w:val="top"/>
          </w:tcPr>
          <w:p w14:paraId="342741AA" w14:textId="77777777" w:rsidR="00B91483" w:rsidRDefault="00B91483" w:rsidP="00E4627E">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Funding Source</w:t>
              <w:br/>
              <w:t>(include industry funding/investment)</w:t>
            </w:r>
          </w:p>
        </w:tc>
        <w:tc>
          <w:tcPr>
            <w:tcW w:w="2023" w:type="dxa"/>
            <w:vAlign w:val="top"/>
          </w:tcPr>
          <w:p w14:paraId="1339E5E4" w14:textId="77777777" w:rsidR="00B91483" w:rsidRDefault="00B91483" w:rsidP="00E4627E">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Funding Period</w:t>
            </w:r>
          </w:p>
        </w:tc>
        <w:tc>
          <w:tcPr>
            <w:tcW w:w="3082" w:type="dxa"/>
            <w:vAlign w:val="top"/>
          </w:tcPr>
          <w:p w14:paraId="2F350723" w14:textId="77777777" w:rsidR="00B91483" w:rsidRDefault="00B91483" w:rsidP="00E4627E">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Deliverables / relationship to this proposal</w:t>
            </w:r>
          </w:p>
        </w:tc>
        <w:tc>
          <w:tcPr>
            <w:tcW w:w="1734" w:type="dxa"/>
            <w:vAlign w:val="top"/>
          </w:tcPr>
          <w:p w14:paraId="205FA31B" w14:textId="77777777" w:rsidR="00B91483" w:rsidRDefault="00B91483" w:rsidP="00E4627E">
            <w:pPr>
              <w:keepNext/>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i w:val="0"/>
                <w:sz w:val="24"/>
                <w:color w:val="000000"/>
              </w:rPr>
              <w:t>Funding Amount</w:t>
            </w:r>
          </w:p>
        </w:tc>
      </w:tr>
      <w:tr w:rsidR="00B91483" w14:paraId="4856E030" w14:textId="77777777" w:rsidTr="00B91483">
        <w:trPr>
          <w:cantSplit/>
        </w:trPr>
        <w:tc>
          <w:tcPr>
            <w:tcW w:w="2793" w:type="dxa"/>
            <w:vAlign w:val="top"/>
          </w:tcPr>
          <w:p w14:paraId="13F75206"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NTU Start-up: 03INS001210C120 / TD record 021323-00001.</w:t>
            </w:r>
          </w:p>
        </w:tc>
        <w:tc>
          <w:tcPr>
            <w:tcW w:w="2023" w:type="dxa"/>
            <w:vAlign w:val="top"/>
          </w:tcPr>
          <w:p w14:paraId="12127C2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Four years in TD; completed per Apr 2026 note.</w:t>
            </w:r>
          </w:p>
        </w:tc>
        <w:tc>
          <w:tcPr>
            <w:tcW w:w="3082" w:type="dxa"/>
            <w:vAlign w:val="top"/>
          </w:tcPr>
          <w:p w14:paraId="6A31EB6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Sensing platform/prototypes. Reconcile identifiers; do not assume two awards.</w:t>
            </w:r>
          </w:p>
        </w:tc>
        <w:tc>
          <w:tcPr>
            <w:tcW w:w="1734" w:type="dxa"/>
            <w:vAlign w:val="top"/>
          </w:tcPr>
          <w:p w14:paraId="18211608"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TD: S$275,000; mapping to confirm.</w:t>
            </w:r>
          </w:p>
        </w:tc>
      </w:tr>
      <w:tr w:rsidR="00B91483" w14:paraId="6BC2B8F8" w14:textId="77777777" w:rsidTr="00B91483">
        <w:trPr>
          <w:cantSplit/>
        </w:trPr>
        <w:tc>
          <w:tcPr>
            <w:tcW w:w="2793" w:type="dxa"/>
            <w:vAlign w:val="top"/>
          </w:tcPr>
          <w:p w14:paraId="47E35C84"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MOE Tier 1 RG121/21.</w:t>
            </w:r>
          </w:p>
        </w:tc>
        <w:tc>
          <w:tcPr>
            <w:tcW w:w="2023" w:type="dxa"/>
            <w:vAlign w:val="top"/>
          </w:tcPr>
          <w:p w14:paraId="78610DF0"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Three years in TD; dates to confirm.</w:t>
            </w:r>
          </w:p>
        </w:tc>
        <w:tc>
          <w:tcPr>
            <w:tcW w:w="3082" w:type="dxa"/>
            <w:vAlign w:val="top"/>
          </w:tcPr>
          <w:p w14:paraId="3E60B62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Background grant; approved scope to confirm.</w:t>
            </w:r>
          </w:p>
        </w:tc>
        <w:tc>
          <w:tcPr>
            <w:tcW w:w="1734" w:type="dxa"/>
            <w:vAlign w:val="top"/>
          </w:tcPr>
          <w:p w14:paraId="1F39140B"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TD: S$99,994; to confirm.</w:t>
            </w:r>
          </w:p>
        </w:tc>
      </w:tr>
      <w:tr w:rsidR="00B91483" w14:paraId="6BC2B8F8" w14:textId="77777777" w:rsidTr="00B91483">
        <w:trPr>
          <w:cantSplit/>
        </w:trPr>
        <w:tc>
          <w:tcPr>
            <w:tcW w:w="2793" w:type="dxa"/>
            <w:vAlign w:val="top"/>
          </w:tcPr>
          <w:p w14:paraId="47E35C84"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MOE Tier 1 RG146/23.</w:t>
            </w:r>
          </w:p>
        </w:tc>
        <w:tc>
          <w:tcPr>
            <w:tcW w:w="2023" w:type="dxa"/>
            <w:vAlign w:val="top"/>
          </w:tcPr>
          <w:p w14:paraId="78610DF0"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Ongoing per Apr 2026 note; update needed.</w:t>
            </w:r>
          </w:p>
        </w:tc>
        <w:tc>
          <w:tcPr>
            <w:tcW w:w="3082" w:type="dxa"/>
            <w:vAlign w:val="top"/>
          </w:tcPr>
          <w:p w14:paraId="3E60B62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Wireless sensing/edge research; separate funded work.</w:t>
            </w:r>
          </w:p>
        </w:tc>
        <w:tc>
          <w:tcPr>
            <w:tcW w:w="1734" w:type="dxa"/>
            <w:vAlign w:val="top"/>
          </w:tcPr>
          <w:p w14:paraId="1F39140B"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To confirm</w:t>
            </w:r>
          </w:p>
        </w:tc>
      </w:tr>
      <w:tr w:rsidR="00B91483" w14:paraId="6BC2B8F8" w14:textId="77777777" w:rsidTr="00B91483">
        <w:trPr>
          <w:cantSplit/>
        </w:trPr>
        <w:tc>
          <w:tcPr>
            <w:tcW w:w="2793" w:type="dxa"/>
            <w:vAlign w:val="top"/>
          </w:tcPr>
          <w:p w14:paraId="47E35C84"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CoE Dean's Grant 2024: 03INS002320C120.</w:t>
            </w:r>
          </w:p>
        </w:tc>
        <w:tc>
          <w:tcPr>
            <w:tcW w:w="2023" w:type="dxa"/>
            <w:vAlign w:val="top"/>
          </w:tcPr>
          <w:p w14:paraId="78610DF0"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Ongoing per Apr 2026 note; update needed.</w:t>
            </w:r>
          </w:p>
        </w:tc>
        <w:tc>
          <w:tcPr>
            <w:tcW w:w="3082" w:type="dxa"/>
            <w:vAlign w:val="top"/>
          </w:tcPr>
          <w:p w14:paraId="3E60B62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Interdisciplinary research cited by SATM paper; scope to confirm.</w:t>
            </w:r>
          </w:p>
        </w:tc>
        <w:tc>
          <w:tcPr>
            <w:tcW w:w="1734" w:type="dxa"/>
            <w:vAlign w:val="top"/>
          </w:tcPr>
          <w:p w14:paraId="1F39140B"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To confirm</w:t>
            </w:r>
          </w:p>
        </w:tc>
      </w:tr>
      <w:tr w:rsidR="00B91483" w14:paraId="6BC2B8F8" w14:textId="77777777" w:rsidTr="00B91483">
        <w:trPr>
          <w:cantSplit/>
        </w:trPr>
        <w:tc>
          <w:tcPr>
            <w:tcW w:w="2793" w:type="dxa"/>
            <w:vAlign w:val="top"/>
          </w:tcPr>
          <w:p w14:paraId="47E35C84"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AI Singapore AISG2-TC-2021-001.</w:t>
            </w:r>
          </w:p>
        </w:tc>
        <w:tc>
          <w:tcPr>
            <w:tcW w:w="2023" w:type="dxa"/>
            <w:vAlign w:val="top"/>
          </w:tcPr>
          <w:p w14:paraId="78610DF0"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Ended Mar 2025 per internal note.</w:t>
            </w:r>
          </w:p>
        </w:tc>
        <w:tc>
          <w:tcPr>
            <w:tcW w:w="3082" w:type="dxa"/>
            <w:vAlign w:val="top"/>
          </w:tcPr>
          <w:p w14:paraId="3E60B62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LTA transport monitoring; prior experience, not this product's validation.</w:t>
            </w:r>
          </w:p>
        </w:tc>
        <w:tc>
          <w:tcPr>
            <w:tcW w:w="1734" w:type="dxa"/>
            <w:vAlign w:val="top"/>
          </w:tcPr>
          <w:p w14:paraId="1F39140B"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To confirm</w:t>
            </w:r>
          </w:p>
        </w:tc>
      </w:tr>
      <w:tr w:rsidR="00B91483" w14:paraId="6BC2B8F8" w14:textId="77777777" w:rsidTr="00B91483">
        <w:trPr>
          <w:cantSplit/>
        </w:trPr>
        <w:tc>
          <w:tcPr>
            <w:tcW w:w="2793" w:type="dxa"/>
            <w:vAlign w:val="top"/>
          </w:tcPr>
          <w:p w14:paraId="47E35C84"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CFRP-AR01-V4-P1: coastal monitoring with FOS / wireless IoT.</w:t>
            </w:r>
          </w:p>
        </w:tc>
        <w:tc>
          <w:tcPr>
            <w:tcW w:w="2023" w:type="dxa"/>
            <w:vAlign w:val="top"/>
          </w:tcPr>
          <w:p w14:paraId="78610DF0"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Awarded per Apr 2026 note; dates to confirm.</w:t>
            </w:r>
          </w:p>
        </w:tc>
        <w:tc>
          <w:tcPr>
            <w:tcW w:w="3082" w:type="dxa"/>
            <w:vAlign w:val="top"/>
          </w:tcPr>
          <w:p w14:paraId="3E60B62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Potential overlap in node development and field validation; separate costs.</w:t>
            </w:r>
          </w:p>
        </w:tc>
        <w:tc>
          <w:tcPr>
            <w:tcW w:w="1734" w:type="dxa"/>
            <w:vAlign w:val="top"/>
          </w:tcPr>
          <w:p w14:paraId="1F39140B"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To confirm</w:t>
            </w:r>
          </w:p>
        </w:tc>
      </w:tr>
      <w:tr w:rsidR="00B91483" w14:paraId="6BC2B8F8" w14:textId="77777777" w:rsidTr="00B91483">
        <w:trPr>
          <w:cantSplit/>
        </w:trPr>
        <w:tc>
          <w:tcPr>
            <w:tcW w:w="2793" w:type="dxa"/>
            <w:vAlign w:val="top"/>
          </w:tcPr>
          <w:p w14:paraId="47E35C84"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Cities of Tomorrow: wireless multi-metric IoT structural monitoring.</w:t>
            </w:r>
          </w:p>
        </w:tc>
        <w:tc>
          <w:tcPr>
            <w:tcW w:w="2023" w:type="dxa"/>
            <w:vAlign w:val="top"/>
          </w:tcPr>
          <w:p w14:paraId="78610DF0"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Award number / status to confirm.</w:t>
            </w:r>
          </w:p>
        </w:tc>
        <w:tc>
          <w:tcPr>
            <w:tcW w:w="3082" w:type="dxa"/>
            <w:vAlign w:val="top"/>
          </w:tcPr>
          <w:p w14:paraId="3E60B629"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Apr 2026 note says both "under review" and "secured". Obtain award letter and scope.</w:t>
            </w:r>
          </w:p>
        </w:tc>
        <w:tc>
          <w:tcPr>
            <w:tcW w:w="1734" w:type="dxa"/>
            <w:vAlign w:val="top"/>
          </w:tcPr>
          <w:p w14:paraId="1F39140B" w14:textId="77777777" w:rsidR="00B91483" w:rsidRDefault="00B91483" w:rsidP="00E4627E">
            <w:pPr>
              <w:keepNext w:val="0"/>
              <w:keepLines/>
              <w:widowControl/>
              <w:spacing w:before="0" w:after="0" w:line="252" w:lineRule="auto"/>
              <w:ind w:left="0" w:right="0" w:firstLine="0"/>
              <w:jc w:val="left"/>
              <w:rPr>
                <w:rFonts w:ascii="Times New Roman" w:hAnsi="Times New Roman" w:cs="Times New Roman"/>
                <w:b/>
                <w:bCs/>
                <w:lang w:val="en-GB"/>
              </w:rPr>
              <w:kinsoku w:val="1"/>
            </w:pPr>
            <w:r>
              <w:rPr>
                <w:rFonts w:ascii="Times New Roman" w:hAnsi="Times New Roman" w:eastAsia="SimSun"/>
                <w:b w:val="0"/>
                <w:i w:val="0"/>
                <w:sz w:val="24"/>
                <w:color w:val="000000"/>
              </w:rPr>
              <w:t>To confirm</w:t>
            </w:r>
          </w:p>
        </w:tc>
      </w:tr>
    </w:tbl>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Funding separation. </w:t>
      </w:r>
      <w:r>
        <w:rPr>
          <w:rFonts w:ascii="Times New Roman" w:hAnsi="Times New Roman" w:eastAsia="SimSun"/>
          <w:b w:val="0"/>
          <w:i w:val="0"/>
          <w:sz w:val="24"/>
          <w:color w:val="000000"/>
        </w:rPr>
        <w:t>Map the proposed S$180,000 / 12-month request against these awards with the PI/School. Exclude existing outputs, equipment, salaries and overlapping development. Confirm amounts, periods and balances from award records.</w:t>
      </w:r>
    </w:p>
    <w:p>
      <w:pPr>
        <w:keepNext w:val="0"/>
        <w:keepLines w:val="0"/>
        <w:widowControl/>
        <w:spacing w:before="0" w:after="120" w:line="252" w:lineRule="auto"/>
        <w:ind w:left="0" w:right="0" w:firstLine="0"/>
        <w:jc w:val="left"/>
        <w:kinsoku w:val="1"/>
      </w:pPr>
      <w:r>
        <w:rPr>
          <w:rFonts w:ascii="Times New Roman" w:hAnsi="Times New Roman" w:eastAsia="SimSun"/>
          <w:b/>
          <w:i w:val="0"/>
          <w:sz w:val="24"/>
          <w:color w:val="000000"/>
        </w:rPr>
        <w:t xml:space="preserve">Additional disclosure. </w:t>
      </w:r>
      <w:r>
        <w:rPr>
          <w:rFonts w:ascii="Times New Roman" w:hAnsi="Times New Roman" w:eastAsia="SimSun"/>
          <w:b w:val="0"/>
          <w:i w:val="0"/>
          <w:sz w:val="24"/>
          <w:color w:val="000000"/>
        </w:rPr>
        <w:t>[CONFIRM all other related grants, applications, industry funding and investment for every team member.] Contacts and projected sales are not secured funding.</w:t>
      </w:r>
    </w:p>
    <w:p w14:paraId="541520C0" w14:textId="77777777" w:rsidR="004257CD" w:rsidRDefault="004257CD" w:rsidP="004257CD">
      <w:pPr>
        <w:pStyle w:val="ListParagraph"/>
        <w:keepNext/>
        <w:keepLines/>
        <w:pageBreakBefore/>
        <w:numPr>
          <w:ilvl w:val="0"/>
          <w:numId w:val="16"/>
        </w:numPr>
        <w:spacing w:before="240" w:after="160"/>
        <w:ind w:hanging="720"/>
        <w:rPr>
          <w:b/>
          <w:sz w:val="28"/>
          <w:szCs w:val="28"/>
        </w:rPr>
      </w:pPr>
      <w:r>
        <w:rPr>
          <w:b/>
          <w:sz w:val="28"/>
          <w:szCs w:val="28"/>
        </w:rPr>
        <w:t xml:space="preserve">Past </w:t>
      </w:r>
      <w:r w:rsidR="006419F0">
        <w:rPr>
          <w:b/>
          <w:sz w:val="28"/>
          <w:szCs w:val="28"/>
        </w:rPr>
        <w:t xml:space="preserve">Application </w:t>
      </w:r>
      <w:r>
        <w:rPr>
          <w:b/>
          <w:sz w:val="28"/>
          <w:szCs w:val="28"/>
        </w:rPr>
        <w:t>Submission</w:t>
      </w:r>
      <w:r w:rsidR="006419F0">
        <w:rPr>
          <w:b/>
          <w:sz w:val="28"/>
          <w:szCs w:val="28"/>
        </w:rPr>
        <w:t>(</w:t>
      </w:r>
      <w:r>
        <w:rPr>
          <w:b/>
          <w:sz w:val="28"/>
          <w:szCs w:val="28"/>
        </w:rPr>
        <w:t>s</w:t>
      </w:r>
      <w:r w:rsidR="006419F0">
        <w:rPr>
          <w:b/>
          <w:sz w:val="28"/>
          <w:szCs w:val="28"/>
        </w:rPr>
        <w:t>)</w:t>
      </w:r>
    </w:p>
    <w:p w14:paraId="2D2FEA42" w14:textId="77777777" w:rsidR="000B674E" w:rsidRPr="005B7246" w:rsidRDefault="000B674E" w:rsidP="000B674E">
      <w:pPr>
        <w:jc w:val="both"/>
        <w:rPr>
          <w:rFonts w:ascii="Times New Roman" w:hAnsi="Times New Roman" w:cs="Times New Roman"/>
          <w:lang w:val="en-GB"/>
        </w:rPr>
      </w:pPr>
      <w:r>
        <w:rPr>
          <w:rFonts w:ascii="Times New Roman" w:hAnsi="Times New Roman" w:cs="Times New Roman"/>
          <w:lang w:val="en-GB"/>
        </w:rPr>
        <w:t>Why was your previous application unsuccessful</w:t>
      </w:r>
      <w:r w:rsidRPr="005B7246">
        <w:rPr>
          <w:rFonts w:ascii="Times New Roman" w:hAnsi="Times New Roman" w:cs="Times New Roman"/>
          <w:lang w:val="en-GB"/>
        </w:rPr>
        <w:t>?</w:t>
      </w:r>
    </w:p>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[CONFIRM with PI: whether any previous NTUitive Gap Fund application was submitted, its call/date, title, reference and outcome. If none, enter "Not applicable". No rejection history has been assumed.]</w:t>
      </w:r>
    </w:p>
    <w:p w14:paraId="40E0BD7D" w14:textId="77777777" w:rsidR="000B674E" w:rsidRDefault="000B674E" w:rsidP="000B674E">
      <w:pPr>
        <w:jc w:val="both"/>
        <w:rPr>
          <w:rFonts w:ascii="Times New Roman" w:hAnsi="Times New Roman" w:cs="Times New Roman"/>
          <w:lang w:val="en-GB"/>
        </w:rPr>
      </w:pPr>
      <w:r w:rsidRPr="005B7246">
        <w:rPr>
          <w:rFonts w:ascii="Times New Roman" w:hAnsi="Times New Roman" w:cs="Times New Roman"/>
          <w:lang w:val="en-GB"/>
        </w:rPr>
        <w:t xml:space="preserve">Please provide details on the improvements </w:t>
      </w:r>
      <w:r>
        <w:rPr>
          <w:rFonts w:ascii="Times New Roman" w:hAnsi="Times New Roman" w:cs="Times New Roman"/>
          <w:lang w:val="en-GB"/>
        </w:rPr>
        <w:t xml:space="preserve">and upgrades made in comparison. </w:t>
      </w:r>
    </w:p>
    <w:p>
      <w:pPr>
        <w:keepNext w:val="0"/>
        <w:keepLines w:val="0"/>
        <w:widowControl/>
        <w:spacing w:before="0" w:after="120" w:line="252" w:lineRule="auto"/>
        <w:ind w:left="0" w:right="0" w:firstLine="0"/>
        <w:jc w:val="left"/>
        <w:kinsoku w:val="1"/>
      </w:pPr>
      <w:r>
        <w:rPr>
          <w:rFonts w:ascii="Times New Roman" w:hAnsi="Times New Roman" w:eastAsia="SimSun"/>
          <w:b w:val="0"/>
          <w:sz w:val="24"/>
          <w:color w:val="000000"/>
        </w:rPr>
        <w:t>If this is a resubmission, map changes to actual panel feedback. This updated draft defines an OEM acquisition module, separates chip/board/node/service alternatives, adds regional buying-chain candidates and aligns the economics and technical scope with V4 research. These changes are not represented as responses to an unverified rejection.</w:t>
      </w:r>
    </w:p>
    <w:p w14:paraId="779684EA" w14:textId="760AEEAC" w:rsidR="000B674E" w:rsidRPr="004257CD" w:rsidRDefault="000B674E" w:rsidP="004257CD">
      <w:pPr>
        <w:pStyle w:val="ListParagraph"/>
        <w:keepNext/>
        <w:keepLines/>
        <w:numPr>
          <w:ilvl w:val="0"/>
          <w:numId w:val="16"/>
        </w:numPr>
        <w:spacing w:before="240" w:after="160"/>
        <w:ind w:hanging="720"/>
        <w:rPr>
          <w:b/>
          <w:sz w:val="28"/>
          <w:szCs w:val="28"/>
        </w:rPr>
      </w:pPr>
      <w:r>
        <w:rPr>
          <w:b/>
          <w:sz w:val="28"/>
          <w:szCs w:val="28"/>
        </w:rPr>
        <w:t>Declaration by Principal Investigator</w:t>
      </w:r>
    </w:p>
    <w:p w14:paraId="65417CF8" w14:textId="04ADCECC" w:rsidR="004257CD" w:rsidRPr="000B674E" w:rsidRDefault="000B674E" w:rsidP="00761106">
      <w:pPr>
        <w:jc w:val="both"/>
        <w:rPr>
          <w:rFonts w:ascii="Times New Roman" w:hAnsi="Times New Roman" w:cs="Times New Roman"/>
          <w:iCs/>
          <w:lang w:val="en-GB"/>
        </w:rPr>
      </w:pPr>
      <w:r w:rsidRPr="000B674E">
        <w:rPr>
          <w:rFonts w:ascii="Times New Roman" w:hAnsi="Times New Roman" w:cs="Times New Roman"/>
          <w:iCs/>
        </w:rPr>
        <w:t xml:space="preserve">I declare that all the above information provided is true and complete to the best of my knowledge.  </w:t>
      </w:r>
    </w:p>
    <w:p>
      <w:pPr>
        <w:keepNext w:val="0"/>
        <w:keepLines w:val="0"/>
        <w:widowControl/>
        <w:spacing w:before="0" w:after="120" w:line="252" w:lineRule="auto"/>
        <w:ind w:left="0" w:right="0" w:firstLine="0"/>
        <w:jc w:val="left"/>
        <w:kinsoku w:val="1"/>
      </w:pPr>
      <w:r>
        <w:rPr>
          <w:rFonts w:ascii="Times New Roman" w:hAnsi="Times New Roman" w:eastAsia="SimSun"/>
          <w:b w:val="0"/>
          <w:i w:val="0"/>
          <w:sz w:val="24"/>
          <w:color w:val="000000"/>
        </w:rPr>
        <w:t>REVIEW DRAFT: resolve all [CONFIRM] items and approve the budget, targets and disclosures before signing. No declaration or eligibility confirmation has been made on behalf of the applicant.</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72800C88" w14:textId="77777777" w:rsidTr="00822801">
        <w:trPr>
          <w:trHeight w:val="1535"/>
        </w:trPr>
        <w:tc>
          <w:tcPr>
            <w:tcW w:w="4957" w:type="dxa"/>
            <w:tcBorders>
              <w:bottom w:val="single" w:sz="4" w:space="0" w:color="auto"/>
            </w:tcBorders>
          </w:tcPr>
          <w:p w14:paraId="359066C6" w14:textId="77777777" w:rsidR="00032DAA" w:rsidRPr="00032DAA" w:rsidRDefault="00032DAA" w:rsidP="008F093C">
            <w:pPr>
              <w:rPr>
                <w:rFonts w:ascii="Times New Roman" w:hAnsi="Times New Roman" w:cs="Times New Roman"/>
                <w:sz w:val="24"/>
                <w:szCs w:val="24"/>
              </w:rPr>
            </w:pPr>
          </w:p>
          <w:p w14:paraId="7FC392B7" w14:textId="5B4407D2" w:rsidR="00032DAA" w:rsidRPr="00032DAA" w:rsidRDefault="00032DAA" w:rsidP="008F093C">
            <w:pPr>
              <w:rPr>
                <w:rFonts w:ascii="Times New Roman" w:hAnsi="Times New Roman" w:cs="Times New Roman"/>
                <w:sz w:val="24"/>
                <w:szCs w:val="24"/>
              </w:rPr>
            </w:pPr>
          </w:p>
        </w:tc>
        <w:tc>
          <w:tcPr>
            <w:tcW w:w="1559" w:type="dxa"/>
          </w:tcPr>
          <w:p w14:paraId="0CE0800D" w14:textId="77777777" w:rsidR="00032DAA" w:rsidRPr="00032DAA" w:rsidRDefault="00032DAA" w:rsidP="008F093C">
            <w:pPr>
              <w:jc w:val="both"/>
              <w:rPr>
                <w:rFonts w:ascii="Times New Roman" w:hAnsi="Times New Roman" w:cs="Times New Roman"/>
                <w:sz w:val="24"/>
                <w:szCs w:val="24"/>
              </w:rPr>
            </w:pPr>
          </w:p>
        </w:tc>
        <w:tc>
          <w:tcPr>
            <w:tcW w:w="2977" w:type="dxa"/>
            <w:tcBorders>
              <w:bottom w:val="single" w:sz="4" w:space="0" w:color="auto"/>
            </w:tcBorders>
          </w:tcPr>
          <w:p w14:paraId="1435E432" w14:textId="5BECE31F" w:rsidR="00032DAA" w:rsidRPr="00032DAA" w:rsidRDefault="00032DAA" w:rsidP="008F093C">
            <w:pPr>
              <w:rPr>
                <w:rFonts w:ascii="Times New Roman" w:hAnsi="Times New Roman" w:cs="Times New Roman"/>
                <w:sz w:val="24"/>
                <w:szCs w:val="24"/>
              </w:rPr>
            </w:pPr>
          </w:p>
        </w:tc>
      </w:tr>
      <w:tr w:rsidR="00032DAA" w:rsidRPr="00032DAA" w14:paraId="41F81F51" w14:textId="77777777" w:rsidTr="00032DAA">
        <w:trPr>
          <w:trHeight w:val="485"/>
        </w:trPr>
        <w:tc>
          <w:tcPr>
            <w:tcW w:w="4957" w:type="dxa"/>
            <w:tcBorders>
              <w:top w:val="single" w:sz="4" w:space="0" w:color="auto"/>
            </w:tcBorders>
          </w:tcPr>
          <w:p w14:paraId="356DAA5A" w14:textId="1B81B999" w:rsidR="00032DAA" w:rsidRPr="00032DAA" w:rsidRDefault="00032DAA" w:rsidP="008F093C">
            <w:pPr>
              <w:jc w:val="center"/>
              <w:rPr>
                <w:rFonts w:ascii="Times New Roman" w:hAnsi="Times New Roman" w:cs="Times New Roman"/>
                <w:sz w:val="24"/>
                <w:szCs w:val="24"/>
              </w:rPr>
            </w:pPr>
            <w:r w:rsidRPr="00032DAA">
              <w:rPr>
                <w:rFonts w:ascii="Times New Roman" w:hAnsi="Times New Roman" w:cs="Times New Roman"/>
                <w:sz w:val="24"/>
                <w:szCs w:val="24"/>
              </w:rPr>
              <w:t xml:space="preserve">Name and Signature of </w:t>
            </w:r>
            <w:r w:rsidR="00822801">
              <w:rPr>
                <w:rFonts w:ascii="Times New Roman" w:hAnsi="Times New Roman" w:cs="Times New Roman"/>
                <w:sz w:val="24"/>
                <w:szCs w:val="24"/>
              </w:rPr>
              <w:t>Principal Investigator</w:t>
            </w:r>
          </w:p>
        </w:tc>
        <w:tc>
          <w:tcPr>
            <w:tcW w:w="1559" w:type="dxa"/>
          </w:tcPr>
          <w:p w14:paraId="4B2D1CBB" w14:textId="77777777" w:rsidR="00032DAA" w:rsidRPr="00032DAA" w:rsidRDefault="00032DAA" w:rsidP="008F093C">
            <w:pPr>
              <w:jc w:val="center"/>
              <w:rPr>
                <w:rFonts w:ascii="Times New Roman" w:hAnsi="Times New Roman" w:cs="Times New Roman"/>
                <w:sz w:val="24"/>
                <w:szCs w:val="24"/>
              </w:rPr>
            </w:pPr>
          </w:p>
        </w:tc>
        <w:tc>
          <w:tcPr>
            <w:tcW w:w="2977" w:type="dxa"/>
            <w:tcBorders>
              <w:top w:val="single" w:sz="4" w:space="0" w:color="auto"/>
            </w:tcBorders>
          </w:tcPr>
          <w:p w14:paraId="1CB40A34" w14:textId="77777777" w:rsidR="00032DAA" w:rsidRPr="00032DAA" w:rsidRDefault="00032DAA" w:rsidP="008F093C">
            <w:pPr>
              <w:jc w:val="center"/>
              <w:rPr>
                <w:rFonts w:ascii="Times New Roman" w:hAnsi="Times New Roman" w:cs="Times New Roman"/>
                <w:sz w:val="24"/>
                <w:szCs w:val="24"/>
              </w:rPr>
            </w:pPr>
            <w:r w:rsidRPr="00032DAA">
              <w:rPr>
                <w:rFonts w:ascii="Times New Roman" w:hAnsi="Times New Roman" w:cs="Times New Roman"/>
                <w:sz w:val="24"/>
                <w:szCs w:val="24"/>
              </w:rPr>
              <w:t>Date</w:t>
            </w:r>
          </w:p>
        </w:tc>
      </w:tr>
    </w:tbl>
    <w:p w14:paraId="0D110CFD" w14:textId="1AD104F9" w:rsidR="00032DAA" w:rsidRDefault="00E07257" w:rsidP="00565A89">
      <w:pPr>
        <w:ind w:left="392" w:hanging="392"/>
        <w:rPr>
          <w:rFonts w:ascii="Times New Roman" w:hAnsi="Times New Roman" w:cs="Times New Roman"/>
        </w:rPr>
      </w:pPr>
      <w:sdt>
        <w:sdtPr>
          <w:rPr>
            <w:rFonts w:ascii="Times New Roman" w:hAnsi="Times New Roman" w:cs="Times New Roman"/>
            <w:sz w:val="28"/>
            <w:szCs w:val="28"/>
          </w:rPr>
          <w:id w:val="831731642"/>
          <w14:checkbox>
            <w14:checked w14:val="0"/>
            <w14:checkedState w14:val="2611" w14:font="Aptos Narrow"/>
            <w14:uncheckedState w14:val="2610" w14:font="MS Gothic"/>
          </w14:checkbox>
        </w:sdtPr>
        <w:sdtEndPr/>
        <w:sdtContent>
          <w:r w:rsidR="008735E6">
            <w:rPr>
              <w:rFonts w:ascii="MS Gothic" w:eastAsia="MS Gothic" w:hAnsi="MS Gothic" w:cs="Times New Roman" w:hint="eastAsia"/>
              <w:sz w:val="28"/>
              <w:szCs w:val="28"/>
            </w:rPr>
            <w:t>☐</w:t>
          </w:r>
        </w:sdtContent>
      </w:sdt>
      <w:r w:rsidR="00A96FFF">
        <w:rPr>
          <w:rFonts w:ascii="Times New Roman" w:hAnsi="Times New Roman" w:cs="Times New Roman"/>
        </w:rPr>
        <w:t xml:space="preserve"> </w:t>
      </w:r>
      <w:r w:rsidR="008014C9" w:rsidRPr="008014C9">
        <w:rPr>
          <w:rFonts w:ascii="Times New Roman" w:hAnsi="Times New Roman" w:cs="Times New Roman"/>
        </w:rPr>
        <w:t xml:space="preserve">Please tick if you are </w:t>
      </w:r>
      <w:r w:rsidR="000E2458">
        <w:rPr>
          <w:rFonts w:ascii="Times New Roman" w:hAnsi="Times New Roman" w:cs="Times New Roman"/>
        </w:rPr>
        <w:t xml:space="preserve">a </w:t>
      </w:r>
      <w:r w:rsidR="008014C9" w:rsidRPr="008014C9">
        <w:rPr>
          <w:rFonts w:ascii="Times New Roman" w:hAnsi="Times New Roman" w:cs="Times New Roman"/>
        </w:rPr>
        <w:t>research staff. Your supervisor’s endorsement of your application as Principal Investigator is required below.</w:t>
      </w:r>
    </w:p>
    <w:p w14:paraId="305EB99B" w14:textId="1B73414D" w:rsidR="008735E6" w:rsidRDefault="00E07257" w:rsidP="008735E6">
      <w:pPr>
        <w:ind w:left="392" w:hanging="392"/>
        <w:rPr>
          <w:rFonts w:ascii="Times New Roman" w:hAnsi="Times New Roman" w:cs="Times New Roman"/>
          <w:b/>
          <w:sz w:val="28"/>
          <w:szCs w:val="28"/>
          <w:lang w:val="en-GB"/>
        </w:rPr>
      </w:pPr>
      <w:sdt>
        <w:sdtPr>
          <w:rPr>
            <w:rFonts w:ascii="Times New Roman" w:hAnsi="Times New Roman" w:cs="Times New Roman"/>
            <w:sz w:val="28"/>
            <w:szCs w:val="28"/>
          </w:rPr>
          <w:id w:val="-1579584192"/>
          <w14:checkbox>
            <w14:checked w14:val="0"/>
            <w14:checkedState w14:val="2611" w14:font="Aptos Narrow"/>
            <w14:uncheckedState w14:val="2610" w14:font="MS Gothic"/>
          </w14:checkbox>
        </w:sdtPr>
        <w:sdtEndPr/>
        <w:sdtContent>
          <w:r w:rsidR="007427D6">
            <w:rPr>
              <w:rFonts w:ascii="MS Gothic" w:eastAsia="MS Gothic" w:hAnsi="MS Gothic" w:cs="Times New Roman" w:hint="eastAsia"/>
              <w:sz w:val="28"/>
              <w:szCs w:val="28"/>
            </w:rPr>
            <w:t>☐</w:t>
          </w:r>
        </w:sdtContent>
      </w:sdt>
      <w:r w:rsidR="008735E6">
        <w:rPr>
          <w:rFonts w:ascii="Times New Roman" w:hAnsi="Times New Roman" w:cs="Times New Roman"/>
        </w:rPr>
        <w:t xml:space="preserve"> </w:t>
      </w:r>
      <w:r w:rsidR="008735E6" w:rsidRPr="008014C9">
        <w:rPr>
          <w:rFonts w:ascii="Times New Roman" w:hAnsi="Times New Roman" w:cs="Times New Roman"/>
        </w:rPr>
        <w:t xml:space="preserve">Please tick if you are </w:t>
      </w:r>
      <w:r w:rsidR="008735E6">
        <w:rPr>
          <w:rFonts w:ascii="Times New Roman" w:hAnsi="Times New Roman" w:cs="Times New Roman"/>
        </w:rPr>
        <w:t>a PhD student</w:t>
      </w:r>
      <w:r w:rsidR="008735E6" w:rsidRPr="008014C9">
        <w:rPr>
          <w:rFonts w:ascii="Times New Roman" w:hAnsi="Times New Roman" w:cs="Times New Roman"/>
        </w:rPr>
        <w:t xml:space="preserve">. </w:t>
      </w:r>
      <w:r w:rsidR="008735E6">
        <w:rPr>
          <w:rFonts w:ascii="Times New Roman" w:hAnsi="Times New Roman" w:cs="Times New Roman"/>
        </w:rPr>
        <w:t xml:space="preserve">I confirm that my scholarship </w:t>
      </w:r>
      <w:r w:rsidR="00FE297B">
        <w:rPr>
          <w:rFonts w:ascii="Times New Roman" w:hAnsi="Times New Roman" w:cs="Times New Roman"/>
        </w:rPr>
        <w:t>allows</w:t>
      </w:r>
      <w:r w:rsidR="008735E6">
        <w:rPr>
          <w:rFonts w:ascii="Times New Roman" w:hAnsi="Times New Roman" w:cs="Times New Roman"/>
        </w:rPr>
        <w:t xml:space="preserve"> me to participate in this POC project</w:t>
      </w:r>
      <w:r w:rsidR="00FE297B">
        <w:rPr>
          <w:rFonts w:ascii="Times New Roman" w:hAnsi="Times New Roman" w:cs="Times New Roman"/>
        </w:rPr>
        <w:t xml:space="preserve">, and I will remain </w:t>
      </w:r>
      <w:r w:rsidR="00941A4F">
        <w:rPr>
          <w:rFonts w:ascii="Times New Roman" w:hAnsi="Times New Roman" w:cs="Times New Roman"/>
        </w:rPr>
        <w:t>in NTU</w:t>
      </w:r>
      <w:r w:rsidR="00FE297B">
        <w:rPr>
          <w:rFonts w:ascii="Times New Roman" w:hAnsi="Times New Roman" w:cs="Times New Roman"/>
        </w:rPr>
        <w:t xml:space="preserve"> until its completion.</w:t>
      </w:r>
      <w:r w:rsidR="008735E6">
        <w:rPr>
          <w:rFonts w:ascii="Times New Roman" w:hAnsi="Times New Roman" w:cs="Times New Roman"/>
        </w:rPr>
        <w:t xml:space="preserve"> </w:t>
      </w:r>
      <w:r w:rsidR="008735E6" w:rsidRPr="008014C9">
        <w:rPr>
          <w:rFonts w:ascii="Times New Roman" w:hAnsi="Times New Roman" w:cs="Times New Roman"/>
        </w:rPr>
        <w:t>Your supervisor’s endorsement of your application as Principal Investigator is required below.</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822801" w:rsidRPr="00032DAA" w14:paraId="611607BB" w14:textId="77777777" w:rsidTr="008F093C">
        <w:trPr>
          <w:trHeight w:val="1535"/>
        </w:trPr>
        <w:tc>
          <w:tcPr>
            <w:tcW w:w="4957" w:type="dxa"/>
            <w:tcBorders>
              <w:bottom w:val="single" w:sz="4" w:space="0" w:color="auto"/>
            </w:tcBorders>
          </w:tcPr>
          <w:p w14:paraId="6F6EE201" w14:textId="77777777" w:rsidR="00822801" w:rsidRPr="00032DAA" w:rsidRDefault="00822801" w:rsidP="008F093C">
            <w:pPr>
              <w:rPr>
                <w:rFonts w:ascii="Times New Roman" w:hAnsi="Times New Roman" w:cs="Times New Roman"/>
                <w:sz w:val="24"/>
                <w:szCs w:val="24"/>
              </w:rPr>
            </w:pPr>
          </w:p>
          <w:p w14:paraId="0BE125BF" w14:textId="77777777" w:rsidR="00822801" w:rsidRPr="00032DAA" w:rsidRDefault="00822801" w:rsidP="008F093C">
            <w:pPr>
              <w:rPr>
                <w:rFonts w:ascii="Times New Roman" w:hAnsi="Times New Roman" w:cs="Times New Roman"/>
                <w:sz w:val="24"/>
                <w:szCs w:val="24"/>
              </w:rPr>
            </w:pPr>
          </w:p>
        </w:tc>
        <w:tc>
          <w:tcPr>
            <w:tcW w:w="1559" w:type="dxa"/>
          </w:tcPr>
          <w:p w14:paraId="5771BAB8" w14:textId="77777777" w:rsidR="00822801" w:rsidRPr="00032DAA" w:rsidRDefault="00822801" w:rsidP="008F093C">
            <w:pPr>
              <w:jc w:val="both"/>
              <w:rPr>
                <w:rFonts w:ascii="Times New Roman" w:hAnsi="Times New Roman" w:cs="Times New Roman"/>
                <w:sz w:val="24"/>
                <w:szCs w:val="24"/>
              </w:rPr>
            </w:pPr>
          </w:p>
        </w:tc>
        <w:tc>
          <w:tcPr>
            <w:tcW w:w="2977" w:type="dxa"/>
            <w:tcBorders>
              <w:bottom w:val="single" w:sz="4" w:space="0" w:color="auto"/>
            </w:tcBorders>
          </w:tcPr>
          <w:p w14:paraId="411516BC" w14:textId="77777777" w:rsidR="00822801" w:rsidRPr="00032DAA" w:rsidRDefault="00822801" w:rsidP="008F093C">
            <w:pPr>
              <w:rPr>
                <w:rFonts w:ascii="Times New Roman" w:hAnsi="Times New Roman" w:cs="Times New Roman"/>
                <w:sz w:val="24"/>
                <w:szCs w:val="24"/>
              </w:rPr>
            </w:pPr>
          </w:p>
        </w:tc>
      </w:tr>
      <w:tr w:rsidR="00822801" w:rsidRPr="00032DAA" w14:paraId="5B0025FC" w14:textId="77777777" w:rsidTr="008F093C">
        <w:trPr>
          <w:trHeight w:val="485"/>
        </w:trPr>
        <w:tc>
          <w:tcPr>
            <w:tcW w:w="4957" w:type="dxa"/>
            <w:tcBorders>
              <w:top w:val="single" w:sz="4" w:space="0" w:color="auto"/>
            </w:tcBorders>
          </w:tcPr>
          <w:p w14:paraId="25337E2E" w14:textId="02481C25" w:rsidR="00822801" w:rsidRPr="00032DAA" w:rsidRDefault="00822801" w:rsidP="008F093C">
            <w:pPr>
              <w:jc w:val="center"/>
              <w:rPr>
                <w:rFonts w:ascii="Times New Roman" w:hAnsi="Times New Roman" w:cs="Times New Roman"/>
                <w:sz w:val="24"/>
                <w:szCs w:val="24"/>
              </w:rPr>
            </w:pPr>
            <w:r w:rsidRPr="00032DAA">
              <w:rPr>
                <w:rFonts w:ascii="Times New Roman" w:hAnsi="Times New Roman" w:cs="Times New Roman"/>
                <w:sz w:val="24"/>
                <w:szCs w:val="24"/>
              </w:rPr>
              <w:t xml:space="preserve">Name and Signature of </w:t>
            </w:r>
            <w:r>
              <w:rPr>
                <w:rFonts w:ascii="Times New Roman" w:hAnsi="Times New Roman" w:cs="Times New Roman"/>
                <w:sz w:val="24"/>
                <w:szCs w:val="24"/>
              </w:rPr>
              <w:t>Supervisor (Faculty)</w:t>
            </w:r>
          </w:p>
        </w:tc>
        <w:tc>
          <w:tcPr>
            <w:tcW w:w="1559" w:type="dxa"/>
          </w:tcPr>
          <w:p w14:paraId="437C7E1B" w14:textId="77777777" w:rsidR="00822801" w:rsidRPr="00032DAA" w:rsidRDefault="00822801" w:rsidP="008F093C">
            <w:pPr>
              <w:jc w:val="center"/>
              <w:rPr>
                <w:rFonts w:ascii="Times New Roman" w:hAnsi="Times New Roman" w:cs="Times New Roman"/>
                <w:sz w:val="24"/>
                <w:szCs w:val="24"/>
              </w:rPr>
            </w:pPr>
          </w:p>
        </w:tc>
        <w:tc>
          <w:tcPr>
            <w:tcW w:w="2977" w:type="dxa"/>
            <w:tcBorders>
              <w:top w:val="single" w:sz="4" w:space="0" w:color="auto"/>
            </w:tcBorders>
          </w:tcPr>
          <w:p w14:paraId="19FEB205" w14:textId="77777777" w:rsidR="00822801" w:rsidRPr="00032DAA" w:rsidRDefault="00822801" w:rsidP="008F093C">
            <w:pPr>
              <w:jc w:val="center"/>
              <w:rPr>
                <w:rFonts w:ascii="Times New Roman" w:hAnsi="Times New Roman" w:cs="Times New Roman"/>
                <w:sz w:val="24"/>
                <w:szCs w:val="24"/>
              </w:rPr>
            </w:pPr>
            <w:r w:rsidRPr="00032DAA">
              <w:rPr>
                <w:rFonts w:ascii="Times New Roman" w:hAnsi="Times New Roman" w:cs="Times New Roman"/>
                <w:sz w:val="24"/>
                <w:szCs w:val="24"/>
              </w:rPr>
              <w:t>Date</w:t>
            </w:r>
          </w:p>
        </w:tc>
      </w:tr>
    </w:tbl>
    <w:p w14:paraId="183A3110" w14:textId="65ACEA51" w:rsidR="004257CD" w:rsidRDefault="004257CD" w:rsidP="00761106">
      <w:pPr>
        <w:keepNext/>
        <w:keepLines/>
        <w:pageBreakBefore/>
        <w:spacing w:before="240" w:after="160"/>
        <w:jc w:val="both"/>
        <w:rPr>
          <w:rFonts w:ascii="Times New Roman" w:hAnsi="Times New Roman" w:cs="Times New Roman"/>
          <w:b/>
          <w:lang w:val="en-GB"/>
        </w:rPr>
      </w:pPr>
      <w:r w:rsidRPr="004257CD">
        <w:rPr>
          <w:rFonts w:ascii="Times New Roman" w:hAnsi="Times New Roman" w:cs="Times New Roman"/>
          <w:b/>
          <w:sz w:val="28"/>
          <w:szCs w:val="28"/>
          <w:lang w:val="en-GB"/>
        </w:rPr>
        <w:lastRenderedPageBreak/>
        <w:t>ANNEX A</w:t>
      </w:r>
    </w:p>
    <w:p w14:paraId="39388A45" w14:textId="77777777" w:rsidR="004257CD" w:rsidRPr="004257CD" w:rsidRDefault="006419F0" w:rsidP="00761106">
      <w:pPr>
        <w:jc w:val="both"/>
        <w:rPr>
          <w:rFonts w:ascii="Times New Roman" w:hAnsi="Times New Roman" w:cs="Times New Roman"/>
          <w:lang w:val="en-GB"/>
        </w:rPr>
      </w:pPr>
      <w:r>
        <w:rPr>
          <w:rFonts w:ascii="Times New Roman" w:hAnsi="Times New Roman" w:cs="Times New Roman"/>
          <w:lang w:val="en-GB"/>
        </w:rPr>
        <w:t xml:space="preserve">It is compulsory to </w:t>
      </w:r>
      <w:r w:rsidR="004257CD" w:rsidRPr="004257CD">
        <w:rPr>
          <w:rFonts w:ascii="Times New Roman" w:hAnsi="Times New Roman" w:cs="Times New Roman"/>
          <w:lang w:val="en-GB"/>
        </w:rPr>
        <w:t>fill in the Business Model Canvas</w:t>
      </w:r>
      <w:r>
        <w:rPr>
          <w:rFonts w:ascii="Times New Roman" w:hAnsi="Times New Roman" w:cs="Times New Roman"/>
          <w:lang w:val="en-GB"/>
        </w:rPr>
        <w:t xml:space="preserve"> for your project</w:t>
      </w:r>
      <w:r w:rsidR="004257CD">
        <w:rPr>
          <w:rFonts w:ascii="Times New Roman" w:hAnsi="Times New Roman" w:cs="Times New Roman"/>
          <w:lang w:val="en-GB"/>
        </w:rPr>
        <w:t xml:space="preserve">. </w:t>
      </w:r>
      <w:r>
        <w:rPr>
          <w:rFonts w:ascii="Times New Roman" w:hAnsi="Times New Roman" w:cs="Times New Roman"/>
          <w:lang w:val="en-GB"/>
        </w:rPr>
        <w:t>You may submit in a separate sheet due to space constraint.</w:t>
      </w:r>
    </w:p>
    <w:p w14:paraId="03C34E50" w14:textId="77777777" w:rsidR="006419F0" w:rsidRDefault="006419F0" w:rsidP="006419F0">
      <w:pPr>
        <w:keepNext w:val="0"/>
        <w:keepLines w:val="0"/>
        <w:widowControl/>
        <w:spacing w:before="0" w:after="120" w:line="252" w:lineRule="auto"/>
        <w:ind w:left="0" w:right="0" w:firstLine="0"/>
        <w:jc w:val="left"/>
        <w:rPr>
          <w:rFonts w:ascii="Times New Roman" w:hAnsi="Times New Roman" w:cs="Times New Roman"/>
          <w:b/>
          <w:sz w:val="28"/>
          <w:szCs w:val="28"/>
          <w:lang w:val="en-GB"/>
        </w:rPr>
        <w:kinsoku w:val="1"/>
      </w:pPr>
      <w:r>
        <w:rPr>
          <w:rFonts w:ascii="Times New Roman" w:hAnsi="Times New Roman" w:eastAsia="SimSun"/>
          <w:b w:val="0"/>
          <w:sz w:val="24"/>
          <w:color w:val="000000"/>
        </w:rPr>
        <w:t>Designed for: Low-Power Event Capture Module for Monitoring Equipment</w:t>
      </w:r>
    </w:p>
    <w:tbl>
      <w:tblPr>
        <w:tblStyle w:val="TableGrid"/>
        <w:tblW w:w="9632" w:type="dxa"/>
        <w:tblLook w:val="04A0" w:firstRow="1" w:lastRow="0" w:firstColumn="1" w:lastColumn="0" w:noHBand="0" w:noVBand="1"/>
        <w:tblInd w:w="0" w:type="dxa"/>
        <w:tblLayout w:type="fixed"/>
        <w:tblCellMar>
          <w:top w:w="70" w:type="dxa"/>
          <w:bottom w:w="70" w:type="dxa"/>
          <w:left w:w="108" w:type="dxa"/>
          <w:right w:w="108" w:type="dxa"/>
        </w:tblCellMar>
      </w:tblPr>
      <w:tblGrid>
        <w:gridCol w:w="1926"/>
        <w:gridCol w:w="1926"/>
        <w:gridCol w:w="963"/>
        <w:gridCol w:w="963"/>
        <w:gridCol w:w="1926"/>
        <w:gridCol w:w="1928"/>
      </w:tblGrid>
      <w:tr w:rsidR="006419F0" w14:paraId="0BBD2C59" w14:textId="77777777" w:rsidTr="006419F0">
        <w:trPr>
          <w:trHeight w:val="1961"/>
          <w:cantSplit/>
        </w:trPr>
        <w:tc>
          <w:tcPr>
            <w:tcW w:w="1926" w:type="dxa"/>
            <w:vMerge w:val="restart"/>
            <w:vAlign w:val="top"/>
          </w:tcPr>
          <w:p w14:paraId="73A6539F"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Key Partners</w:t>
            </w:r>
          </w:p>
          <w:p>
            <w:pPr>
              <w:spacing w:after="80" w:line="252" w:lineRule="auto"/>
            </w:pPr>
            <w:r>
              <w:rPr>
                <w:rFonts w:ascii="Times New Roman" w:hAnsi="Times New Roman" w:eastAsia="SimSun"/>
                <w:b w:val="0"/>
                <w:sz w:val="24"/>
                <w:color w:val="000000"/>
              </w:rPr>
              <w:t>NTUitive: IP/licensing.</w:t>
            </w:r>
          </w:p>
          <w:p>
            <w:pPr>
              <w:spacing w:after="80" w:line="252" w:lineRule="auto"/>
            </w:pPr>
            <w:r>
              <w:rPr>
                <w:rFonts w:ascii="Times New Roman" w:hAnsi="Times New Roman" w:eastAsia="SimSun"/>
                <w:b w:val="0"/>
                <w:sz w:val="24"/>
                <w:color w:val="000000"/>
              </w:rPr>
              <w:t>OEM co-development candidate.</w:t>
            </w:r>
          </w:p>
          <w:p>
            <w:pPr>
              <w:spacing w:after="80" w:line="252" w:lineRule="auto"/>
            </w:pPr>
            <w:r>
              <w:rPr>
                <w:rFonts w:ascii="Times New Roman" w:hAnsi="Times New Roman" w:eastAsia="SimSun"/>
                <w:b w:val="0"/>
                <w:sz w:val="24"/>
                <w:color w:val="000000"/>
              </w:rPr>
              <w:t>Monitoring evaluator.</w:t>
            </w:r>
          </w:p>
          <w:p>
            <w:pPr>
              <w:spacing w:after="80" w:line="252" w:lineRule="auto"/>
            </w:pPr>
            <w:r>
              <w:rPr>
                <w:rFonts w:ascii="Times New Roman" w:hAnsi="Times New Roman" w:eastAsia="SimSun"/>
                <w:b w:val="0"/>
                <w:sz w:val="24"/>
                <w:color w:val="000000"/>
              </w:rPr>
              <w:t>Assembly/test suppliers.</w:t>
            </w:r>
          </w:p>
        </w:tc>
        <w:tc>
          <w:tcPr>
            <w:tcW w:w="1926" w:type="dxa"/>
            <w:vAlign w:val="top"/>
          </w:tcPr>
          <w:p w14:paraId="4EE2F438"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Key Activities</w:t>
            </w:r>
          </w:p>
          <w:p>
            <w:pPr>
              <w:spacing w:after="80" w:line="252" w:lineRule="auto"/>
            </w:pPr>
            <w:r>
              <w:rPr>
                <w:rFonts w:ascii="Times New Roman" w:hAnsi="Times New Roman" w:eastAsia="SimSun"/>
                <w:b w:val="0"/>
                <w:sz w:val="24"/>
                <w:color w:val="000000"/>
              </w:rPr>
              <w:t>Module engineering.</w:t>
            </w:r>
          </w:p>
          <w:p>
            <w:pPr>
              <w:spacing w:after="80" w:line="252" w:lineRule="auto"/>
            </w:pPr>
            <w:r>
              <w:rPr>
                <w:rFonts w:ascii="Times New Roman" w:hAnsi="Times New Roman" w:eastAsia="SimSun"/>
                <w:b w:val="0"/>
                <w:sz w:val="24"/>
                <w:color w:val="000000"/>
              </w:rPr>
              <w:t>Adaptive acquisition and timing alignment.</w:t>
            </w:r>
          </w:p>
          <w:p>
            <w:pPr>
              <w:spacing w:after="80" w:line="252" w:lineRule="auto"/>
            </w:pPr>
            <w:r>
              <w:rPr>
                <w:rFonts w:ascii="Times New Roman" w:hAnsi="Times New Roman" w:eastAsia="SimSun"/>
                <w:b w:val="0"/>
                <w:sz w:val="24"/>
                <w:color w:val="000000"/>
              </w:rPr>
              <w:t>Validation and customer costing.</w:t>
            </w:r>
          </w:p>
        </w:tc>
        <w:tc>
          <w:tcPr>
            <w:tcW w:w="1926" w:type="dxa"/>
            <w:gridSpan w:val="2"/>
            <w:vMerge w:val="restart"/>
            <w:vAlign w:val="top"/>
          </w:tcPr>
          <w:p w14:paraId="73BFF31D"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Value Propositions</w:t>
            </w:r>
          </w:p>
          <w:p>
            <w:pPr>
              <w:spacing w:after="80" w:line="252" w:lineRule="auto"/>
            </w:pPr>
            <w:r>
              <w:rPr>
                <w:rFonts w:ascii="Times New Roman" w:hAnsi="Times New Roman" w:eastAsia="SimSun"/>
                <w:b w:val="0"/>
                <w:sz w:val="24"/>
                <w:color w:val="000000"/>
              </w:rPr>
              <w:t>Useful records of sentinel-visible events.</w:t>
            </w:r>
          </w:p>
          <w:p>
            <w:pPr>
              <w:spacing w:after="80" w:line="252" w:lineRule="auto"/>
            </w:pPr>
            <w:r>
              <w:rPr>
                <w:rFonts w:ascii="Times New Roman" w:hAnsi="Times New Roman" w:eastAsia="SimSun"/>
                <w:b w:val="0"/>
                <w:sz w:val="24"/>
                <w:color w:val="000000"/>
              </w:rPr>
              <w:t>Low-power capture with clear prehistory and timing.</w:t>
            </w:r>
          </w:p>
          <w:p>
            <w:pPr>
              <w:spacing w:after="80" w:line="252" w:lineRule="auto"/>
            </w:pPr>
            <w:r>
              <w:rPr>
                <w:rFonts w:ascii="Times New Roman" w:hAnsi="Times New Roman" w:eastAsia="SimSun"/>
                <w:b w:val="0"/>
                <w:sz w:val="24"/>
                <w:color w:val="000000"/>
              </w:rPr>
              <w:t>Reduced OEM integration effort, subject to proof.</w:t>
            </w:r>
          </w:p>
        </w:tc>
        <w:tc>
          <w:tcPr>
            <w:tcW w:w="1926" w:type="dxa"/>
            <w:vAlign w:val="top"/>
          </w:tcPr>
          <w:p w14:paraId="25DE9985"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Customer Relationships</w:t>
            </w:r>
          </w:p>
          <w:p>
            <w:pPr>
              <w:spacing w:after="80" w:line="252" w:lineRule="auto"/>
            </w:pPr>
            <w:r>
              <w:rPr>
                <w:rFonts w:ascii="Times New Roman" w:hAnsi="Times New Roman" w:eastAsia="SimSun"/>
                <w:b w:val="0"/>
                <w:sz w:val="24"/>
                <w:color w:val="000000"/>
              </w:rPr>
              <w:t>Joint evaluation.</w:t>
            </w:r>
          </w:p>
          <w:p>
            <w:pPr>
              <w:spacing w:after="80" w:line="252" w:lineRule="auto"/>
            </w:pPr>
            <w:r>
              <w:rPr>
                <w:rFonts w:ascii="Times New Roman" w:hAnsi="Times New Roman" w:eastAsia="SimSun"/>
                <w:b w:val="0"/>
                <w:sz w:val="24"/>
                <w:color w:val="000000"/>
              </w:rPr>
              <w:t>Defined adaptation and acceptance.</w:t>
            </w:r>
          </w:p>
          <w:p>
            <w:pPr>
              <w:spacing w:after="80" w:line="252" w:lineRule="auto"/>
            </w:pPr>
            <w:r>
              <w:rPr>
                <w:rFonts w:ascii="Times New Roman" w:hAnsi="Times New Roman" w:eastAsia="SimSun"/>
                <w:b w:val="0"/>
                <w:sz w:val="24"/>
                <w:color w:val="000000"/>
              </w:rPr>
              <w:t>OEM technical support.</w:t>
            </w:r>
          </w:p>
        </w:tc>
        <w:tc>
          <w:tcPr>
            <w:tcW w:w="1928" w:type="dxa"/>
            <w:vMerge w:val="restart"/>
            <w:vAlign w:val="top"/>
          </w:tcPr>
          <w:p w14:paraId="67B45210"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Customer Segments</w:t>
            </w:r>
          </w:p>
          <w:p>
            <w:pPr>
              <w:spacing w:after="80" w:line="252" w:lineRule="auto"/>
            </w:pPr>
            <w:r>
              <w:rPr>
                <w:rFonts w:ascii="Times New Roman" w:hAnsi="Times New Roman" w:eastAsia="SimSun"/>
                <w:b w:val="0"/>
                <w:sz w:val="24"/>
                <w:color w:val="000000"/>
              </w:rPr>
              <w:t>Primary: monitoring-equipment OEMs.</w:t>
            </w:r>
          </w:p>
          <w:p>
            <w:pPr>
              <w:spacing w:after="80" w:line="252" w:lineRule="auto"/>
            </w:pPr>
            <w:r>
              <w:rPr>
                <w:rFonts w:ascii="Times New Roman" w:hAnsi="Times New Roman" w:eastAsia="SimSun"/>
                <w:b w:val="0"/>
                <w:sz w:val="24"/>
                <w:color w:val="000000"/>
              </w:rPr>
              <w:t>Evaluators: service firms and asset users.</w:t>
            </w:r>
          </w:p>
          <w:p>
            <w:pPr>
              <w:spacing w:after="80" w:line="252" w:lineRule="auto"/>
            </w:pPr>
            <w:r>
              <w:rPr>
                <w:rFonts w:ascii="Times New Roman" w:hAnsi="Times New Roman" w:eastAsia="SimSun"/>
                <w:b w:val="0"/>
                <w:sz w:val="24"/>
                <w:color w:val="000000"/>
              </w:rPr>
              <w:t>Singapore first; regional design-in thereafter.</w:t>
            </w:r>
          </w:p>
        </w:tc>
      </w:tr>
      <w:tr w:rsidR="006419F0" w14:paraId="1B6B3EC8" w14:textId="77777777" w:rsidTr="006419F0">
        <w:trPr>
          <w:trHeight w:val="1976"/>
          <w:cantSplit/>
        </w:trPr>
        <w:tc>
          <w:tcPr>
            <w:tcW w:w="1926" w:type="dxa"/>
            <w:vMerge/>
            <w:vAlign w:val="top"/>
          </w:tcPr>
          <w:p w14:paraId="735B0176" w14:textId="77777777" w:rsidR="006419F0" w:rsidRDefault="006419F0" w:rsidP="006419F0">
            <w:pPr>
              <w:jc w:val="center"/>
              <w:rPr>
                <w:rFonts w:ascii="Times New Roman" w:hAnsi="Times New Roman" w:cs="Times New Roman"/>
                <w:b/>
                <w:lang w:val="en-GB"/>
              </w:rPr>
            </w:pPr>
          </w:p>
        </w:tc>
        <w:tc>
          <w:tcPr>
            <w:tcW w:w="1926" w:type="dxa"/>
            <w:vAlign w:val="top"/>
          </w:tcPr>
          <w:p w14:paraId="0553EF60"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Key Resources</w:t>
            </w:r>
          </w:p>
          <w:p>
            <w:pPr>
              <w:spacing w:after="80" w:line="252" w:lineRule="auto"/>
            </w:pPr>
            <w:r>
              <w:rPr>
                <w:rFonts w:ascii="Times New Roman" w:hAnsi="Times New Roman" w:eastAsia="SimSun"/>
                <w:b w:val="0"/>
                <w:sz w:val="24"/>
                <w:color w:val="000000"/>
              </w:rPr>
              <w:t>SATM and LiftNode.</w:t>
            </w:r>
          </w:p>
          <w:p>
            <w:pPr>
              <w:spacing w:after="80" w:line="252" w:lineRule="auto"/>
            </w:pPr>
            <w:r>
              <w:rPr>
                <w:rFonts w:ascii="Times New Roman" w:hAnsi="Times New Roman" w:eastAsia="SimSun"/>
                <w:b w:val="0"/>
                <w:sz w:val="24"/>
                <w:color w:val="000000"/>
              </w:rPr>
              <w:t>NTU expertise and IP, subject to review.</w:t>
            </w:r>
          </w:p>
          <w:p>
            <w:pPr>
              <w:spacing w:after="80" w:line="252" w:lineRule="auto"/>
            </w:pPr>
            <w:r>
              <w:rPr>
                <w:rFonts w:ascii="Times New Roman" w:hAnsi="Times New Roman" w:eastAsia="SimSun"/>
                <w:b w:val="0"/>
                <w:sz w:val="24"/>
                <w:color w:val="000000"/>
              </w:rPr>
              <w:t>Firmware, event data and tests.</w:t>
            </w:r>
          </w:p>
        </w:tc>
        <w:tc>
          <w:tcPr>
            <w:tcW w:w="1926" w:type="dxa"/>
            <w:gridSpan w:val="2"/>
            <w:vMerge/>
            <w:vAlign w:val="top"/>
          </w:tcPr>
          <w:p w14:paraId="0012F1BF" w14:textId="77777777" w:rsidR="006419F0" w:rsidRDefault="006419F0" w:rsidP="006419F0">
            <w:pPr>
              <w:jc w:val="center"/>
              <w:rPr>
                <w:rFonts w:ascii="Times New Roman" w:hAnsi="Times New Roman" w:cs="Times New Roman"/>
                <w:b/>
                <w:lang w:val="en-GB"/>
              </w:rPr>
            </w:pPr>
          </w:p>
        </w:tc>
        <w:tc>
          <w:tcPr>
            <w:tcW w:w="1926" w:type="dxa"/>
            <w:vAlign w:val="top"/>
          </w:tcPr>
          <w:p w14:paraId="71D0E4E1"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Channels</w:t>
            </w:r>
          </w:p>
          <w:p>
            <w:pPr>
              <w:spacing w:after="80" w:line="252" w:lineRule="auto"/>
            </w:pPr>
            <w:r>
              <w:rPr>
                <w:rFonts w:ascii="Times New Roman" w:hAnsi="Times New Roman" w:eastAsia="SimSun"/>
                <w:b w:val="0"/>
                <w:sz w:val="24"/>
                <w:color w:val="000000"/>
              </w:rPr>
              <w:t>Direct OEM outreach.</w:t>
            </w:r>
          </w:p>
          <w:p>
            <w:pPr>
              <w:spacing w:after="80" w:line="252" w:lineRule="auto"/>
            </w:pPr>
            <w:r>
              <w:rPr>
                <w:rFonts w:ascii="Times New Roman" w:hAnsi="Times New Roman" w:eastAsia="SimSun"/>
                <w:b w:val="0"/>
                <w:sz w:val="24"/>
                <w:color w:val="000000"/>
              </w:rPr>
              <w:t>Monitoring partners.</w:t>
            </w:r>
          </w:p>
          <w:p>
            <w:pPr>
              <w:spacing w:after="80" w:line="252" w:lineRule="auto"/>
            </w:pPr>
            <w:r>
              <w:rPr>
                <w:rFonts w:ascii="Times New Roman" w:hAnsi="Times New Roman" w:eastAsia="SimSun"/>
                <w:b w:val="0"/>
                <w:sz w:val="24"/>
                <w:color w:val="000000"/>
              </w:rPr>
              <w:t>Regional device/service channels.</w:t>
            </w:r>
          </w:p>
        </w:tc>
        <w:tc>
          <w:tcPr>
            <w:tcW w:w="1928" w:type="dxa"/>
            <w:vMerge/>
            <w:vAlign w:val="top"/>
          </w:tcPr>
          <w:p w14:paraId="75E98A4A" w14:textId="77777777" w:rsidR="006419F0" w:rsidRDefault="006419F0" w:rsidP="006419F0">
            <w:pPr>
              <w:jc w:val="center"/>
              <w:rPr>
                <w:rFonts w:ascii="Times New Roman" w:hAnsi="Times New Roman" w:cs="Times New Roman"/>
                <w:b/>
                <w:lang w:val="en-GB"/>
              </w:rPr>
            </w:pPr>
          </w:p>
        </w:tc>
      </w:tr>
      <w:tr w:rsidR="006419F0" w14:paraId="21EEC27C" w14:textId="77777777" w:rsidTr="00B902EC">
        <w:trPr>
          <w:trHeight w:val="2313"/>
          <w:cantSplit/>
        </w:trPr>
        <w:tc>
          <w:tcPr>
            <w:tcW w:w="4815" w:type="dxa"/>
            <w:gridSpan w:val="3"/>
            <w:vAlign w:val="top"/>
          </w:tcPr>
          <w:p w14:paraId="7C5448E8"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Cost Structure</w:t>
            </w:r>
          </w:p>
          <w:p>
            <w:pPr>
              <w:spacing w:after="80" w:line="252" w:lineRule="auto"/>
            </w:pPr>
            <w:r>
              <w:rPr>
                <w:rFonts w:ascii="Times New Roman" w:hAnsi="Times New Roman" w:eastAsia="SimSun"/>
                <w:b w:val="0"/>
                <w:sz w:val="24"/>
                <w:color w:val="000000"/>
              </w:rPr>
              <w:t>Engineering, validation, components, assembly/test, adaptation and support. Grant excludes existing salaries, overhead and patent filing.</w:t>
            </w:r>
          </w:p>
        </w:tc>
        <w:tc>
          <w:tcPr>
            <w:tcW w:w="4817" w:type="dxa"/>
            <w:gridSpan w:val="3"/>
            <w:vAlign w:val="top"/>
          </w:tcPr>
          <w:p w14:paraId="487DECB5" w14:textId="77777777" w:rsidR="006419F0" w:rsidRDefault="006419F0" w:rsidP="006419F0">
            <w:pPr>
              <w:keepNext w:val="0"/>
              <w:keepLines/>
              <w:widowControl/>
              <w:spacing w:before="0" w:after="120" w:line="252" w:lineRule="auto"/>
              <w:ind w:left="0" w:right="0" w:firstLine="0"/>
              <w:jc w:val="left"/>
              <w:rPr>
                <w:rFonts w:ascii="Times New Roman" w:hAnsi="Times New Roman" w:cs="Times New Roman"/>
                <w:b/>
                <w:lang w:val="en-GB"/>
              </w:rPr>
              <w:kinsoku w:val="1"/>
            </w:pPr>
            <w:r>
              <w:rPr>
                <w:rFonts w:ascii="Times New Roman" w:hAnsi="Times New Roman" w:eastAsia="SimSun"/>
                <w:b/>
                <w:sz w:val="24"/>
                <w:color w:val="000000"/>
              </w:rPr>
              <w:t>Revenue Streams</w:t>
            </w:r>
          </w:p>
          <w:p>
            <w:pPr>
              <w:spacing w:after="80" w:line="252" w:lineRule="auto"/>
            </w:pPr>
            <w:r>
              <w:rPr>
                <w:rFonts w:ascii="Times New Roman" w:hAnsi="Times New Roman" w:eastAsia="SimSun"/>
                <w:b w:val="0"/>
                <w:sz w:val="24"/>
                <w:color w:val="000000"/>
              </w:rPr>
              <w:t>Module + basic firmware; separate adaptation fees. Compatible-hardware licensing as an alternative. Evaluation assemblies. No assumed annual subscription or secured order.</w:t>
            </w:r>
          </w:p>
        </w:tc>
      </w:tr>
    </w:tbl>
    <w:p w14:paraId="42097E69" w14:textId="77777777" w:rsidR="006419F0" w:rsidRPr="006419F0" w:rsidRDefault="006419F0" w:rsidP="00761106">
      <w:pPr>
        <w:jc w:val="both"/>
        <w:rPr>
          <w:rFonts w:ascii="Times New Roman" w:hAnsi="Times New Roman" w:cs="Times New Roman"/>
          <w:lang w:val="en-GB"/>
        </w:rPr>
      </w:pPr>
      <w:r w:rsidRPr="006419F0">
        <w:rPr>
          <w:rFonts w:ascii="Times New Roman" w:hAnsi="Times New Roman" w:cs="Times New Roman"/>
          <w:lang w:val="en-GB"/>
        </w:rPr>
        <w:t xml:space="preserve">Suggested </w:t>
      </w:r>
      <w:r>
        <w:rPr>
          <w:rFonts w:ascii="Times New Roman" w:hAnsi="Times New Roman" w:cs="Times New Roman"/>
          <w:lang w:val="en-GB"/>
        </w:rPr>
        <w:t xml:space="preserve">reading </w:t>
      </w:r>
      <w:r w:rsidRPr="006419F0">
        <w:rPr>
          <w:rFonts w:ascii="Times New Roman" w:hAnsi="Times New Roman" w:cs="Times New Roman"/>
          <w:lang w:val="en-GB"/>
        </w:rPr>
        <w:t>references:</w:t>
      </w:r>
    </w:p>
    <w:p w14:paraId="01436A73" w14:textId="77777777" w:rsidR="006419F0" w:rsidRPr="006419F0" w:rsidRDefault="006419F0" w:rsidP="006419F0">
      <w:pPr>
        <w:pStyle w:val="ListParagraph"/>
        <w:numPr>
          <w:ilvl w:val="0"/>
          <w:numId w:val="17"/>
        </w:numPr>
        <w:jc w:val="both"/>
        <w:rPr>
          <w:sz w:val="24"/>
          <w:szCs w:val="24"/>
        </w:rPr>
      </w:pPr>
      <w:r w:rsidRPr="006419F0">
        <w:rPr>
          <w:sz w:val="24"/>
          <w:szCs w:val="24"/>
        </w:rPr>
        <w:t>Business Model Generation by Alexander Osterwalder and Yves Pigneur</w:t>
      </w:r>
    </w:p>
    <w:p w14:paraId="12576B43" w14:textId="77777777" w:rsidR="006419F0" w:rsidRPr="006419F0" w:rsidRDefault="006419F0" w:rsidP="006419F0">
      <w:pPr>
        <w:pStyle w:val="ListParagraph"/>
        <w:numPr>
          <w:ilvl w:val="0"/>
          <w:numId w:val="17"/>
        </w:numPr>
        <w:jc w:val="both"/>
        <w:rPr>
          <w:sz w:val="24"/>
          <w:szCs w:val="24"/>
        </w:rPr>
      </w:pPr>
      <w:r w:rsidRPr="006419F0">
        <w:rPr>
          <w:sz w:val="24"/>
          <w:szCs w:val="24"/>
        </w:rPr>
        <w:t>Value Proposition Design by Alexander Osterwalder, Yves Pigneur, Greg Bernarda, Alan Smith</w:t>
      </w:r>
    </w:p>
    <w:sectPr w:rsidR="004257CD" w:rsidRPr="006419F0" w:rsidSect="00774B62">
      <w:headerReference w:type="default" r:id="rId9"/>
      <w:footerReference w:type="default" r:id="rId10"/>
      <w:headerReference w:type="first" r:id="rId11"/>
      <w:footerReference w:type="first" r:id="rId12"/>
      <w:pgSz w:w="11900" w:h="16840"/>
      <w:pgMar w:top="1021" w:right="1134" w:bottom="1021" w:left="1134" w:header="0" w:footer="62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6954B" w14:textId="77777777" w:rsidR="00E07257" w:rsidRDefault="00E07257">
      <w:r>
        <w:separator/>
      </w:r>
    </w:p>
  </w:endnote>
  <w:endnote w:type="continuationSeparator" w:id="0">
    <w:p w14:paraId="0230EBD7" w14:textId="77777777" w:rsidR="00E07257" w:rsidRDefault="00E07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5BCC" w14:textId="77777777" w:rsidR="001A1732" w:rsidRDefault="001A1732" w:rsidP="001A1732">
    <w:pPr>
      <w:pStyle w:val="Footer"/>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BE16" w14:textId="77777777" w:rsidR="00CE63AA" w:rsidRDefault="00CE63AA">
    <w:pPr>
      <w:pStyle w:val="Footer"/>
    </w:pPr>
    <w:r w:rsidRPr="001A1732">
      <w:rPr>
        <w:noProof/>
        <w:lang w:val="en-SG" w:eastAsia="zh-CN"/>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0" name="Picture 10"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1CBFB" w14:textId="77777777" w:rsidR="00E07257" w:rsidRDefault="00E07257">
      <w:r>
        <w:separator/>
      </w:r>
    </w:p>
  </w:footnote>
  <w:footnote w:type="continuationSeparator" w:id="0">
    <w:p w14:paraId="470B4443" w14:textId="77777777" w:rsidR="00E07257" w:rsidRDefault="00E07257">
      <w:r>
        <w:continuationSeparator/>
      </w:r>
    </w:p>
  </w:footnote>
  <w:footnote w:id="1">
    <w:p w14:paraId="5686F911" w14:textId="77777777" w:rsidR="00E4627E" w:rsidRPr="001666DE" w:rsidRDefault="00E4627E" w:rsidP="00E4627E">
      <w:pPr>
        <w:pStyle w:val="FootnoteText"/>
        <w:rPr>
          <w:lang w:val="en-GB"/>
        </w:rPr>
      </w:pPr>
      <w:r>
        <w:rPr>
          <w:rStyle w:val="FootnoteReference"/>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11CC" w14:textId="77777777" w:rsidR="001A1732" w:rsidRDefault="001A1732" w:rsidP="00EC4A65">
    <w:pPr>
      <w:pStyle w:val="Header"/>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E0C7" w14:textId="77777777" w:rsidR="00796B27" w:rsidRDefault="00796B27">
    <w:pPr>
      <w:pStyle w:val="Header"/>
    </w:pPr>
  </w:p>
  <w:p w14:paraId="162CEDA4"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4080C98F" w14:textId="77777777" w:rsidTr="00E07E07">
      <w:trPr>
        <w:trHeight w:val="1128"/>
      </w:trPr>
      <w:tc>
        <w:tcPr>
          <w:tcW w:w="1611" w:type="dxa"/>
        </w:tcPr>
        <w:p w14:paraId="54A55AA8" w14:textId="77777777" w:rsidR="00774B62" w:rsidRDefault="00774B62" w:rsidP="00796B27">
          <w:pPr>
            <w:pStyle w:val="Header"/>
          </w:pPr>
          <w:r>
            <w:rPr>
              <w:noProof/>
              <w:lang w:val="en-SG" w:eastAsia="zh-CN"/>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6693D411" w14:textId="6F4E9F63" w:rsidR="00E07E07" w:rsidRPr="00F84C77" w:rsidRDefault="00774B62" w:rsidP="00E67A3D">
          <w:pPr>
            <w:pStyle w:val="Header"/>
            <w:jc w:val="center"/>
            <w:rPr>
              <w:rFonts w:ascii="Times New Roman" w:hAnsi="Times New Roman" w:cs="Times New Roman"/>
              <w:sz w:val="36"/>
              <w:szCs w:val="36"/>
            </w:rPr>
          </w:pPr>
          <w:r w:rsidRPr="00F84C77">
            <w:rPr>
              <w:rFonts w:ascii="Times New Roman" w:hAnsi="Times New Roman" w:cs="Times New Roman"/>
              <w:sz w:val="36"/>
              <w:szCs w:val="36"/>
            </w:rPr>
            <w:t xml:space="preserve">NTUitive </w:t>
          </w:r>
          <w:r w:rsidR="00144042">
            <w:rPr>
              <w:rFonts w:ascii="Times New Roman" w:hAnsi="Times New Roman" w:cs="Times New Roman"/>
              <w:sz w:val="36"/>
              <w:szCs w:val="36"/>
            </w:rPr>
            <w:t>Gap</w:t>
          </w:r>
          <w:r w:rsidR="006419F0">
            <w:rPr>
              <w:rFonts w:ascii="Times New Roman" w:hAnsi="Times New Roman" w:cs="Times New Roman"/>
              <w:sz w:val="36"/>
              <w:szCs w:val="36"/>
            </w:rPr>
            <w:t xml:space="preserve"> (</w:t>
          </w:r>
          <w:r w:rsidR="00144042">
            <w:rPr>
              <w:rFonts w:ascii="Times New Roman" w:hAnsi="Times New Roman" w:cs="Times New Roman"/>
              <w:sz w:val="36"/>
              <w:szCs w:val="36"/>
            </w:rPr>
            <w:t>POC</w:t>
          </w:r>
          <w:r w:rsidR="006419F0">
            <w:rPr>
              <w:rFonts w:ascii="Times New Roman" w:hAnsi="Times New Roman" w:cs="Times New Roman"/>
              <w:sz w:val="36"/>
              <w:szCs w:val="36"/>
            </w:rPr>
            <w:t>)</w:t>
          </w:r>
          <w:r w:rsidR="00E07E07" w:rsidRPr="00F84C77">
            <w:rPr>
              <w:rFonts w:ascii="Times New Roman" w:hAnsi="Times New Roman" w:cs="Times New Roman"/>
              <w:sz w:val="36"/>
              <w:szCs w:val="36"/>
            </w:rPr>
            <w:t xml:space="preserve"> Fund</w:t>
          </w:r>
        </w:p>
        <w:p w14:paraId="503B85BD" w14:textId="77777777" w:rsidR="00774B62" w:rsidRPr="00E07E07" w:rsidRDefault="00774B62" w:rsidP="00E67A3D">
          <w:pPr>
            <w:pStyle w:val="Header"/>
            <w:jc w:val="center"/>
            <w:rPr>
              <w:rFonts w:cs="Arial"/>
              <w:sz w:val="36"/>
              <w:szCs w:val="36"/>
            </w:rPr>
          </w:pPr>
          <w:r w:rsidRPr="00F84C77">
            <w:rPr>
              <w:rFonts w:ascii="Times New Roman" w:hAnsi="Times New Roman" w:cs="Times New Roman"/>
              <w:sz w:val="36"/>
              <w:szCs w:val="36"/>
            </w:rPr>
            <w:t>Application Form</w:t>
          </w:r>
        </w:p>
      </w:tc>
      <w:tc>
        <w:tcPr>
          <w:tcW w:w="2126" w:type="dxa"/>
          <w:vAlign w:val="center"/>
        </w:tcPr>
        <w:p w14:paraId="16867D47" w14:textId="77777777" w:rsidR="00774B62" w:rsidRPr="00796B27" w:rsidRDefault="00774B62" w:rsidP="00774B62">
          <w:pPr>
            <w:pStyle w:val="NoSpacing"/>
            <w:spacing w:line="360" w:lineRule="auto"/>
            <w:rPr>
              <w:rFonts w:cs="Arial"/>
              <w:sz w:val="32"/>
              <w:szCs w:val="32"/>
            </w:rPr>
          </w:pPr>
          <w:r w:rsidRPr="00774B62">
            <w:rPr>
              <w:rFonts w:ascii="Arial" w:hAnsi="Arial" w:cs="Arial"/>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9BCAA68" w14:textId="77777777" w:rsidR="00774B62" w:rsidRPr="00F84C77" w:rsidRDefault="00774B62" w:rsidP="00774B62">
                                <w:pPr>
                                  <w:spacing w:line="360" w:lineRule="auto"/>
                                  <w:rPr>
                                    <w:rFonts w:ascii="Times New Roman" w:hAnsi="Times New Roman" w:cs="Times New Roman"/>
                                    <w:sz w:val="20"/>
                                    <w:szCs w:val="20"/>
                                  </w:rPr>
                                </w:pPr>
                                <w:r w:rsidRPr="00F84C77">
                                  <w:rPr>
                                    <w:rFonts w:ascii="Times New Roman" w:hAnsi="Times New Roman" w:cs="Times New Roman"/>
                                    <w:sz w:val="20"/>
                                    <w:szCs w:val="20"/>
                                  </w:rPr>
                                  <w:t>For official use:</w:t>
                                </w:r>
                              </w:p>
                              <w:p w14:paraId="75E218AB" w14:textId="02CA6E40" w:rsidR="00774B62" w:rsidRPr="00F84C77" w:rsidRDefault="00AD5A81" w:rsidP="00774B62">
                                <w:pPr>
                                  <w:spacing w:line="360" w:lineRule="auto"/>
                                  <w:rPr>
                                    <w:rFonts w:ascii="Times New Roman" w:hAnsi="Times New Roman" w:cs="Times New Roman"/>
                                    <w:sz w:val="20"/>
                                    <w:szCs w:val="20"/>
                                  </w:rPr>
                                </w:pPr>
                                <w:r>
                                  <w:rPr>
                                    <w:rFonts w:ascii="Times New Roman" w:hAnsi="Times New Roman" w:cs="Times New Roman"/>
                                    <w:sz w:val="20"/>
                                    <w:szCs w:val="20"/>
                                  </w:rPr>
                                  <w:t>NGF/202</w:t>
                                </w:r>
                                <w:r w:rsidR="00357715">
                                  <w:rPr>
                                    <w:rFonts w:ascii="Times New Roman" w:hAnsi="Times New Roman" w:cs="Times New Roman"/>
                                    <w:sz w:val="20"/>
                                    <w:szCs w:val="20"/>
                                  </w:rPr>
                                  <w:t>6</w:t>
                                </w:r>
                                <w:r w:rsidR="00774B62" w:rsidRPr="00F84C77">
                                  <w:rPr>
                                    <w:rFonts w:ascii="Times New Roman" w:hAnsi="Times New Roman" w:cs="Times New Roman"/>
                                    <w:sz w:val="20"/>
                                    <w:szCs w:val="20"/>
                                  </w:rPr>
                                  <w:t>/</w:t>
                                </w:r>
                                <w:r w:rsidR="0062638B">
                                  <w:rPr>
                                    <w:rFonts w:ascii="Times New Roman" w:hAnsi="Times New Roman" w:cs="Times New Roman"/>
                                    <w:sz w:val="20"/>
                                    <w:szCs w:val="20"/>
                                  </w:rPr>
                                  <w:t>20</w:t>
                                </w:r>
                                <w:r w:rsidR="00774B62" w:rsidRPr="00F84C77">
                                  <w:rPr>
                                    <w:rFonts w:ascii="Times New Roman" w:hAnsi="Times New Roman"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9BCAA68" w14:textId="77777777" w:rsidR="00774B62" w:rsidRPr="00F84C77" w:rsidRDefault="00774B62" w:rsidP="00774B62">
                          <w:pPr>
                            <w:spacing w:line="360" w:lineRule="auto"/>
                            <w:rPr>
                              <w:rFonts w:ascii="Times New Roman" w:hAnsi="Times New Roman" w:cs="Times New Roman"/>
                              <w:sz w:val="20"/>
                              <w:szCs w:val="20"/>
                            </w:rPr>
                          </w:pPr>
                          <w:r w:rsidRPr="00F84C77">
                            <w:rPr>
                              <w:rFonts w:ascii="Times New Roman" w:hAnsi="Times New Roman" w:cs="Times New Roman"/>
                              <w:sz w:val="20"/>
                              <w:szCs w:val="20"/>
                            </w:rPr>
                            <w:t>For official use:</w:t>
                          </w:r>
                        </w:p>
                        <w:p w14:paraId="75E218AB" w14:textId="02CA6E40" w:rsidR="00774B62" w:rsidRPr="00F84C77" w:rsidRDefault="00AD5A81" w:rsidP="00774B62">
                          <w:pPr>
                            <w:spacing w:line="360" w:lineRule="auto"/>
                            <w:rPr>
                              <w:rFonts w:ascii="Times New Roman" w:hAnsi="Times New Roman" w:cs="Times New Roman"/>
                              <w:sz w:val="20"/>
                              <w:szCs w:val="20"/>
                            </w:rPr>
                          </w:pPr>
                          <w:r>
                            <w:rPr>
                              <w:rFonts w:ascii="Times New Roman" w:hAnsi="Times New Roman" w:cs="Times New Roman"/>
                              <w:sz w:val="20"/>
                              <w:szCs w:val="20"/>
                            </w:rPr>
                            <w:t>NGF/202</w:t>
                          </w:r>
                          <w:r w:rsidR="00357715">
                            <w:rPr>
                              <w:rFonts w:ascii="Times New Roman" w:hAnsi="Times New Roman" w:cs="Times New Roman"/>
                              <w:sz w:val="20"/>
                              <w:szCs w:val="20"/>
                            </w:rPr>
                            <w:t>6</w:t>
                          </w:r>
                          <w:r w:rsidR="00774B62" w:rsidRPr="00F84C77">
                            <w:rPr>
                              <w:rFonts w:ascii="Times New Roman" w:hAnsi="Times New Roman" w:cs="Times New Roman"/>
                              <w:sz w:val="20"/>
                              <w:szCs w:val="20"/>
                            </w:rPr>
                            <w:t>/</w:t>
                          </w:r>
                          <w:r w:rsidR="0062638B">
                            <w:rPr>
                              <w:rFonts w:ascii="Times New Roman" w:hAnsi="Times New Roman" w:cs="Times New Roman"/>
                              <w:sz w:val="20"/>
                              <w:szCs w:val="20"/>
                            </w:rPr>
                            <w:t>20</w:t>
                          </w:r>
                          <w:r w:rsidR="00774B62" w:rsidRPr="00F84C77">
                            <w:rPr>
                              <w:rFonts w:ascii="Times New Roman" w:hAnsi="Times New Roman" w:cs="Times New Roman"/>
                              <w:sz w:val="20"/>
                              <w:szCs w:val="20"/>
                            </w:rPr>
                            <w:t>/</w:t>
                          </w:r>
                        </w:p>
                      </w:txbxContent>
                    </v:textbox>
                  </v:shape>
                </w:pict>
              </mc:Fallback>
            </mc:AlternateContent>
          </w:r>
          <w:r>
            <w:rPr>
              <w:rFonts w:ascii="Arial" w:hAnsi="Arial" w:cs="Arial"/>
              <w:sz w:val="18"/>
              <w:szCs w:val="18"/>
            </w:rPr>
            <w:t xml:space="preserve"> </w:t>
          </w:r>
        </w:p>
      </w:tc>
    </w:tr>
  </w:tbl>
  <w:p w14:paraId="27C158B4"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3606EE6"/>
    <w:multiLevelType w:val="hybridMultilevel"/>
    <w:tmpl w:val="37BED2F6"/>
    <w:lvl w:ilvl="0" w:tplc="C3A299E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1"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Arial" w:hAnsi="Arial"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Arial" w:hAnsi="Arial"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Arial" w:hAnsi="Arial"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F5B75A0"/>
    <w:multiLevelType w:val="hybridMultilevel"/>
    <w:tmpl w:val="AC18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6"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C6700FB"/>
    <w:multiLevelType w:val="hybridMultilevel"/>
    <w:tmpl w:val="A412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1"/>
  </w:num>
  <w:num w:numId="2" w16cid:durableId="2093893593">
    <w:abstractNumId w:val="17"/>
  </w:num>
  <w:num w:numId="3" w16cid:durableId="162086307">
    <w:abstractNumId w:val="0"/>
  </w:num>
  <w:num w:numId="4" w16cid:durableId="26107164">
    <w:abstractNumId w:val="9"/>
  </w:num>
  <w:num w:numId="5" w16cid:durableId="1164469773">
    <w:abstractNumId w:val="7"/>
  </w:num>
  <w:num w:numId="6" w16cid:durableId="1782603581">
    <w:abstractNumId w:val="6"/>
  </w:num>
  <w:num w:numId="7" w16cid:durableId="651254072">
    <w:abstractNumId w:val="4"/>
  </w:num>
  <w:num w:numId="8" w16cid:durableId="582833176">
    <w:abstractNumId w:val="16"/>
  </w:num>
  <w:num w:numId="9" w16cid:durableId="317029423">
    <w:abstractNumId w:val="19"/>
  </w:num>
  <w:num w:numId="10" w16cid:durableId="497893025">
    <w:abstractNumId w:val="3"/>
  </w:num>
  <w:num w:numId="11" w16cid:durableId="802887933">
    <w:abstractNumId w:val="15"/>
  </w:num>
  <w:num w:numId="12" w16cid:durableId="1603954812">
    <w:abstractNumId w:val="5"/>
  </w:num>
  <w:num w:numId="13" w16cid:durableId="475025715">
    <w:abstractNumId w:val="8"/>
  </w:num>
  <w:num w:numId="14" w16cid:durableId="2066483459">
    <w:abstractNumId w:val="18"/>
  </w:num>
  <w:num w:numId="15" w16cid:durableId="1438481346">
    <w:abstractNumId w:val="14"/>
  </w:num>
  <w:num w:numId="16" w16cid:durableId="189496462">
    <w:abstractNumId w:val="12"/>
  </w:num>
  <w:num w:numId="17" w16cid:durableId="1676378043">
    <w:abstractNumId w:val="2"/>
  </w:num>
  <w:num w:numId="18" w16cid:durableId="1783378287">
    <w:abstractNumId w:val="1"/>
  </w:num>
  <w:num w:numId="19" w16cid:durableId="315182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1668F"/>
    <w:rsid w:val="00017F88"/>
    <w:rsid w:val="000227C1"/>
    <w:rsid w:val="00032DAA"/>
    <w:rsid w:val="00053CD9"/>
    <w:rsid w:val="00055F80"/>
    <w:rsid w:val="00057737"/>
    <w:rsid w:val="0009154C"/>
    <w:rsid w:val="000B1676"/>
    <w:rsid w:val="000B1B44"/>
    <w:rsid w:val="000B674E"/>
    <w:rsid w:val="000C688E"/>
    <w:rsid w:val="000D0768"/>
    <w:rsid w:val="000E2458"/>
    <w:rsid w:val="00105C5A"/>
    <w:rsid w:val="001338B9"/>
    <w:rsid w:val="00144042"/>
    <w:rsid w:val="001A1732"/>
    <w:rsid w:val="001A3B93"/>
    <w:rsid w:val="001A4B96"/>
    <w:rsid w:val="001B476C"/>
    <w:rsid w:val="001E2C07"/>
    <w:rsid w:val="00244B0F"/>
    <w:rsid w:val="0025020D"/>
    <w:rsid w:val="00260348"/>
    <w:rsid w:val="0027658E"/>
    <w:rsid w:val="00285185"/>
    <w:rsid w:val="00293CDB"/>
    <w:rsid w:val="002A291C"/>
    <w:rsid w:val="002A62E7"/>
    <w:rsid w:val="002D3E01"/>
    <w:rsid w:val="002D6D8C"/>
    <w:rsid w:val="002F6BA7"/>
    <w:rsid w:val="0031733A"/>
    <w:rsid w:val="00322EFA"/>
    <w:rsid w:val="00326899"/>
    <w:rsid w:val="00332BEC"/>
    <w:rsid w:val="003342A5"/>
    <w:rsid w:val="0033528D"/>
    <w:rsid w:val="00344E38"/>
    <w:rsid w:val="003459DA"/>
    <w:rsid w:val="00353F88"/>
    <w:rsid w:val="00357715"/>
    <w:rsid w:val="003A2854"/>
    <w:rsid w:val="003A4FE8"/>
    <w:rsid w:val="003D5532"/>
    <w:rsid w:val="003E40DA"/>
    <w:rsid w:val="003F4335"/>
    <w:rsid w:val="004222A3"/>
    <w:rsid w:val="0042359B"/>
    <w:rsid w:val="004257CD"/>
    <w:rsid w:val="00427215"/>
    <w:rsid w:val="0043760C"/>
    <w:rsid w:val="0048055F"/>
    <w:rsid w:val="004A245C"/>
    <w:rsid w:val="004B30EA"/>
    <w:rsid w:val="004C4F3A"/>
    <w:rsid w:val="004E07E3"/>
    <w:rsid w:val="004E1454"/>
    <w:rsid w:val="005356CA"/>
    <w:rsid w:val="00546FA4"/>
    <w:rsid w:val="00565A89"/>
    <w:rsid w:val="005A2A0A"/>
    <w:rsid w:val="005A6B8E"/>
    <w:rsid w:val="005B3E86"/>
    <w:rsid w:val="005B7246"/>
    <w:rsid w:val="005C3FC4"/>
    <w:rsid w:val="006161FC"/>
    <w:rsid w:val="00620A12"/>
    <w:rsid w:val="00623CEA"/>
    <w:rsid w:val="0062535F"/>
    <w:rsid w:val="0062638B"/>
    <w:rsid w:val="0063226B"/>
    <w:rsid w:val="00640E23"/>
    <w:rsid w:val="006419F0"/>
    <w:rsid w:val="00646A70"/>
    <w:rsid w:val="00650890"/>
    <w:rsid w:val="006649B7"/>
    <w:rsid w:val="006A3D68"/>
    <w:rsid w:val="006B40B6"/>
    <w:rsid w:val="00706C81"/>
    <w:rsid w:val="007222EB"/>
    <w:rsid w:val="007347D0"/>
    <w:rsid w:val="00741384"/>
    <w:rsid w:val="007427D6"/>
    <w:rsid w:val="00751C9A"/>
    <w:rsid w:val="00761106"/>
    <w:rsid w:val="00773741"/>
    <w:rsid w:val="00774B62"/>
    <w:rsid w:val="00795F69"/>
    <w:rsid w:val="00796B27"/>
    <w:rsid w:val="007B06F8"/>
    <w:rsid w:val="007D4AE5"/>
    <w:rsid w:val="008014C9"/>
    <w:rsid w:val="0080323F"/>
    <w:rsid w:val="00810E7A"/>
    <w:rsid w:val="00822801"/>
    <w:rsid w:val="00826D5E"/>
    <w:rsid w:val="008271FF"/>
    <w:rsid w:val="00834C12"/>
    <w:rsid w:val="008735E6"/>
    <w:rsid w:val="008A4EBB"/>
    <w:rsid w:val="008B6AD6"/>
    <w:rsid w:val="008E4EB9"/>
    <w:rsid w:val="0094165D"/>
    <w:rsid w:val="00941A4F"/>
    <w:rsid w:val="00946976"/>
    <w:rsid w:val="009561D9"/>
    <w:rsid w:val="00976985"/>
    <w:rsid w:val="009A0236"/>
    <w:rsid w:val="00A046D5"/>
    <w:rsid w:val="00A36ECB"/>
    <w:rsid w:val="00A763B7"/>
    <w:rsid w:val="00A96E7A"/>
    <w:rsid w:val="00A96FFF"/>
    <w:rsid w:val="00AC318E"/>
    <w:rsid w:val="00AC44DB"/>
    <w:rsid w:val="00AD5A81"/>
    <w:rsid w:val="00B05705"/>
    <w:rsid w:val="00B11316"/>
    <w:rsid w:val="00B35F69"/>
    <w:rsid w:val="00B46ECB"/>
    <w:rsid w:val="00B76593"/>
    <w:rsid w:val="00B879FF"/>
    <w:rsid w:val="00B91483"/>
    <w:rsid w:val="00BA1BD2"/>
    <w:rsid w:val="00BA527B"/>
    <w:rsid w:val="00BB0AC9"/>
    <w:rsid w:val="00BF4F8F"/>
    <w:rsid w:val="00C0237C"/>
    <w:rsid w:val="00C2540E"/>
    <w:rsid w:val="00C2733A"/>
    <w:rsid w:val="00C27782"/>
    <w:rsid w:val="00C33BB8"/>
    <w:rsid w:val="00C446EE"/>
    <w:rsid w:val="00C706C6"/>
    <w:rsid w:val="00C758D0"/>
    <w:rsid w:val="00C82AF2"/>
    <w:rsid w:val="00C85B29"/>
    <w:rsid w:val="00CA3B28"/>
    <w:rsid w:val="00CE30CE"/>
    <w:rsid w:val="00CE63AA"/>
    <w:rsid w:val="00CF2128"/>
    <w:rsid w:val="00D0012B"/>
    <w:rsid w:val="00D041D9"/>
    <w:rsid w:val="00D05D43"/>
    <w:rsid w:val="00D23136"/>
    <w:rsid w:val="00D43CE7"/>
    <w:rsid w:val="00D50F5E"/>
    <w:rsid w:val="00D6793C"/>
    <w:rsid w:val="00D74172"/>
    <w:rsid w:val="00DF2DFB"/>
    <w:rsid w:val="00E07257"/>
    <w:rsid w:val="00E07E07"/>
    <w:rsid w:val="00E1756A"/>
    <w:rsid w:val="00E37FF5"/>
    <w:rsid w:val="00E43C8D"/>
    <w:rsid w:val="00E45CC9"/>
    <w:rsid w:val="00E4627E"/>
    <w:rsid w:val="00E67A3D"/>
    <w:rsid w:val="00E87013"/>
    <w:rsid w:val="00E94D4B"/>
    <w:rsid w:val="00EA4213"/>
    <w:rsid w:val="00EC24DD"/>
    <w:rsid w:val="00EC4A65"/>
    <w:rsid w:val="00ED17E7"/>
    <w:rsid w:val="00F13E13"/>
    <w:rsid w:val="00F14672"/>
    <w:rsid w:val="00F24C0C"/>
    <w:rsid w:val="00F34686"/>
    <w:rsid w:val="00F61A83"/>
    <w:rsid w:val="00F84C77"/>
    <w:rsid w:val="00FD282B"/>
    <w:rsid w:val="00FE297B"/>
    <w:rsid w:val="00FE39AB"/>
    <w:rsid w:val="00FE4C3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6EE65"/>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style>
  <w:style w:type="paragraph" w:styleId="Heading3">
    <w:name w:val="heading 3"/>
    <w:basedOn w:val="Normal"/>
    <w:next w:val="Normal"/>
    <w:link w:val="Heading3Char"/>
    <w:qFormat/>
    <w:rsid w:val="006161FC"/>
    <w:pPr>
      <w:keepNext/>
      <w:widowControl w:val="0"/>
      <w:tabs>
        <w:tab w:val="center" w:pos="4080"/>
      </w:tabs>
      <w:jc w:val="right"/>
      <w:outlineLvl w:val="2"/>
    </w:pPr>
    <w:rPr>
      <w:rFonts w:ascii="Arial" w:eastAsia="Times New Roman" w:hAnsi="Arial" w:cs="Times New Roman"/>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rFonts w:ascii="Arial" w:eastAsia="Times New Roman" w:hAnsi="Arial" w:cs="Times New Roman"/>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style>
  <w:style w:type="table" w:styleId="TableGrid">
    <w:name w:val="Table Grid"/>
    <w:basedOn w:val="TableNormal"/>
    <w:uiPriority w:val="59"/>
    <w:rsid w:val="001A1732"/>
    <w:rPr>
      <w:rFonts w:eastAsiaTheme="minorEastAsia"/>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rFonts w:ascii="Tahoma" w:hAnsi="Tahoma" w:cs="Tahoma"/>
      <w:sz w:val="16"/>
      <w:szCs w:val="16"/>
    </w:rPr>
  </w:style>
  <w:style w:type="character" w:customStyle="1" w:styleId="BalloonTextChar">
    <w:name w:val="Balloon Text Char"/>
    <w:basedOn w:val="DefaultParagraphFont"/>
    <w:link w:val="BalloonText"/>
    <w:uiPriority w:val="99"/>
    <w:semiHidden/>
    <w:rsid w:val="00EC4A65"/>
    <w:rPr>
      <w:rFonts w:ascii="Tahoma" w:hAnsi="Tahoma" w:cs="Tahoma"/>
      <w:sz w:val="16"/>
      <w:szCs w:val="16"/>
    </w:rPr>
  </w:style>
  <w:style w:type="paragraph" w:styleId="ListParagraph">
    <w:name w:val="List Paragraph"/>
    <w:basedOn w:val="Normal"/>
    <w:uiPriority w:val="34"/>
    <w:qFormat/>
    <w:rsid w:val="000C688E"/>
    <w:pPr>
      <w:ind w:left="720"/>
      <w:contextualSpacing/>
    </w:pPr>
    <w:rPr>
      <w:rFonts w:ascii="Times New Roman" w:eastAsia="SimSun" w:hAnsi="Times New Roman" w:cs="Times New Roman"/>
      <w:sz w:val="20"/>
      <w:szCs w:val="20"/>
      <w:lang w:val="en-GB"/>
    </w:rPr>
  </w:style>
  <w:style w:type="table" w:customStyle="1" w:styleId="TableGrid1">
    <w:name w:val="Table Grid1"/>
    <w:basedOn w:val="TableNormal"/>
    <w:next w:val="TableGrid"/>
    <w:uiPriority w:val="59"/>
    <w:rsid w:val="00B76593"/>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Arial" w:eastAsia="Times New Roman" w:hAnsi="Arial" w:cs="Times New Roman"/>
      <w:sz w:val="22"/>
      <w:szCs w:val="20"/>
      <w:u w:val="single"/>
      <w:lang w:val="en-GB"/>
    </w:rPr>
  </w:style>
  <w:style w:type="character" w:customStyle="1" w:styleId="Heading4Char">
    <w:name w:val="Heading 4 Char"/>
    <w:basedOn w:val="DefaultParagraphFont"/>
    <w:link w:val="Heading4"/>
    <w:rsid w:val="006161FC"/>
    <w:rPr>
      <w:rFonts w:ascii="Arial" w:eastAsia="Times New Roman" w:hAnsi="Arial" w:cs="Times New Roman"/>
      <w:b/>
      <w:sz w:val="22"/>
      <w:szCs w:val="20"/>
      <w:u w:val="single"/>
      <w:lang w:val="en-GB"/>
    </w:rPr>
  </w:style>
  <w:style w:type="paragraph" w:styleId="NoSpacing">
    <w:name w:val="No Spacing"/>
    <w:uiPriority w:val="1"/>
    <w:qFormat/>
    <w:rsid w:val="00AC318E"/>
    <w:rPr>
      <w:rFonts w:ascii="Calibri" w:eastAsia="SimSun" w:hAnsi="Calibri" w:cs="Times New Roman"/>
      <w:sz w:val="22"/>
      <w:szCs w:val="22"/>
      <w:lang w:eastAsia="zh-CN"/>
    </w:rPr>
  </w:style>
  <w:style w:type="paragraph" w:styleId="Title">
    <w:name w:val="Title"/>
    <w:basedOn w:val="Normal"/>
    <w:link w:val="TitleChar"/>
    <w:uiPriority w:val="99"/>
    <w:qFormat/>
    <w:rsid w:val="00AC318E"/>
    <w:pPr>
      <w:spacing w:before="240" w:after="60"/>
      <w:jc w:val="center"/>
      <w:outlineLvl w:val="0"/>
    </w:pPr>
    <w:rPr>
      <w:rFonts w:ascii="Arial" w:eastAsia="SimSun" w:hAnsi="Arial" w:cs="Times New Roman"/>
      <w:b/>
      <w:bCs/>
      <w:kern w:val="28"/>
      <w:sz w:val="32"/>
      <w:szCs w:val="32"/>
      <w:lang w:val="en-GB"/>
    </w:rPr>
  </w:style>
  <w:style w:type="character" w:customStyle="1" w:styleId="TitleChar">
    <w:name w:val="Title Char"/>
    <w:basedOn w:val="DefaultParagraphFont"/>
    <w:link w:val="Title"/>
    <w:uiPriority w:val="99"/>
    <w:rsid w:val="00AC318E"/>
    <w:rPr>
      <w:rFonts w:ascii="Arial" w:eastAsia="SimSun" w:hAnsi="Arial" w:cs="Times New Roman"/>
      <w:b/>
      <w:bCs/>
      <w:kern w:val="28"/>
      <w:sz w:val="32"/>
      <w:szCs w:val="32"/>
      <w:lang w:val="en-GB"/>
    </w:rPr>
  </w:style>
  <w:style w:type="character" w:styleId="Hyperlink">
    <w:name w:val="Hyperlink"/>
    <w:uiPriority w:val="99"/>
    <w:unhideWhenUsed/>
    <w:rsid w:val="00AC318E"/>
    <w:rPr>
      <w:color w:val="0000FF"/>
      <w:u w:val="single"/>
    </w:rPr>
  </w:style>
  <w:style w:type="paragraph" w:styleId="FootnoteText">
    <w:name w:val="footnote text"/>
    <w:basedOn w:val="Normal"/>
    <w:link w:val="FootnoteTextChar"/>
    <w:semiHidden/>
    <w:rsid w:val="00E4627E"/>
    <w:rPr>
      <w:rFonts w:ascii="Times New Roman" w:eastAsia="SimSun" w:hAnsi="Times New Roman" w:cs="Times New Roman"/>
      <w:sz w:val="20"/>
      <w:szCs w:val="20"/>
      <w:lang w:eastAsia="zh-CN"/>
    </w:rPr>
  </w:style>
  <w:style w:type="character" w:customStyle="1" w:styleId="FootnoteTextChar">
    <w:name w:val="Footnote Text Char"/>
    <w:basedOn w:val="DefaultParagraphFont"/>
    <w:link w:val="FootnoteText"/>
    <w:semiHidden/>
    <w:rsid w:val="00E4627E"/>
    <w:rPr>
      <w:rFonts w:ascii="Times New Roman" w:eastAsia="SimSun" w:hAnsi="Times New Roman" w:cs="Times New Roman"/>
      <w:sz w:val="20"/>
      <w:szCs w:val="20"/>
      <w:lang w:eastAsia="zh-CN"/>
    </w:rPr>
  </w:style>
  <w:style w:type="character" w:styleId="FootnoteReference">
    <w:name w:val="footnote reference"/>
    <w:semiHidden/>
    <w:rsid w:val="00E4627E"/>
    <w:rPr>
      <w:vertAlign w:val="superscript"/>
    </w:rPr>
  </w:style>
  <w:style w:type="character" w:styleId="UnresolvedMention">
    <w:name w:val="Unresolved Mention"/>
    <w:basedOn w:val="DefaultParagraphFont"/>
    <w:uiPriority w:val="99"/>
    <w:semiHidden/>
    <w:unhideWhenUsed/>
    <w:rsid w:val="00053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GAP1" Type="http://schemas.openxmlformats.org/officeDocument/2006/relationships/hyperlink" Target="https://www.ryobi-g.com/wp-content/uploads/2022/01/Ryobi-G-Corporate-Brochure.pdf" TargetMode="External"/><Relationship Id="rIdGAP2" Type="http://schemas.openxmlformats.org/officeDocument/2006/relationships/hyperlink" Target="https://www.instantel.com/micromate-faqs" TargetMode="External"/><Relationship Id="rIdGAP3" Type="http://schemas.openxmlformats.org/officeDocument/2006/relationships/hyperlink" Target="https://www.grandviewresearch.com/industry-analysis/structural-health-monitoring-shm-market" TargetMode="External"/><Relationship Id="rIdGAP4" Type="http://schemas.openxmlformats.org/officeDocument/2006/relationships/hyperlink" Target="https://www.grandviewresearch.com/horizon/statistics/structural-health-monitoring-market/technology/wireless-shm/global" TargetMode="External"/><Relationship Id="rIdGAP5" Type="http://schemas.openxmlformats.org/officeDocument/2006/relationships/hyperlink" Target="https://www.ackcio.com/" TargetMode="External"/><Relationship Id="rIdGAP6" Type="http://schemas.openxmlformats.org/officeDocument/2006/relationships/hyperlink" Target="https://tender.airselangor.com/tender_docs/view/450" TargetMode="External"/><Relationship Id="rIdGAP7" Type="http://schemas.openxmlformats.org/officeDocument/2006/relationships/hyperlink" Target="https://hydrohub.airselangor.com/content/uploads/2022/12/Air-Selangor-Sustainability-Report-2020-1.pdf" TargetMode="External"/><Relationship Id="rIdGAP8" Type="http://schemas.openxmlformats.org/officeDocument/2006/relationships/hyperlink" Target="http://jsggzy.jszwfw.gov.cn/jyxx/003002/003002001/20250915/afe46fb987ff43f286d1e0a3b58b7522.html" TargetMode="External"/><Relationship Id="rIdGAP9" Type="http://schemas.openxmlformats.org/officeDocument/2006/relationships/hyperlink" Target="https://www.geokang.com/col15/2620" TargetMode="External"/><Relationship Id="rIdGAP10" Type="http://schemas.openxmlformats.org/officeDocument/2006/relationships/hyperlink" Target="https://www.movesolutions.it/sensors/axe-std-lr-2-5-0" TargetMode="External"/><Relationship Id="rIdGAP11" Type="http://schemas.openxmlformats.org/officeDocument/2006/relationships/hyperlink" Target="https://www.instantel.com/media/6921/download" TargetMode="External"/><Relationship Id="rIdGAP12" Type="http://schemas.openxmlformats.org/officeDocument/2006/relationships/hyperlink" Target="https://www.ntu.edu.sg/erian/about-us/our-people/cluster-directors/fu-yuguang" TargetMode="External"/><Relationship Id="rIdGAP13" Type="http://schemas.openxmlformats.org/officeDocument/2006/relationships/hyperlink" Target="https://doi.org/10.1016/j.ymssp.2025.113537" TargetMode="External"/><Relationship Id="rIdGAP14" Type="http://schemas.openxmlformats.org/officeDocument/2006/relationships/hyperlink" Target="https://www.analog.com/en/products/adxl362.html" TargetMode="External"/><Relationship Id="rIdGAP15" Type="http://schemas.openxmlformats.org/officeDocument/2006/relationships/hyperlink" Target="https://www.st.com/en/mems-and-sensors/lsm6dsv16x.html" TargetMode="External"/><Relationship Id="rIdV4Update1" Type="http://schemas.openxmlformats.org/officeDocument/2006/relationships/hyperlink" Target="https://support.monnit.com/article/116-advanced-vibration-meter-principles-of-operation" TargetMode="External"/><Relationship Id="rIdV4Update2" Type="http://schemas.openxmlformats.org/officeDocument/2006/relationships/hyperlink" Target="https://www.ryobi-g.com/wp-content/uploads/2024/08/Ryobi-G-Corporate-Brochure-Singapore-Edition.pdf" TargetMode="External"/><Relationship Id="rIdV4Update3" Type="http://schemas.openxmlformats.org/officeDocument/2006/relationships/hyperlink" Target="https://binamarga.pu.go.id/index.php/article/prinsip-umum-dari-kerja-sistem-pemantau-kesehatan-struktur-jembatan" TargetMode="External"/><Relationship Id="rIdV4Update4" Type="http://schemas.openxmlformats.org/officeDocument/2006/relationships/hyperlink" Target="https://www.grandviewresearch.com/industry-analysis/wireless-condition-monitoring-systems-market-report" TargetMode="External"/><Relationship Id="rIdV4Update5" Type="http://schemas.openxmlformats.org/officeDocument/2006/relationships/hyperlink" Target="https://www.ackcio.com/products/nodes/tiltmeter-lora/" TargetMode="External"/><Relationship Id="rIdV4Update6" Type="http://schemas.openxmlformats.org/officeDocument/2006/relationships/hyperlink" Target="https://www.sensingtech.com.sg/product-6.html" TargetMode="External"/><Relationship Id="rIdV4Update7" Type="http://schemas.openxmlformats.org/officeDocument/2006/relationships/hyperlink" Target="https://geomotion.website/instrument/vibration/profound__vib.04120_vibra__leaflet_uk_1.pdf" TargetMode="External"/><Relationship Id="rIdV4Update8" Type="http://schemas.openxmlformats.org/officeDocument/2006/relationships/hyperlink" Target="https://www.matgeo.com/" TargetMode="External"/><Relationship Id="rIdV4Update9" Type="http://schemas.openxmlformats.org/officeDocument/2006/relationships/hyperlink" Target="https://smartsensing.com.my/solutions/instrumentation-monitoring/sound-vibration-monitoring/" TargetMode="External"/><Relationship Id="rIdV4Update10" Type="http://schemas.openxmlformats.org/officeDocument/2006/relationships/hyperlink" Target="https://placid.asia/en/vibration-monitoring-thailand" TargetMode="External"/><Relationship Id="rIdV4Update11" Type="http://schemas.openxmlformats.org/officeDocument/2006/relationships/hyperlink" Target="https://www.geonoise.com/vibration-monitoring-system/" TargetMode="External"/><Relationship Id="rIdV4Update12" Type="http://schemas.openxmlformats.org/officeDocument/2006/relationships/hyperlink" Target="https://www.zkck.com/?S_id=87&amp;type=productinfo" TargetMode="External"/><Relationship Id="rIdV4Update13" Type="http://schemas.openxmlformats.org/officeDocument/2006/relationships/hyperlink" Target="https://www.huace.cn/solution/44" TargetMode="External"/><Relationship Id="rIdV4Update14" Type="http://schemas.openxmlformats.org/officeDocument/2006/relationships/hyperlink" Target="https://jsggzy.jszwfw.gov.cn/jyxx/003002/003002001/20250915/afe46fb987ff43f286d1e0a3b58b7522.html" TargetMode="External"/><Relationship Id="rIdV4Update15" Type="http://schemas.openxmlformats.org/officeDocument/2006/relationships/hyperlink" Target="https://www.analog.com/media/en/technical-documentation/data-sheets/adxl367.pdf" TargetMode="External"/><Relationship Id="rIdV4Update16" Type="http://schemas.openxmlformats.org/officeDocument/2006/relationships/hyperlink" Target="https://www.worldsensing.com/product/vibration-meter/" TargetMode="External"/><Relationship Id="rIdV4Update17" Type="http://schemas.openxmlformats.org/officeDocument/2006/relationships/hyperlink" Target="https://store.ncd.io/product/industrial-iot-wireless-smart-vibration-sensor-gen4/" TargetMode="External"/><Relationship Id="rIdV4Update18" Type="http://schemas.openxmlformats.org/officeDocument/2006/relationships/hyperlink" Target="https://www.instantel.com/media/3561/download" TargetMode="External"/><Relationship Id="rIdV4Update19" Type="http://schemas.openxmlformats.org/officeDocument/2006/relationships/hyperlink" Target="https://www.hbkworld.com/en/products/instruments/wireless-daq-systems/wireless-nodes/g-link-200-oem" TargetMode="External"/><Relationship Id="rIdV4Update20" Type="http://schemas.openxmlformats.org/officeDocument/2006/relationships/hyperlink" Target="https://ez.analog.com/ez-blogs/b/engineerzone-spotlight/posts/condition-based-monitorin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6</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Chong Wei Teng</cp:lastModifiedBy>
  <cp:revision>16</cp:revision>
  <cp:lastPrinted>2014-09-30T03:41:00Z</cp:lastPrinted>
  <dcterms:created xsi:type="dcterms:W3CDTF">2025-07-01T22:56:00Z</dcterms:created>
  <dcterms:modified xsi:type="dcterms:W3CDTF">2026-07-16T05:13:00Z</dcterms:modified>
</cp:coreProperties>
</file>