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突发事件与异常捕捉</w:t>
      </w:r>
    </w:p>
    <w:p>
      <w:pPr>
        <w:pStyle w:val="Subtitle"/>
      </w:pPr>
      <w:r>
        <w:t>市场与商业化调研  |  新加坡 · 东南亚其他国家 · 中国</w:t>
      </w:r>
    </w:p>
    <w:p>
      <w:pPr>
        <w:pStyle w:val="Meta"/>
      </w:pPr>
      <w:r>
        <w:t>研究基准日：2026年8月31日  |  用途：GAP选题、客户访谈及商业化论证</w:t>
      </w:r>
    </w:p>
    <w:p>
      <w:pPr>
        <w:pStyle w:val="Heading2"/>
      </w:pPr>
      <w:r>
        <w:t>执行摘要 / Executive Summary</w:t>
      </w:r>
    </w:p>
    <w:p>
      <w:r>
        <w:rPr>
          <w:b/>
        </w:rPr>
        <w:t>首发产品：</w:t>
      </w:r>
      <w:r>
        <w:t xml:space="preserve"> 面向施工及邻近建筑的低功耗异常振动记录套件，提供事件波形、时间戳和复核记录；先与监测服务商交付，再将核心能力封装为硬件模块和软件模块，卖给设备制造商。</w:t>
      </w:r>
    </w:p>
    <w:p>
      <w:r>
        <w:rPr>
          <w:b/>
        </w:rPr>
        <w:t>付费理由：</w:t>
      </w:r>
      <w:r>
        <w:t xml:space="preserve"> 客户买的是“关键时刻有可用记录，工程师少做无效复核”，不是触发算法；</w:t>
      </w:r>
      <w:hyperlink r:id="rId11">
        <w:r>
          <w:rPr>
            <w:rFonts w:ascii="Times New Roman" w:hAnsi="Times New Roman" w:eastAsia="宋体"/>
            <w:color w:val="0000FF"/>
            <w:sz w:val="22"/>
            <w:u w:val="single"/>
          </w:rPr>
          <w:t>投诉处理、振动源调查和损害争议</w:t>
        </w:r>
      </w:hyperlink>
      <w:r>
        <w:t>已有明确服务需求，但对本方案的额外付费意愿仍需客户确认。</w:t>
      </w:r>
    </w:p>
    <w:p>
      <w:r>
        <w:rPr>
          <w:b/>
        </w:rPr>
        <w:t>先接触谁：</w:t>
      </w:r>
      <w:r>
        <w:t xml:space="preserve"> 新加坡优先 Geomotion、Ryobi-G 和 Ackcio；区域扩展优先验证 Air Selangor / RD-Palmer 的压力突变需求、中国南通桥梁监测采购链及基康的嵌入式合作可能。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vAlign w:val="center"/>
          </w:tcPr>
          <w:p>
            <w:pPr>
              <w:pStyle w:val="TableText"/>
            </w:pPr>
            <w:r>
              <w:rPr>
                <w:b/>
              </w:rPr>
              <w:t>关键数字</w:t>
            </w:r>
          </w:p>
        </w:tc>
        <w:tc>
          <w:tcPr>
            <w:tcW w:type="dxa" w:w="6350"/>
            <w:vAlign w:val="center"/>
          </w:tcPr>
          <w:p>
            <w:pPr>
              <w:pStyle w:val="TableText"/>
            </w:pPr>
            <w:r>
              <w:rPr>
                <w:b/>
              </w:rPr>
              <w:t>含义与使用边界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Text"/>
            </w:pPr>
            <w:hyperlink r:id="rId12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44亿美元</w:t>
              </w:r>
            </w:hyperlink>
            <w:r>
              <w:t xml:space="preserve"> → </w:t>
            </w:r>
            <w:hyperlink r:id="rId13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16.293亿美元</w:t>
              </w:r>
            </w:hyperlink>
          </w:p>
        </w:tc>
        <w:tc>
          <w:tcPr>
            <w:tcW w:type="dxa" w:w="6350"/>
            <w:vAlign w:val="center"/>
          </w:tcPr>
          <w:p>
            <w:pPr>
              <w:pStyle w:val="TableText"/>
            </w:pPr>
            <w:r>
              <w:t>2025年全球结构健康监测 → 其中无线监测；仅为产业背景，不是本产品市场。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Text"/>
            </w:pPr>
            <w:hyperlink r:id="rId14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1,650个压力突变测点</w:t>
              </w:r>
            </w:hyperlink>
          </w:p>
        </w:tc>
        <w:tc>
          <w:tcPr>
            <w:tcW w:type="dxa" w:w="6350"/>
            <w:vAlign w:val="center"/>
          </w:tcPr>
          <w:p>
            <w:pPr>
              <w:pStyle w:val="TableText"/>
            </w:pPr>
            <w:r>
              <w:t>Air Selangor 2020年披露；另有</w:t>
            </w:r>
            <w:hyperlink r:id="rId1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2026—2028年设备招标</w:t>
              </w:r>
            </w:hyperlink>
            <w:r>
              <w:t>，证明事件监测存在实际采购。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Text"/>
            </w:pPr>
            <w:hyperlink r:id="rId1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人民币5,074.6万元</w:t>
              </w:r>
            </w:hyperlink>
          </w:p>
        </w:tc>
        <w:tc>
          <w:tcPr>
            <w:tcW w:type="dxa" w:w="6350"/>
            <w:vAlign w:val="center"/>
          </w:tcPr>
          <w:p>
            <w:pPr>
              <w:pStyle w:val="TableText"/>
            </w:pPr>
            <w:r>
              <w:t>北京2026年监测工程中标总额；涵盖多类资产与工程，不等于事件模块收入。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Text"/>
            </w:pPr>
            <w:r>
              <w:t>39.4万—324.8万新元</w:t>
            </w:r>
          </w:p>
        </w:tc>
        <w:tc>
          <w:tcPr>
            <w:tcW w:type="dxa" w:w="6350"/>
            <w:vAlign w:val="center"/>
          </w:tcPr>
          <w:p>
            <w:pPr>
              <w:pStyle w:val="TableText"/>
            </w:pPr>
            <w:r>
              <w:t>第3年营业收入情景，基准145.6万；需30个新项目、5,000个模块出货，见第17页。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Text"/>
            </w:pPr>
            <w:r>
              <w:t>约16个月</w:t>
            </w:r>
          </w:p>
        </w:tc>
        <w:tc>
          <w:tcPr>
            <w:tcW w:type="dxa" w:w="6350"/>
            <w:vAlign w:val="center"/>
          </w:tcPr>
          <w:p>
            <w:pPr>
              <w:pStyle w:val="TableText"/>
            </w:pPr>
            <w:r>
              <w:t>20点增量升级的基准回本期；一般低负担场地可能不回本，见第16页。</w:t>
            </w:r>
          </w:p>
        </w:tc>
      </w:tr>
    </w:tbl>
    <w:p>
      <w:pPr>
        <w:spacing w:after="0"/>
      </w:pPr>
    </w:p>
    <w:p>
      <w:r>
        <w:rPr>
          <w:b/>
        </w:rPr>
        <w:t>核心判断：</w:t>
      </w:r>
      <w:r>
        <w:t xml:space="preserve"> 以明确事件、现有采购和可验证增益获得首个付费项目，再借制造商放大销量；目前证据支持推进客户验证，尚不足以声称已占有某个细分市场或已经证明现场节省比例。</w:t>
      </w:r>
    </w:p>
    <w:p>
      <w:pPr>
        <w:pStyle w:val="SourceNote"/>
      </w:pPr>
      <w:r>
        <w:t>阅读路径：需求与产品（2—4页）→ 三地客户（5—12页）→ 竞争与技术（13—14页）→ 市场、价值与收入（15—17页）→ GAP路线与问答（18—19页）。</w:t>
      </w:r>
    </w:p>
    <w:p>
      <w:bookmarkStart w:id="1" w:name="s1"/>
      <w:pPr>
        <w:pStyle w:val="Heading1"/>
        <w:pageBreakBefore/>
      </w:pPr>
      <w:r>
        <w:t>一、需求：关键事件发生时，记录必须有用</w:t>
      </w:r>
      <w:bookmarkEnd w:id="1"/>
    </w:p>
    <w:p>
      <w:pPr>
        <w:pStyle w:val="Lead"/>
      </w:pPr>
      <w:r>
        <w:t>优先寻找“事件短、发生时间不定、漏记后难以复现、获取证据有成本”的场景。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97"/>
        <w:gridCol w:w="2267"/>
        <w:gridCol w:w="4081"/>
        <w:gridCol w:w="1193"/>
      </w:tblGrid>
      <w:tr>
        <w:trPr>
          <w:cantSplit/>
          <w:tblHeader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b/>
              </w:rPr>
              <w:t>场景 / 事件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b/>
              </w:rPr>
              <w:t>谁承担问题与费用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rPr>
                <w:b/>
              </w:rPr>
              <w:t>为什么需要事件记录</w:t>
            </w:r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rPr>
                <w:b/>
              </w:rPr>
              <w:t>建议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施工、邻近建筑</w:t>
              <w:br/>
              <w:t>冲击、异常振动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监测服务商、总包、业主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投诉、超限调查、损害争议；</w:t>
            </w:r>
            <w:hyperlink r:id="rId11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已有振动调查服务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首发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桥梁、交通资产</w:t>
              <w:br/>
              <w:t>车辆 / 船舶撞击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公路资产管理方、监测承包商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撞击过程与后续检查依据；</w:t>
            </w:r>
            <w:hyperlink r:id="rId17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已列入具体采购项目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优先扩展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供水管网</w:t>
              <w:br/>
              <w:t>水锤、压力骤变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水务运营商、设备供货商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定位泵切换、阀动作相关异常；</w:t>
            </w:r>
            <w:hyperlink r:id="rId18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已有客户应用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并行访谈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边坡、矿山、铁路</w:t>
              <w:br/>
              <w:t>突移、落石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矿山与铁路运营方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远程告警后快速确认；</w:t>
            </w:r>
            <w:hyperlink r:id="rId1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倾斜与图像联动已商品化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择机进入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工业设备</w:t>
              <w:br/>
              <w:t>冲击、异常启停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工厂维护部门、设备厂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补充定期采集难以复现的瞬态；</w:t>
            </w:r>
            <w:hyperlink r:id="rId20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现有高频诊断产品强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后续验证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精密货物运输</w:t>
              <w:br/>
              <w:t>冲击、倾倒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货主、物流服务商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运输过程取证；</w:t>
            </w:r>
            <w:hyperlink r:id="rId21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已有专用冲击记录仪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观察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穿戴、家居、安防</w:t>
              <w:br/>
              <w:t>跌落、动作异常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t>消费设备制造商</w:t>
            </w:r>
          </w:p>
        </w:tc>
        <w:tc>
          <w:tcPr>
            <w:tcW w:type="dxa" w:w="4081"/>
            <w:vAlign w:val="center"/>
          </w:tcPr>
          <w:p>
            <w:pPr>
              <w:pStyle w:val="TableText"/>
            </w:pPr>
            <w:r>
              <w:t>低功耗常开；</w:t>
            </w:r>
            <w:hyperlink r:id="rId22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片上识别与自配置成熟</w:t>
              </w:r>
            </w:hyperlink>
          </w:p>
        </w:tc>
        <w:tc>
          <w:tcPr>
            <w:tcW w:type="dxa" w:w="1193"/>
            <w:vAlign w:val="center"/>
          </w:tcPr>
          <w:p>
            <w:pPr>
              <w:pStyle w:val="TableText"/>
            </w:pPr>
            <w:r>
              <w:t>非首发</w:t>
            </w:r>
          </w:p>
        </w:tc>
      </w:tr>
    </w:tbl>
    <w:p>
      <w:pPr>
        <w:spacing w:after="0"/>
      </w:pPr>
    </w:p>
    <w:p>
      <w:pPr>
        <w:pStyle w:val="Heading2"/>
      </w:pPr>
      <w:r>
        <w:t>需求成立，不代表升级意愿已经成立</w:t>
      </w:r>
    </w:p>
    <w:p>
      <w:r>
        <w:t>只有当现用设备在捕捉质量、调参工作量、误报复核或维护成本上存在可量化缺口，新增模块才有商业理由；常供电、持续高质量记录且维护负担低的场地，升级价值可能很小。</w:t>
      </w:r>
    </w:p>
    <w:p>
      <w:r>
        <w:rPr>
          <w:b/>
        </w:rPr>
        <w:t>判断边界：</w:t>
      </w:r>
      <w:r>
        <w:t xml:space="preserve"> “振动被记录”不等于“结构受损已确诊”；“压力异常被捕捉”不等于“爆管已预测”；缓慢沉降和传感器数据故障也不自动属于本次产品的核心需求。</w:t>
      </w:r>
    </w:p>
    <w:p>
      <w:bookmarkStart w:id="2" w:name="s2"/>
      <w:pPr>
        <w:pStyle w:val="Heading1"/>
        <w:pageBreakBefore/>
      </w:pPr>
      <w:r>
        <w:t>二、市场层次：先看产业，再看可销售单元</w:t>
      </w:r>
      <w:bookmarkEnd w:id="2"/>
    </w:p>
    <w:p>
      <w:pPr>
        <w:pStyle w:val="Lead"/>
      </w:pPr>
      <w:r>
        <w:t>产业规模说明容纳空间；事件相关装机、采购条目和可接受价格，才决定实际可卖市场。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64"/>
        <w:gridCol w:w="3118"/>
        <w:gridCol w:w="3856"/>
      </w:tblGrid>
      <w:tr>
        <w:trPr>
          <w:cantSplit/>
          <w:tblHeader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rPr>
                <w:b/>
              </w:rPr>
              <w:t>层次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r>
              <w:rPr>
                <w:b/>
              </w:rPr>
              <w:t>可核验数字</w:t>
            </w:r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rPr>
                <w:b/>
              </w:rPr>
              <w:t>与本方案的关系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产业背景：结构监测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hyperlink r:id="rId12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2025年44亿美元</w:t>
              </w:r>
            </w:hyperlink>
            <w:r>
              <w:br/>
              <w:t>2026年估计51亿美元</w:t>
            </w:r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t>包含有线、无线、硬件、软件与服务；不是独立事件捕捉市场。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技术子市场：无线结构监测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hyperlink r:id="rId13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2025年16.293亿美元</w:t>
              </w:r>
            </w:hyperlink>
            <w:r>
              <w:br/>
              <w:t>约占上述口径37.0%</w:t>
            </w:r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t>16.293 ÷ 44；仍包含大量慢变量和常规记录。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并行产业：振动监测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hyperlink r:id="rId23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2024年17亿美元</w:t>
              </w:r>
            </w:hyperlink>
            <w:r>
              <w:br/>
              <w:t>2026年估计19亿美元</w:t>
            </w:r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t>面向工业设备等；与结构监测存在交叉，不直接相加。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事件监测的实际部署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hyperlink r:id="rId14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1,650个历史压力突变测点</w:t>
              </w:r>
            </w:hyperlink>
            <w:r>
              <w:br/>
            </w:r>
            <w:hyperlink r:id="rId1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60公里以上铁路边坡</w:t>
              </w:r>
            </w:hyperlink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t>分别对应水务和铁路事件业务；不同单位不能合并成传感器销量。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具体采购与可销售单元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hyperlink r:id="rId17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南通41座新建、2座升级</w:t>
              </w:r>
            </w:hyperlink>
            <w:r>
              <w:br/>
            </w:r>
            <w:hyperlink r:id="rId1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压力突变设备专项招标</w:t>
              </w:r>
            </w:hyperlink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t>必须再筛选事件相关测点、现有设备兼容性和更新计划。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本项目可获得收入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r>
              <w:t>按“付费项目数”和“模块销量”测算</w:t>
            </w:r>
          </w:p>
        </w:tc>
        <w:tc>
          <w:tcPr>
            <w:tcW w:type="dxa" w:w="3856"/>
            <w:vAlign w:val="center"/>
          </w:tcPr>
          <w:p>
            <w:pPr>
              <w:pStyle w:val="TableText"/>
            </w:pPr>
            <w:r>
              <w:t>第15—17页给出可复算的机会切片、价格及销量情景。</w:t>
            </w:r>
          </w:p>
        </w:tc>
      </w:tr>
    </w:tbl>
    <w:p>
      <w:pPr>
        <w:spacing w:after="0"/>
      </w:pPr>
    </w:p>
    <w:p>
      <w:pPr>
        <w:pStyle w:val="Heading2"/>
      </w:pPr>
      <w:r>
        <w:t>市场扩展逻辑</w:t>
      </w:r>
    </w:p>
    <w:p>
      <w:r>
        <w:t>共同底层是“低功耗守候 → 识别需要记录的事件 → 保存有用数据 → 支持复核”；结构振动、管网压力和设备冲击需要不同传感前端、带宽与事件定义，不能直接共用一套已验证性能。</w:t>
      </w:r>
    </w:p>
    <w:p>
      <w:pPr>
        <w:pStyle w:val="Heading2"/>
      </w:pPr>
      <w:r>
        <w:t>哪些数字目前不应写成事实</w:t>
      </w:r>
    </w:p>
    <w:p>
      <w:r>
        <w:t>公开资料未提供可独立核验的“自适应事件捕捉升级市场”总收入、各厂商收入或份额。本报告不以整机市场乘任意技术增益比例，也不以公司总营收或历史合同金额推算事件产品份额。</w:t>
      </w:r>
    </w:p>
    <w:p>
      <w:pPr>
        <w:pStyle w:val="SourceNote"/>
      </w:pPr>
      <w:r>
        <w:t>口径：美元用于外部产业背景；人民币用于中国采购事实；本项目商业模型统一使用新元，避免未经说明的汇率换算。增长率均为研究机构估计，不是政府统计。</w:t>
      </w:r>
    </w:p>
    <w:p>
      <w:bookmarkStart w:id="3" w:name="s3"/>
      <w:pPr>
        <w:pStyle w:val="Heading1"/>
        <w:pageBreakBefore/>
      </w:pPr>
      <w:r>
        <w:t>三、产品形态：同一核心，两条销售路线</w:t>
      </w:r>
      <w:bookmarkEnd w:id="3"/>
    </w:p>
    <w:p>
      <w:pPr>
        <w:pStyle w:val="Lead"/>
      </w:pPr>
      <w:r>
        <w:t>先交付可使用的事件记录产品，再通过设备厂嵌入实现规模化。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3118"/>
        <w:gridCol w:w="3969"/>
      </w:tblGrid>
      <w:tr>
        <w:trPr>
          <w:cantSplit/>
          <w:tblHeader/>
        </w:trPr>
        <w:tc>
          <w:tcPr>
            <w:tcW w:type="dxa" w:w="2551"/>
            <w:vAlign w:val="center"/>
          </w:tcPr>
          <w:p>
            <w:pPr>
              <w:pStyle w:val="TableText"/>
            </w:pPr>
            <w:r>
              <w:rPr>
                <w:b/>
              </w:rPr>
              <w:t>商品形态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r>
              <w:rPr>
                <w:b/>
              </w:rPr>
              <w:t>付费方 / 收费方式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</w:pPr>
            <w:r>
              <w:rPr>
                <w:b/>
              </w:rPr>
              <w:t>交付与边界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</w:pPr>
            <w:r>
              <w:t>事件记录套件</w:t>
              <w:br/>
              <w:t>面向监测用户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r>
              <w:t>服务商或业主</w:t>
              <w:br/>
              <w:t>设备、部署费、年度软件费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</w:pPr>
            <w:r>
              <w:t>节点、事件数据包、事件检索与导出、平台接口；优先接入现有监测工作流。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</w:pPr>
            <w:r>
              <w:t>硬件模块 + 软件模块</w:t>
              <w:br/>
              <w:t>面向设备制造商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r>
              <w:t>原始设备制造商</w:t>
              <w:br/>
              <w:t>按模块、授权节点、适配服务收费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</w:pPr>
            <w:r>
              <w:t>小型电路板、采集 / 唤醒接口、SATM固件、开发接口、测试用例；不必强制购买云平台。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</w:pPr>
            <w:r>
              <w:t>纯软件嵌入</w:t>
              <w:br/>
              <w:t>面向兼容存量设备</w:t>
            </w:r>
          </w:p>
        </w:tc>
        <w:tc>
          <w:tcPr>
            <w:tcW w:type="dxa" w:w="3118"/>
            <w:vAlign w:val="center"/>
          </w:tcPr>
          <w:p>
            <w:pPr>
              <w:pStyle w:val="TableText"/>
            </w:pPr>
            <w:r>
              <w:t>拥有固件控制权的制造商</w:t>
              <w:br/>
              <w:t>授权及维护费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</w:pPr>
            <w:r>
              <w:t>复用已有处理器和采集电路；仅在算力、内存、时序、固件权限满足时可行。</w:t>
            </w:r>
          </w:p>
        </w:tc>
      </w:tr>
    </w:tbl>
    <w:p>
      <w:pPr>
        <w:spacing w:after="0"/>
      </w:pPr>
    </w:p>
    <w:p>
      <w:pPr>
        <w:pStyle w:val="Heading2"/>
      </w:pPr>
      <w:r>
        <w:t>硬件模块设计：首先回答六个采购问题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97"/>
        <w:gridCol w:w="7541"/>
      </w:tblGrid>
      <w:tr>
        <w:trPr>
          <w:cantSplit/>
          <w:tblHeader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b/>
              </w:rPr>
              <w:t>要求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rPr>
                <w:b/>
              </w:rPr>
              <w:t>需要交付的内容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能否接入？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t>清晰的模拟 / 数字接口、电源与逻辑电平、采样时序、主机控制权；SPI、I²C、UART或隔离RS485按目标设备选型。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事件是否完整？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t>分别说明守候通道与高质量通道的带宽、唤醒延迟、缓存时长、饱和范围和丢帧状态。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能否受控运行？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t>保留固定保护阈值、参数调整上下限、版本记录、人工锁定及回退；无数据或模型异常时采用保守策略。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能否量产维护？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t>成本、尺寸、批次校准、温湿度 / 防护要求、供应寿命、固件升级、序列号追踪及售后边界。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能否兼容平台？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t>优先提供本地事件文件、标准接口与可选软件服务；不以迁移平台作为使用前提。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外购是否划算？</w:t>
            </w:r>
          </w:p>
        </w:tc>
        <w:tc>
          <w:tcPr>
            <w:tcW w:type="dxa" w:w="7541"/>
            <w:vAlign w:val="center"/>
          </w:tcPr>
          <w:p>
            <w:pPr>
              <w:pStyle w:val="TableText"/>
            </w:pPr>
            <w:r>
              <w:t>用同场景对照证明集成周期、调参负担或捕捉效果的增益，而非仅出售现成芯片已有的唤醒功能。</w:t>
            </w:r>
          </w:p>
        </w:tc>
      </w:tr>
    </w:tbl>
    <w:p>
      <w:pPr>
        <w:spacing w:after="0"/>
      </w:pPr>
    </w:p>
    <w:p>
      <w:pPr>
        <w:pStyle w:val="SourceNote"/>
      </w:pPr>
      <w:r>
        <w:t>OEM = Original Equipment Manufacturer，原始设备制造商。经销商或工程集成商不因销售传感器就自动属于OEM。</w:t>
      </w:r>
    </w:p>
    <w:p>
      <w:bookmarkStart w:id="4" w:name="s4"/>
      <w:pPr>
        <w:pStyle w:val="Heading1"/>
        <w:pageBreakBefore/>
      </w:pPr>
      <w:r>
        <w:t>四、新加坡：先找有项目、能组织试用的人</w:t>
      </w:r>
      <w:bookmarkEnd w:id="4"/>
    </w:p>
    <w:p>
      <w:pPr>
        <w:pStyle w:val="Lead"/>
      </w:pPr>
      <w:r>
        <w:t>监测服务商是近期入口；资产方是需求与预算的最终来源；Ackcio是制造商路线的重点候选。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97"/>
        <w:gridCol w:w="4025"/>
        <w:gridCol w:w="3516"/>
      </w:tblGrid>
      <w:tr>
        <w:trPr>
          <w:cantSplit/>
          <w:tblHeader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b/>
              </w:rPr>
              <w:t>实体与角色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r>
              <w:rPr>
                <w:b/>
              </w:rPr>
              <w:t>可核验的现有业务</w:t>
            </w:r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rPr>
                <w:b/>
              </w:rPr>
              <w:t>销售切入与优先级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Geomotion</w:t>
              <w:br/>
              <w:t>监测服务商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24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BCA监测资质</w:t>
              </w:r>
            </w:hyperlink>
            <w:r>
              <w:t>；</w:t>
            </w:r>
            <w:hyperlink r:id="rId2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VIBRA系列振动服务产品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先谈事件记录质量、复核与调参；A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Ryobi-G</w:t>
              <w:br/>
              <w:t>监测服务商 / 自有系统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11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RG-TMS、投诉与损害调查服务</w:t>
              </w:r>
            </w:hyperlink>
            <w:r>
              <w:t>；</w:t>
            </w:r>
            <w:hyperlink r:id="rId2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2017年8822合同约805.4万新元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嵌入现有服务，不替换整个系统；A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Ackcio</w:t>
              <w:br/>
              <w:t>设备制造商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27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BEAM采集节点</w:t>
              </w:r>
            </w:hyperlink>
            <w:r>
              <w:t>；</w:t>
            </w:r>
            <w:hyperlink r:id="rId28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印尼Ogan桥11个节点案例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研究动态事件模块与现有节点协同；A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Tritech</w:t>
              <w:br/>
              <w:t>监测承包 / 平台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2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2019年N102监测合同1,687.9万新元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试用与技术接口；交易需控制账期；B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LTA</w:t>
              <w:br/>
              <w:t>资产与项目采购方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2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仪器供应、安装和监测公开采购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经合资格承包商争取项目试用；B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PUB</w:t>
              <w:br/>
              <w:t>水务资产 / 研发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30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WaterWiSe管网监测研发案例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压力突变场景访谈；非振动产品直接移植；B</w:t>
            </w:r>
          </w:p>
        </w:tc>
      </w:tr>
      <w:tr>
        <w:trPr>
          <w:cantSplit/>
        </w:trPr>
        <w:tc>
          <w:tcPr>
            <w:tcW w:type="dxa" w:w="2097"/>
            <w:vAlign w:val="center"/>
          </w:tcPr>
          <w:p>
            <w:pPr>
              <w:pStyle w:val="TableText"/>
            </w:pPr>
            <w:r>
              <w:t>Soil Investigation</w:t>
              <w:br/>
              <w:t>监测服务商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hyperlink r:id="rId31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受限场地无线监测，减少人员进入</w:t>
              </w:r>
            </w:hyperlink>
          </w:p>
        </w:tc>
        <w:tc>
          <w:tcPr>
            <w:tcW w:type="dxa" w:w="3516"/>
            <w:vAlign w:val="center"/>
          </w:tcPr>
          <w:p>
            <w:pPr>
              <w:pStyle w:val="TableText"/>
            </w:pPr>
            <w:r>
              <w:t>验证高访问成本场地的实际事件缺口；B</w:t>
            </w:r>
          </w:p>
        </w:tc>
      </w:tr>
    </w:tbl>
    <w:p>
      <w:pPr>
        <w:spacing w:after="0"/>
      </w:pPr>
    </w:p>
    <w:p>
      <w:pPr>
        <w:pStyle w:val="Heading2"/>
      </w:pPr>
      <w:r>
        <w:t>采购链与决策人</w:t>
      </w:r>
    </w:p>
    <w:p>
      <w:r>
        <w:t>业主 / 资产方提出要求并配置预算 → 总包或监测承包商选型部署 → 仪器与平台人员使用数据 → 制造商决定是否开放固件或嵌入模块。接洽职位以监测负责人、技术经理、产品经理为主；采购部门负责交易，通常不能单独确认技术价值。</w:t>
      </w:r>
    </w:p>
    <w:p>
      <w:pPr>
        <w:pStyle w:val="SourceNote"/>
      </w:pPr>
      <w:r>
        <w:t>优先级A/B为本报告的接洽建议，不代表已建立关系。金额是历史整包合同，仅证明采购渠道与业务规模；上述实体均未确认购买本方案。</w:t>
      </w:r>
    </w:p>
    <w:p>
      <w:r>
        <w:t>信用筛选：</w:t>
      </w:r>
      <w:hyperlink r:id="rId32">
        <w:r>
          <w:rPr>
            <w:rFonts w:ascii="Times New Roman" w:hAnsi="Times New Roman" w:eastAsia="宋体"/>
            <w:color w:val="0000FF"/>
            <w:sz w:val="22"/>
            <w:u w:val="single"/>
          </w:rPr>
          <w:t>Tritech截至2026年3月的全年业绩</w:t>
        </w:r>
      </w:hyperlink>
      <w:r>
        <w:t>披露亏损及持续经营不确定性；如开展交易，建议小额、分阶段验收付款。</w:t>
      </w:r>
    </w:p>
    <w:p>
      <w:bookmarkStart w:id="5" w:name="s5"/>
      <w:pPr>
        <w:pStyle w:val="Heading1"/>
        <w:pageBreakBefore/>
      </w:pPr>
      <w:r>
        <w:t>四、新加坡客户档案：Geomotion与Ryobi-G</w:t>
      </w:r>
      <w:bookmarkEnd w:id="5"/>
    </w:p>
    <w:p>
      <w:pPr>
        <w:pStyle w:val="Lead"/>
      </w:pPr>
      <w:r>
        <w:t>这两家公司适合验证完整事件记录能否减少复核工作，以及相应的采购条件。</w:t>
      </w:r>
    </w:p>
    <w:p>
      <w:pPr>
        <w:pStyle w:val="Heading2"/>
      </w:pPr>
      <w:r>
        <w:t>Geomotion｜把记录能力卖进既有监测服务</w:t>
      </w:r>
    </w:p>
    <w:p>
      <w:r>
        <w:rPr>
          <w:b/>
        </w:rPr>
        <w:t>已知需求与现用方案：</w:t>
      </w:r>
      <w:r>
        <w:t xml:space="preserve"> 其VIBRA资料覆盖施工振动、建筑与敏感设备影响，记录峰值、频率及部分波形，并提供远程传输；不是“只能低频读数”的落后方案。</w:t>
      </w:r>
      <w:hyperlink r:id="rId25">
        <w:r>
          <w:rPr>
            <w:rFonts w:ascii="Times New Roman" w:hAnsi="Times New Roman" w:eastAsia="宋体"/>
            <w:color w:val="0000FF"/>
            <w:sz w:val="22"/>
            <w:u w:val="single"/>
          </w:rPr>
          <w:t>产品资料</w:t>
        </w:r>
      </w:hyperlink>
    </w:p>
    <w:p>
      <w:r>
        <w:rPr>
          <w:b/>
        </w:rPr>
        <w:t>可能的付费点：</w:t>
      </w:r>
      <w:r>
        <w:t xml:space="preserve"> 工况变化引起的重复配置、重要波形保存不足或无效数据复核；这是待验证缺口，不能从产品说明缺少某项功能便认定客户正在受损。</w:t>
      </w:r>
    </w:p>
    <w:p>
      <w:r>
        <w:rPr>
          <w:b/>
        </w:rPr>
        <w:t>建议商品与买单路径：</w:t>
      </w:r>
      <w:r>
        <w:t xml:space="preserve"> 由监测技术负责人选一处项目并行测试；先卖兼容现有数据平台的事件节点或增量模块，费用可由项目设备或服务预算承担，须核实实际预算权。</w:t>
      </w:r>
    </w:p>
    <w:p>
      <w:r>
        <w:rPr>
          <w:b/>
        </w:rPr>
        <w:t>接洽与首问：</w:t>
      </w:r>
      <w:r>
        <w:t xml:space="preserve"> </w:t>
      </w:r>
      <w:hyperlink r:id="rId24">
        <w:r>
          <w:rPr>
            <w:rFonts w:ascii="Times New Roman" w:hAnsi="Times New Roman" w:eastAsia="宋体"/>
            <w:color w:val="0000FF"/>
            <w:sz w:val="22"/>
            <w:u w:val="single"/>
          </w:rPr>
          <w:t>BCA登记电话 +65 6546 5585</w:t>
        </w:r>
      </w:hyperlink>
      <w:r>
        <w:t>，转仪器监测负责人；询问最近一个有争议的振动事件、现有记录缺了什么、复核用了多少小时。</w:t>
      </w:r>
    </w:p>
    <w:p>
      <w:r>
        <w:rPr>
          <w:b/>
        </w:rPr>
        <w:t>成交障碍：</w:t>
      </w:r>
      <w:r>
        <w:t xml:space="preserve"> 已有仪器、校准和合规流程；新设备不能降低既有记录要求。先验证增量收益，再谈替代采购。</w:t>
      </w:r>
    </w:p>
    <w:p>
      <w:pPr>
        <w:pStyle w:val="Heading2"/>
      </w:pPr>
      <w:r>
        <w:t>Ryobi-G｜用可复核证据改善调查与客户服务</w:t>
      </w:r>
    </w:p>
    <w:p>
      <w:r>
        <w:rPr>
          <w:b/>
        </w:rPr>
        <w:t>已知需求与规模：</w:t>
      </w:r>
      <w:r>
        <w:t xml:space="preserve"> RG-TMS服务明确涉及振动源判断、投诉、项目要求和损害索赔；LTA公布其2017年8822仪器与监测合同为约805.4万新元。</w:t>
      </w:r>
      <w:hyperlink r:id="rId11">
        <w:r>
          <w:rPr>
            <w:rFonts w:ascii="Times New Roman" w:hAnsi="Times New Roman" w:eastAsia="宋体"/>
            <w:color w:val="0000FF"/>
            <w:sz w:val="22"/>
            <w:u w:val="single"/>
          </w:rPr>
          <w:t>服务说明</w:t>
        </w:r>
      </w:hyperlink>
      <w:r>
        <w:t xml:space="preserve"> </w:t>
      </w:r>
      <w:hyperlink r:id="rId26">
        <w:r>
          <w:rPr>
            <w:rFonts w:ascii="Times New Roman" w:hAnsi="Times New Roman" w:eastAsia="宋体"/>
            <w:color w:val="0000FF"/>
            <w:sz w:val="22"/>
            <w:u w:val="single"/>
          </w:rPr>
          <w:t>中标记录</w:t>
        </w:r>
      </w:hyperlink>
    </w:p>
    <w:p>
      <w:r>
        <w:rPr>
          <w:b/>
        </w:rPr>
        <w:t>可能的付费点：</w:t>
      </w:r>
      <w:r>
        <w:t xml:space="preserve"> 减少重复复核，缩短事件与施工活动比对时间；既有系统已提供实时记录和告警，必须证明新增价值。</w:t>
      </w:r>
    </w:p>
    <w:p>
      <w:r>
        <w:rPr>
          <w:b/>
        </w:rPr>
        <w:t>建议商品与决策人：</w:t>
      </w:r>
      <w:r>
        <w:t xml:space="preserve"> 面向振动监测主管提供并行节点和统一事件文件；如嵌入RG-TMS，另与掌握软件 / 固件的技术团队确认开发权与授权方式。</w:t>
      </w:r>
    </w:p>
    <w:p>
      <w:r>
        <w:rPr>
          <w:b/>
        </w:rPr>
        <w:t>接洽与首问：</w:t>
      </w:r>
      <w:r>
        <w:t xml:space="preserve"> </w:t>
      </w:r>
      <w:hyperlink r:id="rId11">
        <w:r>
          <w:rPr>
            <w:rFonts w:ascii="Times New Roman" w:hAnsi="Times New Roman" w:eastAsia="宋体"/>
            <w:color w:val="0000FF"/>
            <w:sz w:val="22"/>
            <w:u w:val="single"/>
          </w:rPr>
          <w:t>公司手册电话 +65 6369 7100</w:t>
        </w:r>
      </w:hyperlink>
      <w:r>
        <w:t>，转振动监测团队；询问每月超限事件、实际需行动比例、复核耗时和报告格式。</w:t>
      </w:r>
    </w:p>
    <w:p>
      <w:r>
        <w:rPr>
          <w:b/>
        </w:rPr>
        <w:t>成交障碍：</w:t>
      </w:r>
      <w:r>
        <w:t xml:space="preserve"> 自有系统和成熟服务是竞争优势；合作应保留其客户关系、品牌和平台，是否购买模块尚未确认。</w:t>
      </w:r>
    </w:p>
    <w:p>
      <w:bookmarkStart w:id="6" w:name="s6"/>
      <w:pPr>
        <w:pStyle w:val="Heading1"/>
        <w:pageBreakBefore/>
      </w:pPr>
      <w:r>
        <w:t>四、新加坡客户档案：Ackcio与PUB</w:t>
      </w:r>
      <w:bookmarkEnd w:id="6"/>
    </w:p>
    <w:p>
      <w:pPr>
        <w:pStyle w:val="Lead"/>
      </w:pPr>
      <w:r>
        <w:t>制造商关注产品线增益，资产用户关注运营改善；两类客户分别验证。</w:t>
      </w:r>
    </w:p>
    <w:p>
      <w:pPr>
        <w:pStyle w:val="Heading2"/>
      </w:pPr>
      <w:r>
        <w:t>Ackcio｜本地制造商路线的重点候选</w:t>
      </w:r>
    </w:p>
    <w:p>
      <w:r>
        <w:rPr>
          <w:b/>
        </w:rPr>
        <w:t>产品基础：</w:t>
      </w:r>
      <w:r>
        <w:t xml:space="preserve"> BEAM振弦节点支持多类工程仪器、低功耗记录和网络传输；Ogan桥案例采用11个节点、每15分钟上传读数，反映其实际部署形态，但不能据此断言全系列不能捕捉快速事件。</w:t>
      </w:r>
      <w:hyperlink r:id="rId27">
        <w:r>
          <w:rPr>
            <w:rFonts w:ascii="Times New Roman" w:hAnsi="Times New Roman" w:eastAsia="宋体"/>
            <w:color w:val="0000FF"/>
            <w:sz w:val="22"/>
            <w:u w:val="single"/>
          </w:rPr>
          <w:t>节点规格</w:t>
        </w:r>
      </w:hyperlink>
      <w:r>
        <w:t xml:space="preserve"> </w:t>
      </w:r>
      <w:hyperlink r:id="rId28">
        <w:r>
          <w:rPr>
            <w:rFonts w:ascii="Times New Roman" w:hAnsi="Times New Roman" w:eastAsia="宋体"/>
            <w:color w:val="0000FF"/>
            <w:sz w:val="22"/>
            <w:u w:val="single"/>
          </w:rPr>
          <w:t>项目配置</w:t>
        </w:r>
      </w:hyperlink>
    </w:p>
    <w:p>
      <w:r>
        <w:rPr>
          <w:b/>
        </w:rPr>
        <w:t>合作命题：</w:t>
      </w:r>
      <w:r>
        <w:t xml:space="preserve"> 在既有遥测网络旁增加适用的动态事件前端，或将自适应记录逻辑嵌入新设备；不把普通振弦通道强行包装为高速加速度通道。</w:t>
      </w:r>
    </w:p>
    <w:p>
      <w:r>
        <w:rPr>
          <w:b/>
        </w:rPr>
        <w:t>谁会决定：</w:t>
      </w:r>
      <w:r>
        <w:t xml:space="preserve"> 产品负责人、嵌入式研发、应用工程与商业负责人共同评估；其选购理由可能是缩短开发时间和拓展动态监测产品，均需访谈证实。</w:t>
      </w:r>
    </w:p>
    <w:p>
      <w:r>
        <w:rPr>
          <w:b/>
        </w:rPr>
        <w:t>怎么进入：</w:t>
      </w:r>
      <w:r>
        <w:t xml:space="preserve"> </w:t>
      </w:r>
      <w:hyperlink r:id="rId33">
        <w:r>
          <w:rPr>
            <w:rFonts w:ascii="Times New Roman" w:hAnsi="Times New Roman" w:eastAsia="宋体"/>
            <w:color w:val="0000FF"/>
            <w:sz w:val="22"/>
            <w:u w:val="single"/>
          </w:rPr>
          <w:t>官网Request Demo / 合作入口</w:t>
        </w:r>
      </w:hyperlink>
      <w:r>
        <w:t>，携带模块接口表、同场景对照数据和授权结构；首问“是否计划进入事件波形采集，哪些处理器和传感前端可开放适配？”</w:t>
      </w:r>
    </w:p>
    <w:p>
      <w:r>
        <w:rPr>
          <w:b/>
        </w:rPr>
        <w:t>商业约束：</w:t>
      </w:r>
      <w:r>
        <w:t xml:space="preserve"> 需确认目标产品年出货、授权是否按设备永久或按年、售后分工，以及自研方案的真实成本；当前没有公开的可用出货分母。</w:t>
      </w:r>
    </w:p>
    <w:p>
      <w:pPr>
        <w:pStyle w:val="Heading2"/>
      </w:pPr>
      <w:r>
        <w:t>PUB｜有事件监测基础，但水务适配仍需验证</w:t>
      </w:r>
    </w:p>
    <w:p>
      <w:r>
        <w:rPr>
          <w:b/>
        </w:rPr>
        <w:t>需求证据：</w:t>
      </w:r>
      <w:r>
        <w:t xml:space="preserve"> 2013年WaterWiSe项目已结合管网传感和分析，识别异常并支持运营判断；这是历史研发与部署证据，不是当前待采购项目。</w:t>
      </w:r>
      <w:hyperlink r:id="rId30">
        <w:r>
          <w:rPr>
            <w:rFonts w:ascii="Times New Roman" w:hAnsi="Times New Roman" w:eastAsia="宋体"/>
            <w:color w:val="0000FF"/>
            <w:sz w:val="22"/>
            <w:u w:val="single"/>
          </w:rPr>
          <w:t>PUB研发报告</w:t>
        </w:r>
      </w:hyperlink>
    </w:p>
    <w:p>
      <w:r>
        <w:rPr>
          <w:b/>
        </w:rPr>
        <w:t>建议切入：</w:t>
      </w:r>
      <w:r>
        <w:t xml:space="preserve"> 与管网运营 / 研发人员明确压力突变、泵切换或阀动作中的具体记录缺口；先借已有记录仪的数据评估，不从零搭建整个智慧水务平台。</w:t>
      </w:r>
    </w:p>
    <w:p>
      <w:r>
        <w:rPr>
          <w:b/>
        </w:rPr>
        <w:t>接洽与购买条件：</w:t>
      </w:r>
      <w:r>
        <w:t xml:space="preserve"> 从PUB研发合作及正式采购渠道联系相关团队；报告内</w:t>
      </w:r>
      <w:hyperlink r:id="rId30">
        <w:r>
          <w:rPr>
            <w:rFonts w:ascii="Times New Roman" w:hAnsi="Times New Roman" w:eastAsia="宋体"/>
            <w:color w:val="0000FF"/>
            <w:sz w:val="22"/>
            <w:u w:val="single"/>
          </w:rPr>
          <w:t>官方案例</w:t>
        </w:r>
      </w:hyperlink>
      <w:r>
        <w:t>可用作议题依据，不能当作项目邀请或联系人承诺。需要得到可用数据、现场通道和对既有方案的对照要求。</w:t>
      </w:r>
    </w:p>
    <w:p>
      <w:r>
        <w:rPr>
          <w:b/>
        </w:rPr>
        <w:t>不应承诺：</w:t>
      </w:r>
      <w:r>
        <w:t xml:space="preserve"> 结构振动上的SATM实验不能证明已能可靠识别水锤或定位爆管；压力传感器供电、管网传播与多点时间同步均需重新确认。</w:t>
      </w:r>
    </w:p>
    <w:p>
      <w:bookmarkStart w:id="7" w:name="s7"/>
      <w:pPr>
        <w:pStyle w:val="Heading1"/>
        <w:pageBreakBefore/>
      </w:pPr>
      <w:r>
        <w:t>五、东南亚其他国家：沿实际部署和渠道进入</w:t>
      </w:r>
      <w:bookmarkEnd w:id="7"/>
    </w:p>
    <w:p>
      <w:pPr>
        <w:pStyle w:val="Lead"/>
      </w:pPr>
      <w:r>
        <w:t>马来西亚水务证据最明确；印尼可借监测集成商进入；其他国家先做需求确认。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4"/>
        <w:gridCol w:w="3571"/>
        <w:gridCol w:w="3063"/>
      </w:tblGrid>
      <w:tr>
        <w:trPr>
          <w:cantSplit/>
          <w:tblHeader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rPr>
                <w:b/>
              </w:rPr>
              <w:t>实体 / 国家 / 角色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r>
              <w:rPr>
                <w:b/>
              </w:rPr>
              <w:t>真实证据</w:t>
            </w:r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rPr>
                <w:b/>
              </w:rPr>
              <w:t>拟销售关系</w:t>
            </w:r>
          </w:p>
        </w:tc>
      </w:tr>
      <w:tr>
        <w:trPr>
          <w:cantSplit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t>Air Selangor</w:t>
              <w:br/>
              <w:t>马来西亚 / 水务用户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hyperlink r:id="rId14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1,650个历史压力突变传感器</w:t>
              </w:r>
            </w:hyperlink>
            <w:r>
              <w:t>；</w:t>
            </w:r>
            <w:hyperlink r:id="rId1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2026—2028年设备招标</w:t>
              </w:r>
            </w:hyperlink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t>最终买家；先验证现有系统增量缺口；A（扩展方向）</w:t>
            </w:r>
          </w:p>
        </w:tc>
      </w:tr>
      <w:tr>
        <w:trPr>
          <w:cantSplit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t>RD-Palmer</w:t>
              <w:br/>
              <w:t>马来西亚 / 供货渠道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hyperlink r:id="rId34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经销HWM压力突变记录仪，可询价</w:t>
              </w:r>
            </w:hyperlink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t>集成试用与渠道候选；不是已验证本土制造商；A</w:t>
            </w:r>
          </w:p>
        </w:tc>
      </w:tr>
      <w:tr>
        <w:trPr>
          <w:cantSplit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t>Agincourt Resources</w:t>
              <w:br/>
              <w:t>印尼 / 矿山用户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hyperlink r:id="rId3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Martabe无线监测案例</w:t>
              </w:r>
            </w:hyperlink>
            <w:r>
              <w:t>；</w:t>
            </w:r>
            <w:hyperlink r:id="rId3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2026年5月暂停运营期间持续监测</w:t>
              </w:r>
            </w:hyperlink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t>资产方；先核实经营和投资计划；B</w:t>
            </w:r>
          </w:p>
        </w:tc>
      </w:tr>
      <w:tr>
        <w:trPr>
          <w:cantSplit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t>Solusi Monitoring Indonesia</w:t>
              <w:br/>
              <w:t>印尼 / 监测集成商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hyperlink r:id="rId3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负责Martabe安装与平台对接</w:t>
              </w:r>
            </w:hyperlink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t>项目试用、设备采购和分销候选；B</w:t>
            </w:r>
          </w:p>
        </w:tc>
      </w:tr>
      <w:tr>
        <w:trPr>
          <w:cantSplit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t>Ryobi Geotechnique (M)</w:t>
              <w:br/>
              <w:t>马来西亚 / 工程服务商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hyperlink r:id="rId11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集团手册列有马来西亚公司及电话</w:t>
              </w:r>
            </w:hyperlink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t>经新加坡团队引荐区域项目；B</w:t>
            </w:r>
          </w:p>
        </w:tc>
      </w:tr>
      <w:tr>
        <w:trPr>
          <w:cantSplit/>
        </w:trPr>
        <w:tc>
          <w:tcPr>
            <w:tcW w:type="dxa" w:w="3004"/>
            <w:vAlign w:val="center"/>
          </w:tcPr>
          <w:p>
            <w:pPr>
              <w:pStyle w:val="TableText"/>
            </w:pPr>
            <w:r>
              <w:t>Manila Water</w:t>
              <w:br/>
              <w:t>菲律宾 / 水务用户</w:t>
            </w:r>
          </w:p>
        </w:tc>
        <w:tc>
          <w:tcPr>
            <w:tcW w:type="dxa" w:w="3571"/>
            <w:vAlign w:val="center"/>
          </w:tcPr>
          <w:p>
            <w:pPr>
              <w:pStyle w:val="TableText"/>
            </w:pPr>
            <w:hyperlink r:id="rId37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2024年披露检漏、应急维修与供水连续性工作</w:t>
              </w:r>
            </w:hyperlink>
          </w:p>
        </w:tc>
        <w:tc>
          <w:tcPr>
            <w:tcW w:type="dxa" w:w="3063"/>
            <w:vAlign w:val="center"/>
          </w:tcPr>
          <w:p>
            <w:pPr>
              <w:pStyle w:val="TableText"/>
            </w:pPr>
            <w:r>
              <w:t>相邻需求；尚未确认快速事件升级预算；C</w:t>
            </w:r>
          </w:p>
        </w:tc>
      </w:tr>
    </w:tbl>
    <w:p>
      <w:pPr>
        <w:spacing w:after="0"/>
      </w:pPr>
    </w:p>
    <w:p>
      <w:pPr>
        <w:pStyle w:val="Heading2"/>
      </w:pPr>
      <w:r>
        <w:t>制造商路线：分清生产地点与销售地区</w:t>
      </w:r>
    </w:p>
    <w:p>
      <w:r>
        <w:t>当前查得的区域供应链包括HWM → RD-Palmer、Worldsensing → Solusi，以及Xylem → Air Selangor。HWM、Worldsensing和Xylem属于国际供应商，不能因此写成东南亚本土制造商；模块合作须由其产品研发方决策。</w:t>
      </w:r>
      <w:hyperlink r:id="rId34">
        <w:r>
          <w:rPr>
            <w:rFonts w:ascii="Times New Roman" w:hAnsi="Times New Roman" w:eastAsia="宋体"/>
            <w:color w:val="0000FF"/>
            <w:sz w:val="22"/>
            <w:u w:val="single"/>
          </w:rPr>
          <w:t>供货关系</w:t>
        </w:r>
      </w:hyperlink>
      <w:r>
        <w:t xml:space="preserve"> </w:t>
      </w:r>
      <w:hyperlink r:id="rId35">
        <w:r>
          <w:rPr>
            <w:rFonts w:ascii="Times New Roman" w:hAnsi="Times New Roman" w:eastAsia="宋体"/>
            <w:color w:val="0000FF"/>
            <w:sz w:val="22"/>
            <w:u w:val="single"/>
          </w:rPr>
          <w:t>集成关系</w:t>
        </w:r>
      </w:hyperlink>
      <w:r>
        <w:t xml:space="preserve"> </w:t>
      </w:r>
      <w:hyperlink r:id="rId18">
        <w:r>
          <w:rPr>
            <w:rFonts w:ascii="Times New Roman" w:hAnsi="Times New Roman" w:eastAsia="宋体"/>
            <w:color w:val="0000FF"/>
            <w:sz w:val="22"/>
            <w:u w:val="single"/>
          </w:rPr>
          <w:t>客户案例</w:t>
        </w:r>
      </w:hyperlink>
    </w:p>
    <w:p>
      <w:pPr>
        <w:pStyle w:val="SourceNote"/>
      </w:pPr>
      <w:r>
        <w:t>国家范围：新加坡单列；本节重点覆盖马来西亚、印尼及菲律宾。不把未完成逐国客户验证的泰国、越南等市场算入可销售预算。</w:t>
      </w:r>
    </w:p>
    <w:p>
      <w:bookmarkStart w:id="8" w:name="s8"/>
      <w:pPr>
        <w:pStyle w:val="Heading1"/>
        <w:pageBreakBefore/>
      </w:pPr>
      <w:r>
        <w:t>五、东南亚客户档案：Air Selangor与RD-Palmer</w:t>
      </w:r>
      <w:bookmarkEnd w:id="8"/>
    </w:p>
    <w:p>
      <w:pPr>
        <w:pStyle w:val="Lead"/>
      </w:pPr>
      <w:r>
        <w:t>压力突变有明确的跨行业采购证据，现有竞争也最具体。</w:t>
      </w:r>
    </w:p>
    <w:p>
      <w:pPr>
        <w:pStyle w:val="Heading2"/>
      </w:pPr>
      <w:r>
        <w:t>Air Selangor｜已有采购，应研究“升级”而非“首次教育”</w:t>
      </w:r>
    </w:p>
    <w:p>
      <w:r>
        <w:rPr>
          <w:b/>
        </w:rPr>
        <w:t>实际购买与需求：</w:t>
      </w:r>
      <w:r>
        <w:t xml:space="preserve"> 2020年报告披露1,650个压力突变传感器；2025年招标PN0000022681采购2026—2028年干管压力突变站设备，已于2025年9月4日截标，不能视为仍开放的商机。</w:t>
      </w:r>
      <w:hyperlink r:id="rId14">
        <w:r>
          <w:rPr>
            <w:rFonts w:ascii="Times New Roman" w:hAnsi="Times New Roman" w:eastAsia="宋体"/>
            <w:color w:val="0000FF"/>
            <w:sz w:val="22"/>
            <w:u w:val="single"/>
          </w:rPr>
          <w:t>报告第73页</w:t>
        </w:r>
      </w:hyperlink>
      <w:r>
        <w:t xml:space="preserve"> </w:t>
      </w:r>
      <w:hyperlink r:id="rId15">
        <w:r>
          <w:rPr>
            <w:rFonts w:ascii="Times New Roman" w:hAnsi="Times New Roman" w:eastAsia="宋体"/>
            <w:color w:val="0000FF"/>
            <w:sz w:val="22"/>
            <w:u w:val="single"/>
          </w:rPr>
          <w:t>招标原文</w:t>
        </w:r>
      </w:hyperlink>
    </w:p>
    <w:p>
      <w:r>
        <w:rPr>
          <w:b/>
        </w:rPr>
        <w:t>当前替代方案：</w:t>
      </w:r>
      <w:r>
        <w:t xml:space="preserve"> Xylem案例使用高分辨率压力与声学数据，结合分析团队定位异常并发现泵切换问题；客户已有事件监测、分析和服务，SATM必须寻找未被解决的边际问题。</w:t>
      </w:r>
      <w:hyperlink r:id="rId18">
        <w:r>
          <w:rPr>
            <w:rFonts w:ascii="Times New Roman" w:hAnsi="Times New Roman" w:eastAsia="宋体"/>
            <w:color w:val="0000FF"/>
            <w:sz w:val="22"/>
            <w:u w:val="single"/>
          </w:rPr>
          <w:t>2023年客户案例</w:t>
        </w:r>
      </w:hyperlink>
    </w:p>
    <w:p>
      <w:r>
        <w:rPr>
          <w:b/>
        </w:rPr>
        <w:t>可能付费点：</w:t>
      </w:r>
      <w:r>
        <w:t xml:space="preserve"> 既有设备更换时的功耗与维护成本、事件记录冗余、参数配置负担；公开资料未证实这些问题的量级，也未证实客户愿意改用第三方模块。</w:t>
      </w:r>
    </w:p>
    <w:p>
      <w:r>
        <w:rPr>
          <w:b/>
        </w:rPr>
        <w:t>采购路径与接洽：</w:t>
      </w:r>
      <w:r>
        <w:t xml:space="preserve"> 招标要求Air Selangor注册供应商及马来西亚Sdn. Bhd./Bhd.主体；宜通过当地合格供货商联系管网 / 漏损管理团队，再由设备厂参与适配。</w:t>
      </w:r>
      <w:hyperlink r:id="rId15">
        <w:r>
          <w:rPr>
            <w:rFonts w:ascii="Times New Roman" w:hAnsi="Times New Roman" w:eastAsia="宋体"/>
            <w:color w:val="0000FF"/>
            <w:sz w:val="22"/>
            <w:u w:val="single"/>
          </w:rPr>
          <w:t>供应商登记与采购联系方式</w:t>
        </w:r>
      </w:hyperlink>
    </w:p>
    <w:p>
      <w:r>
        <w:rPr>
          <w:b/>
        </w:rPr>
        <w:t>首问：</w:t>
      </w:r>
      <w:r>
        <w:t xml:space="preserve"> 当前有多少“可更新且可改固件”的压力突变站？更换周期、现用设备型号、每月有效事件与人工分析成本是什么？询价时注意公告中的RM300是标书费，不是设备单价。</w:t>
      </w:r>
    </w:p>
    <w:p>
      <w:pPr>
        <w:pStyle w:val="Heading2"/>
      </w:pPr>
      <w:r>
        <w:t>RD-Palmer｜先做联合验证，再判断是否能成为采购渠道</w:t>
      </w:r>
    </w:p>
    <w:p>
      <w:r>
        <w:rPr>
          <w:b/>
        </w:rPr>
        <w:t>现有业务：</w:t>
      </w:r>
      <w:r>
        <w:t xml:space="preserve"> 其HWM产品页直接将常规压力记录漏掉快速冲击、缺少前后证据列为选型理由，并提供最高100Hz的压力事件产品。</w:t>
      </w:r>
      <w:hyperlink r:id="rId34">
        <w:r>
          <w:rPr>
            <w:rFonts w:ascii="Times New Roman" w:hAnsi="Times New Roman" w:eastAsia="宋体"/>
            <w:color w:val="0000FF"/>
            <w:sz w:val="22"/>
            <w:u w:val="single"/>
          </w:rPr>
          <w:t>产品与询价页</w:t>
        </w:r>
      </w:hyperlink>
    </w:p>
    <w:p>
      <w:r>
        <w:rPr>
          <w:b/>
        </w:rPr>
        <w:t>可销售内容：</w:t>
      </w:r>
      <w:r>
        <w:t xml:space="preserve"> 兼容既有记录仪的评估模块 / 软件、事件格式转换及联合测试服务；若无固件开放权，需由HWM参与，不建议绕过原厂直接改装。</w:t>
      </w:r>
    </w:p>
    <w:p>
      <w:r>
        <w:rPr>
          <w:b/>
        </w:rPr>
        <w:t>接洽与成交条件：</w:t>
      </w:r>
      <w:r>
        <w:t xml:space="preserve"> 用</w:t>
      </w:r>
      <w:hyperlink r:id="rId34">
        <w:r>
          <w:rPr>
            <w:rFonts w:ascii="Times New Roman" w:hAnsi="Times New Roman" w:eastAsia="宋体"/>
            <w:color w:val="0000FF"/>
            <w:sz w:val="22"/>
            <w:u w:val="single"/>
          </w:rPr>
          <w:t>Request a Quote / Talk to a Specialist</w:t>
        </w:r>
      </w:hyperlink>
      <w:r>
        <w:t>联系应用工程与商业负责人；先询问客户对现用设备最常见的不满、年度项目数、原厂授权范围和本地售后成本。</w:t>
      </w:r>
    </w:p>
    <w:p>
      <w:bookmarkStart w:id="9" w:name="s9"/>
      <w:pPr>
        <w:pStyle w:val="Heading1"/>
        <w:pageBreakBefore/>
      </w:pPr>
      <w:r>
        <w:t>五、东南亚客户档案：印尼矿山与菲律宾水务</w:t>
      </w:r>
      <w:bookmarkEnd w:id="9"/>
    </w:p>
    <w:p>
      <w:pPr>
        <w:pStyle w:val="Lead"/>
      </w:pPr>
      <w:r>
        <w:t>现场维护困难可能提高付费价值，需结合投资状态和现有系统判断。</w:t>
      </w:r>
    </w:p>
    <w:p>
      <w:pPr>
        <w:pStyle w:val="Heading2"/>
      </w:pPr>
      <w:r>
        <w:t>Agincourt / Solusi｜以远程矿山监测检验维护价值</w:t>
      </w:r>
    </w:p>
    <w:p>
      <w:r>
        <w:rPr>
          <w:b/>
        </w:rPr>
        <w:t>已知部署：</w:t>
      </w:r>
      <w:r>
        <w:t xml:space="preserve"> Martabe案例覆盖约6平方公里；10个五通道振弦节点、10个单通道节点、10个模拟节点、6个数字节点，共36个采集节点，由Solusi实施并接入Vista Data Vision。</w:t>
      </w:r>
      <w:hyperlink r:id="rId35">
        <w:r>
          <w:rPr>
            <w:rFonts w:ascii="Times New Roman" w:hAnsi="Times New Roman" w:eastAsia="宋体"/>
            <w:color w:val="0000FF"/>
            <w:sz w:val="22"/>
            <w:u w:val="single"/>
          </w:rPr>
          <w:t>原厂部署案例</w:t>
        </w:r>
      </w:hyperlink>
    </w:p>
    <w:p>
      <w:r>
        <w:rPr>
          <w:b/>
        </w:rPr>
        <w:t>真实痛点与适配边界：</w:t>
      </w:r>
      <w:r>
        <w:t xml:space="preserve"> 案例明确提出难到达、减少人工干预和避免铺设电缆；但现有测量多为孔压、位移等慢变量，不能把36个节点全部算为快速事件模块客户。</w:t>
      </w:r>
    </w:p>
    <w:p>
      <w:r>
        <w:rPr>
          <w:b/>
        </w:rPr>
        <w:t>交易路径：</w:t>
      </w:r>
      <w:r>
        <w:t xml:space="preserve"> 先找Solusi应用工程 / 业务团队评估一处需要突发运动记录的资产，再由矿方地质技术、资产管理或安全部门确认需求和预算；提议新增事件通道，不替换既有网络。</w:t>
      </w:r>
    </w:p>
    <w:p>
      <w:r>
        <w:rPr>
          <w:b/>
        </w:rPr>
        <w:t>接洽依据与状态：</w:t>
      </w:r>
      <w:r>
        <w:t xml:space="preserve"> </w:t>
      </w:r>
      <w:hyperlink r:id="rId35">
        <w:r>
          <w:rPr>
            <w:rFonts w:ascii="Times New Roman" w:hAnsi="Times New Roman" w:eastAsia="宋体"/>
            <w:color w:val="0000FF"/>
            <w:sz w:val="22"/>
            <w:u w:val="single"/>
          </w:rPr>
          <w:t>案例列明Solusi及原厂联系入口</w:t>
        </w:r>
      </w:hyperlink>
      <w:r>
        <w:t>；必要时请Worldsensing转介。</w:t>
      </w:r>
      <w:hyperlink r:id="rId36">
        <w:r>
          <w:rPr>
            <w:rFonts w:ascii="Times New Roman" w:hAnsi="Times New Roman" w:eastAsia="宋体"/>
            <w:color w:val="0000FF"/>
            <w:sz w:val="22"/>
            <w:u w:val="single"/>
          </w:rPr>
          <w:t>矿方2026年5月公告</w:t>
        </w:r>
      </w:hyperlink>
      <w:r>
        <w:t>提到暂停运营但持续监测，不能据此认定8月仍停产或已经恢复，立项前需复核。</w:t>
      </w:r>
    </w:p>
    <w:p>
      <w:r>
        <w:rPr>
          <w:b/>
        </w:rPr>
        <w:t>首问与风险：</w:t>
      </w:r>
      <w:r>
        <w:t xml:space="preserve"> 每次维护进入现场需多少人时与审批？过去是否存在必须补采的快速事件？当前维护与新投资预算分别由谁批准？</w:t>
      </w:r>
    </w:p>
    <w:p>
      <w:pPr>
        <w:pStyle w:val="Heading2"/>
      </w:pPr>
      <w:r>
        <w:t>Manila Water｜有运营压力，尚无明确事件升级证据</w:t>
      </w:r>
    </w:p>
    <w:p>
      <w:r>
        <w:rPr>
          <w:b/>
        </w:rPr>
        <w:t>真实需求：</w:t>
      </w:r>
      <w:r>
        <w:t xml:space="preserve"> 2024年报告说明持续检漏、应急维修、夜间维护与快速协调处置，支持“降低供水中断影响”的需求判断，不足以证明其必须购买自适应压力触发。</w:t>
      </w:r>
      <w:hyperlink r:id="rId37">
        <w:r>
          <w:rPr>
            <w:rFonts w:ascii="Times New Roman" w:hAnsi="Times New Roman" w:eastAsia="宋体"/>
            <w:color w:val="0000FF"/>
            <w:sz w:val="22"/>
            <w:u w:val="single"/>
          </w:rPr>
          <w:t>公司披露</w:t>
        </w:r>
      </w:hyperlink>
    </w:p>
    <w:p>
      <w:r>
        <w:rPr>
          <w:b/>
        </w:rPr>
        <w:t>建议接洽：</w:t>
      </w:r>
      <w:r>
        <w:t xml:space="preserve"> 经</w:t>
      </w:r>
      <w:hyperlink r:id="rId38">
        <w:r>
          <w:rPr>
            <w:rFonts w:ascii="Times New Roman" w:hAnsi="Times New Roman" w:eastAsia="宋体"/>
            <w:color w:val="0000FF"/>
            <w:sz w:val="22"/>
            <w:u w:val="single"/>
          </w:rPr>
          <w:t>官方联系入口</w:t>
        </w:r>
      </w:hyperlink>
      <w:r>
        <w:t>转管网管理、漏损管理或技术创新团队，询问泵阀切换事件、记录粒度与现场采集方式。</w:t>
      </w:r>
    </w:p>
    <w:p>
      <w:r>
        <w:rPr>
          <w:b/>
        </w:rPr>
        <w:t>进入条件：</w:t>
      </w:r>
      <w:r>
        <w:t xml:space="preserve"> 只有拿到明确的快速事件记录缺口和可执行试点，才升级为重点销售线索；当前不纳入收入情景中的承诺客户，也不以服务人口或管网总长换算模块销量。</w:t>
      </w:r>
    </w:p>
    <w:p>
      <w:bookmarkStart w:id="10" w:name="s10"/>
      <w:pPr>
        <w:pStyle w:val="Heading1"/>
        <w:pageBreakBefore/>
      </w:pPr>
      <w:r>
        <w:t>六、中国：从明确采购条目寻找买家</w:t>
      </w:r>
      <w:bookmarkEnd w:id="10"/>
    </w:p>
    <w:p>
      <w:pPr>
        <w:pStyle w:val="Lead"/>
      </w:pPr>
      <w:r>
        <w:t>桥梁撞击、振动及图像记录已进入具体项目，应沿“业主—中标集成商—设备厂”定位切入点。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91"/>
        <w:gridCol w:w="4308"/>
        <w:gridCol w:w="2439"/>
      </w:tblGrid>
      <w:tr>
        <w:trPr>
          <w:cantSplit/>
          <w:tblHeader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rPr>
                <w:b/>
              </w:rPr>
              <w:t>实体与角色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rPr>
                <w:b/>
              </w:rPr>
              <w:t>可核验资产 / 产品 / 金额</w:t>
            </w:r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rPr>
                <w:b/>
              </w:rPr>
              <w:t>建议切入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t>北京市公路事业发展中心</w:t>
              <w:br/>
              <w:t>采购方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hyperlink r:id="rId1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2026年项目：509座桥、10座隧道、38处地灾 / 高边坡</w:t>
              </w:r>
            </w:hyperlink>
            <w:r>
              <w:t>；整包5,074.6万元</w:t>
            </w:r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t>与承包链核实事件相关子系统，而非直接承揽全包；B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t>北京公科飞达</w:t>
              <w:br/>
              <w:t>工程集成商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hyperlink r:id="rId1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上述项目联合中标方</w:t>
              </w:r>
            </w:hyperlink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t>事件采集接口、设备选型与下一批项目；B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t>中路高科交通检测检验认证</w:t>
              <w:br/>
              <w:t>检测与集成商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hyperlink r:id="rId1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上述项目联合中标方</w:t>
              </w:r>
            </w:hyperlink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t>波形记录和复核流程；可采购节点但非自动归类OEM；B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t>南通市公路事业发展中心</w:t>
              <w:br/>
              <w:t>采购方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hyperlink r:id="rId17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2025年新建41桥、升级2桥，运维另含56桥</w:t>
              </w:r>
            </w:hyperlink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t>已有撞击 / 振动条目，适合查测点、询设备规格；A（扩展）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t>基康技术</w:t>
              <w:br/>
              <w:t>制造商 / 系统商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hyperlink r:id="rId3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BGK9600：125Hz监控，事件前后各5秒数据</w:t>
              </w:r>
            </w:hyperlink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t>明确双重角色；比较自研与模块授权成本；B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</w:pPr>
            <w:r>
              <w:t>东华测试</w:t>
              <w:br/>
              <w:t>制造商 / 测试系统商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hyperlink r:id="rId40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披露无线在线监测与瞬态信号采集产品研发</w:t>
              </w:r>
            </w:hyperlink>
          </w:p>
        </w:tc>
        <w:tc>
          <w:tcPr>
            <w:tcW w:type="dxa" w:w="2439"/>
            <w:vAlign w:val="center"/>
          </w:tcPr>
          <w:p>
            <w:pPr>
              <w:pStyle w:val="TableText"/>
            </w:pPr>
            <w:r>
              <w:t>高带宽产品补充、自适应固件；先核实当前型号；B</w:t>
            </w:r>
          </w:p>
        </w:tc>
      </w:tr>
    </w:tbl>
    <w:p>
      <w:pPr>
        <w:spacing w:after="0"/>
      </w:pPr>
    </w:p>
    <w:p>
      <w:pPr>
        <w:pStyle w:val="Heading2"/>
      </w:pPr>
      <w:r>
        <w:t>具体采购证据的含义</w:t>
      </w:r>
    </w:p>
    <w:p>
      <w:r>
        <w:t>北京2026年合同已经中标，金额覆盖设备、平台和工程实施等范围；它证明采购方及交付链存在，不代表仍有同等预算等待新供应商。南通项目同样应按历史采购样本处理，后续商机需重新确认。</w:t>
      </w:r>
    </w:p>
    <w:p>
      <w:r>
        <w:rPr>
          <w:b/>
        </w:rPr>
        <w:t>接洽入口：</w:t>
      </w:r>
      <w:r>
        <w:t xml:space="preserve"> 北京和南通公告均列有招标人、代理或联系电话；通过</w:t>
      </w:r>
      <w:hyperlink r:id="rId16">
        <w:r>
          <w:rPr>
            <w:rFonts w:ascii="Times New Roman" w:hAnsi="Times New Roman" w:eastAsia="宋体"/>
            <w:color w:val="0000FF"/>
            <w:sz w:val="22"/>
            <w:u w:val="single"/>
          </w:rPr>
          <w:t>原始中标公告</w:t>
        </w:r>
      </w:hyperlink>
      <w:r>
        <w:t>、</w:t>
      </w:r>
      <w:hyperlink r:id="rId17">
        <w:r>
          <w:rPr>
            <w:rFonts w:ascii="Times New Roman" w:hAnsi="Times New Roman" w:eastAsia="宋体"/>
            <w:color w:val="0000FF"/>
            <w:sz w:val="22"/>
            <w:u w:val="single"/>
          </w:rPr>
          <w:t>原始招标公告</w:t>
        </w:r>
      </w:hyperlink>
      <w:r>
        <w:t>联系业务部门，再寻找负责选型的集成商，而不是从消费者客服推销。</w:t>
      </w:r>
    </w:p>
    <w:p>
      <w:pPr>
        <w:pStyle w:val="SourceNote"/>
      </w:pPr>
      <w:r>
        <w:t>中国合同金额不与新加坡、马来西亚金额直接相加；项目包含的测点也不全部是SATM可适配设备。</w:t>
      </w:r>
    </w:p>
    <w:p>
      <w:bookmarkStart w:id="11" w:name="s11"/>
      <w:pPr>
        <w:pStyle w:val="Heading1"/>
        <w:pageBreakBefore/>
      </w:pPr>
      <w:r>
        <w:t>六、中国客户档案：南通采购链与基康</w:t>
      </w:r>
      <w:bookmarkEnd w:id="11"/>
    </w:p>
    <w:p>
      <w:pPr>
        <w:pStyle w:val="Lead"/>
      </w:pPr>
      <w:r>
        <w:t>前者说明客户购买什么，后者提供现有产品的竞争基准。</w:t>
      </w:r>
    </w:p>
    <w:p>
      <w:pPr>
        <w:pStyle w:val="Heading2"/>
      </w:pPr>
      <w:r>
        <w:t>南通市公路事业发展中心｜从采购清单反推产品要求</w:t>
      </w:r>
    </w:p>
    <w:p>
      <w:r>
        <w:rPr>
          <w:b/>
        </w:rPr>
        <w:t>证据与预算：</w:t>
      </w:r>
      <w:r>
        <w:t xml:space="preserve"> 2025年项目01标包含14座新建轻量化监测桥梁，并承担相关既有桥运维，预算约544万元；公告明确列出主梁振动、车辆撞击、船舶撞击、视频与告警。</w:t>
      </w:r>
      <w:hyperlink r:id="rId17">
        <w:r>
          <w:rPr>
            <w:rFonts w:ascii="Times New Roman" w:hAnsi="Times New Roman" w:eastAsia="宋体"/>
            <w:color w:val="0000FF"/>
            <w:sz w:val="22"/>
            <w:u w:val="single"/>
          </w:rPr>
          <w:t>公告及测点表</w:t>
        </w:r>
      </w:hyperlink>
    </w:p>
    <w:p>
      <w:r>
        <w:rPr>
          <w:b/>
        </w:rPr>
        <w:t>具体资产：</w:t>
      </w:r>
      <w:r>
        <w:t xml:space="preserve"> G345通吕运河大桥、S225通港大桥列有主梁振动测点；G328蒿枝港桥列有车辆与船舶撞击监测。设备配置按桥而异，不能用“每桥一套”统一放大销量。</w:t>
      </w:r>
    </w:p>
    <w:p>
      <w:r>
        <w:rPr>
          <w:b/>
        </w:rPr>
        <w:t>付费点与商品：</w:t>
      </w:r>
      <w:r>
        <w:t xml:space="preserve"> 支撑撞击后复核和检查决策的事件记录通道；对接既有桥梁平台及摄像系统，输出可比对的时间戳、波形和设备状态，不替代结构安全结论。</w:t>
      </w:r>
    </w:p>
    <w:p>
      <w:r>
        <w:rPr>
          <w:b/>
        </w:rPr>
        <w:t>决策与接洽：</w:t>
      </w:r>
      <w:r>
        <w:t xml:space="preserve"> 经公告的采购单位 / 代理联系养护或监测负责人，索取可公开设备规格和实施单位信息；设备购买通常落在承包商选型环节，最终以合同安排为准。</w:t>
      </w:r>
    </w:p>
    <w:p>
      <w:r>
        <w:rPr>
          <w:b/>
        </w:rPr>
        <w:t>需要核实：</w:t>
      </w:r>
      <w:r>
        <w:t xml:space="preserve"> 撞击条目采用何种传感器、当前是否全波形持续记录、误报与复核成本、平台接口和更新周期；不将雷达提前防撞与接触后的冲击记录视为同一产品。</w:t>
      </w:r>
    </w:p>
    <w:p>
      <w:pPr>
        <w:pStyle w:val="Heading2"/>
      </w:pPr>
      <w:r>
        <w:t>基康技术｜竞品强，也可能成为嵌入式客户</w:t>
      </w:r>
    </w:p>
    <w:p>
      <w:r>
        <w:rPr>
          <w:b/>
        </w:rPr>
        <w:t>现有技术：</w:t>
      </w:r>
      <w:r>
        <w:t xml:space="preserve"> BGK9600支持振动与倾斜、125Hz实时监控、本地联动和前后各5秒数据；其多种工作模式、电池及太阳能供电表明，边缘事件处理已是可购买能力。</w:t>
      </w:r>
      <w:hyperlink r:id="rId39">
        <w:r>
          <w:rPr>
            <w:rFonts w:ascii="Times New Roman" w:hAnsi="Times New Roman" w:eastAsia="宋体"/>
            <w:color w:val="0000FF"/>
            <w:sz w:val="22"/>
            <w:u w:val="single"/>
          </w:rPr>
          <w:t>产品规格</w:t>
        </w:r>
      </w:hyperlink>
    </w:p>
    <w:p>
      <w:r>
        <w:rPr>
          <w:b/>
        </w:rPr>
        <w:t>合作价值：</w:t>
      </w:r>
      <w:r>
        <w:t xml:space="preserve"> 只有在频繁变动工况下，SATM能以相近捕捉质量降低调参、误触发或功耗，外购模块 / 固件才可能优于自研；不能仅凭其未公开算法便认定存在技术空白。</w:t>
      </w:r>
    </w:p>
    <w:p>
      <w:r>
        <w:rPr>
          <w:b/>
        </w:rPr>
        <w:t>接洽与障碍：</w:t>
      </w:r>
      <w:r>
        <w:t xml:space="preserve"> 通过</w:t>
      </w:r>
      <w:hyperlink r:id="rId39">
        <w:r>
          <w:rPr>
            <w:rFonts w:ascii="Times New Roman" w:hAnsi="Times New Roman" w:eastAsia="宋体"/>
            <w:color w:val="0000FF"/>
            <w:sz w:val="22"/>
            <w:u w:val="single"/>
          </w:rPr>
          <w:t>产品页“联系我们”</w:t>
        </w:r>
      </w:hyperlink>
      <w:r>
        <w:t>找产品或研发负责人；以</w:t>
      </w:r>
      <w:hyperlink r:id="rId41">
        <w:r>
          <w:rPr>
            <w:rFonts w:ascii="Times New Roman" w:hAnsi="Times New Roman" w:eastAsia="宋体"/>
            <w:color w:val="0000FF"/>
            <w:sz w:val="22"/>
            <w:u w:val="single"/>
          </w:rPr>
          <w:t>2026年公司披露</w:t>
        </w:r>
      </w:hyperlink>
      <w:r>
        <w:t>核对主体。先讨论接口、样机评估、授权范围与量产责任；年出货和购买意向尚不公开。</w:t>
      </w:r>
    </w:p>
    <w:p>
      <w:bookmarkStart w:id="12" w:name="s12"/>
      <w:pPr>
        <w:pStyle w:val="Heading1"/>
        <w:pageBreakBefore/>
      </w:pPr>
      <w:r>
        <w:t>七、竞品：事件记录已经成熟，增益必须具体</w:t>
      </w:r>
      <w:bookmarkEnd w:id="12"/>
    </w:p>
    <w:p>
      <w:pPr>
        <w:pStyle w:val="Lead"/>
      </w:pPr>
      <w:r>
        <w:t>对监测用户是替代方案的公司，对制造商路线可能是客户；合作可能性不等于合作意向。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40"/>
        <w:gridCol w:w="4648"/>
        <w:gridCol w:w="2950"/>
      </w:tblGrid>
      <w:tr>
        <w:trPr>
          <w:cantSplit/>
          <w:tblHeader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rPr>
                <w:b/>
              </w:rPr>
              <w:t>公司 / 产品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r>
              <w:rPr>
                <w:b/>
              </w:rPr>
              <w:t>机理与已公开能力</w:t>
            </w:r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rPr>
                <w:b/>
              </w:rPr>
              <w:t>竞争 / 合作判断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Instantel</w:t>
              <w:br/>
              <w:t>Micromate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hyperlink r:id="rId42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阈值触发波形、统计与组合记录</w:t>
              </w:r>
            </w:hyperlink>
            <w:r>
              <w:t>；</w:t>
            </w:r>
            <w:hyperlink r:id="rId43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1,024—4,096次/秒，预触发0.25—1秒</w:t>
              </w:r>
            </w:hyperlink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t>施工振动直接竞品；手动设置之外的适应性增益需实测。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Move</w:t>
              <w:br/>
              <w:t>DECK002-X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hyperlink r:id="rId44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加速度双积分得动态位移，阈值触发；50Hz、32秒窗口（前12秒 / 后20秒）</w:t>
              </w:r>
            </w:hyperlink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t>已具事件证据；整机竞争强，模块合作须证明额外价值。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Move</w:t>
              <w:br/>
              <w:t>Accelerometer v5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hyperlink r:id="rId45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40—640Hz；普通 / 快速触发、计划采集与组合模式，本地循环存储</w:t>
              </w:r>
            </w:hyperlink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t>不能归为仅固定时刻采样；需区分快速告警和完整波形模式。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基康</w:t>
              <w:br/>
              <w:t>BGK9600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hyperlink r:id="rId3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边缘振动解算、125Hz监控、前后数据、摄像 / 声光联动</w:t>
              </w:r>
            </w:hyperlink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t>中国直接竞品，同时可探讨授权；不是功能空白客户。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HWM</w:t>
              <w:br/>
              <w:t>Pressure Transient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hyperlink r:id="rId46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最高100Hz，选择事件前后数据窗口，蜂窝回传</w:t>
              </w:r>
            </w:hyperlink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t>水务设备竞品 / OEM候选；未公开自学习细节，不能断言没有。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Xylem</w:t>
              <w:br/>
              <w:t>Leak Localization</w:t>
            </w:r>
          </w:p>
        </w:tc>
        <w:tc>
          <w:tcPr>
            <w:tcW w:type="dxa" w:w="4648"/>
            <w:vAlign w:val="center"/>
          </w:tcPr>
          <w:p>
            <w:pPr>
              <w:pStyle w:val="TableText"/>
            </w:pPr>
            <w:hyperlink r:id="rId18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压力瞬变与水听器信息结合，由分析团队支持定位和处置</w:t>
              </w:r>
            </w:hyperlink>
          </w:p>
        </w:tc>
        <w:tc>
          <w:tcPr>
            <w:tcW w:type="dxa" w:w="2950"/>
            <w:vAlign w:val="center"/>
          </w:tcPr>
          <w:p>
            <w:pPr>
              <w:pStyle w:val="TableText"/>
            </w:pPr>
            <w:r>
              <w:t>竞争不止硬件，还包括分析服务；合作需留在其平台体系内。</w:t>
            </w:r>
          </w:p>
        </w:tc>
      </w:tr>
    </w:tbl>
    <w:p>
      <w:pPr>
        <w:spacing w:after="0"/>
      </w:pPr>
    </w:p>
    <w:p>
      <w:pPr>
        <w:pStyle w:val="Heading2"/>
      </w:pPr>
      <w:r>
        <w:t>价格与份额：公开多少，报告多少</w:t>
      </w:r>
    </w:p>
    <w:p>
      <w:r>
        <w:t>上述产品没有查得可核验且配置一致的公开交易单价，也没有同口径事件产品收入份额。报价需统一节点、传感头、网关、软件期限、校准、安装与税费；不能拿不同套装的网络价格直接比较。</w:t>
      </w:r>
    </w:p>
    <w:p>
      <w:pPr>
        <w:pStyle w:val="SourceNote"/>
      </w:pPr>
      <w:r>
        <w:t>表中“未公开”表示证据不足，不表示厂商不存在该能力。Move引用采用现行产品页，未沿用旧版失效技术链接。</w:t>
      </w:r>
    </w:p>
    <w:p>
      <w:bookmarkStart w:id="13" w:name="s13"/>
      <w:pPr>
        <w:pStyle w:val="Heading1"/>
        <w:pageBreakBefore/>
      </w:pPr>
      <w:r>
        <w:t>七、技术前沿：从唤醒走向受控的自适应记录</w:t>
      </w:r>
      <w:bookmarkEnd w:id="13"/>
    </w:p>
    <w:p>
      <w:pPr>
        <w:pStyle w:val="Lead"/>
      </w:pPr>
      <w:r>
        <w:t>竞争已延伸到片上智能、多节点联动和完整证据；SATM应以系统级对照结果证明优势。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11"/>
        <w:gridCol w:w="4705"/>
        <w:gridCol w:w="2722"/>
      </w:tblGrid>
      <w:tr>
        <w:trPr>
          <w:cantSplit/>
          <w:tblHeader/>
        </w:trPr>
        <w:tc>
          <w:tcPr>
            <w:tcW w:type="dxa" w:w="2211"/>
            <w:vAlign w:val="center"/>
          </w:tcPr>
          <w:p>
            <w:pPr>
              <w:pStyle w:val="TableText"/>
            </w:pPr>
            <w:r>
              <w:rPr>
                <w:b/>
              </w:rPr>
              <w:t>技术层次</w:t>
            </w:r>
          </w:p>
        </w:tc>
        <w:tc>
          <w:tcPr>
            <w:tcW w:type="dxa" w:w="4705"/>
            <w:vAlign w:val="center"/>
          </w:tcPr>
          <w:p>
            <w:pPr>
              <w:pStyle w:val="TableText"/>
            </w:pPr>
            <w:r>
              <w:rPr>
                <w:b/>
              </w:rPr>
              <w:t>代表方案 / 机理</w:t>
            </w:r>
          </w:p>
        </w:tc>
        <w:tc>
          <w:tcPr>
            <w:tcW w:type="dxa" w:w="2722"/>
            <w:vAlign w:val="center"/>
          </w:tcPr>
          <w:p>
            <w:pPr>
              <w:pStyle w:val="TableText"/>
            </w:pPr>
            <w:r>
              <w:rPr>
                <w:b/>
              </w:rPr>
              <w:t>对SATM的要求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pStyle w:val="TableText"/>
            </w:pPr>
            <w:r>
              <w:t>低功耗常开与缓存</w:t>
            </w:r>
          </w:p>
        </w:tc>
        <w:tc>
          <w:tcPr>
            <w:tcW w:type="dxa" w:w="4705"/>
            <w:vAlign w:val="center"/>
          </w:tcPr>
          <w:p>
            <w:pPr>
              <w:pStyle w:val="TableText"/>
            </w:pPr>
            <w:hyperlink r:id="rId47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ADXL362：100Hz约1.8微安，硬件活动检测</w:t>
              </w:r>
            </w:hyperlink>
            <w:r>
              <w:t>；</w:t>
            </w:r>
            <w:hyperlink r:id="rId48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片上缓存可保留事件上下文</w:t>
              </w:r>
            </w:hyperlink>
          </w:p>
        </w:tc>
        <w:tc>
          <w:tcPr>
            <w:tcW w:type="dxa" w:w="2722"/>
            <w:vAlign w:val="center"/>
          </w:tcPr>
          <w:p>
            <w:pPr>
              <w:pStyle w:val="TableText"/>
            </w:pPr>
            <w:r>
              <w:t>单独“振动唤醒”门槛低；模块价值必须超过芯片功能。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pStyle w:val="TableText"/>
            </w:pPr>
            <w:r>
              <w:t>片上识别 / 自配置</w:t>
            </w:r>
          </w:p>
        </w:tc>
        <w:tc>
          <w:tcPr>
            <w:tcW w:type="dxa" w:w="4705"/>
            <w:vAlign w:val="center"/>
          </w:tcPr>
          <w:p>
            <w:pPr>
              <w:pStyle w:val="TableText"/>
            </w:pPr>
            <w:hyperlink r:id="rId22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ST LSM6DSV16X：状态机、决策树推理，可按识别结果改设置</w:t>
              </w:r>
            </w:hyperlink>
          </w:p>
        </w:tc>
        <w:tc>
          <w:tcPr>
            <w:tcW w:type="dxa" w:w="2722"/>
            <w:vAlign w:val="center"/>
          </w:tcPr>
          <w:p>
            <w:pPr>
              <w:pStyle w:val="TableText"/>
            </w:pPr>
            <w:r>
              <w:t>已有自适应技术；需区分预设规则切换与反馈优化。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pStyle w:val="TableText"/>
            </w:pPr>
            <w:r>
              <w:t>多节点与图像联动</w:t>
            </w:r>
          </w:p>
        </w:tc>
        <w:tc>
          <w:tcPr>
            <w:tcW w:type="dxa" w:w="4705"/>
            <w:vAlign w:val="center"/>
          </w:tcPr>
          <w:p>
            <w:pPr>
              <w:pStyle w:val="TableText"/>
            </w:pPr>
            <w:hyperlink r:id="rId1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InfraGuard：突移触发、提升采样 / 回传、调用摄像；1—5分钟预期延迟</w:t>
              </w:r>
            </w:hyperlink>
          </w:p>
        </w:tc>
        <w:tc>
          <w:tcPr>
            <w:tcW w:type="dxa" w:w="2722"/>
            <w:vAlign w:val="center"/>
          </w:tcPr>
          <w:p>
            <w:pPr>
              <w:pStyle w:val="TableText"/>
            </w:pPr>
            <w:r>
              <w:t>目标是确认事件与现场响应；其延迟不能与高频波形采样率直接比较。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pStyle w:val="TableText"/>
            </w:pPr>
            <w:r>
              <w:t>工业高频诊断</w:t>
            </w:r>
          </w:p>
        </w:tc>
        <w:tc>
          <w:tcPr>
            <w:tcW w:type="dxa" w:w="4705"/>
            <w:vAlign w:val="center"/>
          </w:tcPr>
          <w:p>
            <w:pPr>
              <w:pStyle w:val="TableText"/>
            </w:pPr>
            <w:hyperlink r:id="rId20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AMS：最高51.2kHz主轴采样，按需 / 计划波形与诊断</w:t>
              </w:r>
            </w:hyperlink>
          </w:p>
        </w:tc>
        <w:tc>
          <w:tcPr>
            <w:tcW w:type="dxa" w:w="2722"/>
            <w:vAlign w:val="center"/>
          </w:tcPr>
          <w:p>
            <w:pPr>
              <w:pStyle w:val="TableText"/>
            </w:pPr>
            <w:r>
              <w:t>不以结构实验带宽替代工业故障诊断；选择适配事件再进入。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pStyle w:val="TableText"/>
            </w:pPr>
            <w:r>
              <w:t>边缘事件分类研究</w:t>
            </w:r>
          </w:p>
        </w:tc>
        <w:tc>
          <w:tcPr>
            <w:tcW w:type="dxa" w:w="4705"/>
            <w:vAlign w:val="center"/>
          </w:tcPr>
          <w:p>
            <w:pPr>
              <w:pStyle w:val="TableText"/>
            </w:pPr>
            <w:hyperlink r:id="rId49">
              <w:r>
                <w:rPr>
                  <w:rFonts w:ascii="Times New Roman" w:hAnsi="Times New Roman" w:eastAsia="宋体"/>
                  <w:color w:val="0000FF"/>
                  <w:sz w:val="22"/>
                  <w:u w:val="single"/>
                </w:rPr>
                <w:t>Meyer等：低功耗阈值前端 + 微控制器神经网络，山地实地研究</w:t>
              </w:r>
            </w:hyperlink>
          </w:p>
        </w:tc>
        <w:tc>
          <w:tcPr>
            <w:tcW w:type="dxa" w:w="2722"/>
            <w:vAlign w:val="center"/>
          </w:tcPr>
          <w:p>
            <w:pPr>
              <w:pStyle w:val="TableText"/>
            </w:pPr>
            <w:r>
              <w:t>事件识别与功耗协同已有研究和实测基础，不能宣称首次提出。</w:t>
            </w:r>
          </w:p>
        </w:tc>
      </w:tr>
    </w:tbl>
    <w:p>
      <w:pPr>
        <w:spacing w:after="0"/>
      </w:pPr>
    </w:p>
    <w:p>
      <w:pPr>
        <w:pStyle w:val="Heading2"/>
      </w:pPr>
      <w:r>
        <w:t>SATM已有基础与待形成的商品证据</w:t>
      </w:r>
    </w:p>
    <w:p>
      <w:hyperlink r:id="rId50">
        <w:r>
          <w:rPr>
            <w:rFonts w:ascii="Times New Roman" w:hAnsi="Times New Roman" w:eastAsia="宋体"/>
            <w:color w:val="0000FF"/>
            <w:sz w:val="22"/>
            <w:u w:val="single"/>
          </w:rPr>
          <w:t>已发表论文</w:t>
        </w:r>
      </w:hyperlink>
      <w:r>
        <w:t>以反馈控制、贝叶斯优化、轻量网络和数字孪生预优化调整触发参数；实验中综合检测指标较保守手动设置约提升30%。这不是能耗减少30%，也不是市场溢价30%。</w:t>
      </w:r>
    </w:p>
    <w:p>
      <w:r>
        <w:t>下一步应在同一场地、同一带宽下，与固定阈值及现有记录模式比较：关键事件捕捉率、可用波形比例、无效触发、调参人时、平均功耗和端到端延迟。</w:t>
      </w:r>
    </w:p>
    <w:p>
      <w:r>
        <w:rPr>
          <w:b/>
        </w:rPr>
        <w:t>边界：</w:t>
      </w:r>
      <w:r>
        <w:t xml:space="preserve"> 高质量传感器若处于休眠，不能凭软件恢复未采集的事件开端；守候芯片缓存也不等于高质量通道的完整波形。现场漏掉的事件需依赖独立参考记录确认。</w:t>
      </w:r>
    </w:p>
    <w:p>
      <w:bookmarkStart w:id="14" w:name="s14"/>
      <w:pPr>
        <w:pStyle w:val="Heading1"/>
        <w:pageBreakBefore/>
      </w:pPr>
      <w:r>
        <w:t>八、可服务市场：用装机与账户切片检验规模</w:t>
      </w:r>
      <w:bookmarkEnd w:id="14"/>
    </w:p>
    <w:p>
      <w:pPr>
        <w:pStyle w:val="Lead"/>
      </w:pPr>
      <w:r>
        <w:t>以下为已知规模基础上的预算敏感性，不是已确认订单，也不是全行业市场总额。</w:t>
      </w:r>
    </w:p>
    <w:p>
      <w:pPr>
        <w:pStyle w:val="Heading2"/>
      </w:pPr>
      <w:r>
        <w:t>从一个真实客户估算模块机会</w:t>
      </w:r>
    </w:p>
    <w:p>
      <w:r>
        <w:t>以Air Selangor历史披露的</w:t>
      </w:r>
      <w:hyperlink r:id="rId14">
        <w:r>
          <w:rPr>
            <w:rFonts w:ascii="Times New Roman" w:hAnsi="Times New Roman" w:eastAsia="宋体"/>
            <w:color w:val="0000FF"/>
            <w:sz w:val="22"/>
            <w:u w:val="single"/>
          </w:rPr>
          <w:t>1,650个压力突变测点</w:t>
        </w:r>
      </w:hyperlink>
      <w:r>
        <w:t>为规模参照。假设可更新且适配的比例为10%—30%，可对应165—495个模块；此比例只是敏感性范围，尚无客户确认。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64"/>
        <w:gridCol w:w="4365"/>
        <w:gridCol w:w="2609"/>
      </w:tblGrid>
      <w:tr>
        <w:trPr>
          <w:cantSplit/>
          <w:tblHeader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rPr>
                <w:b/>
              </w:rPr>
              <w:t>项目</w:t>
            </w:r>
          </w:p>
        </w:tc>
        <w:tc>
          <w:tcPr>
            <w:tcW w:type="dxa" w:w="4365"/>
            <w:vAlign w:val="center"/>
          </w:tcPr>
          <w:p>
            <w:pPr>
              <w:pStyle w:val="TableText"/>
            </w:pPr>
            <w:r>
              <w:rPr>
                <w:b/>
              </w:rPr>
              <w:t>计算与结果（新元）</w:t>
            </w:r>
          </w:p>
        </w:tc>
        <w:tc>
          <w:tcPr>
            <w:tcW w:type="dxa" w:w="2609"/>
            <w:vAlign w:val="center"/>
          </w:tcPr>
          <w:p>
            <w:pPr>
              <w:pStyle w:val="TableText"/>
            </w:pPr>
            <w:r>
              <w:rPr>
                <w:b/>
              </w:rPr>
              <w:t>性质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一次性模块硬件</w:t>
            </w:r>
          </w:p>
        </w:tc>
        <w:tc>
          <w:tcPr>
            <w:tcW w:type="dxa" w:w="4365"/>
            <w:vAlign w:val="center"/>
          </w:tcPr>
          <w:p>
            <w:pPr>
              <w:pStyle w:val="TableText"/>
            </w:pPr>
            <w:r>
              <w:t>165—495 × 120 = 1.98万—5.94万</w:t>
            </w:r>
          </w:p>
        </w:tc>
        <w:tc>
          <w:tcPr>
            <w:tcW w:type="dxa" w:w="2609"/>
            <w:vAlign w:val="center"/>
          </w:tcPr>
          <w:p>
            <w:pPr>
              <w:pStyle w:val="TableText"/>
            </w:pPr>
            <w:r>
              <w:t>120为拟测试价格，不是供应商报价。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年度软件授权</w:t>
            </w:r>
          </w:p>
        </w:tc>
        <w:tc>
          <w:tcPr>
            <w:tcW w:type="dxa" w:w="4365"/>
            <w:vAlign w:val="center"/>
          </w:tcPr>
          <w:p>
            <w:pPr>
              <w:pStyle w:val="TableText"/>
            </w:pPr>
            <w:r>
              <w:t>165—495 × 24 = 0.396万—1.188万 / 年</w:t>
            </w:r>
          </w:p>
        </w:tc>
        <w:tc>
          <w:tcPr>
            <w:tcW w:type="dxa" w:w="2609"/>
            <w:vAlign w:val="center"/>
          </w:tcPr>
          <w:p>
            <w:pPr>
              <w:pStyle w:val="TableText"/>
            </w:pPr>
            <w:r>
              <w:t>不含安装、现场服务、原厂利润与税。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首年模块及授权合计</w:t>
            </w:r>
          </w:p>
        </w:tc>
        <w:tc>
          <w:tcPr>
            <w:tcW w:type="dxa" w:w="4365"/>
            <w:vAlign w:val="center"/>
          </w:tcPr>
          <w:p>
            <w:pPr>
              <w:pStyle w:val="TableText"/>
            </w:pPr>
            <w:r>
              <w:t>2.376万—7.128万</w:t>
            </w:r>
          </w:p>
        </w:tc>
        <w:tc>
          <w:tcPr>
            <w:tcW w:type="dxa" w:w="2609"/>
            <w:vAlign w:val="center"/>
          </w:tcPr>
          <w:p>
            <w:pPr>
              <w:pStyle w:val="TableText"/>
            </w:pPr>
            <w:r>
              <w:t>未含适配开发费；假设当年全部更新且全年计费。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pStyle w:val="TableText"/>
            </w:pPr>
            <w:r>
              <w:t>一个万人级适配装机组合</w:t>
            </w:r>
          </w:p>
        </w:tc>
        <w:tc>
          <w:tcPr>
            <w:tcW w:type="dxa" w:w="4365"/>
            <w:vAlign w:val="center"/>
          </w:tcPr>
          <w:p>
            <w:pPr>
              <w:pStyle w:val="TableText"/>
            </w:pPr>
            <w:r>
              <w:t>10,000 × 120 = 120万硬件</w:t>
              <w:br/>
              <w:t>10,000 × 24 = 24万 / 年软件</w:t>
            </w:r>
          </w:p>
        </w:tc>
        <w:tc>
          <w:tcPr>
            <w:tcW w:type="dxa" w:w="2609"/>
            <w:vAlign w:val="center"/>
          </w:tcPr>
          <w:p>
            <w:pPr>
              <w:pStyle w:val="TableText"/>
            </w:pPr>
            <w:r>
              <w:t>必须先确认适配与更新计划，不能将总装机直接当销量。</w:t>
            </w:r>
          </w:p>
        </w:tc>
      </w:tr>
    </w:tbl>
    <w:p>
      <w:pPr>
        <w:spacing w:after="0"/>
      </w:pPr>
    </w:p>
    <w:p>
      <w:pPr>
        <w:pStyle w:val="Heading2"/>
      </w:pPr>
      <w:r>
        <w:t>为何仍值得推进，而不能只靠一个试点</w:t>
      </w:r>
    </w:p>
    <w:p>
      <w:hyperlink r:id="rId51">
        <w:r>
          <w:rPr>
            <w:rFonts w:ascii="Times New Roman" w:hAnsi="Times New Roman" w:eastAsia="宋体"/>
            <w:color w:val="0000FF"/>
            <w:sz w:val="22"/>
            <w:u w:val="single"/>
          </w:rPr>
          <w:t>Worldsensing披露连接超过20万个仪器 / 传感器、3,000多个网络</w:t>
        </w:r>
      </w:hyperlink>
      <w:r>
        <w:t>，说明工程监测可跨项目复制；但其中大量慢变量测点未必需要事件模块。</w:t>
      </w:r>
      <w:hyperlink r:id="rId19">
        <w:r>
          <w:rPr>
            <w:rFonts w:ascii="Times New Roman" w:hAnsi="Times New Roman" w:eastAsia="宋体"/>
            <w:color w:val="0000FF"/>
            <w:sz w:val="22"/>
            <w:u w:val="single"/>
          </w:rPr>
          <w:t>铁路边坡规模化部署</w:t>
        </w:r>
      </w:hyperlink>
      <w:r>
        <w:t>也证明事件监测可扩张，不证明市场属于本项目。</w:t>
      </w:r>
    </w:p>
    <w:p>
      <w:r>
        <w:t>基准商业情景的5,000个年出货模块，约相当于上述单一水务客户165—495个可更新测点规模的10—30倍。需要多个设备产品线或客户组合，不能仅靠一家资产方升级。</w:t>
      </w:r>
    </w:p>
    <w:p>
      <w:pPr>
        <w:pStyle w:val="Heading2"/>
      </w:pPr>
      <w:r>
        <w:t>市场份额的使用口径</w:t>
      </w:r>
    </w:p>
    <w:p>
      <w:r>
        <w:t>现阶段不提供全球或三地伪精确份额。应在明确的一组已确认客户内，计算“本项目售出的适配设备 ÷ 同期该组客户采购的适配设备”；未获得分母前，用目标账户数、试点转付费数和年出货量管理销售。</w:t>
      </w:r>
    </w:p>
    <w:p>
      <w:pPr>
        <w:pStyle w:val="SourceNote"/>
      </w:pPr>
      <w:r>
        <w:t>升级比例、价格与出货量均为分析假设；不是从论文性能增益换算。已部署设备不等于待更新设备，替换周期会显著影响年度市场。</w:t>
      </w:r>
    </w:p>
    <w:p>
      <w:pPr>
        <w:pStyle w:val="Heading2"/>
      </w:pPr>
      <w:r>
        <w:t>定价依据：用成本与客户收益约束，而非技术溢价系数</w:t>
      </w:r>
    </w:p>
    <w:p>
      <w:r>
        <w:t>模块120新元是待询价验证的测试价：暂按材料 / 装配 / 测试40新元、渠道 / 支持 / 保修预留20新元估算60新元直接成本，保留60新元毛利覆盖研发与销售；两项成本均不是现成报价。</w:t>
      </w:r>
    </w:p>
    <w:p>
      <w:hyperlink r:id="rId47">
        <w:r>
          <w:rPr>
            <w:rFonts w:ascii="Times New Roman" w:hAnsi="Times New Roman" w:eastAsia="宋体"/>
            <w:color w:val="0000FF"/>
            <w:sz w:val="22"/>
            <w:u w:val="single"/>
          </w:rPr>
          <w:t>ADXL362公开千片起价约3.93美元</w:t>
        </w:r>
      </w:hyperlink>
      <w:r>
        <w:t>说明基础唤醒芯片并不昂贵；客户付费必须来自可验证的系统增益。350新元增量改造价还需覆盖传感接口和现场适配，不能作为所有传感器通用改造承诺。</w:t>
      </w:r>
    </w:p>
    <w:p>
      <w:bookmarkStart w:id="15" w:name="s15"/>
      <w:pPr>
        <w:pStyle w:val="Heading1"/>
        <w:pageBreakBefore/>
      </w:pPr>
      <w:r>
        <w:t>九、客户价值：用工作量与维护成本计算回本</w:t>
      </w:r>
      <w:bookmarkEnd w:id="15"/>
    </w:p>
    <w:p>
      <w:pPr>
        <w:pStyle w:val="Lead"/>
      </w:pPr>
      <w:r>
        <w:t>基准案例约16个月回本；低负担场地可能没有经济价值，必须先筛选。</w:t>
      </w:r>
    </w:p>
    <w:p>
      <w:r>
        <w:t xml:space="preserve">示例为20点增量升级，而非新建完整监测系统：硬件改造20 × 350 + 适配2,000 = </w:t>
      </w:r>
      <w:r>
        <w:rPr>
          <w:b/>
        </w:rPr>
        <w:t>9,000新元</w:t>
      </w:r>
      <w:r>
        <w:t>，年度软件费1,200新元。以下全部是待访谈验证的经营假设，不是实测节省。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5"/>
        <w:gridCol w:w="1700"/>
        <w:gridCol w:w="1700"/>
        <w:gridCol w:w="1703"/>
      </w:tblGrid>
      <w:tr>
        <w:trPr>
          <w:cantSplit/>
          <w:tblHeader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b/>
              </w:rPr>
              <w:t>每年指标 / 计算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低负担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基准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高访问成本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无效复核事件数：原 → 新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80 → 60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300 → 150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500 → 200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复核节省：减少次数 × 0.2小时 × 70新元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280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2,100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4,200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可避免专程到场：次数 × 单次成本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1 × 600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4 × 1,200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6 × 2,500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远程调参节省：小时 × 70新元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4 × 70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15 × 70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30 × 70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年度总收益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1,160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7,950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21,300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减软件费后的年度净收益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−40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6,750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20,100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pStyle w:val="TableText"/>
            </w:pPr>
            <w:r>
              <w:t>9,000 ÷ 净收益：简单回本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不回本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1.33年</w:t>
            </w:r>
          </w:p>
        </w:tc>
        <w:tc>
          <w:tcPr>
            <w:tcW w:type="dxa" w:w="1703"/>
            <w:vAlign w:val="center"/>
          </w:tcPr>
          <w:p>
            <w:pPr>
              <w:pStyle w:val="TableText"/>
              <w:jc w:val="center"/>
            </w:pPr>
            <w:r>
              <w:t>0.45年</w:t>
            </w:r>
          </w:p>
        </w:tc>
      </w:tr>
    </w:tbl>
    <w:p>
      <w:pPr>
        <w:spacing w:after="0"/>
      </w:pPr>
    </w:p>
    <w:p>
      <w:r>
        <w:t>需求依据：</w:t>
      </w:r>
      <w:hyperlink r:id="rId11">
        <w:r>
          <w:rPr>
            <w:rFonts w:ascii="Times New Roman" w:hAnsi="Times New Roman" w:eastAsia="宋体"/>
            <w:color w:val="0000FF"/>
            <w:sz w:val="22"/>
            <w:u w:val="single"/>
          </w:rPr>
          <w:t>振动事件调查</w:t>
        </w:r>
      </w:hyperlink>
      <w:r>
        <w:t>、</w:t>
      </w:r>
      <w:hyperlink r:id="rId35">
        <w:r>
          <w:rPr>
            <w:rFonts w:ascii="Times New Roman" w:hAnsi="Times New Roman" w:eastAsia="宋体"/>
            <w:color w:val="0000FF"/>
            <w:sz w:val="22"/>
            <w:u w:val="single"/>
          </w:rPr>
          <w:t>难进入场地的维护</w:t>
        </w:r>
      </w:hyperlink>
      <w:r>
        <w:t>和</w:t>
      </w:r>
      <w:hyperlink r:id="rId46">
        <w:r>
          <w:rPr>
            <w:rFonts w:ascii="Times New Roman" w:hAnsi="Times New Roman" w:eastAsia="宋体"/>
            <w:color w:val="0000FF"/>
            <w:sz w:val="22"/>
            <w:u w:val="single"/>
          </w:rPr>
          <w:t>事件窗口减少分析负担</w:t>
        </w:r>
      </w:hyperlink>
      <w:r>
        <w:t>均有产品 / 客户资料支持；具体次数、工时、费用及改善幅度未被这些来源证实。</w:t>
      </w:r>
    </w:p>
    <w:p>
      <w:pPr>
        <w:pStyle w:val="Heading2"/>
      </w:pPr>
      <w:r>
        <w:t>算清成本，才知道客户是否愿意买</w:t>
      </w:r>
    </w:p>
    <w:p>
      <w:r>
        <w:t>年度净收益 = 少做的远程复核 + 少做的专程到场 + 少做的参数配置 − 新增年度费用。三项人员成本须互不重复；只计实际取消的行程，不计本来就要做的法定或例行检查。</w:t>
      </w:r>
    </w:p>
    <w:p>
      <w:r>
        <w:t>基准情景要在两年内回本，每年净收益需至少4,500新元；在复核与调参节省合计3,150新元不变时，还需每年减少约2.13次、每次1,200新元的专程到场。</w:t>
      </w:r>
    </w:p>
    <w:p>
      <w:r>
        <w:rPr>
          <w:b/>
        </w:rPr>
        <w:t>事件捕捉价值：</w:t>
      </w:r>
      <w:r>
        <w:t xml:space="preserve"> 可另计“更早确认事件后减少的停机或调查损失”，但只有客户给出频率、损失及方案贡献后才纳入；本表未把避免灾难、赔偿或全部检漏成果当作SATM收益。</w:t>
      </w:r>
    </w:p>
    <w:p>
      <w:bookmarkStart w:id="16" w:name="s16"/>
      <w:pPr>
        <w:pStyle w:val="Heading1"/>
        <w:pageBreakBefore/>
      </w:pPr>
      <w:r>
        <w:t>十、收入与利润：两条销售路线的量级测算</w:t>
      </w:r>
      <w:bookmarkEnd w:id="16"/>
    </w:p>
    <w:p>
      <w:pPr>
        <w:pStyle w:val="Lead"/>
      </w:pPr>
      <w:r>
        <w:t>第3年基准情景营业收入145.6万新元；经营盈余约15.2万新元，对量产订单高度敏感。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422"/>
        <w:gridCol w:w="1740"/>
        <w:gridCol w:w="1734"/>
        <w:gridCol w:w="1742"/>
      </w:tblGrid>
      <w:tr>
        <w:trPr>
          <w:cantSplit/>
          <w:tblHeader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rPr>
                <w:b/>
              </w:rPr>
              <w:t>第3年情景（新元）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低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基准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高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新套件项目 / 在服务项目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10 / 15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30 / 50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60 / 100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年模块出货 / 授权在用模块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1,000 / 1,500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5,000 / 6,500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12,000 / 17,000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新增厂商适配项目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营业收入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394,000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1,456,000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3,248,000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直接成本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195,500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704,000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1,544,000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毛利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198,500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752,000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1,704,000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年度经营费用假设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450,000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600,000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1,200,000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pStyle w:val="TableText"/>
            </w:pPr>
            <w:r>
              <w:t>经营盈余 / 亏损（税前，未计融资）</w:t>
            </w:r>
          </w:p>
        </w:tc>
        <w:tc>
          <w:tcPr>
            <w:tcW w:type="dxa" w:w="1740"/>
            <w:vAlign w:val="center"/>
          </w:tcPr>
          <w:p>
            <w:pPr>
              <w:pStyle w:val="TableText"/>
              <w:jc w:val="center"/>
            </w:pPr>
            <w:r>
              <w:t>−251,500</w:t>
            </w:r>
          </w:p>
        </w:tc>
        <w:tc>
          <w:tcPr>
            <w:tcW w:type="dxa" w:w="1734"/>
            <w:vAlign w:val="center"/>
          </w:tcPr>
          <w:p>
            <w:pPr>
              <w:pStyle w:val="TableText"/>
              <w:jc w:val="center"/>
            </w:pPr>
            <w:r>
              <w:t>152,000</w:t>
            </w:r>
          </w:p>
        </w:tc>
        <w:tc>
          <w:tcPr>
            <w:tcW w:type="dxa" w:w="1742"/>
            <w:vAlign w:val="center"/>
          </w:tcPr>
          <w:p>
            <w:pPr>
              <w:pStyle w:val="TableText"/>
              <w:jc w:val="center"/>
            </w:pPr>
            <w:r>
              <w:t>504,000</w:t>
            </w:r>
          </w:p>
        </w:tc>
      </w:tr>
    </w:tbl>
    <w:p>
      <w:pPr>
        <w:spacing w:after="0"/>
      </w:pPr>
    </w:p>
    <w:p>
      <w:r>
        <w:t>统一单价与成本假设：20点完整套件20,000 / 11,300；每项目年软件1,200 / 300；模块120 / 60；模块年授权24 / 4；每次厂商适配20,000 / 12,000。斜线前为售价、后为直接成本。</w:t>
      </w:r>
    </w:p>
    <w:p>
      <w:r>
        <w:t>直接成本包含节点材料装配测试、项目安装集成、渠道服务预留、软件托管及常规支持；经营费用另含研发人员、销售、认证与行政。均需报价复核，未计税、融资、坏账与额外赔偿。</w:t>
      </w:r>
    </w:p>
    <w:p>
      <w:r>
        <w:t xml:space="preserve">基准收入 = 30×20,000 + 50×1,200 + 5,000×120 + 6,500×24 + 2×20,000 = </w:t>
      </w:r>
      <w:r>
        <w:rPr>
          <w:b/>
        </w:rPr>
        <w:t>1,456,000新元</w:t>
      </w:r>
      <w:r>
        <w:t>。整套交付不再重复记内部使用的模块收入。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120000" cy="14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7" w:name="s17"/>
      <w:pPr>
        <w:pStyle w:val="Heading1"/>
        <w:pageBreakBefore/>
      </w:pPr>
      <w:r>
        <w:t>十一、GAP路线：围绕一个首发产品积累商业证据</w:t>
      </w:r>
      <w:bookmarkEnd w:id="17"/>
    </w:p>
    <w:p>
      <w:pPr>
        <w:pStyle w:val="Lead"/>
      </w:pPr>
      <w:r>
        <w:t>建议以新加坡施工及邻近建筑异常振动记录为首发，模块化是扩张路径；水务先做需求与适配评估。</w:t>
      </w:r>
    </w:p>
    <w:p>
      <w:pPr>
        <w:pStyle w:val="Heading2"/>
      </w:pPr>
      <w:r>
        <w:t>近期工作：并行访谈，集中验证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54"/>
        <w:gridCol w:w="4308"/>
        <w:gridCol w:w="3176"/>
      </w:tblGrid>
      <w:tr>
        <w:trPr>
          <w:cantSplit/>
          <w:tblHeader/>
        </w:trPr>
        <w:tc>
          <w:tcPr>
            <w:tcW w:type="dxa" w:w="2154"/>
            <w:vAlign w:val="center"/>
          </w:tcPr>
          <w:p>
            <w:pPr>
              <w:pStyle w:val="TableText"/>
            </w:pPr>
            <w:r>
              <w:rPr>
                <w:b/>
              </w:rPr>
              <w:t>工作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rPr>
                <w:b/>
              </w:rPr>
              <w:t>对象与重点</w:t>
            </w:r>
          </w:p>
        </w:tc>
        <w:tc>
          <w:tcPr>
            <w:tcW w:type="dxa" w:w="3176"/>
            <w:vAlign w:val="center"/>
          </w:tcPr>
          <w:p>
            <w:pPr>
              <w:pStyle w:val="TableText"/>
            </w:pPr>
            <w:r>
              <w:rPr>
                <w:b/>
              </w:rPr>
              <w:t>形成的判断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</w:pPr>
            <w:r>
              <w:t>第一轮客户访谈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t>Geomotion、Ryobi-G、Ackcio；补充Tritech / Soil Investigation</w:t>
            </w:r>
          </w:p>
        </w:tc>
        <w:tc>
          <w:tcPr>
            <w:tcW w:type="dxa" w:w="3176"/>
            <w:vAlign w:val="center"/>
          </w:tcPr>
          <w:p>
            <w:pPr>
              <w:pStyle w:val="TableText"/>
            </w:pPr>
            <w:r>
              <w:t>明确一个会购买的岗位、一类反复出现的事件和一种可接受报价。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</w:pPr>
            <w:r>
              <w:t>跨行业需求核实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t>Air Selangor / RD-Palmer、PUB、南通采购链</w:t>
            </w:r>
          </w:p>
        </w:tc>
        <w:tc>
          <w:tcPr>
            <w:tcW w:type="dxa" w:w="3176"/>
            <w:vAlign w:val="center"/>
          </w:tcPr>
          <w:p>
            <w:pPr>
              <w:pStyle w:val="TableText"/>
            </w:pPr>
            <w:r>
              <w:t>比较痛点与采购清晰度；不提前承诺所有领域可直接部署。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</w:pPr>
            <w:r>
              <w:t>并行记录验证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t>与一个愿意提供场地 / 历史数据的伙伴协商</w:t>
            </w:r>
          </w:p>
        </w:tc>
        <w:tc>
          <w:tcPr>
            <w:tcW w:type="dxa" w:w="3176"/>
            <w:vAlign w:val="center"/>
          </w:tcPr>
          <w:p>
            <w:pPr>
              <w:pStyle w:val="TableText"/>
            </w:pPr>
            <w:r>
              <w:t>在不影响既有监测的前提下比较事件记录质量与工程师工作量。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</w:pPr>
            <w:r>
              <w:t>制造商适配评估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t>Ackcio优先；基康或其他合适设备厂作为备选</w:t>
            </w:r>
          </w:p>
        </w:tc>
        <w:tc>
          <w:tcPr>
            <w:tcW w:type="dxa" w:w="3176"/>
            <w:vAlign w:val="center"/>
          </w:tcPr>
          <w:p>
            <w:pPr>
              <w:pStyle w:val="TableText"/>
            </w:pPr>
            <w:r>
              <w:t>确认接口、量产产品、开发责任与是否有重复出货可能。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</w:pPr>
            <w:r>
              <w:t>商业转化</w:t>
            </w:r>
          </w:p>
        </w:tc>
        <w:tc>
          <w:tcPr>
            <w:tcW w:type="dxa" w:w="4308"/>
            <w:vAlign w:val="center"/>
          </w:tcPr>
          <w:p>
            <w:pPr>
              <w:pStyle w:val="TableText"/>
            </w:pPr>
            <w:r>
              <w:t>小额付费试用、报价、后续采购意向</w:t>
            </w:r>
          </w:p>
        </w:tc>
        <w:tc>
          <w:tcPr>
            <w:tcW w:type="dxa" w:w="3176"/>
            <w:vAlign w:val="center"/>
          </w:tcPr>
          <w:p>
            <w:pPr>
              <w:pStyle w:val="TableText"/>
            </w:pPr>
            <w:r>
              <w:t>用真实交易及复购条件替代泛泛的支持信。</w:t>
            </w:r>
          </w:p>
        </w:tc>
      </w:tr>
    </w:tbl>
    <w:p>
      <w:pPr>
        <w:spacing w:after="0"/>
      </w:pPr>
    </w:p>
    <w:p>
      <w:pPr>
        <w:pStyle w:val="Heading2"/>
      </w:pPr>
      <w:r>
        <w:t>验证内容与推进节奏</w:t>
      </w:r>
    </w:p>
    <w:p>
      <w:r>
        <w:t>由合作方共同确定目标事件、参考记录方法和可接受的评估指标；先获得可解释、可复核的改善证据，再协商现场推广范围。前期不承诺跨行业通用性能、事故预测或自动安全处置。</w:t>
      </w:r>
    </w:p>
    <w:p>
      <w:r>
        <w:rPr>
          <w:b/>
        </w:rPr>
        <w:t>为什么先从施工振动开始：</w:t>
      </w:r>
      <w:r>
        <w:t xml:space="preserve"> 已有研究更接近结构瞬态响应，本地监测伙伴可提供服务场景，且投诉与调查需求有公开依据；压力突变虽然采购证据强，但传感前端和事件机理需要新增验证。</w:t>
      </w:r>
    </w:p>
    <w:p>
      <w:pPr>
        <w:pStyle w:val="Heading2"/>
      </w:pPr>
      <w:r>
        <w:t>销售计划的量级检查</w:t>
      </w:r>
    </w:p>
    <w:p>
      <w:r>
        <w:t>一条基准路径为：第1年5个新套件项目、100个模块出货；第2年15个新项目、1,400个模块；第3年30个新项目、5,000个模块。对应年收入约14.04万、54.8万、145.6万新元。</w:t>
      </w:r>
    </w:p>
    <w:p>
      <w:r>
        <w:t>上述路径假设项目与授权客户不流失、按全年计费，制造商合作累计从1家增至4家；如上线时间较晚、需折扣或适配延期，收入应下调。真正的推进依据是客户验证结果，而不是按日历硬性扩张。</w:t>
      </w:r>
    </w:p>
    <w:p>
      <w:bookmarkStart w:id="18" w:name="s18"/>
      <w:pPr>
        <w:pStyle w:val="Heading1"/>
        <w:pageBreakBefore/>
      </w:pPr>
      <w:r>
        <w:t>十二、汇报问答：一句话回答关键问题</w:t>
      </w:r>
      <w:bookmarkEnd w:id="18"/>
    </w:p>
    <w:p>
      <w:pPr>
        <w:pStyle w:val="Lead"/>
      </w:pPr>
      <w:r>
        <w:t>核心商业问题与简要回答；测算不构成订单或性能承诺。</w:t>
      </w:r>
    </w:p>
    <w:p>
      <w:pPr>
        <w:pStyle w:val="Heading3"/>
      </w:pPr>
      <w:r>
        <w:t>我们到底卖什么？</w:t>
      </w:r>
    </w:p>
    <w:p>
      <w:r>
        <w:t>卖低功耗突发 / 异常事件记录套件，并向设备厂提供可嵌入的硬件模块与软件模块。</w:t>
      </w:r>
    </w:p>
    <w:p>
      <w:pPr>
        <w:pStyle w:val="Heading3"/>
      </w:pPr>
      <w:r>
        <w:t>首先解决谁的什么问题？</w:t>
      </w:r>
    </w:p>
    <w:p>
      <w:r>
        <w:t>先服务施工及邻近建筑监测团队，解决关键振动事件缺少可用记录、复核与调参耗时的问题。</w:t>
      </w:r>
    </w:p>
    <w:p>
      <w:pPr>
        <w:pStyle w:val="Heading3"/>
      </w:pPr>
      <w:r>
        <w:t>为什么客户可能愿意付钱？</w:t>
      </w:r>
    </w:p>
    <w:p>
      <w:r>
        <w:t>因为已有调查、投诉处理和现场维护支出，只有新增方案能减少这些实际支出或改善关键记录才值得购买。</w:t>
      </w:r>
    </w:p>
    <w:p>
      <w:pPr>
        <w:pStyle w:val="Heading3"/>
      </w:pPr>
      <w:r>
        <w:t>第一批找谁？</w:t>
      </w:r>
    </w:p>
    <w:p>
      <w:r>
        <w:t>新加坡先找Geomotion、Ryobi-G和Ackcio，再以Air Selangor / RD-Palmer及南通采购链验证区域扩展。</w:t>
      </w:r>
    </w:p>
    <w:p>
      <w:pPr>
        <w:pStyle w:val="Heading3"/>
      </w:pPr>
      <w:r>
        <w:t>传感器公司是客户还是竞争者？</w:t>
      </w:r>
    </w:p>
    <w:p>
      <w:r>
        <w:t>卖整套监测产品时是竞品，卖嵌入模块时可能是客户，是否合作取决于其自研成本和产品需求。</w:t>
      </w:r>
    </w:p>
    <w:p>
      <w:pPr>
        <w:pStyle w:val="Heading3"/>
      </w:pPr>
      <w:r>
        <w:t>与现有记录仪的区别在哪里？</w:t>
      </w:r>
    </w:p>
    <w:p>
      <w:r>
        <w:t>拟通过反馈优化减少工况变化下的人工调参与无效触发，必须在同等捕捉要求下证明增益。</w:t>
      </w:r>
    </w:p>
    <w:p>
      <w:pPr>
        <w:pStyle w:val="Heading3"/>
      </w:pPr>
      <w:r>
        <w:t>市场到底有多大？</w:t>
      </w:r>
    </w:p>
    <w:p>
      <w:r>
        <w:t>产业背景达到十亿美元量级，但本产品市场尚无独立统计，需按可适配装机、更新节奏和客户报价逐步收窄。</w:t>
      </w:r>
    </w:p>
    <w:p>
      <w:pPr>
        <w:pStyle w:val="Heading3"/>
      </w:pPr>
      <w:r>
        <w:t>商业化能赚多少钱？</w:t>
      </w:r>
    </w:p>
    <w:p>
      <w:r>
        <w:t>第3年基准收入约145.6万新元、经营盈余约15.2万，前提是30个新套件项目和5,000个模块年出货等假设成立。</w:t>
      </w:r>
    </w:p>
    <w:p>
      <w:pPr>
        <w:pStyle w:val="Heading3"/>
      </w:pPr>
      <w:r>
        <w:t>客户多久回本？</w:t>
      </w:r>
    </w:p>
    <w:p>
      <w:r>
        <w:t>20点增量升级示例基准约16个月，低负担场地不回本，因此应优先筛选复核和访问成本较高的客户。</w:t>
      </w:r>
    </w:p>
    <w:p>
      <w:pPr>
        <w:pStyle w:val="Heading3"/>
      </w:pPr>
      <w:r>
        <w:t>能否承诺不会漏记或提前预测灾害？</w:t>
      </w:r>
    </w:p>
    <w:p>
      <w:r>
        <w:t>不能，当前定位是事件记录与复核支持，完整捕捉、检测表现和延迟需要在约定场景内验证。</w:t>
      </w:r>
    </w:p>
    <w:p>
      <w:pPr>
        <w:pStyle w:val="Heading3"/>
      </w:pPr>
      <w:r>
        <w:t>GAP最值得支持的是什么？</w:t>
      </w:r>
    </w:p>
    <w:p>
      <w:r>
        <w:t>把已有算法变成可部署、可接入现有平台、能得到付费验证的首发产品，并形成制造商重复采购路径。</w:t>
      </w:r>
    </w:p>
    <w:p>
      <w:pPr>
        <w:pStyle w:val="SourceNote"/>
      </w:pPr>
      <w:r>
        <w:t>资料说明：优先采用采购方公告、厂商技术资料及原始论文；链接嵌于对应事实。历史资料按原年份标注，厂商案例不等于独立效果评估；部分站点可能要求浏览器验证。未访问客户、未索取非公开报价，付费意愿与预测数值均未获客户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2026年8月31日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NTU GAP FUND  |  市场与商业化调研  |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00"/>
      <w:sz w:val="22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00"/>
      <w:sz w:val="18"/>
      <w:u w:val="none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00"/>
      <w:sz w:val="18"/>
      <w:u w:val="none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60" w:line="264" w:lineRule="auto"/>
      <w:ind w:left="0" w:right="0" w:firstLine="0"/>
      <w:outlineLvl w:val="0"/>
      <w:kinsoku w:val="1"/>
      <w:overflowPunct w:val="1"/>
    </w:pPr>
    <w:rPr>
      <w:rFonts w:ascii="Times New Roman" w:hAnsi="Times New Roman" w:eastAsia="宋体" w:cs="Times New Roman"/>
      <w:b/>
      <w:bCs/>
      <w:i w:val="0"/>
      <w:color w:val="000000"/>
      <w:sz w:val="32"/>
      <w:szCs w:val="28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64" w:lineRule="auto"/>
      <w:ind w:left="0" w:right="0" w:firstLine="0"/>
      <w:outlineLvl w:val="1"/>
      <w:kinsoku w:val="1"/>
      <w:overflowPunct w:val="1"/>
    </w:pPr>
    <w:rPr>
      <w:rFonts w:ascii="Times New Roman" w:hAnsi="Times New Roman" w:eastAsia="宋体" w:cs="Times New Roman"/>
      <w:b/>
      <w:bCs/>
      <w:i w:val="0"/>
      <w:color w:val="000000"/>
      <w:sz w:val="24"/>
      <w:szCs w:val="26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ind w:left="0" w:right="0" w:firstLine="0"/>
      <w:outlineLvl w:val="2"/>
      <w:kinsoku w:val="1"/>
      <w:overflowPunct w:val="1"/>
    </w:pPr>
    <w:rPr>
      <w:rFonts w:ascii="Times New Roman" w:hAnsi="Times New Roman" w:eastAsia="宋体" w:cs="Times New Roman"/>
      <w:b/>
      <w:bCs/>
      <w:i w:val="0"/>
      <w:color w:val="000000"/>
      <w:sz w:val="22"/>
      <w:u w:val="none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64" w:lineRule="auto" w:before="0"/>
      <w:ind w:left="0" w:right="0" w:firstLine="0"/>
      <w:kinsoku w:val="1"/>
      <w:overflowPunct w:val="1"/>
    </w:pPr>
    <w:rPr>
      <w:rFonts w:ascii="Times New Roman" w:hAnsi="Times New Roman" w:eastAsia="宋体" w:cs="Times New Roman"/>
      <w:b/>
      <w:i w:val="0"/>
      <w:color w:val="000000"/>
      <w:spacing w:val="5"/>
      <w:kern w:val="28"/>
      <w:sz w:val="40"/>
      <w:szCs w:val="52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iCs/>
      <w:color w:val="000000"/>
      <w:spacing w:val="15"/>
      <w:sz w:val="22"/>
      <w:szCs w:val="24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80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bCs/>
      <w:i w:val="0"/>
      <w:color w:val="000000"/>
      <w:sz w:val="22"/>
      <w:szCs w:val="18"/>
      <w:u w:val="none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00"/>
      <w:sz w:val="22"/>
      <w:u w:val="none"/>
      <w:lang w:val="en-US" w:eastAsia="zh-CN"/>
    </w:rPr>
  </w:style>
  <w:style w:type="paragraph" w:customStyle="1" w:styleId="Meta">
    <w:name w:val="Meta"/>
    <w:pPr>
      <w:widowControl/>
      <w:spacing w:before="0" w:after="8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00"/>
      <w:sz w:val="18"/>
      <w:u w:val="none"/>
      <w:lang w:val="en-US" w:eastAsia="zh-CN"/>
    </w:rPr>
  </w:style>
  <w:style w:type="paragraph" w:customStyle="1" w:styleId="Lead">
    <w:name w:val="Lead"/>
    <w:pPr>
      <w:widowControl/>
      <w:spacing w:before="0" w:after="16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/>
      <w:i w:val="0"/>
      <w:color w:val="000000"/>
      <w:sz w:val="22"/>
      <w:u w:val="none"/>
      <w:lang w:val="en-US" w:eastAsia="zh-CN"/>
    </w:rPr>
  </w:style>
  <w:style w:type="paragraph" w:customStyle="1" w:styleId="SourceNote">
    <w:name w:val="Source Note"/>
    <w:pPr>
      <w:widowControl/>
      <w:spacing w:before="80" w:after="8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00"/>
      <w:sz w:val="22"/>
      <w:u w:val="none"/>
      <w:lang w:val="en-US" w:eastAsia="zh-CN"/>
    </w:rPr>
  </w:style>
  <w:style w:type="paragraph" w:customStyle="1" w:styleId="Hyperlink">
    <w:name w:val="Hyperlink"/>
    <w:pPr>
      <w:widowControl/>
      <w:spacing w:before="0" w:after="0" w:line="264" w:lineRule="auto"/>
      <w:ind w:left="0" w:right="0" w:firstLine="0"/>
      <w:kinsoku w:val="1"/>
      <w:overflowPunct w:val="1"/>
    </w:pPr>
    <w:rPr>
      <w:rFonts w:ascii="Times New Roman" w:hAnsi="Times New Roman" w:eastAsia="宋体" w:cs="Times New Roman"/>
      <w:b w:val="0"/>
      <w:i w:val="0"/>
      <w:color w:val="0000FF"/>
      <w:sz w:val="22"/>
      <w:u w:val="none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yobi-g.com/wp-content/uploads/2022/01/Ryobi-G-Corporate-Brochure.pdf" TargetMode="External"/><Relationship Id="rId12" Type="http://schemas.openxmlformats.org/officeDocument/2006/relationships/hyperlink" Target="https://www.grandviewresearch.com/industry-analysis/structural-health-monitoring-shm-market" TargetMode="External"/><Relationship Id="rId13" Type="http://schemas.openxmlformats.org/officeDocument/2006/relationships/hyperlink" Target="https://www.grandviewresearch.com/horizon/statistics/structural-health-monitoring-market/technology/wireless-shm/global" TargetMode="External"/><Relationship Id="rId14" Type="http://schemas.openxmlformats.org/officeDocument/2006/relationships/hyperlink" Target="https://hydrohub.airselangor.com/content/uploads/2022/12/Air-Selangor-Sustainability-Report-2020-1.pdf" TargetMode="External"/><Relationship Id="rId15" Type="http://schemas.openxmlformats.org/officeDocument/2006/relationships/hyperlink" Target="https://tender.airselangor.com/tender_docs/view/450" TargetMode="External"/><Relationship Id="rId16" Type="http://schemas.openxmlformats.org/officeDocument/2006/relationships/hyperlink" Target="https://jtw.beijing.gov.cn/xxgk/ztbxx/202604/t20260408_4576479.html" TargetMode="External"/><Relationship Id="rId17" Type="http://schemas.openxmlformats.org/officeDocument/2006/relationships/hyperlink" Target="http://jsggzy.jszwfw.gov.cn/jyxx/003002/003002001/20250915/afe46fb987ff43f286d1e0a3b58b7522.html" TargetMode="External"/><Relationship Id="rId18" Type="http://schemas.openxmlformats.org/officeDocument/2006/relationships/hyperlink" Target="https://www.xylem.com/siteassets/brand/decision-intelligence/resources/case-study/casestudy_leak-localization_air-selangor_2-15-23_en_us.pdf" TargetMode="External"/><Relationship Id="rId19" Type="http://schemas.openxmlformats.org/officeDocument/2006/relationships/hyperlink" Target="https://www.senceive.com/products/infraguard" TargetMode="External"/><Relationship Id="rId20" Type="http://schemas.openxmlformats.org/officeDocument/2006/relationships/hyperlink" Target="https://www.emerson.com/en/automation-systems/asset-performance-management/machinery-health-management/ams-wireless-vibration-monitor" TargetMode="External"/><Relationship Id="rId21" Type="http://schemas.openxmlformats.org/officeDocument/2006/relationships/hyperlink" Target="https://spotsee.io/products/impact/shockwatch-2/" TargetMode="External"/><Relationship Id="rId22" Type="http://schemas.openxmlformats.org/officeDocument/2006/relationships/hyperlink" Target="https://www.st.com/en/mems-and-sensors/lsm6dsv16x.html" TargetMode="External"/><Relationship Id="rId23" Type="http://schemas.openxmlformats.org/officeDocument/2006/relationships/hyperlink" Target="https://www.grandviewresearch.com/industry-analysis/vibration-monitoring-market-report" TargetMode="External"/><Relationship Id="rId24" Type="http://schemas.openxmlformats.org/officeDocument/2006/relationships/hyperlink" Target="https://www.bca.gov.sg/eBACS/BCA_DIRECTORY/Company/CompanyDetails?uenNo=200104293D" TargetMode="External"/><Relationship Id="rId25" Type="http://schemas.openxmlformats.org/officeDocument/2006/relationships/hyperlink" Target="https://geomotion.website/instrument/vibration/profound__vib.04120_vibra__leaflet_uk_1.pdf" TargetMode="External"/><Relationship Id="rId26" Type="http://schemas.openxmlformats.org/officeDocument/2006/relationships/hyperlink" Target="https://www.lta.gov.sg/content/ltagov/en/industry_innovations/industry_matters/tender.html?pgno=45&amp;scr=yes" TargetMode="External"/><Relationship Id="rId27" Type="http://schemas.openxmlformats.org/officeDocument/2006/relationships/hyperlink" Target="https://www.ackcio.com/products/nodes/vibrating/" TargetMode="External"/><Relationship Id="rId28" Type="http://schemas.openxmlformats.org/officeDocument/2006/relationships/hyperlink" Target="https://www.ackcio.com/case-studies/ogan-bridge-indonesia/" TargetMode="External"/><Relationship Id="rId29" Type="http://schemas.openxmlformats.org/officeDocument/2006/relationships/hyperlink" Target="https://links.sgx.com/1.0.0/corporate-announcements/GV0YUY06ERM95FIY/570116_Tritech%20Group%20Limited%20Annual%20Report%202019.pdf" TargetMode="External"/><Relationship Id="rId30" Type="http://schemas.openxmlformats.org/officeDocument/2006/relationships/hyperlink" Target="https://www.pub.gov.sg/-/media/Images/Feature/Content-Pages/Resources/R-and-D/Apr2013.pdf" TargetMode="External"/><Relationship Id="rId31" Type="http://schemas.openxmlformats.org/officeDocument/2006/relationships/hyperlink" Target="https://www.ackcio.com/case-studies/remote-real-time-monitoring-of-a-high-security-site-in-singapore/" TargetMode="External"/><Relationship Id="rId32" Type="http://schemas.openxmlformats.org/officeDocument/2006/relationships/hyperlink" Target="https://links.sgx.com/FileOpen/4Q2026%20Tritech%20Full%20Year%20Results%20Announcement.ashx?App=Announcement&amp;FileID=890821" TargetMode="External"/><Relationship Id="rId33" Type="http://schemas.openxmlformats.org/officeDocument/2006/relationships/hyperlink" Target="https://www.ackcio.com/" TargetMode="External"/><Relationship Id="rId34" Type="http://schemas.openxmlformats.org/officeDocument/2006/relationships/hyperlink" Target="https://rd-palmer.my/product/pressure-transient" TargetMode="External"/><Relationship Id="rId35" Type="http://schemas.openxmlformats.org/officeDocument/2006/relationships/hyperlink" Target="https://www.worldsensing.com/wp-content/uploads/2024/08/SS-Using-wireless-IoT-monitoring-improve-gold-mine-work-safety.pdf" TargetMode="External"/><Relationship Id="rId36" Type="http://schemas.openxmlformats.org/officeDocument/2006/relationships/hyperlink" Target="https://agincourtresources.com/2026/05/08/safeguarding-the-environment-through-continuous-monitoring/" TargetMode="External"/><Relationship Id="rId37" Type="http://schemas.openxmlformats.org/officeDocument/2006/relationships/hyperlink" Target="https://reports.manilawater.com/2024/creating-shared-values/our-sustainability-approach/helping-communities-thrive/" TargetMode="External"/><Relationship Id="rId38" Type="http://schemas.openxmlformats.org/officeDocument/2006/relationships/hyperlink" Target="https://www.manilawater.com/contact-us" TargetMode="External"/><Relationship Id="rId39" Type="http://schemas.openxmlformats.org/officeDocument/2006/relationships/hyperlink" Target="https://www.geokang.com/col15/2620" TargetMode="External"/><Relationship Id="rId40" Type="http://schemas.openxmlformats.org/officeDocument/2006/relationships/hyperlink" Target="https://static.cninfo.com.cn/finalpage/2022-03-29/1212707774.PDF" TargetMode="External"/><Relationship Id="rId41" Type="http://schemas.openxmlformats.org/officeDocument/2006/relationships/hyperlink" Target="https://static.cninfo.com.cn/finalpage/2026-06-04/1225351623.PDF" TargetMode="External"/><Relationship Id="rId42" Type="http://schemas.openxmlformats.org/officeDocument/2006/relationships/hyperlink" Target="https://www.instantel.com/micromate-faqs" TargetMode="External"/><Relationship Id="rId43" Type="http://schemas.openxmlformats.org/officeDocument/2006/relationships/hyperlink" Target="https://www.instantel.com/media/6921/download" TargetMode="External"/><Relationship Id="rId44" Type="http://schemas.openxmlformats.org/officeDocument/2006/relationships/hyperlink" Target="https://www.movesolutions.it/sensors/deck002-x" TargetMode="External"/><Relationship Id="rId45" Type="http://schemas.openxmlformats.org/officeDocument/2006/relationships/hyperlink" Target="https://www.movesolutions.it/sensors/axe-std-lr-2-5-0" TargetMode="External"/><Relationship Id="rId46" Type="http://schemas.openxmlformats.org/officeDocument/2006/relationships/hyperlink" Target="https://www.hwmglobal.com/products/pressure-transient/" TargetMode="External"/><Relationship Id="rId47" Type="http://schemas.openxmlformats.org/officeDocument/2006/relationships/hyperlink" Target="https://www.analog.com/en/products/adxl362.html" TargetMode="External"/><Relationship Id="rId48" Type="http://schemas.openxmlformats.org/officeDocument/2006/relationships/hyperlink" Target="https://www.analog.com/media/en/technical-documentation/data-sheets/adxl362.pdf" TargetMode="External"/><Relationship Id="rId49" Type="http://schemas.openxmlformats.org/officeDocument/2006/relationships/hyperlink" Target="https://arxiv.org/abs/1810.09409" TargetMode="External"/><Relationship Id="rId50" Type="http://schemas.openxmlformats.org/officeDocument/2006/relationships/hyperlink" Target="https://www.sciencedirect.com/science/article/pii/S0888327025012385" TargetMode="External"/><Relationship Id="rId51" Type="http://schemas.openxmlformats.org/officeDocument/2006/relationships/hyperlink" Target="https://www.worldsensing.com/" TargetMode="External"/><Relationship Id="rId5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突发事件与异常捕捉：市场与商业化调研</dc:title>
  <dc:subject>NTU GAP Fund市场调研V2</dc:subject>
  <dc:creator>市场调研工作稿</dc:creator>
  <cp:keywords>事件捕捉,SATM,潜在客户,模块化,市场调研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