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kinsoku w:val="1"/>
      </w:pPr>
      <w:r>
        <w:rPr>
          <w:rFonts w:ascii="Times New Roman" w:hAnsi="Times New Roman" w:cs="Times New Roman" w:eastAsia="SimSun"/>
          <w:b/>
          <w:color w:val="000000"/>
          <w:sz w:val="40"/>
          <w:lang w:val="en-US" w:eastAsia="zh-CN"/>
        </w:rPr>
        <w:t>突发事件与异常捕捉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低功耗事件采集模块：市场与商业化调研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新加坡 · 东南亚其他国家 · 中国  |  V3  |  2026年8月31日</w:t>
      </w:r>
    </w:p>
    <w:p>
      <w:pPr>
        <w:pStyle w:val="Heading1"/>
        <w:kinsoku w:val="1"/>
      </w:pPr>
      <w:r>
        <w:rPr>
          <w:rFonts w:ascii="Times New Roman" w:hAnsi="Times New Roman" w:cs="Times New Roman" w:eastAsia="SimSun"/>
          <w:b/>
          <w:color w:val="000000"/>
          <w:sz w:val="28"/>
          <w:lang w:val="en-US" w:eastAsia="zh-CN"/>
        </w:rPr>
        <w:t>执行摘要 / Executive Summary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卖什么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以SATM自适应触发为核心的硬件模块与嵌入式软件，协同低功耗哨兵和高分辨率传感器，并处理同一节点内重叠数据的时间对齐。客户买的是目标事件数据与续航表现，而不是一颗触发芯片。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先卖给谁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优先联合设备制造商（OEM）和监测服务商验证：新加坡先接触Ackcio、Geomotion、Ryobi-G；区域合作考虑泰国MATGEO；中国先核实基康的工程节点和成都中科测控的事件记录设备。详见第4至6页。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先做什么场景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首选长期、间歇性的结构／工程振动记录；运输冲击作为第二验证线，先检查哨兵带宽、触发延迟及峰值保真。只需要静态读数、微弱高频故障检测或全程高分辨率记录的场景，不作为首发市场。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竞争在哪里  </w:t>
      </w:r>
      <w:hyperlink r:id="rId11" w:tooltip="ADI Voyager4官方技术说明，2025-05-20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ADI Voyager4已使用ADXL367作为可选唤醒器件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；</w:t>
      </w:r>
      <w:hyperlink r:id="rId12" w:tooltip="Move Accelerometer v5官方产品页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Move已提供触发波形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。差异应落实到自适应参数、双传感器记录衔接及集成成本，不能仅靠“低功耗＋事件触发”。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关键数字：已有证据与商业假设分开看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bottom w:val="single" w:sz="4" w:color="000000"/>
          <w:insideH w:val="single" w:sz="4" w:color="000000"/>
          <w:left w:val="nil"/>
          <w:right w:val="nil"/>
          <w:insideV w:val="nil"/>
        </w:tblBorders>
        <w:tblCellMar>
          <w:top w:w="85" w:type="dxa"/>
          <w:bottom w:w="85" w:type="dxa"/>
          <w:left w:w="60" w:type="dxa"/>
          <w:right w:w="60" w:type="dxa"/>
        </w:tblCellMar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事项</w:t>
            </w:r>
          </w:p>
        </w:tc>
        <w:tc>
          <w:tcPr>
            <w:tcW w:type="dxa" w:w="765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数字与含义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需求背景</w:t>
            </w:r>
          </w:p>
        </w:tc>
        <w:tc>
          <w:tcPr>
            <w:tcW w:type="dxa" w:w="765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全球SHM在2025年约</w:t>
            </w:r>
            <w:hyperlink r:id="rId13" w:tooltip="Grand View Research全球SHM，2026年版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44亿美元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，其中无线约</w:t>
            </w:r>
            <w:hyperlink r:id="rId14" w:tooltip="Grand View Research全球无线SHM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16.293亿美元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；是上位市场，不能直接作为模块市场。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已发生的采购</w:t>
            </w:r>
          </w:p>
        </w:tc>
        <w:tc>
          <w:tcPr>
            <w:tcW w:type="dxa" w:w="765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南通2025年项目：</w:t>
            </w:r>
            <w:hyperlink r:id="rId15" w:tooltip="2025年南通桥梁监测公开招标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41座新建、2座升级；01标段约544万元人民币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，含系统及运维，并非模块采购额。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可接触的账户</w:t>
            </w:r>
          </w:p>
        </w:tc>
        <w:tc>
          <w:tcPr>
            <w:tcW w:type="dxa" w:w="765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筛选18个买家／合作对象；其中5个设备商账户，若每家每年采用500至2,000件、单价S$120，模块容量情景为S$30万至120万／年。数量、价格均待访谈。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收入与利润</w:t>
            </w:r>
          </w:p>
        </w:tc>
        <w:tc>
          <w:tcPr>
            <w:tcW w:type="dxa" w:w="765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上行情景：年销10,000件模块，加3项适配，收入S$126万；按本报告成本假设，经营利润S$32.4万。不是订单或预测。</w:t>
            </w:r>
          </w:p>
        </w:tc>
      </w:tr>
    </w:tbl>
    <w:p>
      <w:pPr>
        <w:spacing w:before="0" w:after="20"/>
        <w:kinsoku w:val="1"/>
      </w:pP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汇报要点：以“联合开发进入、标准模块放量”为主线；先验证客户确有采集缺口，再谈销量。现有资料证明监测需求与竞争产品存在，尚不能证明客户愿意为本方案支付溢价。</w:t>
      </w:r>
    </w:p>
    <w:p>
      <w:pPr>
        <w:pStyle w:val="Heading1"/>
        <w:pageBreakBefore/>
        <w:kinsoku w:val="1"/>
      </w:pPr>
      <w:r>
        <w:rPr>
          <w:rFonts w:ascii="Times New Roman" w:hAnsi="Times New Roman" w:cs="Times New Roman" w:eastAsia="SimSun"/>
          <w:b/>
          <w:color w:val="000000"/>
          <w:sz w:val="28"/>
          <w:lang w:val="en-US" w:eastAsia="zh-CN"/>
        </w:rPr>
        <w:t>一、生态位：低功耗下，记录值得保留的事件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适合的客户同时具备四个条件：长期供电受限、目标事件间歇发生、哨兵能够感知、现有采集方案在记录质量或维护成本上仍有缺口。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产品边界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采集链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哨兵持续守候 → SATM调整阈值与持续时间 → 唤醒高分辨率采集 → 保留哨兵前段 → 对齐同节点重叠数据 → 输出事件记录。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交付边界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硬件提供哨兵、控制、缓存及接口；软件提供参数优化、采集管理和数据对齐。高分辨率传感器可随模块提供，也可适配客户器件。LiftNode可作为验证载体。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能力边界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不承诺捕捉所有异常；低分辨率前段不等于完整高分辨率波形。声音、光等为后续模态；跨模态做时间关联，不直接拼接为同一物理量。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应用筛选：不是所有“监测”都值得进入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bottom w:val="single" w:sz="4" w:color="000000"/>
          <w:insideH w:val="single" w:sz="4" w:color="000000"/>
          <w:left w:val="nil"/>
          <w:right w:val="nil"/>
          <w:insideV w:val="nil"/>
        </w:tblBorders>
        <w:tblCellMar>
          <w:top w:w="85" w:type="dxa"/>
          <w:bottom w:w="85" w:type="dxa"/>
          <w:left w:w="60" w:type="dxa"/>
          <w:right w:w="60" w:type="dxa"/>
        </w:tblCellMar>
      </w:tblPr>
      <w:tblGrid>
        <w:gridCol w:w="1644"/>
        <w:gridCol w:w="4309"/>
        <w:gridCol w:w="3685"/>
      </w:tblGrid>
      <w:tr>
        <w:trPr>
          <w:cantSplit/>
          <w:tblHeader/>
        </w:trPr>
        <w:tc>
          <w:tcPr>
            <w:tcW w:type="dxa" w:w="164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场景／顺序</w:t>
            </w:r>
          </w:p>
        </w:tc>
        <w:tc>
          <w:tcPr>
            <w:tcW w:type="dxa" w:w="4309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真实需求与付费理由</w:t>
            </w:r>
          </w:p>
        </w:tc>
        <w:tc>
          <w:tcPr>
            <w:tcW w:type="dxa" w:w="368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进入条件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工程振动</w:t>
              <w:br/>
              <w:t>优先</w:t>
            </w:r>
          </w:p>
        </w:tc>
        <w:tc>
          <w:tcPr>
            <w:tcW w:type="dxa" w:w="4309"/>
            <w:vAlign w:val="center"/>
          </w:tcPr>
          <w:p>
            <w:pPr>
              <w:spacing w:after="0" w:line="300" w:lineRule="exact"/>
              <w:kinsoku w:val="1"/>
            </w:pPr>
            <w:hyperlink r:id="rId16" w:tooltip="Ryobi-G新加坡公司手册，第18页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Ryobi-G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已将振源调查、投诉及损害争议作为服务；</w:t>
            </w:r>
            <w:hyperlink r:id="rId17" w:tooltip="Geomotion发布的Profound VIBRA产品资料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Geomotion的VIBRA资料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提供电池式记录方案。</w:t>
            </w:r>
          </w:p>
        </w:tc>
        <w:tc>
          <w:tcPr>
            <w:tcW w:type="dxa" w:w="368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在客户认可的事件范围内验证记录覆盖与维护减少；不能替代未经验证的合规仪器。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桥梁异常响应</w:t>
              <w:br/>
              <w:t>优先</w:t>
            </w:r>
          </w:p>
        </w:tc>
        <w:tc>
          <w:tcPr>
            <w:tcW w:type="dxa" w:w="4309"/>
            <w:vAlign w:val="center"/>
          </w:tcPr>
          <w:p>
            <w:pPr>
              <w:spacing w:after="0" w:line="300" w:lineRule="exact"/>
              <w:kinsoku w:val="1"/>
            </w:pPr>
            <w:hyperlink r:id="rId18" w:tooltip="海门交通运输局桥梁监测案例，2025-07-14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海门已部署船撞／特殊事件监测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；</w:t>
            </w:r>
            <w:hyperlink r:id="rId15" w:tooltip="2025年南通桥梁监测公开招标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南通有多桥采购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。</w:t>
            </w:r>
          </w:p>
        </w:tc>
        <w:tc>
          <w:tcPr>
            <w:tcW w:type="dxa" w:w="368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只记录撞击后的可感知响应，不宣传撞前预警；常态车辆振动与目标事件须可区分。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运输冲击</w:t>
              <w:br/>
              <w:t>第二验证线</w:t>
            </w:r>
          </w:p>
        </w:tc>
        <w:tc>
          <w:tcPr>
            <w:tcW w:type="dxa" w:w="4309"/>
            <w:vAlign w:val="center"/>
          </w:tcPr>
          <w:p>
            <w:pPr>
              <w:spacing w:after="0" w:line="300" w:lineRule="exact"/>
              <w:kinsoku w:val="1"/>
            </w:pPr>
            <w:hyperlink r:id="rId19" w:tooltip="SpotSee变压器运输冲击监测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SpotSee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及</w:t>
            </w:r>
            <w:hyperlink r:id="rId20" w:tooltip="成都中科测控TCT-2及客户案例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中科测控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已有运输记录产品，用于设备交付与运输调查。</w:t>
            </w:r>
          </w:p>
        </w:tc>
        <w:tc>
          <w:tcPr>
            <w:tcW w:type="dxa" w:w="368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冲击可能很短：须验证阈值持续时间、唤醒延迟和量程；长期守候未必是主要购买理由。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间歇设备工况</w:t>
              <w:br/>
              <w:t>选择性进入</w:t>
            </w:r>
          </w:p>
        </w:tc>
        <w:tc>
          <w:tcPr>
            <w:tcW w:type="dxa" w:w="4309"/>
            <w:vAlign w:val="center"/>
          </w:tcPr>
          <w:p>
            <w:pPr>
              <w:spacing w:after="0" w:line="300" w:lineRule="exact"/>
              <w:kinsoku w:val="1"/>
            </w:pPr>
            <w:hyperlink r:id="rId11" w:tooltip="ADI Voyager4官方技术说明，2025-05-20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ADI Voyager4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已面向设备状态监测提供低功耗边缘方案。</w:t>
            </w:r>
          </w:p>
        </w:tc>
        <w:tc>
          <w:tcPr>
            <w:tcW w:type="dxa" w:w="368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只纳入哨兵可见的启停或撞击；不覆盖弱高频轴承故障。</w:t>
            </w:r>
          </w:p>
        </w:tc>
      </w:tr>
      <w:tr>
        <w:trPr>
          <w:cantSplit/>
        </w:trPr>
        <w:tc>
          <w:tcPr>
            <w:tcW w:type="dxa" w:w="164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水压／声光异常</w:t>
              <w:br/>
              <w:t>后续扩展</w:t>
            </w:r>
          </w:p>
        </w:tc>
        <w:tc>
          <w:tcPr>
            <w:tcW w:type="dxa" w:w="4309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需要相应模态的传感与触发链，不属于当前加速度模块的已验证能力。</w:t>
            </w:r>
          </w:p>
        </w:tc>
        <w:tc>
          <w:tcPr>
            <w:tcW w:type="dxa" w:w="368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有具体买家和事件样本后再适配；本轮不计入可服务收入。</w:t>
            </w:r>
          </w:p>
        </w:tc>
      </w:tr>
    </w:tbl>
    <w:p>
      <w:pPr>
        <w:spacing w:before="0" w:after="20"/>
        <w:kinsoku w:val="1"/>
      </w:pP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SATM已有证据：</w:t>
      </w:r>
      <w:hyperlink r:id="rId21" w:tooltip="SATM论文，表5，第23页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论文表5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中，有效触发占比由50.00%提高到90.84%，目标事件检出率由100.00%降至94.36%。这是特定试验的取舍，不是“零漏采”或整机续航提升的证明。</w:t>
      </w:r>
    </w:p>
    <w:p>
      <w:pPr>
        <w:pStyle w:val="Heading1"/>
        <w:pageBreakBefore/>
        <w:kinsoku w:val="1"/>
      </w:pPr>
      <w:r>
        <w:rPr>
          <w:rFonts w:ascii="Times New Roman" w:hAnsi="Times New Roman" w:cs="Times New Roman" w:eastAsia="SimSun"/>
          <w:b/>
          <w:color w:val="000000"/>
          <w:sz w:val="28"/>
          <w:lang w:val="en-US" w:eastAsia="zh-CN"/>
        </w:rPr>
        <w:t>二、竞争：芯片、参考设计和整机都能替代我们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最强替代方案是OEM用现成芯片和参考设计自行开发。下表只列公开能力；“未披露”不代表竞品没有，也不构成专利新颖性判断。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bottom w:val="single" w:sz="4" w:color="000000"/>
          <w:insideH w:val="single" w:sz="4" w:color="000000"/>
          <w:left w:val="nil"/>
          <w:right w:val="nil"/>
          <w:insideV w:val="nil"/>
        </w:tblBorders>
        <w:tblCellMar>
          <w:top w:w="85" w:type="dxa"/>
          <w:bottom w:w="85" w:type="dxa"/>
          <w:left w:w="60" w:type="dxa"/>
          <w:right w:w="60" w:type="dxa"/>
        </w:tblCellMar>
      </w:tblPr>
      <w:tblGrid>
        <w:gridCol w:w="1871"/>
        <w:gridCol w:w="4252"/>
        <w:gridCol w:w="3515"/>
      </w:tblGrid>
      <w:tr>
        <w:trPr>
          <w:cantSplit/>
          <w:tblHeader/>
        </w:trPr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对标对象</w:t>
            </w:r>
          </w:p>
        </w:tc>
        <w:tc>
          <w:tcPr>
            <w:tcW w:type="dxa" w:w="425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公开机理与能力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对我们的含义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hyperlink r:id="rId22" w:tooltip="ADI ADXL367数据手册，Rev.B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ADI ADXL367</w:t>
              </w:r>
            </w:hyperlink>
          </w:p>
        </w:tc>
        <w:tc>
          <w:tcPr>
            <w:tcW w:type="dxa" w:w="425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活动检测由阈值与时间参数控制；FIFO缓存；100 Hz、2.0 V下典型0.89 μA。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芯片电流不代表整机功耗。产品价值须超越固定参数触发。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hyperlink r:id="rId11" w:tooltip="ADI Voyager4官方技术说明，2025-05-20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ADI Voyager4</w:t>
              </w:r>
            </w:hyperlink>
          </w:p>
        </w:tc>
        <w:tc>
          <w:tcPr>
            <w:tcW w:type="dxa" w:w="425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ADXL382采集振动；可选ADXL367在冲击时唤醒BLE；边缘推理决定是否发送告警。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与双传感器低功耗路线直接相邻；公开说明未证明其具备SATM优化及重叠数据拼接。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hyperlink r:id="rId23" w:tooltip="ST LSM6DSV16X官方产品页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ST LSM6DSV16X</w:t>
              </w:r>
            </w:hyperlink>
          </w:p>
        </w:tc>
        <w:tc>
          <w:tcPr>
            <w:tcW w:type="dxa" w:w="425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状态机和机器学习核识别模式，并可自动重配置器件，无需主机干预。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自适应与边缘智能已有实现。应比较事件覆盖、功耗及开发成本。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hyperlink r:id="rId12" w:tooltip="Move Accelerometer v5官方产品页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Move v5</w:t>
              </w:r>
            </w:hyperlink>
          </w:p>
        </w:tc>
        <w:tc>
          <w:tcPr>
            <w:tcW w:type="dxa" w:w="425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标准触发保留波形；快速触发、定时及组合模式；循环存储、离线记录。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事件波形和缓存已商品化；其≤500 μs指标针对跨节点定时采集，不是我们的同节点对齐指标。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hyperlink r:id="rId24" w:tooltip="Worldsensing Vibration Meter官方产品页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Worldsensing</w:t>
              </w:r>
            </w:hyperlink>
          </w:p>
        </w:tc>
        <w:tc>
          <w:tcPr>
            <w:tcW w:type="dxa" w:w="425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三轴信号经边缘算法提取振动参数、阈值判定；部分模式保留原始波形，4 kHz原始采样。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已有长期连续振动方案；</w:t>
            </w:r>
            <w:hyperlink r:id="rId25" w:tooltip="Worldsensing续航条件说明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两年续航有上报与事件频率条件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，不能与我方芯片电流直接比较。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hyperlink r:id="rId26" w:tooltip="基康BGK9600官方产品页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基康BGK9600</w:t>
              </w:r>
            </w:hyperlink>
          </w:p>
        </w:tc>
        <w:tc>
          <w:tcPr>
            <w:tcW w:type="dxa" w:w="425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125 Hz实时监控模式；边缘计算、报警联动、前后各5秒数据；电池与太阳能。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工程节点直接竞品，也是潜在OEM客户；需证明弱日照／小型化等具体增量价值。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hyperlink r:id="rId20" w:tooltip="成都中科测控TCT-2及客户案例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成都中科TCT-2</w:t>
              </w:r>
            </w:hyperlink>
          </w:p>
        </w:tc>
        <w:tc>
          <w:tcPr>
            <w:tcW w:type="dxa" w:w="425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阈值触发高采样率记录，最高10 kHz；厂商标称90天续航、10 Ah电池。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运输及事件记录直接对标；续航、功耗口径与事件峰值保真均需同条件测试。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hyperlink r:id="rId27" w:tooltip="Ackcio TM-L官方产品页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Ackcio TM-L</w:t>
              </w:r>
            </w:hyperlink>
          </w:p>
        </w:tc>
        <w:tc>
          <w:tcPr>
            <w:tcW w:type="dxa" w:w="425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三轴MEMS、动态倾角／振动；最高100 Hz，标称1至5年随采样间隔变化。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有本地产品与销售渠道，但不能把倾角／加速度读数等同完整事件波形。</w:t>
            </w:r>
          </w:p>
        </w:tc>
      </w:tr>
    </w:tbl>
    <w:p>
      <w:pPr>
        <w:spacing w:before="0" w:after="20"/>
        <w:kinsoku w:val="1"/>
      </w:pP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市场份额：上述具体产品及“自适应事件采集模块”未找到同口径的公开销量／收入分母，不能可靠给出各家百分比。上市公司总收入、累计安装数和渠道数量均不替代该细分市场份额。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技术前沿已从阈值开关走向模式识别、边缘处理及按需记录。我们的可验证差异应是：在约定事件覆盖条件下，用更少无效采集取得可用的跨分辨率事件记录。</w:t>
      </w:r>
    </w:p>
    <w:p>
      <w:pPr>
        <w:pStyle w:val="Heading1"/>
        <w:pageBreakBefore/>
        <w:kinsoku w:val="1"/>
      </w:pPr>
      <w:r>
        <w:rPr>
          <w:rFonts w:ascii="Times New Roman" w:hAnsi="Times New Roman" w:cs="Times New Roman" w:eastAsia="SimSun"/>
          <w:b/>
          <w:color w:val="000000"/>
          <w:sz w:val="28"/>
          <w:lang w:val="en-US" w:eastAsia="zh-CN"/>
        </w:rPr>
        <w:t>三、新加坡：先找能提供事件样本和设备接口的人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优先级是本报告的接触建议，不代表客户已有意向。下列“找谁”为建议接触的职能，不是已确认联系人；各账户模块年用量和可接受价格均未公开。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1. Ackcio｜设备商／OEM候选｜优先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27" w:tooltip="Ackcio TM-L官方产品页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TM-L支持最高100 Hz动态监测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；其</w:t>
      </w:r>
      <w:hyperlink r:id="rId28" w:tooltip="Ackcio Mesh倾角节点，第三方模块合作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Mesh倾角节点采用Sisgeo Asia Pacific模块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，说明已有外部器件合作路径。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与产品线共同验证自适应触发＋事件记录模块；整机销售时与其竞争，嵌入合作时可成为供应商。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产品负责人、嵌入式研发；确认是否需要原始波形、接口开放程度、年度适用节点数。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2. Geomotion Singapore｜监测服务商｜优先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17" w:tooltip="Geomotion发布的Profound VIBRA产品资料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发布VIBRA监测资料，覆盖交通、打桩、拆除等振动，支持电池供电与信号记录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；具体在售型号需确认。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以试点节点对照现有仪器，验证漏采、事件前段和维护频率；通过合作OEM供货。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仪器监测负责人、项目经理；核实每个项目测点数、实际换电频率和波形验收要求。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3. Ryobi-G｜监测服务商｜优先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16" w:tooltip="Ryobi-G新加坡公司手册，第18页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RG-TMS服务明确包括振源调查、投诉回应及损害争议管理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，说明事件记录有具体业务用途。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保留间歇异常振动的上下文，减少人工调参；事件记录供调查使用，不直接判定责任。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振动监测、物联网产品负责人；索取事件样本、误触发日志及维护记录。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4. Geonamics (S)｜监测／检测服务商｜跟进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29" w:tooltip="Geonamics新加坡仪器监测及检测服务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提供仪器监测、桩基动态荷载及相关检测服务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；现有业务不自动等于低功耗事件记录需求。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先找长期无人值守的动态监测项目；受控荷载试验若可随时供电，则不宜作为首发客户。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仪器监测负责人、设备管理；确认长期项目、现场供电和第三方设备接入要求。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5. HDB及项目承包商｜需求方／项目采购链｜跟进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30" w:tooltip="HDB Ulu Pandan East环境管理计划，第6.4节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Ulu Pandan East计划第6.4节要求施工期振动监测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，是业主侧的需求证据，并非本模块招标。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通过在场承包商／监测单位进行补充验证；客户认可前不替换合同指定的监测方式。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项目工程团队和承包商监测负责人；确认预算由谁承担、记录用途及设备验收程序。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6. Stream Peak International｜运输监测渠道｜第二验证线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31" w:tooltip="Stream Peak新加坡ShockLog 298销售页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销售ShockLog 298，覆盖变压器、医疗设备和航空等运输用途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；其角色是渠道，不是芯片或传感器OEM。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访谈客户对波形、续航和价格的缺口；更适合导入试用整机／参考节点，而非裸软件模块。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数据记录仪产品经理；确认在售机型能否已满足客户、渠道毛利及新增产品评估流程。</w:t>
      </w:r>
    </w:p>
    <w:p>
      <w:pPr>
        <w:pStyle w:val="Heading1"/>
        <w:pageBreakBefore/>
        <w:kinsoku w:val="1"/>
      </w:pPr>
      <w:r>
        <w:rPr>
          <w:rFonts w:ascii="Times New Roman" w:hAnsi="Times New Roman" w:cs="Times New Roman" w:eastAsia="SimSun"/>
          <w:b/>
          <w:color w:val="000000"/>
          <w:sz w:val="28"/>
          <w:lang w:val="en-US" w:eastAsia="zh-CN"/>
        </w:rPr>
        <w:t>四、东南亚其他国家：借助本地交付与售后能力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本轮重点覆盖马来西亚、泰国和印度尼西亚；未将这些样本外推为全东南亚需求。设备商、服务商与渠道分别处理，避免把代理商误列成OEM。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1. MATGEO｜泰国｜区域制造／OEM候选｜优先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32" w:tooltip="MATGEO泰国官网及制造服务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原Sisgeo Asia Pacific于2025年更名；在曼谷组装制造岩土仪器，有校准与维修能力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面向其倾角／采集器产品评估事件模块；相关Sisgeo产品线的设计与采购决策权需确认。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技术经理、产品负责人；确认亚洲产品线归属、可修改的板卡接口和年用量。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2. Smart Sensing Technology｜马来西亚｜服务商｜优先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33" w:tooltip="Smart Sensing马来西亚声振监测服务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提供打桩、爆破、重型设备引起的地面／结构声振监测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，当前服务含连续振动与频率记录。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选择受供电或换电限制的项目做并行采集；付费前提是实际维护或记录质量改善。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仪器监测负责人、项目经理；确认现场电源、事件密度、合规记录是否允许按需采集。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3. Placid Asia｜泰国｜仪器渠道／服务商｜跟进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34" w:tooltip="Placid Asia泰国振动监测与校准服务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在曼谷提供VIBRA设备、校准、维修及现场培训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，具备接触工程振动用户的入口。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作为测试与渠道伙伴；仅卖模块对渠道价值有限，宜通过OEM形成完整可交付设备。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振动产品经理、服务中心负责人；核实主力产品续航短板、品牌合作限制及认证要求。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4. AMTI｜印度尼西亚｜系统集成商｜跟进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35" w:tooltip="AMTI印度尼西亚结构监测服务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明确提供桥梁、建筑和隧道监测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；公开资料较概括，尚无可核实的事件节点数量或成交金额。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先核实在运行的振动项目与数据接口，再提供节点试用；不据宣传页推定采购能力。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技术总监、项目负责人；确认真实项目、进口与售后安排、记录缺口和预算。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5. Bina Marga／桥梁管理单位｜印度尼西亚｜需求方｜跟进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36" w:tooltip="印尼Bina Marga桥梁监测说明，2026-01-26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2026年官方说明强调桥梁监测、无线节点节能及偏远位置补能困难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，支持长寿命监测需求。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通过当地项目集成商进入；先选明确有动态事件要求的桥梁，不把所有桥梁视为购买者。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桥梁监测技术团队及项目执行单位；核实招标周期、设备规范及适用测点。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6. Humi Pak｜马来西亚｜运输监测渠道｜第二验证线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37" w:tooltip="Humi Pak马来西亚ShockLog销售页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销售ShockLog 298，提供冲击记录和运输状况报告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；这是现有产品市场证据，不是模块购买意向。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围绕高价值货物访谈需求；先证明当前短冲击记录能力，再考虑渠道销售。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数据记录仪销售／应用经理；确认记录仪复用周期、年新增销量和现有品牌合作关系。</w:t>
      </w:r>
    </w:p>
    <w:p>
      <w:pPr>
        <w:pStyle w:val="Heading1"/>
        <w:pageBreakBefore/>
        <w:kinsoku w:val="1"/>
      </w:pPr>
      <w:r>
        <w:rPr>
          <w:rFonts w:ascii="Times New Roman" w:hAnsi="Times New Roman" w:cs="Times New Roman" w:eastAsia="SimSun"/>
          <w:b/>
          <w:color w:val="000000"/>
          <w:sz w:val="28"/>
          <w:lang w:val="en-US" w:eastAsia="zh-CN"/>
        </w:rPr>
        <w:t>五、中国：工程节点与运输记录设备两条采购链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优先接触有自研产品的设备商，借其项目和交付体系进入；终端客户用来验证需求与验收。公开产品、历史采购和供应商案例的证据强度不同，以下分别说明。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1. 基康技术｜工程监测OEM／竞品｜优先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26" w:tooltip="基康BGK9600官方产品页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BGK9600已支持125 Hz实时监控、前后各5秒数据及太阳能供电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，与事件记录定位直接重叠。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评估在弱日照、体积受限或背景工况变化场景中的增益；不能假定其现有算法落后。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产品线负责人、嵌入式研发；确认耗电构成、是否开放算法集成、适用产品年销量。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2. 成都中科测控｜事件记录OEM／竞品｜优先验证适配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20" w:tooltip="成都中科测控TCT-2及客户案例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TCT-2以阈值触发高采样率记录，最高10 kHz、标称90天续航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；已有运输与爆破等产品线。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讨论自适应参数和模块集成；先验证短冲击首峰能否保留，不以低带宽哨兵替代其高速记录。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研发负责人、产品经理；比较实际触发策略、预触发记录及可接受新增物料成本。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3. 华测导航｜设备／方案商｜跟进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38" w:tooltip="华测导航桥梁监测方案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桥梁方案集成北斗、雷达、MEMS和多类传感器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，存在多传感器采集与控制体系。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只切入其电池式动态节点的实际缺口；GNSS、雷达及整桥平台不是本模块的替代范围。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安全监测产品线、硬件研发；确认动态节点是否自研、现有供应链及模块采购权限。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4. 南通市公路事业发展中心｜资产业主／招标方｜优先需求样本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15" w:tooltip="2025年南通桥梁监测公开招标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2025年采购覆盖41座新建、2座升级；01标段约544万元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；资金与项目范围明确，但历史招标已非当前机会。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沿其监测承包商／供货商进入下一轮项目；只计算动态事件节点，不把全合同作为模块收入。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项目技术负责人及中标供应链；核实事件类型、每桥节点数、更新周期和接口要求。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5. 安徽中盛检测｜设备使用方｜需求访谈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39" w:tooltip="安徽中盛自有设备及购置价格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公开设备台账：DH5908无线动态应变系统2018年购置价57,400元人民币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；是历史设备支出，不是触发模块报价。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了解现场动态采集的调参、数据衔接与供电问题；受控短时试验若无这些问题则降低优先级。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结构检测／仪器管理负责人；确认是否开展长期无人值守项目、设备升级由谁决策。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6. 成都奥泰医疗系统｜高价值设备运输用户｜第二验证线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依据  </w:t>
      </w:r>
      <w:hyperlink r:id="rId20" w:tooltip="成都中科测控TCT-2及客户案例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中科测控公开案例称其大型医疗设备跨国运输使用TCT-2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；属于供应商案例，未获用户独立确认且日期不明。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切入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通过记录仪厂商了解运输冲击数据需求；不能据旧案例推断其现在需要更换方案。</w:t>
      </w:r>
    </w:p>
    <w:p>
      <w:pPr>
        <w:spacing w:after="12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找谁／核实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物流质量／包装验证负责人；核实峰值保真、记录仪复用、验收记录及新增采购量。</w:t>
      </w:r>
    </w:p>
    <w:p>
      <w:pPr>
        <w:pStyle w:val="Heading1"/>
        <w:pageBreakBefore/>
        <w:kinsoku w:val="1"/>
      </w:pPr>
      <w:r>
        <w:rPr>
          <w:rFonts w:ascii="Times New Roman" w:hAnsi="Times New Roman" w:cs="Times New Roman" w:eastAsia="SimSun"/>
          <w:b/>
          <w:color w:val="000000"/>
          <w:sz w:val="28"/>
          <w:lang w:val="en-US" w:eastAsia="zh-CN"/>
        </w:rPr>
        <w:t>六、市场规模：从行业背景收敛到可销售模块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上位市场足够大，但模块机会由“适用设备量×采纳比例×单价”决定。当前没有公开统计直接给出愿意购买SATM模块的市场，不能用任意增益百分比从SHM总额中切出一块。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bottom w:val="single" w:sz="4" w:color="000000"/>
          <w:insideH w:val="single" w:sz="4" w:color="000000"/>
          <w:left w:val="nil"/>
          <w:right w:val="nil"/>
          <w:insideV w:val="nil"/>
        </w:tblBorders>
        <w:tblCellMar>
          <w:top w:w="85" w:type="dxa"/>
          <w:bottom w:w="85" w:type="dxa"/>
          <w:left w:w="60" w:type="dxa"/>
          <w:right w:w="60" w:type="dxa"/>
        </w:tblCellMar>
      </w:tblPr>
      <w:tblGrid>
        <w:gridCol w:w="1928"/>
        <w:gridCol w:w="3969"/>
        <w:gridCol w:w="3742"/>
      </w:tblGrid>
      <w:tr>
        <w:trPr>
          <w:cantSplit/>
          <w:tblHeader/>
        </w:trPr>
        <w:tc>
          <w:tcPr>
            <w:tcW w:type="dxa" w:w="192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层次</w:t>
            </w:r>
          </w:p>
        </w:tc>
        <w:tc>
          <w:tcPr>
            <w:tcW w:type="dxa" w:w="3969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公开规模／情景</w:t>
            </w:r>
          </w:p>
        </w:tc>
        <w:tc>
          <w:tcPr>
            <w:tcW w:type="dxa" w:w="374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与模块收入的关系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上位行业</w:t>
            </w:r>
          </w:p>
        </w:tc>
        <w:tc>
          <w:tcPr>
            <w:tcW w:type="dxa" w:w="3969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全球SHM：2025年</w:t>
            </w:r>
            <w:hyperlink r:id="rId13" w:tooltip="Grand View Research全球SHM，2026年版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44亿美元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；2026年估计51亿美元。</w:t>
            </w:r>
          </w:p>
        </w:tc>
        <w:tc>
          <w:tcPr>
            <w:tcW w:type="dxa" w:w="374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含硬件、软件和服务；不等于可嵌入模块的销售额。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无线子市场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全球无线SHM：2025年</w:t>
            </w:r>
            <w:hyperlink r:id="rId14" w:tooltip="Grand View Research全球无线SHM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16.293亿美元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。</w:t>
            </w:r>
          </w:p>
        </w:tc>
        <w:tc>
          <w:tcPr>
            <w:tcW w:type="dxa" w:w="374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是SHM子集，不相加；仍包含静态采集和完整系统。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跨行业邻近市场</w:t>
            </w:r>
          </w:p>
        </w:tc>
        <w:tc>
          <w:tcPr>
            <w:tcW w:type="dxa" w:w="3969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全球无线设备状态监测：2024年</w:t>
            </w:r>
            <w:hyperlink r:id="rId40" w:tooltip="Grand View Research无线状态监测，2026年7月更新">
              <w:r>
                <w:rPr>
                  <w:rFonts w:ascii="Times New Roman" w:hAnsi="Times New Roman" w:eastAsia="SimSun"/>
                  <w:sz w:val="22"/>
                  <w:color w:val="0000FF"/>
                  <w:u w:val="single"/>
                  <w:lang w:val="en-US" w:eastAsia="zh-CN"/>
                </w:rPr>
                <w:t>8.024亿美元</w:t>
              </w:r>
            </w:hyperlink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；2026年估计9.586亿美元。</w:t>
            </w:r>
          </w:p>
        </w:tc>
        <w:tc>
          <w:tcPr>
            <w:tcW w:type="dxa" w:w="374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含振动、热成像、超声等，且可能与SHM口径交叉；不能全算作加速度触发市场。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当前可服务范围</w:t>
            </w:r>
          </w:p>
        </w:tc>
        <w:tc>
          <w:tcPr>
            <w:tcW w:type="dxa" w:w="3969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电池式、间歇事件、哨兵可见，且存在升级理由的动态采集设备。</w:t>
            </w:r>
          </w:p>
        </w:tc>
        <w:tc>
          <w:tcPr>
            <w:tcW w:type="dxa" w:w="374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需进一步取得适用产品年销量和采用比例，公开总额不足以计算。</w:t>
            </w:r>
          </w:p>
        </w:tc>
      </w:tr>
    </w:tbl>
    <w:p>
      <w:pPr>
        <w:spacing w:before="0" w:after="20"/>
        <w:kinsoku w:val="1"/>
      </w:pP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五家设备商账户容量：用于访谈，不是已确认市场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设备商候选为Ackcio、MATGEO、基康、华测及中科测控；MATGEO产品决策权、各家合作意愿均待确认。统一假设每家每年采用500至2,000件，模块含基础软件单价S$120。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bottom w:val="single" w:sz="4" w:color="000000"/>
          <w:insideH w:val="single" w:sz="4" w:color="000000"/>
          <w:left w:val="nil"/>
          <w:right w:val="nil"/>
          <w:insideV w:val="nil"/>
        </w:tblBorders>
        <w:tblCellMar>
          <w:top w:w="85" w:type="dxa"/>
          <w:bottom w:w="85" w:type="dxa"/>
          <w:left w:w="60" w:type="dxa"/>
          <w:right w:w="60" w:type="dxa"/>
        </w:tblCellMar>
      </w:tblPr>
      <w:tblGrid>
        <w:gridCol w:w="2948"/>
        <w:gridCol w:w="2268"/>
        <w:gridCol w:w="4422"/>
      </w:tblGrid>
      <w:tr>
        <w:trPr>
          <w:cantSplit/>
          <w:tblHeader/>
        </w:trPr>
        <w:tc>
          <w:tcPr>
            <w:tcW w:type="dxa" w:w="294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区域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候选设备商数</w:t>
            </w:r>
          </w:p>
        </w:tc>
        <w:tc>
          <w:tcPr>
            <w:tcW w:type="dxa" w:w="442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年度模块容量情景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新加坡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1</w:t>
            </w:r>
          </w:p>
        </w:tc>
        <w:tc>
          <w:tcPr>
            <w:tcW w:type="dxa" w:w="442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500至2,000件；S$6万至24万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东南亚其他国家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1</w:t>
            </w:r>
          </w:p>
        </w:tc>
        <w:tc>
          <w:tcPr>
            <w:tcW w:type="dxa" w:w="442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500至2,000件；S$6万至24万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中国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3</w:t>
            </w:r>
          </w:p>
        </w:tc>
        <w:tc>
          <w:tcPr>
            <w:tcW w:type="dxa" w:w="442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1,500至6,000件；S$18万至72万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合计</w:t>
            </w:r>
          </w:p>
        </w:tc>
        <w:tc>
          <w:tcPr>
            <w:tcW w:type="dxa" w:w="226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5</w:t>
            </w:r>
          </w:p>
        </w:tc>
        <w:tc>
          <w:tcPr>
            <w:tcW w:type="dxa" w:w="4422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2,500至10,000件；S$30万至120万</w:t>
            </w:r>
          </w:p>
        </w:tc>
      </w:tr>
    </w:tbl>
    <w:p>
      <w:pPr>
        <w:spacing w:before="0" w:after="20"/>
        <w:kinsoku w:val="1"/>
      </w:pP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计算：账户数×每账户年度采用件数×单价。500至2,000件没有公开销量依据，只是询价／访谈情景；并非现有市场份额或成交预测。若仅1家采用200件，模块收入只有S$2.4万。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用真实项目校验数量级</w:t>
      </w:r>
    </w:p>
    <w:p>
      <w:pPr>
        <w:spacing w:before="0" w:after="100"/>
        <w:kinsoku w:val="1"/>
      </w:pPr>
      <w:hyperlink r:id="rId15" w:tooltip="2025年南通桥梁监测公开招标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南通01标段有14座新建桥梁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。若每桥只需2至6个事件模块，按S$120计算，仅为S$3,360至10,080；节点数和单价是假设。该示例说明：单个工程合同很大，不代表我们的模块收入也大。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放量依靠多个OEM产品线的重复出货，而不是分享工程总投资。OEM模块与其终端项目不得重复计数；运输记录仪可复用，也不能按每次运输都购买新设备估算。</w:t>
      </w:r>
    </w:p>
    <w:p>
      <w:pPr>
        <w:pStyle w:val="Heading1"/>
        <w:pageBreakBefore/>
        <w:kinsoku w:val="1"/>
      </w:pPr>
      <w:r>
        <w:rPr>
          <w:rFonts w:ascii="Times New Roman" w:hAnsi="Times New Roman" w:cs="Times New Roman" w:eastAsia="SimSun"/>
          <w:b/>
          <w:color w:val="000000"/>
          <w:sz w:val="28"/>
          <w:lang w:val="en-US" w:eastAsia="zh-CN"/>
        </w:rPr>
        <w:t>七、客户价值：先算节省多少，再谈愿意付多少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以下为工程／成本情景，全部假设均待实测或客户确认，不是SATM论文的功耗结果。必须在客户认可的事件覆盖和数据质量条件下比较，不能靠漏掉重要事件来节能。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1. 自适应减少无效采集，何时真的省电？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平均功率＝守候功率＋每日总触发次数×单次事件耗能÷86,400＋自适应计算平均功率。比较双方采用相同传感器、缓存、采集时长和通信方式。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示例输入：整机守候50 μW；每次事件额外耗能0.15 J（30 mW×5秒，含采集／存储／通信）；自适应平均开销20 μW；假设总触发次数减半且事件覆盖满足客户要求。均非器件规格或实测值。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bottom w:val="single" w:sz="4" w:color="000000"/>
          <w:insideH w:val="single" w:sz="4" w:color="000000"/>
          <w:left w:val="nil"/>
          <w:right w:val="nil"/>
          <w:insideV w:val="nil"/>
        </w:tblBorders>
        <w:tblCellMar>
          <w:top w:w="85" w:type="dxa"/>
          <w:bottom w:w="85" w:type="dxa"/>
          <w:left w:w="60" w:type="dxa"/>
          <w:right w:w="60" w:type="dxa"/>
        </w:tblCellMar>
      </w:tblPr>
      <w:tblGrid>
        <w:gridCol w:w="2551"/>
        <w:gridCol w:w="3515"/>
        <w:gridCol w:w="1814"/>
        <w:gridCol w:w="1757"/>
      </w:tblGrid>
      <w:tr>
        <w:trPr>
          <w:cantSplit/>
          <w:tblHeader/>
        </w:trPr>
        <w:tc>
          <w:tcPr>
            <w:tcW w:type="dxa" w:w="255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每日触发：前→后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平均功率mW：前／后</w:t>
            </w:r>
          </w:p>
        </w:tc>
        <w:tc>
          <w:tcPr>
            <w:tcW w:type="dxa" w:w="181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功耗下降</w:t>
            </w:r>
          </w:p>
        </w:tc>
        <w:tc>
          <w:tcPr>
            <w:tcW w:type="dxa" w:w="1757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理论续航比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10 → 5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0.067 / 0.079</w:t>
            </w:r>
          </w:p>
        </w:tc>
        <w:tc>
          <w:tcPr>
            <w:tcW w:type="dxa" w:w="181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-16.8%</w:t>
            </w:r>
          </w:p>
        </w:tc>
        <w:tc>
          <w:tcPr>
            <w:tcW w:type="dxa" w:w="1757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0.86倍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100 → 50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0.224 / 0.157</w:t>
            </w:r>
          </w:p>
        </w:tc>
        <w:tc>
          <w:tcPr>
            <w:tcW w:type="dxa" w:w="181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+29.9%</w:t>
            </w:r>
          </w:p>
        </w:tc>
        <w:tc>
          <w:tcPr>
            <w:tcW w:type="dxa" w:w="1757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1.43倍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500 → 250</w:t>
            </w:r>
          </w:p>
        </w:tc>
        <w:tc>
          <w:tcPr>
            <w:tcW w:type="dxa" w:w="3515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0.918 / 0.504</w:t>
            </w:r>
          </w:p>
        </w:tc>
        <w:tc>
          <w:tcPr>
            <w:tcW w:type="dxa" w:w="1814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+45.1%</w:t>
            </w:r>
          </w:p>
        </w:tc>
        <w:tc>
          <w:tcPr>
            <w:tcW w:type="dxa" w:w="1757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1.82倍</w:t>
            </w:r>
          </w:p>
        </w:tc>
      </w:tr>
    </w:tbl>
    <w:p>
      <w:pPr>
        <w:spacing w:before="0" w:after="20"/>
        <w:kinsoku w:val="1"/>
      </w:pP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含义：背景触发少时，自适应计算可能反而耗电；上述假设下，每天至少减少约12次触发才有净节能。事件频繁时约可省30%至45%电，不能推广为所有场景的性能承诺。</w:t>
      </w:r>
    </w:p>
    <w:p>
      <w:pPr>
        <w:spacing w:before="0" w:after="100"/>
        <w:kinsoku w:val="1"/>
      </w:pPr>
      <w:hyperlink r:id="rId22" w:tooltip="ADI ADXL367数据手册，Rev.B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ADXL367的0.89 μA（100 Hz、2 V）仅是芯片电流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，不能代替50 μW整机守候假设；实际还要计入控制器、缓存、稳压和漏电。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2. 维护节省能否覆盖模块升级？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示例：20个节点；现有续航1年，升级后1.4年；一次专程出勤可维护全部节点，费用S$600。年化少出勤1−1/1.4＝0.286次，年省约S$171，而不是20倍。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若模块增量S$120／节点、另有S$600集成费，投入S$3,000，单靠上述换电节省需约17.5年回本；若20个点必须分别出勤、每次S$300，则年省约S$1,714、约1.75年回本。均为年化简算，未计贴现和其他维护。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因此先找分散、难维护的测点，或确有事件数据缺口的设备；普通易维护现场不宜只讲续航。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3. 数据与开发价值：应收集什么证据？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事件数据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对照现有仪器检查事件覆盖、前段分辨率、峰值与重叠对齐误差；</w:t>
      </w:r>
      <w:hyperlink r:id="rId16" w:tooltip="Ryobi-G新加坡公司手册，第18页">
        <w:r>
          <w:rPr>
            <w:rFonts w:ascii="Times New Roman" w:hAnsi="Times New Roman" w:eastAsia="SimSun"/>
            <w:sz w:val="22"/>
            <w:color w:val="0000FF"/>
            <w:u w:val="single"/>
            <w:lang w:val="en-US" w:eastAsia="zh-CN"/>
          </w:rPr>
          <w:t>Ryobi-G的振源调查业务</w:t>
        </w:r>
      </w:hyperlink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证明记录有用途，但具体少返工多少、价值多少需客户数据。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OEM开发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若可避免200小时适配开发、内部成本S$80／小时，价值为S$16,000；这是假设上限示例，不是可直接收取的授权费。需扣除客户仍要承担的集成、测试和认证工作。</w:t>
      </w:r>
    </w:p>
    <w:p>
      <w:pPr>
        <w:pStyle w:val="Heading1"/>
        <w:pageBreakBefore/>
        <w:kinsoku w:val="1"/>
      </w:pPr>
      <w:r>
        <w:rPr>
          <w:rFonts w:ascii="Times New Roman" w:hAnsi="Times New Roman" w:cs="Times New Roman" w:eastAsia="SimSun"/>
          <w:b/>
          <w:color w:val="000000"/>
          <w:sz w:val="28"/>
          <w:lang w:val="en-US" w:eastAsia="zh-CN"/>
        </w:rPr>
        <w:t>八、商业化：联合开发进入，标准模块重复销售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产品与收费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优先与OEM和监测用户共同验证；之后卖硬件模块＋基础软件，针对适配另收费。客户已有兼容硬件时可谈软件授权；没有持续服务价值，不默认收年费。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首轮接触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先找Ackcio、Geomotion／Ryobi-G及MATGEO；中国对照基康与中科测控。运输渠道和用户用于验证第二场景，不分散首发工程产品。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收入与利润：年度销售情景，非订单预测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统一假设：模块售价S$120、直接成本S$60（含硬件、测试及保修，不含外壳、无线通信和高分辨率传感器）；每项新适配收入S$20,000、成本S$12,000；其他年运营费S$300,000。均待报价，未计税、融资及学校知识产权许可费用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000000"/>
          <w:bottom w:val="single" w:sz="4" w:color="000000"/>
          <w:insideH w:val="single" w:sz="4" w:color="000000"/>
          <w:left w:val="nil"/>
          <w:right w:val="nil"/>
          <w:insideV w:val="nil"/>
        </w:tblBorders>
        <w:tblCellMar>
          <w:top w:w="85" w:type="dxa"/>
          <w:bottom w:w="85" w:type="dxa"/>
          <w:left w:w="60" w:type="dxa"/>
          <w:right w:w="60" w:type="dxa"/>
        </w:tblCellMar>
      </w:tblPr>
      <w:tblGrid>
        <w:gridCol w:w="1417"/>
        <w:gridCol w:w="2608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417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情景</w:t>
            </w:r>
          </w:p>
        </w:tc>
        <w:tc>
          <w:tcPr>
            <w:tcW w:type="dxa" w:w="260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OEM／年模块量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收入S$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毛利润S$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/>
                <w:color w:val="000000"/>
                <w:sz w:val="22"/>
                <w:lang w:val="en-US" w:eastAsia="zh-CN"/>
              </w:rPr>
              <w:t>经营利润S$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小规模</w:t>
            </w:r>
          </w:p>
        </w:tc>
        <w:tc>
          <w:tcPr>
            <w:tcW w:type="dxa" w:w="260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1家／500件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8.0万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3.8万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-26.2万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基准</w:t>
            </w:r>
          </w:p>
        </w:tc>
        <w:tc>
          <w:tcPr>
            <w:tcW w:type="dxa" w:w="260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3家／3,000件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40.0万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19.6万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-10.4万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放量</w:t>
            </w:r>
          </w:p>
        </w:tc>
        <w:tc>
          <w:tcPr>
            <w:tcW w:type="dxa" w:w="2608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5家／10,000件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126.0万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62.4万</w:t>
            </w:r>
          </w:p>
        </w:tc>
        <w:tc>
          <w:tcPr>
            <w:tcW w:type="dxa" w:w="1871"/>
            <w:vAlign w:val="center"/>
          </w:tcPr>
          <w:p>
            <w:pPr>
              <w:spacing w:after="0" w:line="300" w:lineRule="exact"/>
              <w:kinsoku w:val="1"/>
            </w:pPr>
            <w:r>
              <w:rPr>
                <w:rFonts w:ascii="Times New Roman" w:hAnsi="Times New Roman" w:cs="Times New Roman" w:eastAsia="SimSun"/>
                <w:b w:val="0"/>
                <w:color w:val="000000"/>
                <w:sz w:val="22"/>
                <w:lang w:val="en-US" w:eastAsia="zh-CN"/>
              </w:rPr>
              <w:t>+32.4万</w:t>
            </w:r>
          </w:p>
        </w:tc>
      </w:tr>
    </w:tbl>
    <w:p>
      <w:pPr>
        <w:spacing w:before="0" w:after="20"/>
        <w:kinsoku w:val="1"/>
      </w:pP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基准情景下，有2项新适配，约需年销4,734件模块才能覆盖上述运营费用；若单件毛利从S$60降至S$20，则约需14,200件。模块出货量与毛利，比上位市场规模更决定生存空间。</w:t>
      </w:r>
    </w:p>
    <w:p>
      <w:pPr>
        <w:pStyle w:val="Heading2"/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>评委可能追问的六个问题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Q：到底卖什么？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A：向监测设备商销售自适应触发、双传感器协同采集及同节点数据对齐的模块与软件。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Q：为什么不用现成芯片？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A：芯片已能触发，我们需要证明整套方案减少调参和集成工作，并改善约定事件范围内的采集表现。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Q：谁最可能先买？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A：有动态采集产品、接口决策权和升级需求的OEM，与掌握实际事件样本的监测服务商共同验证。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Q：市场能有多大？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A：五家候选设备商的模块容量情景为S$30万至120万／年，全球可服务市场仍需用真实适用销量验证。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Q：能赚多少钱？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A：按本报告假设，年销10,000件加3项适配可收入S$126万、经营利润S$32.4万，实际取决于销量与成本。</w:t>
      </w:r>
    </w:p>
    <w:p>
      <w:pPr>
        <w:kinsoku w:val="1"/>
      </w:pPr>
      <w:r>
        <w:rPr>
          <w:rFonts w:ascii="Times New Roman" w:hAnsi="Times New Roman" w:cs="Times New Roman" w:eastAsia="SimSun"/>
          <w:b/>
          <w:color w:val="000000"/>
          <w:sz w:val="22"/>
          <w:lang w:val="en-US" w:eastAsia="zh-CN"/>
        </w:rPr>
        <w:t xml:space="preserve">Q：GAP阶段最该确认什么？  </w:t>
      </w: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A：选定一个目标事件场景，取得客户样本和试用反馈，确认采集增益、集成代价以及谁愿意为此付款。</w:t>
      </w:r>
    </w:p>
    <w:p>
      <w:pPr>
        <w:spacing w:before="0" w:after="100"/>
        <w:kinsoku w:val="1"/>
      </w:pPr>
      <w:r>
        <w:rPr>
          <w:rFonts w:ascii="Times New Roman" w:hAnsi="Times New Roman" w:cs="Times New Roman" w:eastAsia="SimSun"/>
          <w:b w:val="0"/>
          <w:color w:val="000000"/>
          <w:sz w:val="22"/>
          <w:lang w:val="en-US" w:eastAsia="zh-CN"/>
        </w:rPr>
        <w:t>资料口径：截至2026年8月31日；蓝色文字直达来源。公开事实、供应商自述与本报告情景假设分别标明；没有接触记录、意向书或报价，不视为客户意愿已证实。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SimSun"/>
        <w:b w:val="0"/>
        <w:color w:val="000000"/>
        <w:sz w:val="22"/>
      </w:rPr>
      <w:t xml:space="preserve">2026年8月31日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color="000000"/>
      </w:pBdr>
    </w:pPr>
    <w:r>
      <w:rPr>
        <w:rFonts w:ascii="Times New Roman" w:hAnsi="Times New Roman" w:cs="Times New Roman" w:eastAsia="SimSun"/>
        <w:b w:val="0"/>
        <w:color w:val="000000"/>
        <w:sz w:val="22"/>
      </w:rPr>
      <w:t>NTUitive GAP Fund  |  市场与商业化调研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noLineBreaksBefore w:lang="zh-CN" w:val="。，；：？！、）】》％"/>
  <w:noLineBreaksAfter w:lang="zh-CN" w:val="（【《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0" w:lineRule="exact" w:after="100" w:before="0"/>
      <w:ind w:firstLine="0" w:left="0" w:right="0"/>
    </w:pPr>
    <w:rPr>
      <w:rFonts w:ascii="Times New Roman" w:hAnsi="Times New Roman"/>
      <w:color w:val="000000"/>
      <w:sz w:val="22"/>
      <w:rFonts w:ascii="Times New Roman" w:hAnsi="Times New Roma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310" w:lineRule="exact" w:before="0"/>
      <w:ind w:firstLine="0" w:left="0" w:right="0"/>
    </w:pPr>
    <w:rPr>
      <w:rFonts w:ascii="Times New Roman" w:hAnsi="Times New Roman"/>
      <w:color w:val="000000"/>
      <w:sz w:val="22"/>
      <w:rFonts w:ascii="Times New Roman" w:hAnsi="Times New Roman" w:eastAsia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310" w:lineRule="exact" w:before="0"/>
      <w:ind w:firstLine="0" w:left="0" w:right="0"/>
    </w:pPr>
    <w:rPr>
      <w:rFonts w:ascii="Times New Roman" w:hAnsi="Times New Roman"/>
      <w:color w:val="000000"/>
      <w:sz w:val="22"/>
      <w:rFonts w:ascii="Times New Roman" w:hAnsi="Times New Roman" w:eastAsia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00" w:line="400" w:lineRule="exact"/>
      <w:ind w:firstLine="0" w:left="0" w:right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  <w:rFonts w:ascii="Times New Roman" w:hAnsi="Times New Roman" w:eastAsia="SimSu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60" w:line="310" w:lineRule="exact"/>
      <w:ind w:firstLine="0" w:left="0" w:right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  <w:rFonts w:ascii="Times New Roman" w:hAnsi="Times New Roman" w:eastAsia="SimSu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100" w:line="310" w:lineRule="exact"/>
      <w:ind w:firstLine="0" w:left="0" w:right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rFonts w:ascii="Times New Roman" w:hAnsi="Times New Roman" w:eastAsia="SimSu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00" w:line="310" w:lineRule="exact" w:before="0"/>
      <w:ind w:firstLine="0" w:left="0" w:right="0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22"/>
      <w:szCs w:val="52"/>
      <w:rFonts w:ascii="Times New Roman" w:hAnsi="Times New Roman" w:eastAsia="SimSu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10" w:lineRule="exact" w:after="100" w:before="0"/>
      <w:ind w:firstLine="0" w:left="0" w:right="0"/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2"/>
      <w:szCs w:val="24"/>
      <w:rFonts w:ascii="Times New Roman" w:hAnsi="Times New Roman" w:eastAsia="SimSu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z.analog.com/ez-blogs/b/engineerzone-spotlight/posts/condition-based-monitoring" TargetMode="External"/><Relationship Id="rId12" Type="http://schemas.openxmlformats.org/officeDocument/2006/relationships/hyperlink" Target="https://www.movesolutions.it/sensors/axe-std-lr-2-5-0" TargetMode="External"/><Relationship Id="rId13" Type="http://schemas.openxmlformats.org/officeDocument/2006/relationships/hyperlink" Target="https://www.grandviewresearch.com/industry-analysis/structural-health-monitoring-shm-market" TargetMode="External"/><Relationship Id="rId14" Type="http://schemas.openxmlformats.org/officeDocument/2006/relationships/hyperlink" Target="https://www.grandviewresearch.com/horizon/statistics/structural-health-monitoring-market/technology/wireless-shm/global" TargetMode="External"/><Relationship Id="rId15" Type="http://schemas.openxmlformats.org/officeDocument/2006/relationships/hyperlink" Target="https://jsggzy.jszwfw.gov.cn/jyxx/003002/003002001/20250915/afe46fb987ff43f286d1e0a3b58b7522.html" TargetMode="External"/><Relationship Id="rId16" Type="http://schemas.openxmlformats.org/officeDocument/2006/relationships/hyperlink" Target="https://www.ryobi-g.com/wp-content/uploads/2024/08/Ryobi-G-Corporate-Brochure-Singapore-Edition.pdf" TargetMode="External"/><Relationship Id="rId17" Type="http://schemas.openxmlformats.org/officeDocument/2006/relationships/hyperlink" Target="https://geomotion.website/instrument/vibration/profound__vib.04120_vibra__leaflet_uk_1.pdf" TargetMode="External"/><Relationship Id="rId18" Type="http://schemas.openxmlformats.org/officeDocument/2006/relationships/hyperlink" Target="https://www.haimen.gov.cn/hmsrmzf/bmdt/content/aedf402a-309b-45cb-a1c9-539a884f9b58.html" TargetMode="External"/><Relationship Id="rId19" Type="http://schemas.openxmlformats.org/officeDocument/2006/relationships/hyperlink" Target="https://spotsee.io/blog/real-time-transformer-impact-monitoring/" TargetMode="External"/><Relationship Id="rId20" Type="http://schemas.openxmlformats.org/officeDocument/2006/relationships/hyperlink" Target="https://www.zkck.com/?S_id=87&amp;type=productinfo" TargetMode="External"/><Relationship Id="rId21" Type="http://schemas.openxmlformats.org/officeDocument/2006/relationships/hyperlink" Target="https://doi.org/10.1016/j.ymssp.2025.113537" TargetMode="External"/><Relationship Id="rId22" Type="http://schemas.openxmlformats.org/officeDocument/2006/relationships/hyperlink" Target="https://www.analog.com/media/en/technical-documentation/data-sheets/adxl367.pdf" TargetMode="External"/><Relationship Id="rId23" Type="http://schemas.openxmlformats.org/officeDocument/2006/relationships/hyperlink" Target="https://www.st.com/en/mems-and-sensors/lsm6dsv16x.html" TargetMode="External"/><Relationship Id="rId24" Type="http://schemas.openxmlformats.org/officeDocument/2006/relationships/hyperlink" Target="https://www.worldsensing.com/product/vibration-meter/" TargetMode="External"/><Relationship Id="rId25" Type="http://schemas.openxmlformats.org/officeDocument/2006/relationships/hyperlink" Target="https://www.worldsensing.com/news/worldsensing-launches-new-wireless-sensor-to-optimise-vibration-monitoring-in-civil-engineering/" TargetMode="External"/><Relationship Id="rId26" Type="http://schemas.openxmlformats.org/officeDocument/2006/relationships/hyperlink" Target="https://www.geokang.com/col15/2620" TargetMode="External"/><Relationship Id="rId27" Type="http://schemas.openxmlformats.org/officeDocument/2006/relationships/hyperlink" Target="https://www.ackcio.com/products/nodes/tiltmeter-lora/" TargetMode="External"/><Relationship Id="rId28" Type="http://schemas.openxmlformats.org/officeDocument/2006/relationships/hyperlink" Target="https://www.ackcio.com/products/nodes/tiltmeter/" TargetMode="External"/><Relationship Id="rId29" Type="http://schemas.openxmlformats.org/officeDocument/2006/relationships/hyperlink" Target="https://geonamics.com.sg/" TargetMode="External"/><Relationship Id="rId30" Type="http://schemas.openxmlformats.org/officeDocument/2006/relationships/hyperlink" Target="https://www.hdb.gov.sg/-/media/about-us/our-role/plan-and-design-towns/planning-with-the-environment-in-mind/Ulu-Pandan-East-EMMP.pdf" TargetMode="External"/><Relationship Id="rId31" Type="http://schemas.openxmlformats.org/officeDocument/2006/relationships/hyperlink" Target="https://streampeak.com.sg/products/data-logger/impact/shocklog-298/" TargetMode="External"/><Relationship Id="rId32" Type="http://schemas.openxmlformats.org/officeDocument/2006/relationships/hyperlink" Target="https://www.matgeo.com/" TargetMode="External"/><Relationship Id="rId33" Type="http://schemas.openxmlformats.org/officeDocument/2006/relationships/hyperlink" Target="https://smartsensing.com.my/solutions/instrumentation-monitoring/sound-vibration-monitoring/" TargetMode="External"/><Relationship Id="rId34" Type="http://schemas.openxmlformats.org/officeDocument/2006/relationships/hyperlink" Target="https://placid.asia/en/vibration-monitoring-thailand" TargetMode="External"/><Relationship Id="rId35" Type="http://schemas.openxmlformats.org/officeDocument/2006/relationships/hyperlink" Target="https://amti.co.id/shms" TargetMode="External"/><Relationship Id="rId36" Type="http://schemas.openxmlformats.org/officeDocument/2006/relationships/hyperlink" Target="https://binamarga.pu.go.id/index.php/article/prinsip-umum-dari-kerja-sistem-pemantau-kesehatan-struktur-jembatan" TargetMode="External"/><Relationship Id="rId37" Type="http://schemas.openxmlformats.org/officeDocument/2006/relationships/hyperlink" Target="https://www.humipak.com.my/products/data-logger/impact-data-logger/shocklog-298/" TargetMode="External"/><Relationship Id="rId38" Type="http://schemas.openxmlformats.org/officeDocument/2006/relationships/hyperlink" Target="https://www.huace.cn/solution/44" TargetMode="External"/><Relationship Id="rId39" Type="http://schemas.openxmlformats.org/officeDocument/2006/relationships/hyperlink" Target="https://www.ahzsjc.com.cn/index.php/Serve/show/id/193.html" TargetMode="External"/><Relationship Id="rId40" Type="http://schemas.openxmlformats.org/officeDocument/2006/relationships/hyperlink" Target="https://www.grandviewresearch.com/industry-analysis/wireless-condition-monitoring-systems-market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突发事件与异常捕捉：市场与商业化调研</dc:title>
  <dc:subject>低功耗事件采集模块；新加坡、东南亚其他国家、中国</dc:subject>
  <dc:creator/>
  <cp:keywords>SATM, OEM, 事件采集, 市场调研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