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E125F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第一板块：项目认知与产品价值（3页）</w:t>
      </w:r>
    </w:p>
    <w:p w14:paraId="03474172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01</w:t>
      </w:r>
    </w:p>
    <w:p w14:paraId="4252175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主标题：为 APEC 添彩</w:t>
      </w:r>
    </w:p>
    <w:p w14:paraId="08E65AE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副标题：一指添彩，万彩共生</w:t>
      </w:r>
    </w:p>
    <w:p w14:paraId="57D17AD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项目名称：永丰源广彩互动 H5 产品方案</w:t>
      </w:r>
    </w:p>
    <w:p w14:paraId="575BCB8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版本信息：V1.0 | 2026.09</w:t>
      </w:r>
    </w:p>
    <w:p w14:paraId="22A3F7C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底部合规小字：本页为项目封面，未使用 APEC 官方标识。正式对外版本需依据授权范围调整名称、标识和发布称谓。</w:t>
      </w:r>
    </w:p>
    <w:p w14:paraId="05D1E2F1">
      <w:pPr>
        <w:rPr>
          <w:rFonts w:hint="eastAsia" w:asciiTheme="minorEastAsia" w:hAnsiTheme="minorEastAsia" w:eastAsiaTheme="minorEastAsia" w:cstheme="minorEastAsia"/>
        </w:rPr>
      </w:pPr>
    </w:p>
    <w:p w14:paraId="2A8D0C22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02</w:t>
      </w:r>
    </w:p>
    <w:p w14:paraId="1F29B6F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页面标题：项目背景与产品定位</w:t>
      </w:r>
    </w:p>
    <w:p w14:paraId="211F764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副标题：立足亚太宏大背景，以五维一体定义产品核心价值</w:t>
      </w:r>
    </w:p>
    <w:p w14:paraId="7E7DFD2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背景简述：紧扣 2026 APEC“建设亚太共同体，促进共同繁荣”主题，围绕“开放、创新、合作”三大优先领域，以广彩非遗为纽带，连接品牌与公众。</w:t>
      </w:r>
    </w:p>
    <w:p w14:paraId="31CE8566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五维一体卡片：</w:t>
      </w:r>
    </w:p>
    <w:p w14:paraId="1FDA956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背景：立足亚太，共襄盛举</w:t>
      </w:r>
    </w:p>
    <w:p w14:paraId="015EBAA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文化：传承广彩，东方气韵</w:t>
      </w:r>
    </w:p>
    <w:p w14:paraId="6A0C4618"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品牌：永丰源</w:t>
      </w:r>
      <w:r>
        <w:rPr>
          <w:rFonts w:hint="eastAsia" w:asciiTheme="minorEastAsia" w:hAnsiTheme="minorEastAsia" w:cstheme="minorEastAsia"/>
          <w:color w:val="FF0000"/>
          <w:lang w:eastAsia="zh-CN"/>
        </w:rPr>
        <w:t>（</w:t>
      </w:r>
      <w:r>
        <w:rPr>
          <w:rFonts w:hint="eastAsia" w:asciiTheme="minorEastAsia" w:hAnsiTheme="minorEastAsia" w:cstheme="minorEastAsia"/>
          <w:color w:val="FF0000"/>
          <w:lang w:val="en-US" w:eastAsia="zh-CN"/>
        </w:rPr>
        <w:t>排版说明：</w:t>
      </w:r>
      <w:r>
        <w:rPr>
          <w:rFonts w:hint="eastAsia" w:asciiTheme="minorEastAsia" w:hAnsiTheme="minorEastAsia" w:eastAsiaTheme="minorEastAsia" w:cstheme="minorEastAsia"/>
          <w:color w:val="FF0000"/>
        </w:rPr>
        <w:t>把“永丰源”单独一行，视觉上更突出品牌全称，也不会破坏后面8个字的节奏。</w:t>
      </w:r>
      <w:r>
        <w:rPr>
          <w:rFonts w:hint="eastAsia" w:asciiTheme="minorEastAsia" w:hAnsiTheme="minorEastAsia" w:cstheme="minorEastAsia"/>
          <w:color w:val="FF0000"/>
          <w:lang w:eastAsia="zh-CN"/>
        </w:rPr>
        <w:t>）</w:t>
      </w:r>
    </w:p>
    <w:p w14:paraId="1F6B593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匠心瓷艺，赋能创新</w:t>
      </w:r>
    </w:p>
    <w:p w14:paraId="79278CA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（小字：品牌方作为“内容共创与品质审核方”深度参与）</w:t>
      </w:r>
    </w:p>
    <w:p w14:paraId="41947DA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公众：指尖添彩，全民共创</w:t>
      </w:r>
    </w:p>
    <w:p w14:paraId="21E7F0C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传播：数字链接，广泛触达</w:t>
      </w:r>
    </w:p>
    <w:p w14:paraId="7640BAF6">
      <w:pPr>
        <w:rPr>
          <w:rFonts w:hint="eastAsia" w:asciiTheme="minorEastAsia" w:hAnsiTheme="minorEastAsia" w:eastAsiaTheme="minorEastAsia" w:cstheme="minorEastAsia"/>
        </w:rPr>
      </w:pPr>
      <w:bookmarkStart w:id="0" w:name="_GoBack"/>
      <w:bookmarkEnd w:id="0"/>
    </w:p>
    <w:p w14:paraId="19E4CFCC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03</w:t>
      </w:r>
    </w:p>
    <w:p w14:paraId="2386A14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页面标题：H5核心亮点与体验价值</w:t>
      </w:r>
    </w:p>
    <w:p w14:paraId="0B4D37E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副标题：四大核心亮点，塑造数字非遗传播新范式</w:t>
      </w:r>
    </w:p>
    <w:p w14:paraId="13F1378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亮点一：沉浸式3D光影交互</w:t>
      </w:r>
    </w:p>
    <w:p w14:paraId="6CA6DF2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用户侧：360°旋转把玩3D陶瓷杯，身临其境感受广彩瓷器的立体美感与光影细节。</w:t>
      </w:r>
    </w:p>
    <w:p w14:paraId="46C20DC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品牌侧：突破传统图文互动形式，彰显永丰源在数字化时代的创新活力与前沿形象。</w:t>
      </w:r>
    </w:p>
    <w:p w14:paraId="77F9339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亮点二：非遗工序体验与APEC理念的互动共鸣</w:t>
      </w:r>
    </w:p>
    <w:p w14:paraId="55F38F7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用户侧：在描线、填色等工序中动手实践，自然感知“开放、创新、合作”的APEC优先领域。</w:t>
      </w:r>
    </w:p>
    <w:p w14:paraId="3F96955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品牌侧：兼顾国家级主题高度与非遗文化厚度，实现精神内核与品牌匠心的同频共振。</w:t>
      </w:r>
    </w:p>
    <w:p w14:paraId="203526C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亮点三：广彩真实工序的沉浸式体验与永丰源技艺创新呈现</w:t>
      </w:r>
    </w:p>
    <w:p w14:paraId="37B0334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用户侧：在经典美学规则的引导下，沉浸式体验广彩“描线、填色、织金”等真实工序，收获专属非遗作品。</w:t>
      </w:r>
    </w:p>
    <w:p w14:paraId="29C97DD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品牌侧：在互动中巧妙融入永丰源“25层真金叠彩”等现代技艺创新，展现品牌硬核实力与匠心传承。</w:t>
      </w:r>
    </w:p>
    <w:p w14:paraId="743F2B8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亮点四：双数字资产驱动社交传播</w:t>
      </w:r>
    </w:p>
    <w:p w14:paraId="113FD61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用户侧：获赠专属主题海报与3D数字作品。分享后，好友点开即可360°沉浸式鉴赏陶瓷杯的立体细节，体验极佳，满载创作荣誉。</w:t>
      </w:r>
    </w:p>
    <w:p w14:paraId="166C407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品牌侧：突破传统H5“分享即静态图片”的局限，以可交互的3D作品页为载体，让广彩美学在社交圈层自然渗透，沉淀高质量的数字化品牌资产。</w:t>
      </w:r>
    </w:p>
    <w:p w14:paraId="7BD40B27">
      <w:pPr>
        <w:rPr>
          <w:rFonts w:hint="eastAsia" w:asciiTheme="minorEastAsia" w:hAnsiTheme="minorEastAsia" w:eastAsiaTheme="minorEastAsia" w:cstheme="minorEastAsia"/>
        </w:rPr>
      </w:pPr>
    </w:p>
    <w:p w14:paraId="1A3E1D66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第二板块：用户体验与交互机制（7页）</w:t>
      </w:r>
    </w:p>
    <w:p w14:paraId="75A741BB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04</w:t>
      </w:r>
    </w:p>
    <w:p w14:paraId="27BAFEA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页面标题：H5体验全流程总览</w:t>
      </w:r>
    </w:p>
    <w:p w14:paraId="6811727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副标题：从光影开场到社交分享，完整见证用户的非遗数字旅程</w:t>
      </w:r>
    </w:p>
    <w:p w14:paraId="452D49A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视觉展示（横向旅程图，5个节点）：</w:t>
      </w:r>
    </w:p>
    <w:p w14:paraId="19FAA58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开场光影：五色光影交织，汇聚成白瓷杯，拉开沉浸序幕。</w:t>
      </w:r>
    </w:p>
    <w:p w14:paraId="65A3FFF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3D广彩讲解：5步工序动态演绎，沉浸式感知广彩与APEC优先领域。</w:t>
      </w:r>
    </w:p>
    <w:p w14:paraId="2070D9F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DIY陶瓷杯：选底稿、定底色、分区域填色，低门槛体验非遗创作。</w:t>
      </w:r>
    </w:p>
    <w:p w14:paraId="63BE33F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数字资产生成：自动生成专属主题海报与3D数字作品，沉淀创作成果。</w:t>
      </w:r>
    </w:p>
    <w:p w14:paraId="41B0976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社交品质分享：作品流转分享，让广彩美学在社交圈层自然渗透，实现高质量品牌曝光。</w:t>
      </w:r>
    </w:p>
    <w:p w14:paraId="3EF0FC4F">
      <w:pPr>
        <w:rPr>
          <w:rFonts w:hint="eastAsia" w:asciiTheme="minorEastAsia" w:hAnsiTheme="minorEastAsia" w:eastAsiaTheme="minorEastAsia" w:cstheme="minorEastAsia"/>
        </w:rPr>
      </w:pPr>
    </w:p>
    <w:p w14:paraId="704C3501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05</w:t>
      </w:r>
    </w:p>
    <w:p w14:paraId="2327638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页面标题：开场动画与五色光影叙事</w:t>
      </w:r>
    </w:p>
    <w:p w14:paraId="2A906E5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副标题：以光影诠释 APEC 主题意象，用沉浸感拉开序幕</w:t>
      </w:r>
    </w:p>
    <w:p w14:paraId="45BBD83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正文描述：</w:t>
      </w:r>
    </w:p>
    <w:p w14:paraId="66897F7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用户进入 H5 后，由“海纳蓝（开放）、焕新紫（创新）、同心金（合作）、共融绿（共同体）、繁盛红（繁荣）”五色光影在 3D 空间中交织汇聚，逐渐显现一只白瓷杯，形成“光聚成器”的视觉意境。</w:t>
      </w:r>
    </w:p>
    <w:p w14:paraId="7156EA8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底部备注（两行小字）：</w:t>
      </w:r>
    </w:p>
    <w:p w14:paraId="3A107A2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五色光影仅作为开场环境氛围与主题意象的视觉引导。</w:t>
      </w:r>
    </w:p>
    <w:p w14:paraId="1A9AFD7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不参与用户后续 DIY 选色，用户填色环节依然使用广彩传统颜料。</w:t>
      </w:r>
    </w:p>
    <w:p w14:paraId="11D79414">
      <w:pPr>
        <w:rPr>
          <w:rFonts w:hint="eastAsia" w:asciiTheme="minorEastAsia" w:hAnsiTheme="minorEastAsia" w:eastAsiaTheme="minorEastAsia" w:cstheme="minorEastAsia"/>
        </w:rPr>
      </w:pPr>
    </w:p>
    <w:p w14:paraId="16B76098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06</w:t>
      </w:r>
    </w:p>
    <w:p w14:paraId="252F531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页面标题：AI赋能广彩，真瓷云上焕新</w:t>
      </w:r>
    </w:p>
    <w:p w14:paraId="6781B30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副标题：依托AI实物三维重建技术，打造手机端“亲临现场”的数字鉴赏与技艺讲解</w:t>
      </w:r>
    </w:p>
    <w:p w14:paraId="30924D9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正文描述：</w:t>
      </w:r>
    </w:p>
    <w:p w14:paraId="79EA975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技术底座：AI高精重建，复刻真瓷神韵</w:t>
      </w:r>
    </w:p>
    <w:p w14:paraId="23D83E1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以真实广彩瓷杯为采集原型，通过多视角高清实拍与AI智能补全还原，生成移动端可交互的高精度3D立体影像。精准复刻广彩纹样的细腻笔触与瓷釉的温润光泽，打破平面展示的局限。</w:t>
      </w:r>
    </w:p>
    <w:p w14:paraId="15CE265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体验升级：云上赏真瓷，指尖触匠心</w:t>
      </w:r>
    </w:p>
    <w:p w14:paraId="745AB55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用户可在手机端自由旋转、放大细赏，随时随地“云上赏真瓷”，深度触摸传统工艺的细节之美。</w:t>
      </w:r>
    </w:p>
    <w:p w14:paraId="61641E7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内容融合：3D交互讲解，呼应APEC主题</w:t>
      </w:r>
    </w:p>
    <w:p w14:paraId="7C8D150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基于高精3D模型，将广彩“描线、填色、织金、封金斗彩、烧烘”五步核心工序巧妙融入互动讲解，让用户在沉浸式把玩真瓷影像的同时，自然呼应“开放、创新、合作”的APEC优先领域与永丰源的现代技艺创新。</w:t>
      </w:r>
    </w:p>
    <w:p w14:paraId="4A85318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未来拓展：数字活化非遗，赋能个性创作</w:t>
      </w:r>
    </w:p>
    <w:p w14:paraId="686A537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后续可拓展互动创作功能，基于正统广彩文化元素开放个性化数字创作，以科技助力非遗活化，为广彩文化的当代传承与创新表达注入数字动能。</w:t>
      </w:r>
    </w:p>
    <w:p w14:paraId="77F98D5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底部提示：工艺术语、步骤顺序及技艺展示细节，需由永丰源专业团队审核确认。项目创意表达不替代 APEC 官方主题及正式表述。</w:t>
      </w:r>
    </w:p>
    <w:p w14:paraId="5AA1B363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07</w:t>
      </w:r>
    </w:p>
    <w:p w14:paraId="6B5A3E9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页面标题：DIY陶瓷杯：完整的广彩数字工序体验</w:t>
      </w:r>
    </w:p>
    <w:p w14:paraId="486D39C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副标题：将广彩五步工艺转化为可交互的数字创作，让用户深度感知永丰源技艺</w:t>
      </w:r>
    </w:p>
    <w:p w14:paraId="72AB0F4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正文描述（功能设计视角，而非用户操作视角）：</w:t>
      </w:r>
    </w:p>
    <w:p w14:paraId="274C796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描线环节：系统提供多款经典广彩线稿，奠定创作骨架，确保作品基底符合传统美学。</w:t>
      </w:r>
    </w:p>
    <w:p w14:paraId="380A56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填色环节：开放“底色+纹样色”双层级调色。底色提供白瓷地、青地、黄地等纯色选择；纹样色基于“主纹样色、辅纹样色、点缀色”二级标签，开放大红、西红、水青、鹤春等广彩传统颜料，兼顾个性表达与美学规范。</w:t>
      </w:r>
    </w:p>
    <w:p w14:paraId="6A84A69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织金环节：用户确认填色后，系统自动渲染金线纹理，直观呈现永丰源“釉、彩、金三重融合”技术的“金碧辉煌”效果。</w:t>
      </w:r>
    </w:p>
    <w:p w14:paraId="289A96D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封金斗彩环节：系统展示食品级安全标准，用户可360°检视金线与色彩的融合细节，确认最终形态。</w:t>
      </w:r>
    </w:p>
    <w:p w14:paraId="59B822F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烧烘成器环节：模拟窑火淬炼动画，生成专属的“主题海报”与“可旋转的3D陶瓷杯作品”，完成从创作到数字资产的闭环。</w:t>
      </w:r>
    </w:p>
    <w:p w14:paraId="708D961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底部提示：杯型、纹样底稿及广彩传统颜料色卡，均需由永丰源专业团队提供并审核确认，产品端负责在限定范围内设计互动体验机制。</w:t>
      </w:r>
    </w:p>
    <w:p w14:paraId="719FA38A">
      <w:pPr>
        <w:rPr>
          <w:rFonts w:hint="eastAsia" w:asciiTheme="minorEastAsia" w:hAnsiTheme="minorEastAsia" w:eastAsiaTheme="minorEastAsia" w:cstheme="minorEastAsia"/>
        </w:rPr>
      </w:pPr>
    </w:p>
    <w:p w14:paraId="557EA4D8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08</w:t>
      </w:r>
    </w:p>
    <w:p w14:paraId="6EB2971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页面标题：数字资产：双成果生成</w:t>
      </w:r>
    </w:p>
    <w:p w14:paraId="1D3D696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副标题：从互动体验到数字资产，让用户的创作沉淀为品牌传播媒介</w:t>
      </w:r>
    </w:p>
    <w:p w14:paraId="36CDA18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正文描述：</w:t>
      </w:r>
    </w:p>
    <w:p w14:paraId="3449A5C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成果一·主题海报：一键生成专属海报，融合用户作品主视觉与“为 APEC 添彩”主题，标注纹样与配色信息，作为高品质社交名片进行分享。</w:t>
      </w:r>
    </w:p>
    <w:p w14:paraId="67994DC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成果二·3D数字作品：高保真可交互3D作品，支持360°旋转、缩放与细节查看。用户可随时返回修改，实现沉浸式数字展示，并可作为品牌长期复用的数字资产。</w:t>
      </w:r>
    </w:p>
    <w:p w14:paraId="721A1C6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底部提示：双成果均保留同一套纹样与配色信息，确保品牌美学表达的高度统一，并沉淀为高质量的品牌数字资产。</w:t>
      </w:r>
    </w:p>
    <w:p w14:paraId="45B77EAA">
      <w:pPr>
        <w:rPr>
          <w:rFonts w:hint="eastAsia" w:asciiTheme="minorEastAsia" w:hAnsiTheme="minorEastAsia" w:eastAsiaTheme="minorEastAsia" w:cstheme="minorEastAsia"/>
        </w:rPr>
      </w:pPr>
    </w:p>
    <w:p w14:paraId="6A278E37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09</w:t>
      </w:r>
    </w:p>
    <w:p w14:paraId="58BEFE6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页面标题：共创机制与共彩贡献榜</w:t>
      </w:r>
    </w:p>
    <w:p w14:paraId="153EF8A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副标题：以“共创”为纽带，在公众参与中体验 APEC 主题意象</w:t>
      </w:r>
    </w:p>
    <w:p w14:paraId="7A935A0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正文描述：</w:t>
      </w:r>
    </w:p>
    <w:p w14:paraId="3788230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核心机制：共绘添彩，价值共创</w:t>
      </w:r>
    </w:p>
    <w:p w14:paraId="219A686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引入“共彩值”体系，将用户的个人DIY创作，延展为邀请好友共同参与的“共创”行为。</w:t>
      </w:r>
    </w:p>
    <w:p w14:paraId="7269B7D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鼓励用户以广彩创作为社交触点，邀请好友共同参与。在提升互动热度的同时，让用户在潜移默化中感受“开放、创新、合作”的APEC优先领域，以及多元文化交流互鉴的美好氛围。</w:t>
      </w:r>
    </w:p>
    <w:p w14:paraId="6F5D7B0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共彩值规则（鼓励合作，拒绝无效刷屏）：</w:t>
      </w:r>
    </w:p>
    <w:p w14:paraId="466D643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完成作品：+10（个人创作，体验“开放”）</w:t>
      </w:r>
    </w:p>
    <w:p w14:paraId="503950C9">
      <w:pPr>
        <w:rPr>
          <w:rFonts w:hint="eastAsia" w:asciiTheme="minorEastAsia" w:hAnsiTheme="minorEastAsia" w:eastAsiaTheme="minorEastAsia" w:cstheme="minorEastAsia"/>
        </w:rPr>
      </w:pPr>
    </w:p>
    <w:p w14:paraId="72B8FEF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邀请好友完成作品：+5（协作共创，体验“合作”）</w:t>
      </w:r>
    </w:p>
    <w:p w14:paraId="5C789FC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分享本身不计分（强调共创质量，而非无效转发）</w:t>
      </w:r>
    </w:p>
    <w:p w14:paraId="36903A2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共创礼赠（品牌方决策）：</w:t>
      </w:r>
    </w:p>
    <w:p w14:paraId="6DA05F2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推荐方案：榜单优胜的共创者，获得由永丰源提供的瓷器礼赠。这既是对用户“共创”贡献的最高认可，也让品牌实物产品获得极高的社交曝光。</w:t>
      </w:r>
    </w:p>
    <w:p w14:paraId="3664385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名额与形式（待双方共创确认）：具体获奖名额、奖品规格及预算，期待与永丰源团队根据营销规划共同确认。</w:t>
      </w:r>
    </w:p>
    <w:p w14:paraId="1E1E4CE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发放机制（方案提议，由品牌方决策）：</w:t>
      </w:r>
    </w:p>
    <w:p w14:paraId="261E7D5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路径A·邮寄配送（建议）：H5端自动结算共彩值并实时刷新榜单，由品牌方根据最终名单安排寄送。适合广泛覆盖，闭环线上体验。</w:t>
      </w:r>
    </w:p>
    <w:p w14:paraId="6573292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路径B·发布会现场领奖（建议）：将奖品发放与线下发布会结合，邀请优胜者亲临现场领奖。既能增加现场人气，又能制造极具仪式感的品牌传播事件。</w:t>
      </w:r>
    </w:p>
    <w:p w14:paraId="23C35F4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其他/组合方案：也可采用线上线下结合等灵活形式，产品端将全力配合品牌方的规则设计。</w:t>
      </w:r>
    </w:p>
    <w:p w14:paraId="47E8BD9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底部提示：</w:t>
      </w:r>
    </w:p>
    <w:p w14:paraId="1A9F7BA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本页所列共创玩法与礼赠机制为产品端初步建议。具体的获奖名额、礼赠形式及发放路径，由品牌方最终决策，我们将全力配合品牌方的活动规划，提供完善的系统支持。</w:t>
      </w:r>
    </w:p>
    <w:p w14:paraId="724E57B8">
      <w:pPr>
        <w:rPr>
          <w:rFonts w:hint="eastAsia" w:asciiTheme="minorEastAsia" w:hAnsiTheme="minorEastAsia" w:eastAsiaTheme="minorEastAsia" w:cstheme="minorEastAsia"/>
        </w:rPr>
      </w:pPr>
    </w:p>
    <w:p w14:paraId="593D90A1">
      <w:pPr>
        <w:rPr>
          <w:rFonts w:hint="eastAsia" w:asciiTheme="minorEastAsia" w:hAnsiTheme="minorEastAsia" w:eastAsiaTheme="minorEastAsia" w:cstheme="minorEastAsia"/>
          <w:b/>
          <w:bCs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10</w:t>
      </w:r>
      <w:r>
        <w:rPr>
          <w:rFonts w:hint="eastAsia" w:asciiTheme="minorEastAsia" w:hAnsiTheme="minorEastAsia" w:cstheme="minorEastAsia"/>
          <w:b/>
          <w:bCs/>
          <w:lang w:eastAsia="zh-CN"/>
        </w:rPr>
        <w:t>（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>多套视觉设计，多页展示</w:t>
      </w:r>
      <w:r>
        <w:rPr>
          <w:rFonts w:hint="eastAsia" w:asciiTheme="minorEastAsia" w:hAnsiTheme="minorEastAsia" w:cstheme="minorEastAsia"/>
          <w:b/>
          <w:bCs/>
          <w:lang w:eastAsia="zh-CN"/>
        </w:rPr>
        <w:t>）</w:t>
      </w:r>
    </w:p>
    <w:p w14:paraId="08D712D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页面标题：UI视觉风格提案</w:t>
      </w:r>
    </w:p>
    <w:p w14:paraId="0E55E9C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副标题：融合非遗底蕴与数字美学，为永丰源定制专属视觉格调</w:t>
      </w:r>
    </w:p>
    <w:p w14:paraId="6A389B8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正文描述（展示三种设计风格概念稿）：</w:t>
      </w:r>
    </w:p>
    <w:p w14:paraId="5B7B0AC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风格A·典雅东方风（推荐）：</w:t>
      </w:r>
    </w:p>
    <w:p w14:paraId="6A608F4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视觉特征：以深红、暗金为主基调，保留大量留白，UI边框采用广彩经典缠枝纹样，强调“博物馆级”的厚重感。</w:t>
      </w:r>
    </w:p>
    <w:p w14:paraId="22D3F58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适用场景：最能契合APEC国家级项目的庄重感，完美烘托永丰源“国瓷”的高级调性。</w:t>
      </w:r>
    </w:p>
    <w:p w14:paraId="49DF8C4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风格B·现代国潮风：</w:t>
      </w:r>
    </w:p>
    <w:p w14:paraId="4DD1810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视觉特征：提取广彩经典色彩（如鹤春、水青），结合现代化圆角卡片设计，强化高饱和对比与年轻化排版。</w:t>
      </w:r>
    </w:p>
    <w:p w14:paraId="5F84AA4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适用场景：适合吸引年轻用户群，让非遗文化显得轻盈、时尚，易于在社交媒体传播。</w:t>
      </w:r>
    </w:p>
    <w:p w14:paraId="497CCEC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风格C·沉浸光影风（技术见长）：</w:t>
      </w:r>
    </w:p>
    <w:p w14:paraId="6F8BC15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视觉特征：深色暗调背景，结合3DGS高精渲染的材质光影，UI界面极简，让视觉焦点完全集中在杯子本身的3D光影流转上。</w:t>
      </w:r>
    </w:p>
    <w:p w14:paraId="4F9BFC2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适用场景：突出数字科技的沉浸感，展现产品在技术层面的硬核与未来感。</w:t>
      </w:r>
    </w:p>
    <w:p w14:paraId="398534A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底部提示：</w:t>
      </w:r>
    </w:p>
    <w:p w14:paraId="37AEA0C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此页仅展示设计风格方向供对比参考。具体视觉细节、组件规范及配色，需待品牌方选定风格方向后，结合品牌VI规范进一步深化确认。</w:t>
      </w:r>
    </w:p>
    <w:p w14:paraId="7744A3E2">
      <w:pPr>
        <w:rPr>
          <w:rFonts w:hint="eastAsia" w:asciiTheme="minorEastAsia" w:hAnsiTheme="minorEastAsia" w:eastAsiaTheme="minorEastAsia" w:cstheme="minorEastAsia"/>
        </w:rPr>
      </w:pPr>
    </w:p>
    <w:p w14:paraId="76D6136B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第三板块：项目管理与品牌协同（3页</w:t>
      </w:r>
      <w:r>
        <w:rPr>
          <w:rFonts w:hint="eastAsia" w:asciiTheme="minorEastAsia" w:hAnsiTheme="minorEastAsia" w:cstheme="minorEastAsia"/>
          <w:b/>
          <w:bCs/>
          <w:lang w:eastAsia="zh-CN"/>
        </w:rPr>
        <w:t>，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>内部执行方案参考</w:t>
      </w:r>
      <w:r>
        <w:rPr>
          <w:rFonts w:hint="eastAsia" w:asciiTheme="minorEastAsia" w:hAnsiTheme="minorEastAsia" w:eastAsiaTheme="minorEastAsia" w:cstheme="minorEastAsia"/>
          <w:b/>
          <w:bCs/>
        </w:rPr>
        <w:t>）</w:t>
      </w:r>
    </w:p>
    <w:p w14:paraId="32F019A2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11</w:t>
      </w:r>
    </w:p>
    <w:p w14:paraId="5D8432C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页面标题：开发实施计划（4周极限冲刺）</w:t>
      </w:r>
    </w:p>
    <w:p w14:paraId="252FE7B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副标题：全程并行推进，双方同频共振，保障项目按时高质上线</w:t>
      </w:r>
    </w:p>
    <w:p w14:paraId="16009B3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正文（4周倒排期展示）：</w:t>
      </w:r>
    </w:p>
    <w:p w14:paraId="5706679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第1周：素材对齐与原型并行（关键启动）</w:t>
      </w:r>
    </w:p>
    <w:p w14:paraId="34620F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品牌方：确认最终杯型、纹样、颜色库及授权边界。（需要品牌方鼎力支持）</w:t>
      </w:r>
    </w:p>
    <w:p w14:paraId="42EC0D8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产品端：同步输出全链路高保真交互原型与UI视觉风格选定。</w:t>
      </w:r>
    </w:p>
    <w:p w14:paraId="255B0A0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第2周：视觉攻坚与开发并行（技术核心）</w:t>
      </w:r>
    </w:p>
    <w:p w14:paraId="487212A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产品端：完成3DGS高精渲染、陶瓷杯模型、贴图制作。</w:t>
      </w:r>
    </w:p>
    <w:p w14:paraId="5125050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前端：基于原型完成页面框架搭建与基础3D交互开发。</w:t>
      </w:r>
    </w:p>
    <w:p w14:paraId="2F9CBFB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第3周：数据联调与内测并行（重点攻坚）</w:t>
      </w:r>
    </w:p>
    <w:p w14:paraId="0527077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产品端：前后端数据打通，完成积分结算逻辑与双资产生成。</w:t>
      </w:r>
    </w:p>
    <w:p w14:paraId="7119DAF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测试端：开展多机型性能测试，启动低端机兜底方案，查漏补缺。</w:t>
      </w:r>
    </w:p>
    <w:p w14:paraId="5A290DB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第4周：合规验收与发布上线（共同把关）</w:t>
      </w:r>
    </w:p>
    <w:p w14:paraId="78D3F06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品牌方：完成所有内容、工艺、视觉的终审与授权确认。（需要品牌方高效反馈）</w:t>
      </w:r>
    </w:p>
    <w:p w14:paraId="7C4AC07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产品端：完成上线部署、发布配置，正式上线。</w:t>
      </w:r>
    </w:p>
    <w:p w14:paraId="34E2279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底部提示：</w:t>
      </w:r>
    </w:p>
    <w:p w14:paraId="66434AB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4周排期极度紧凑，各模块均需并行推进。前期素材的如期交付与后期审核的高效反馈，是保障项目按时上线的关键。期待与品牌方并肩作战，确保全平台流畅体验。</w:t>
      </w:r>
    </w:p>
    <w:p w14:paraId="745C121B">
      <w:pPr>
        <w:rPr>
          <w:rFonts w:hint="eastAsia" w:asciiTheme="minorEastAsia" w:hAnsiTheme="minorEastAsia" w:eastAsiaTheme="minorEastAsia" w:cstheme="minorEastAsia"/>
        </w:rPr>
      </w:pPr>
    </w:p>
    <w:p w14:paraId="27FBB41D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Page 12</w:t>
      </w:r>
    </w:p>
    <w:p w14:paraId="0C4F043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页面标题：品牌配合清单与审核责任</w:t>
      </w:r>
    </w:p>
    <w:p w14:paraId="14AD149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副标题：明确双方权责，夯实项目启动基石</w:t>
      </w:r>
    </w:p>
    <w:p w14:paraId="6ADF1AB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正文（表格形式，共5行，箭头统一用金色/品牌色）：</w:t>
      </w:r>
    </w:p>
    <w:p w14:paraId="5D828B6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最终杯型：品牌方提供多角度照片、尺寸、结构 ➡️ 品牌产品负责人确认</w:t>
      </w:r>
    </w:p>
    <w:p w14:paraId="57AF88F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纹样资料：品牌方提供分层源文件、授权范围 ➡️ 品牌创意与授权负责人确认</w:t>
      </w:r>
    </w:p>
    <w:p w14:paraId="7A6B9E9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配色与材质：品牌方提供标准色值、联动规则 ➡️ 品牌产品与工艺负责人确认</w:t>
      </w:r>
    </w:p>
    <w:p w14:paraId="61B30AC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工艺内容：品牌方提供工艺术语、步骤顺序 ➡️ 品牌工艺负责人确认</w:t>
      </w:r>
    </w:p>
    <w:p w14:paraId="2E53E33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APEC相关材料：品牌方提供书面授权 ➡️ 授权负责人确认</w:t>
      </w:r>
    </w:p>
    <w:p w14:paraId="5926873E">
      <w:pPr>
        <w:rPr>
          <w:rFonts w:hint="eastAsia" w:asciiTheme="minorEastAsia" w:hAnsiTheme="minorEastAsia" w:eastAsiaTheme="minorEastAsia" w:cstheme="minorEastAsia"/>
        </w:rPr>
      </w:pPr>
    </w:p>
    <w:p w14:paraId="77315DAF">
      <w:pPr>
        <w:rPr>
          <w:rFonts w:hint="eastAsia"/>
        </w:rPr>
      </w:pPr>
    </w:p>
    <w:p w14:paraId="0E51C2EC">
      <w:pPr>
        <w:rPr>
          <w:rFonts w:hint="eastAsia"/>
        </w:rPr>
      </w:pPr>
    </w:p>
    <w:p w14:paraId="3019A5E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64C9A"/>
    <w:rsid w:val="01141165"/>
    <w:rsid w:val="012D66CB"/>
    <w:rsid w:val="021B2B71"/>
    <w:rsid w:val="03726617"/>
    <w:rsid w:val="04671EF4"/>
    <w:rsid w:val="04FC753A"/>
    <w:rsid w:val="0591547A"/>
    <w:rsid w:val="06826B71"/>
    <w:rsid w:val="08193505"/>
    <w:rsid w:val="084122DC"/>
    <w:rsid w:val="0A217379"/>
    <w:rsid w:val="0A7F7F97"/>
    <w:rsid w:val="0A80786B"/>
    <w:rsid w:val="0B1B1342"/>
    <w:rsid w:val="0CE340E1"/>
    <w:rsid w:val="0EA77ABC"/>
    <w:rsid w:val="0FBE6AAF"/>
    <w:rsid w:val="0FFD54BA"/>
    <w:rsid w:val="10C009C2"/>
    <w:rsid w:val="112A0531"/>
    <w:rsid w:val="11BD1AE3"/>
    <w:rsid w:val="13203999"/>
    <w:rsid w:val="14255513"/>
    <w:rsid w:val="19E73463"/>
    <w:rsid w:val="1AF75E81"/>
    <w:rsid w:val="1BEC2FB3"/>
    <w:rsid w:val="1C512C50"/>
    <w:rsid w:val="1D3C3AC6"/>
    <w:rsid w:val="1D3F5364"/>
    <w:rsid w:val="1D477216"/>
    <w:rsid w:val="1EB63404"/>
    <w:rsid w:val="1FCD30FB"/>
    <w:rsid w:val="243C084F"/>
    <w:rsid w:val="2609650F"/>
    <w:rsid w:val="29AC1FD3"/>
    <w:rsid w:val="2A092F82"/>
    <w:rsid w:val="2B990AA9"/>
    <w:rsid w:val="2CDA0C05"/>
    <w:rsid w:val="2D142369"/>
    <w:rsid w:val="2F452CAE"/>
    <w:rsid w:val="30114AD4"/>
    <w:rsid w:val="315A2315"/>
    <w:rsid w:val="33DA7710"/>
    <w:rsid w:val="34880F47"/>
    <w:rsid w:val="35D73F34"/>
    <w:rsid w:val="36A209E6"/>
    <w:rsid w:val="37781747"/>
    <w:rsid w:val="379540A7"/>
    <w:rsid w:val="39C46EC5"/>
    <w:rsid w:val="3A612966"/>
    <w:rsid w:val="3B790925"/>
    <w:rsid w:val="3DFB09DB"/>
    <w:rsid w:val="3DFF227A"/>
    <w:rsid w:val="42870A90"/>
    <w:rsid w:val="431467C7"/>
    <w:rsid w:val="43635059"/>
    <w:rsid w:val="45DD2896"/>
    <w:rsid w:val="46EB5A91"/>
    <w:rsid w:val="474156B1"/>
    <w:rsid w:val="47571378"/>
    <w:rsid w:val="49247038"/>
    <w:rsid w:val="493A685C"/>
    <w:rsid w:val="4A4F4589"/>
    <w:rsid w:val="4C237A7B"/>
    <w:rsid w:val="4CE03BBE"/>
    <w:rsid w:val="4E3E0B9C"/>
    <w:rsid w:val="4EBE1CDD"/>
    <w:rsid w:val="50096F88"/>
    <w:rsid w:val="508C1F8F"/>
    <w:rsid w:val="50F91974"/>
    <w:rsid w:val="51F120D7"/>
    <w:rsid w:val="55222FC6"/>
    <w:rsid w:val="55D41DE6"/>
    <w:rsid w:val="56FC33A3"/>
    <w:rsid w:val="57A31A70"/>
    <w:rsid w:val="58F20F01"/>
    <w:rsid w:val="597C6A1D"/>
    <w:rsid w:val="5A44753A"/>
    <w:rsid w:val="5F6917F1"/>
    <w:rsid w:val="5FDB26EF"/>
    <w:rsid w:val="646A4041"/>
    <w:rsid w:val="659B022A"/>
    <w:rsid w:val="65B41784"/>
    <w:rsid w:val="66F44096"/>
    <w:rsid w:val="671F410F"/>
    <w:rsid w:val="689478DF"/>
    <w:rsid w:val="6903443B"/>
    <w:rsid w:val="6A9C0CCD"/>
    <w:rsid w:val="6D8B6DD7"/>
    <w:rsid w:val="6E05302D"/>
    <w:rsid w:val="6ECF78C3"/>
    <w:rsid w:val="6EE1125F"/>
    <w:rsid w:val="703379DD"/>
    <w:rsid w:val="703A5210"/>
    <w:rsid w:val="71DC40A5"/>
    <w:rsid w:val="72435B86"/>
    <w:rsid w:val="731157F2"/>
    <w:rsid w:val="738D1AFA"/>
    <w:rsid w:val="748051BB"/>
    <w:rsid w:val="75846F2D"/>
    <w:rsid w:val="75BC2223"/>
    <w:rsid w:val="7AC04563"/>
    <w:rsid w:val="7D05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4245</Words>
  <Characters>4409</Characters>
  <Lines>0</Lines>
  <Paragraphs>0</Paragraphs>
  <TotalTime>1</TotalTime>
  <ScaleCrop>false</ScaleCrop>
  <LinksUpToDate>false</LinksUpToDate>
  <CharactersWithSpaces>4467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2026-09-22T08:13:00Z</dcterms:created>
  <dc:creator>ersan</dc:creator>
  <cp:lastModifiedBy>月明</cp:lastModifiedBy>
  <dcterms:modified xsi:type="dcterms:W3CDTF">2026-09-22T15:33:00Z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eyJoZGlkIjoiMzEwNTM5NzYwMDRjMzkwZTVkZjY2ODkwMGIxNGU0OTUiLCJ1c2VySWQiOiIyNzIwMTE5NjAifQ==</vt:lpwstr>
  </property>
  <property fmtid="{D5CDD505-2E9C-101B-9397-08002B2CF9AE}" pid="4" name="ICV">
    <vt:lpwstr>6065E93029AA4F4E933F500BFD1D0562_13</vt:lpwstr>
  </property>
</Properties>
</file>