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 w:line="276"/>
        <w:jc w:val="center"/>
      </w:pPr>
      <w:r>
        <w:rPr>
          <w:rFonts w:ascii="Arial" w:cs="Arial" w:eastAsia="Arial" w:hAnsi="Arial"/>
          <w:b/>
          <w:bCs/>
          <w:color w:val="1a1a1a"/>
          <w:sz w:val="56"/>
          <w:szCs w:val="56"/>
        </w:rPr>
        <w:t xml:space="preserve">SHUANGSHUANG WU</w:t>
      </w:r>
    </w:p>
    <w:p>
      <w:pPr>
        <w:spacing w:after="800" w:line="276"/>
        <w:jc w:val="center"/>
      </w:pPr>
      <w:r>
        <w:rPr>
          <w:rFonts w:ascii="Arial" w:cs="Arial" w:eastAsia="Arial" w:hAnsi="Arial"/>
          <w:color w:val="666666"/>
          <w:sz w:val="22"/>
          <w:szCs w:val="22"/>
        </w:rPr>
        <w:t xml:space="preserve">shuang@heraai.net.au • +61 400 000 012 • Melbourne, Australia</w:t>
      </w:r>
    </w:p>
    <w:p>
      <w:pPr>
        <w:spacing w:before="400" w:after="200" w:line="276"/>
      </w:pPr>
      <w:r>
        <w:rPr>
          <w:rFonts w:ascii="Arial" w:cs="Arial" w:eastAsia="Arial" w:hAnsi="Arial"/>
          <w:b/>
          <w:bCs/>
          <w:caps/>
          <w:color w:val="1a1a1a"/>
          <w:sz w:val="28"/>
          <w:szCs w:val="28"/>
        </w:rPr>
        <w:t xml:space="preserve">PERSONAL HIGHLIGHTS</w:t>
      </w:r>
    </w:p>
    <w:p>
      <w:pPr>
        <w:spacing w:after="2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Professional highlights and achievements</w:t>
      </w:r>
    </w:p>
    <w:p>
      <w:pPr>
        <w:spacing w:after="400" w:line="276"/>
      </w:pPr>
      <w:r>
        <w:t xml:space="preserve"/>
      </w:r>
    </w:p>
    <w:p>
      <w:pPr>
        <w:spacing w:before="600" w:after="200" w:line="276"/>
      </w:pPr>
      <w:r>
        <w:rPr>
          <w:rFonts w:ascii="Arial" w:cs="Arial" w:eastAsia="Arial" w:hAnsi="Arial"/>
          <w:b/>
          <w:bCs/>
          <w:caps/>
          <w:color w:val="1a1a1a"/>
          <w:sz w:val="28"/>
          <w:szCs w:val="28"/>
        </w:rPr>
        <w:t xml:space="preserve">EMPLOYMENT HISTORY</w:t>
      </w:r>
    </w:p>
    <w:p>
      <w:pPr>
        <w:spacing w:before="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Senior Director - Operations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OCEAN LINK</w:t>
      </w:r>
      <w:r>
        <w:rPr>
          <w:rFonts w:ascii="Arial" w:cs="Arial" w:eastAsia="Arial" w:hAnsi="Arial"/>
          <w:i/>
          <w:iCs/>
          <w:color w:val="666666"/>
          <w:sz w:val="22"/>
          <w:szCs w:val="22"/>
        </w:rPr>
        <w:t xml:space="preserve">, Beijing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2021 - 2024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Managed buyout portfolios, overseeing exit strategies, cost reduction, efficiency improvements, and executive selection (with 1 C-level, 2 VPs, and 2 Directors onboard), and promoted inter-portfolio capital collaboration (e.g., Delonix and Ruby JV)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Led the post-merger integration of Kaiyuan Hotel Management Group and Betterwood Lifestyle Lab (now Delonix), involving shareholder restructuring, business consolidation, management enhancements, and strategic transition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Served on Ocean's portfolio boards and advised its cross-over fund for global HR-related investments</w:t>
      </w:r>
    </w:p>
    <w:p>
      <w:pPr>
        <w:spacing w:after="200" w:line="276"/>
      </w:pPr>
      <w:r>
        <w:t xml:space="preserve"/>
      </w:r>
    </w:p>
    <w:p>
      <w:pPr>
        <w:spacing w:before="3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VP of Strategy, M&amp;A, and Business Development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51Talk (NYSE American: COE)</w:t>
      </w:r>
      <w:r>
        <w:rPr>
          <w:rFonts w:ascii="Arial" w:cs="Arial" w:eastAsia="Arial" w:hAnsi="Arial"/>
          <w:i/>
          <w:iCs/>
          <w:color w:val="666666"/>
          <w:sz w:val="22"/>
          <w:szCs w:val="22"/>
        </w:rPr>
        <w:t xml:space="preserve">, Beijing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2020 - 2021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Introduced new investors, helping Sequoia and Shunwei exit with a 31.5% premium over 30-day average for their 2.9% stake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Led executives in ensuring compliance and financial stability during China's education industry reform, including a two- week, 3,000-person layoff, securing an RMB 1 billion cash reserve, and launching the Chinese teacher service in one month</w:t>
      </w:r>
    </w:p>
    <w:p>
      <w:pPr>
        <w:spacing w:after="200" w:line="276"/>
      </w:pPr>
      <w:r>
        <w:t xml:space="preserve"/>
      </w:r>
    </w:p>
    <w:p>
      <w:pPr>
        <w:spacing w:before="3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Head of Strategy, Chairperson of Investment Committee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ZHAOPIN LTD (智联招聘)</w:t>
      </w:r>
      <w:r>
        <w:rPr>
          <w:rFonts w:ascii="Arial" w:cs="Arial" w:eastAsia="Arial" w:hAnsi="Arial"/>
          <w:i/>
          <w:iCs/>
          <w:color w:val="666666"/>
          <w:sz w:val="22"/>
          <w:szCs w:val="22"/>
        </w:rPr>
        <w:t xml:space="preserve">, Beijing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2016 - 2019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Directed a five-year growth strategy, annual budgets, and quarterly operational metric reviews, achieving a 26.6% CAGR (2017 – 2019) in topline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Played a pivotal role in the take-private of Zhaopin and its M&amp;As, including Maimai, 51 She Bao, and ATS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Led offline businesses, achieving a threefold increase in revenue and an 8-percentage-point improvement in the bottom line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Served as a board member for Zhaopin's investment portfolios, including China Job Online (中国人才热线)</w:t>
      </w:r>
    </w:p>
    <w:p>
      <w:pPr>
        <w:spacing w:after="200" w:line="276"/>
      </w:pPr>
      <w:r>
        <w:t xml:space="preserve"/>
      </w:r>
    </w:p>
    <w:p>
      <w:pPr>
        <w:spacing w:before="3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Strategy Manager / International Strategy Analyst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SEEK Ltd (ASE: SEK)</w:t>
      </w:r>
      <w:r>
        <w:rPr>
          <w:rFonts w:ascii="Arial" w:cs="Arial" w:eastAsia="Arial" w:hAnsi="Arial"/>
          <w:i/>
          <w:iCs/>
          <w:color w:val="666666"/>
          <w:sz w:val="22"/>
          <w:szCs w:val="22"/>
        </w:rPr>
        <w:t xml:space="preserve">, Melbourne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2014 - 2015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Oversaw strategy, FP&amp;A, and investments for OCC.com.mx (the #1 job portal in Mexico) and Zhaopin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Sourced and participated in early-stage investments for SEEK Ventures (now SEEK Investments) in China and the US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Evaluated and facilitated investments in Babajob.com (the #1 low-ground recruiting platform in India)</w:t>
      </w:r>
    </w:p>
    <w:p>
      <w:pPr>
        <w:spacing w:after="200" w:line="276"/>
      </w:pPr>
      <w:r>
        <w:t xml:space="preserve"/>
      </w:r>
    </w:p>
    <w:p>
      <w:pPr>
        <w:spacing w:before="3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Attorney at Law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FANGDA PARTNERS</w:t>
      </w:r>
      <w:r>
        <w:rPr>
          <w:rFonts w:ascii="Arial" w:cs="Arial" w:eastAsia="Arial" w:hAnsi="Arial"/>
          <w:i/>
          <w:iCs/>
          <w:color w:val="666666"/>
          <w:sz w:val="22"/>
          <w:szCs w:val="22"/>
        </w:rPr>
        <w:t xml:space="preserve">, Beijing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2008 - 2012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Expertise: Capital markets, cross-border M&amp;A, structuring/executing exit mechanisms for PE/VC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Advised international private equity firms on acquisitions and integrations in China. Representative projects include TPG's investment in Daphne and the joint acquisition of CICC shares by TPG, KKR, and GIC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Specialized in A-share IPOs and major asset restructuring, with top client Guangdong Expressway (SHSE: 000429)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Pioneered early efforts in antitrust filings, data security examinations, and other legal matters related to M&amp;A in China</w:t>
      </w:r>
    </w:p>
    <w:p>
      <w:pPr>
        <w:spacing w:after="200" w:line="276"/>
      </w:pPr>
      <w:r>
        <w:t xml:space="preserve"/>
      </w:r>
    </w:p>
    <w:p>
      <w:pPr>
        <w:spacing w:before="400" w:after="200" w:line="276"/>
      </w:pPr>
      <w:r>
        <w:rPr>
          <w:rFonts w:ascii="Arial" w:cs="Arial" w:eastAsia="Arial" w:hAnsi="Arial"/>
          <w:b/>
          <w:bCs/>
          <w:caps/>
          <w:color w:val="1a1a1a"/>
          <w:sz w:val="28"/>
          <w:szCs w:val="28"/>
        </w:rPr>
        <w:t xml:space="preserve">EDUCATION</w:t>
      </w:r>
    </w:p>
    <w:p>
      <w:pPr>
        <w:spacing w:before="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Master of Business Administration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The University of Chicago Booth School of Business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2012 - 2014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Chicago Booth 1898 Scholarship</w:t>
      </w:r>
    </w:p>
    <w:p>
      <w:pPr>
        <w:spacing w:after="200" w:line="276"/>
      </w:pPr>
      <w:r>
        <w:t xml:space="preserve"/>
      </w:r>
    </w:p>
    <w:p>
      <w:pPr>
        <w:spacing w:before="3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Bachelor of Law; Bachelor of Economics</w:t>
      </w:r>
    </w:p>
    <w:p>
      <w:pPr>
        <w:spacing w:after="100" w:line="276"/>
      </w:pPr>
      <w:r>
        <w:rPr>
          <w:rFonts w:ascii="Arial" w:cs="Arial" w:eastAsia="Arial" w:hAnsi="Arial"/>
          <w:b/>
          <w:bCs/>
          <w:color w:val="666666"/>
          <w:sz w:val="22"/>
          <w:szCs w:val="22"/>
        </w:rPr>
        <w:t xml:space="preserve">Peking University</w:t>
      </w:r>
    </w:p>
    <w:p>
      <w:pPr>
        <w:spacing w:after="200" w:line="276"/>
      </w:pPr>
      <w:r>
        <w:rPr>
          <w:rFonts w:ascii="Arial" w:cs="Arial" w:eastAsia="Arial" w:hAnsi="Arial"/>
          <w:color w:val="888888"/>
          <w:sz w:val="22"/>
          <w:szCs w:val="22"/>
        </w:rPr>
        <w:t xml:space="preserve">2004 - 2008</w:t>
      </w:r>
    </w:p>
    <w:p>
      <w:pPr>
        <w:spacing w:before="1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• Received the Highest Comprehensive Award, First-Class Merit Scholarship, and Academic Breakthrough Award</w:t>
      </w:r>
    </w:p>
    <w:p>
      <w:pPr>
        <w:spacing w:after="200" w:line="276"/>
      </w:pPr>
      <w:r>
        <w:t xml:space="preserve"/>
      </w:r>
    </w:p>
    <w:p>
      <w:pPr>
        <w:spacing w:before="400" w:after="200" w:line="276"/>
      </w:pPr>
      <w:r>
        <w:rPr>
          <w:rFonts w:ascii="Arial" w:cs="Arial" w:eastAsia="Arial" w:hAnsi="Arial"/>
          <w:b/>
          <w:bCs/>
          <w:caps/>
          <w:color w:val="1a1a1a"/>
          <w:sz w:val="28"/>
          <w:szCs w:val="28"/>
        </w:rPr>
        <w:t xml:space="preserve">ADDITIONAL INFORMATION</w:t>
      </w:r>
    </w:p>
    <w:p>
      <w:pPr>
        <w:spacing w:before="200" w:after="1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Languages</w:t>
      </w:r>
    </w:p>
    <w:p>
      <w:pPr>
        <w:spacing w:after="3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English (Basic)</w:t>
      </w:r>
    </w:p>
    <w:p>
      <w:pPr>
        <w:spacing w:before="200" w:after="100" w:line="276"/>
      </w:pPr>
      <w:r>
        <w:rPr>
          <w:rFonts w:ascii="Arial" w:cs="Arial" w:eastAsia="Arial" w:hAnsi="Arial"/>
          <w:b/>
          <w:bCs/>
          <w:color w:val="1a1a1a"/>
          <w:sz w:val="24"/>
          <w:szCs w:val="24"/>
        </w:rPr>
        <w:t xml:space="preserve">Working Rights</w:t>
      </w:r>
    </w:p>
    <w:p>
      <w:pPr>
        <w:spacing w:after="400" w:line="276"/>
      </w:pPr>
      <w:r>
        <w:rPr>
          <w:rFonts w:ascii="Arial" w:cs="Arial" w:eastAsia="Arial" w:hAnsi="Arial"/>
          <w:color w:val="333333"/>
          <w:sz w:val="22"/>
          <w:szCs w:val="22"/>
        </w:rPr>
        <w:t xml:space="preserve">Australian Permanent Resident</w:t>
      </w:r>
    </w:p>
    <w:sectPr>
      <w:pgSz w:w="11906" w:h="16838" w:orient="portrait"/>
      <w:pgMar w:top="1152" w:right="720" w:bottom="1152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2025-08-25T13:37:12.900Z</dcterms:created>
  <dcterms:modified xsi:type="dcterms:W3CDTF">2025-08-25T13:37:12.900Z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