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Segoe UI" w:hAnsi="Segoe UI"/>
          <w:b/>
          <w:color w:val="0B192C"/>
          <w:sz w:val="48"/>
        </w:rPr>
        <w:t>Data-Driven Improvements in Secondary Education</w:t>
        <w:br/>
      </w:r>
      <w:r>
        <w:rPr>
          <w:rFonts w:ascii="Segoe UI" w:hAnsi="Segoe UI"/>
          <w:color w:val="64748B"/>
          <w:sz w:val="26"/>
        </w:rPr>
        <w:t>A Comprehensive National Case Study &amp; BI Architecture on Educational Outcomes Across 28 States</w:t>
        <w:br/>
      </w:r>
    </w:p>
    <w:p>
      <w:pPr>
        <w:spacing w:after="480"/>
        <w:jc w:val="center"/>
      </w:pPr>
      <w:r>
        <w:rPr>
          <w:rFonts w:ascii="Segoe UI" w:hAnsi="Segoe UI"/>
          <w:b/>
          <w:color w:val="D97706"/>
          <w:sz w:val="21"/>
        </w:rPr>
        <w:t>Author: Shubham Gadekar  |  Role: Lead Data Analyst  |  Platform: Microsoft Power BI</w:t>
        <w:br/>
        <w:t>Scope: 500,000 Students | 50,000 Schools | 100,000 Teachers | 28 States</w:t>
      </w:r>
    </w:p>
    <w:p>
      <w:r>
        <w:br w:type="page"/>
      </w:r>
    </w:p>
    <w:p>
      <w:pPr>
        <w:pStyle w:val="Heading1"/>
      </w:pPr>
      <w:r>
        <w:rPr>
          <w:rFonts w:ascii="Segoe UI" w:hAnsi="Segoe UI"/>
          <w:b/>
          <w:color w:val="0B192C"/>
          <w:sz w:val="36"/>
        </w:rPr>
        <w:t>1. Executive Summary</w:t>
      </w:r>
    </w:p>
    <w:p>
      <w:pPr>
        <w:spacing w:after="120" w:line="276" w:lineRule="auto"/>
      </w:pPr>
      <w:r>
        <w:rPr>
          <w:rFonts w:ascii="Segoe UI" w:hAnsi="Segoe UI"/>
          <w:color w:val="334155"/>
          <w:sz w:val="22"/>
        </w:rPr>
        <w:t>The Ministry of Education has launched a flagship nationwide initiative aimed at optimizing student performance in secondary schools across all 28 Indian States. This comprehensive case study analyzes secondary school student achievements in core disciplines—specifically Mathematics—and investigates the quantitative impact of educator qualifications, in-service pedagogical training, physical and digital school infrastructure, student attendance patterns, and socio-economic demographics.</w:t>
      </w:r>
    </w:p>
    <w:p>
      <w:pPr>
        <w:spacing w:after="120" w:line="276" w:lineRule="auto"/>
      </w:pPr>
      <w:r>
        <w:rPr>
          <w:rFonts w:ascii="Segoe UI" w:hAnsi="Segoe UI"/>
          <w:color w:val="334155"/>
          <w:sz w:val="22"/>
        </w:rPr>
        <w:t>Utilizing census-scale data covering 500,000 students, 50,000 secondary schools, and 100,000 educators, this project developed a centralized, interactive 5-page Power BI Command Center. The empirical analysis demonstrates that while the macro national average score stands at 65.92 / 100 with an overall pass rate of 87.34%, profound variations exist across school infrastructure, teacher training completion, and student attendance tiers.</w:t>
      </w:r>
    </w:p>
    <w:p>
      <w:pPr>
        <w:spacing w:after="120" w:line="276" w:lineRule="auto"/>
      </w:pPr>
      <w:r>
        <w:rPr>
          <w:rFonts w:ascii="Segoe UI" w:hAnsi="Segoe UI"/>
          <w:color w:val="334155"/>
          <w:sz w:val="22"/>
        </w:rPr>
        <w:t>Key strategic findings include: (1) Teacher training completion (70.22%) has a measurable positive impact on state-level performance; (2) A 20.09% digital connectivity deficit remains across 10,046 schools; and (3) Chronic absenteeism (&lt;50% attendance) is the primary predictor of remedial student failure (&lt;40 marks). A multi-tiered 3-Pronged Strategic Policy Framework is proposed to guide targeted budgetary allocation and administrative interventions.</w:t>
      </w:r>
    </w:p>
    <w:p>
      <w:pPr>
        <w:pStyle w:val="Heading1"/>
      </w:pPr>
      <w:r>
        <w:rPr>
          <w:rFonts w:ascii="Segoe UI" w:hAnsi="Segoe UI"/>
          <w:b/>
          <w:color w:val="0B192C"/>
          <w:sz w:val="36"/>
        </w:rPr>
        <w:t>2. Problem Statement &amp; Case Study Mandate</w:t>
      </w:r>
    </w:p>
    <w:p>
      <w:pPr>
        <w:spacing w:after="120" w:line="276" w:lineRule="auto"/>
      </w:pPr>
      <w:r>
        <w:rPr>
          <w:rFonts w:ascii="Segoe UI" w:hAnsi="Segoe UI"/>
          <w:color w:val="334155"/>
          <w:sz w:val="22"/>
        </w:rPr>
        <w:t>Secondary education represents a pivotal transition point in human capital development. However, education administrators frequently face significant challenges in pinpointing which policy levers yield the highest return on educational outcomes. The Ministry established five core analytical objectives:</w:t>
      </w:r>
    </w:p>
    <w:p>
      <w:pPr>
        <w:spacing w:after="120" w:line="276" w:lineRule="auto"/>
      </w:pPr>
      <w:r>
        <w:rPr>
          <w:rFonts w:ascii="Segoe UI" w:hAnsi="Segoe UI"/>
          <w:b/>
          <w:color w:val="1E293B"/>
          <w:sz w:val="22"/>
        </w:rPr>
        <w:t xml:space="preserve">1. Geographic Disparity Benchmarking: </w:t>
      </w:r>
      <w:r>
        <w:rPr>
          <w:rFonts w:ascii="Segoe UI" w:hAnsi="Segoe UI"/>
          <w:color w:val="334155"/>
          <w:sz w:val="22"/>
        </w:rPr>
        <w:t>Benchmark student performance across all 28 states, isolating geographic patterns, top-performing clusters, and lagging regions requiring targeted support.</w:t>
      </w:r>
    </w:p>
    <w:p>
      <w:pPr>
        <w:spacing w:after="120" w:line="276" w:lineRule="auto"/>
      </w:pPr>
      <w:r>
        <w:rPr>
          <w:rFonts w:ascii="Segoe UI" w:hAnsi="Segoe UI"/>
          <w:b/>
          <w:color w:val="1E293B"/>
          <w:sz w:val="22"/>
        </w:rPr>
        <w:t xml:space="preserve">2. Pedagogical Capacity Dynamics: </w:t>
      </w:r>
      <w:r>
        <w:rPr>
          <w:rFonts w:ascii="Segoe UI" w:hAnsi="Segoe UI"/>
          <w:color w:val="334155"/>
          <w:sz w:val="22"/>
        </w:rPr>
        <w:t>Evaluate the relationship between formal degrees (B.Ed, M.Ed, Ph.D), years of experience (1-29 years), state in-service training completion, and student achievement.</w:t>
      </w:r>
    </w:p>
    <w:p>
      <w:pPr>
        <w:spacing w:after="120" w:line="276" w:lineRule="auto"/>
      </w:pPr>
      <w:r>
        <w:rPr>
          <w:rFonts w:ascii="Segoe UI" w:hAnsi="Segoe UI"/>
          <w:b/>
          <w:color w:val="1E293B"/>
          <w:sz w:val="22"/>
        </w:rPr>
        <w:t xml:space="preserve">3. Digital &amp; Physical Infrastructure: </w:t>
      </w:r>
      <w:r>
        <w:rPr>
          <w:rFonts w:ascii="Segoe UI" w:hAnsi="Segoe UI"/>
          <w:color w:val="334155"/>
          <w:sz w:val="22"/>
        </w:rPr>
        <w:t>Measure the influence of physical classrooms (5-19), computer lab density (0-49), broadband internet connectivity, and library resources.</w:t>
      </w:r>
    </w:p>
    <w:p>
      <w:pPr>
        <w:spacing w:after="120" w:line="276" w:lineRule="auto"/>
      </w:pPr>
      <w:r>
        <w:rPr>
          <w:rFonts w:ascii="Segoe UI" w:hAnsi="Segoe UI"/>
          <w:b/>
          <w:color w:val="1E293B"/>
          <w:sz w:val="22"/>
        </w:rPr>
        <w:t xml:space="preserve">4. Behavioral &amp; Attendance Correlation: </w:t>
      </w:r>
      <w:r>
        <w:rPr>
          <w:rFonts w:ascii="Segoe UI" w:hAnsi="Segoe UI"/>
          <w:color w:val="334155"/>
          <w:sz w:val="22"/>
        </w:rPr>
        <w:t>Investigate monthly attendance rates (0-100%) and establish quantitative correlation with standardized examination scores.</w:t>
      </w:r>
    </w:p>
    <w:p>
      <w:pPr>
        <w:spacing w:after="120" w:line="276" w:lineRule="auto"/>
      </w:pPr>
      <w:r>
        <w:rPr>
          <w:rFonts w:ascii="Segoe UI" w:hAnsi="Segoe UI"/>
          <w:b/>
          <w:color w:val="1E293B"/>
          <w:sz w:val="22"/>
        </w:rPr>
        <w:t xml:space="preserve">5. Socio-Economic Equity: </w:t>
      </w:r>
      <w:r>
        <w:rPr>
          <w:rFonts w:ascii="Segoe UI" w:hAnsi="Segoe UI"/>
          <w:color w:val="334155"/>
          <w:sz w:val="22"/>
        </w:rPr>
        <w:t>Assess the baseline impact of parental educational attainment (Primary to Post-Graduate) and household income tiers (Low, Medium, High).</w:t>
      </w:r>
    </w:p>
    <w:p>
      <w:pPr>
        <w:pStyle w:val="Heading1"/>
      </w:pPr>
      <w:r>
        <w:rPr>
          <w:rFonts w:ascii="Segoe UI" w:hAnsi="Segoe UI"/>
          <w:b/>
          <w:color w:val="0B192C"/>
          <w:sz w:val="36"/>
        </w:rPr>
        <w:t>3. Part 1: Data Understanding &amp; Quality Audit (Dataset 1)</w:t>
      </w:r>
    </w:p>
    <w:p>
      <w:pPr>
        <w:spacing w:after="120" w:line="276" w:lineRule="auto"/>
      </w:pPr>
      <w:r>
        <w:rPr>
          <w:rFonts w:ascii="Segoe UI" w:hAnsi="Segoe UI"/>
          <w:color w:val="334155"/>
          <w:sz w:val="22"/>
        </w:rPr>
        <w:t>In accordance with Part 1 of the assignment, a systematic data hygiene and referential integrity audit was conducted on 'Dataset1- Educational Improvements Insights.xlsx'. Multiple critical flaws were discovered:</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rFonts w:ascii="Segoe UI" w:hAnsi="Segoe UI"/>
                <w:b/>
              </w:rPr>
              <w:t>Table Name</w:t>
            </w:r>
          </w:p>
        </w:tc>
        <w:tc>
          <w:tcPr>
            <w:tcW w:type="dxa" w:w="2340"/>
          </w:tcPr>
          <w:p>
            <w:r>
              <w:rPr>
                <w:rFonts w:ascii="Segoe UI" w:hAnsi="Segoe UI"/>
                <w:b/>
              </w:rPr>
              <w:t>Records</w:t>
            </w:r>
          </w:p>
        </w:tc>
        <w:tc>
          <w:tcPr>
            <w:tcW w:type="dxa" w:w="2340"/>
          </w:tcPr>
          <w:p>
            <w:r>
              <w:rPr>
                <w:rFonts w:ascii="Segoe UI" w:hAnsi="Segoe UI"/>
                <w:b/>
              </w:rPr>
              <w:t>Defects Identified</w:t>
            </w:r>
          </w:p>
        </w:tc>
        <w:tc>
          <w:tcPr>
            <w:tcW w:type="dxa" w:w="2340"/>
          </w:tcPr>
          <w:p>
            <w:r>
              <w:rPr>
                <w:rFonts w:ascii="Segoe UI" w:hAnsi="Segoe UI"/>
                <w:b/>
              </w:rPr>
              <w:t>Severity &amp; Impact</w:t>
            </w:r>
          </w:p>
        </w:tc>
      </w:tr>
      <w:tr>
        <w:tc>
          <w:tcPr>
            <w:tcW w:type="dxa" w:w="2340"/>
          </w:tcPr>
          <w:p>
            <w:r>
              <w:rPr>
                <w:rFonts w:ascii="Segoe UI" w:hAnsi="Segoe UI"/>
                <w:sz w:val="19"/>
              </w:rPr>
              <w:t>Attandance Data</w:t>
            </w:r>
          </w:p>
        </w:tc>
        <w:tc>
          <w:tcPr>
            <w:tcW w:type="dxa" w:w="2340"/>
          </w:tcPr>
          <w:p>
            <w:r>
              <w:rPr>
                <w:rFonts w:ascii="Segoe UI" w:hAnsi="Segoe UI"/>
                <w:sz w:val="19"/>
              </w:rPr>
              <w:t>1,825 rows</w:t>
            </w:r>
          </w:p>
        </w:tc>
        <w:tc>
          <w:tcPr>
            <w:tcW w:type="dxa" w:w="2340"/>
          </w:tcPr>
          <w:p>
            <w:r>
              <w:rPr>
                <w:rFonts w:ascii="Segoe UI" w:hAnsi="Segoe UI"/>
                <w:sz w:val="19"/>
              </w:rPr>
              <w:t>Incomplete sample (&lt;0.36% coverage), 4 null dates, 5 null attendance, text format ('Present'/'Absent')</w:t>
            </w:r>
          </w:p>
        </w:tc>
        <w:tc>
          <w:tcPr>
            <w:tcW w:type="dxa" w:w="2340"/>
          </w:tcPr>
          <w:p>
            <w:r>
              <w:rPr>
                <w:rFonts w:ascii="Segoe UI" w:hAnsi="Segoe UI"/>
                <w:sz w:val="19"/>
              </w:rPr>
              <w:t>CRITICAL: 99.64% data loss if joined; statistical correlation invalid.</w:t>
            </w:r>
          </w:p>
        </w:tc>
      </w:tr>
      <w:tr>
        <w:tc>
          <w:tcPr>
            <w:tcW w:type="dxa" w:w="2340"/>
          </w:tcPr>
          <w:p>
            <w:r>
              <w:rPr>
                <w:rFonts w:ascii="Segoe UI" w:hAnsi="Segoe UI"/>
                <w:sz w:val="19"/>
              </w:rPr>
              <w:t>Socio_economic Data</w:t>
            </w:r>
          </w:p>
        </w:tc>
        <w:tc>
          <w:tcPr>
            <w:tcW w:type="dxa" w:w="2340"/>
          </w:tcPr>
          <w:p>
            <w:r>
              <w:rPr>
                <w:rFonts w:ascii="Segoe UI" w:hAnsi="Segoe UI"/>
                <w:sz w:val="19"/>
              </w:rPr>
              <w:t>500,000 rows</w:t>
            </w:r>
          </w:p>
        </w:tc>
        <w:tc>
          <w:tcPr>
            <w:tcW w:type="dxa" w:w="2340"/>
          </w:tcPr>
          <w:p>
            <w:r>
              <w:rPr>
                <w:rFonts w:ascii="Segoe UI" w:hAnsi="Segoe UI"/>
                <w:sz w:val="19"/>
              </w:rPr>
              <w:t>Missing 'School ID' foreign key; 3 null states, 6 null education, 4 null income</w:t>
            </w:r>
          </w:p>
        </w:tc>
        <w:tc>
          <w:tcPr>
            <w:tcW w:type="dxa" w:w="2340"/>
          </w:tcPr>
          <w:p>
            <w:r>
              <w:rPr>
                <w:rFonts w:ascii="Segoe UI" w:hAnsi="Segoe UI"/>
                <w:sz w:val="19"/>
              </w:rPr>
              <w:t>CRITICAL: Broken relational path; cannot link students to school infrastructure.</w:t>
            </w:r>
          </w:p>
        </w:tc>
      </w:tr>
      <w:tr>
        <w:tc>
          <w:tcPr>
            <w:tcW w:type="dxa" w:w="2340"/>
          </w:tcPr>
          <w:p>
            <w:r>
              <w:rPr>
                <w:rFonts w:ascii="Segoe UI" w:hAnsi="Segoe UI"/>
                <w:sz w:val="19"/>
              </w:rPr>
              <w:t>School_Infrastructure</w:t>
            </w:r>
          </w:p>
        </w:tc>
        <w:tc>
          <w:tcPr>
            <w:tcW w:type="dxa" w:w="2340"/>
          </w:tcPr>
          <w:p>
            <w:r>
              <w:rPr>
                <w:rFonts w:ascii="Segoe UI" w:hAnsi="Segoe UI"/>
                <w:sz w:val="19"/>
              </w:rPr>
              <w:t>50,000 rows</w:t>
            </w:r>
          </w:p>
        </w:tc>
        <w:tc>
          <w:tcPr>
            <w:tcW w:type="dxa" w:w="2340"/>
          </w:tcPr>
          <w:p>
            <w:r>
              <w:rPr>
                <w:rFonts w:ascii="Segoe UI" w:hAnsi="Segoe UI"/>
                <w:sz w:val="19"/>
              </w:rPr>
              <w:t>2 null states, 2 null computers, 1 null library</w:t>
            </w:r>
          </w:p>
        </w:tc>
        <w:tc>
          <w:tcPr>
            <w:tcW w:type="dxa" w:w="2340"/>
          </w:tcPr>
          <w:p>
            <w:r>
              <w:rPr>
                <w:rFonts w:ascii="Segoe UI" w:hAnsi="Segoe UI"/>
                <w:sz w:val="19"/>
              </w:rPr>
              <w:t>MODERATE: Unassigned schools drop out of state-level visual mapping.</w:t>
            </w:r>
          </w:p>
        </w:tc>
      </w:tr>
      <w:tr>
        <w:tc>
          <w:tcPr>
            <w:tcW w:type="dxa" w:w="2340"/>
          </w:tcPr>
          <w:p>
            <w:r>
              <w:rPr>
                <w:rFonts w:ascii="Segoe UI" w:hAnsi="Segoe UI"/>
                <w:sz w:val="19"/>
              </w:rPr>
              <w:t xml:space="preserve">Teacher_Data </w:t>
            </w:r>
          </w:p>
        </w:tc>
        <w:tc>
          <w:tcPr>
            <w:tcW w:type="dxa" w:w="2340"/>
          </w:tcPr>
          <w:p>
            <w:r>
              <w:rPr>
                <w:rFonts w:ascii="Segoe UI" w:hAnsi="Segoe UI"/>
                <w:sz w:val="19"/>
              </w:rPr>
              <w:t>100,000 rows</w:t>
            </w:r>
          </w:p>
        </w:tc>
        <w:tc>
          <w:tcPr>
            <w:tcW w:type="dxa" w:w="2340"/>
          </w:tcPr>
          <w:p>
            <w:r>
              <w:rPr>
                <w:rFonts w:ascii="Segoe UI" w:hAnsi="Segoe UI"/>
                <w:sz w:val="19"/>
              </w:rPr>
              <w:t>Trailing whitespace in sheet name ('Teacher_Data '); 9 null fields across attributes</w:t>
            </w:r>
          </w:p>
        </w:tc>
        <w:tc>
          <w:tcPr>
            <w:tcW w:type="dxa" w:w="2340"/>
          </w:tcPr>
          <w:p>
            <w:r>
              <w:rPr>
                <w:rFonts w:ascii="Segoe UI" w:hAnsi="Segoe UI"/>
                <w:sz w:val="19"/>
              </w:rPr>
              <w:t>HIGH: Breaks automated Power Query and Python ETL refresh pipelines.</w:t>
            </w:r>
          </w:p>
        </w:tc>
      </w:tr>
      <w:tr>
        <w:tc>
          <w:tcPr>
            <w:tcW w:type="dxa" w:w="2340"/>
          </w:tcPr>
          <w:p>
            <w:r>
              <w:rPr>
                <w:rFonts w:ascii="Segoe UI" w:hAnsi="Segoe UI"/>
                <w:sz w:val="19"/>
              </w:rPr>
              <w:t>Students Performance</w:t>
            </w:r>
          </w:p>
        </w:tc>
        <w:tc>
          <w:tcPr>
            <w:tcW w:type="dxa" w:w="2340"/>
          </w:tcPr>
          <w:p>
            <w:r>
              <w:rPr>
                <w:rFonts w:ascii="Segoe UI" w:hAnsi="Segoe UI"/>
                <w:sz w:val="19"/>
              </w:rPr>
              <w:t>500,000 rows</w:t>
            </w:r>
          </w:p>
        </w:tc>
        <w:tc>
          <w:tcPr>
            <w:tcW w:type="dxa" w:w="2340"/>
          </w:tcPr>
          <w:p>
            <w:r>
              <w:rPr>
                <w:rFonts w:ascii="Segoe UI" w:hAnsi="Segoe UI"/>
                <w:sz w:val="19"/>
              </w:rPr>
              <w:t>Homogeneous subject (Mathematics only); lacks direct School ID</w:t>
            </w:r>
          </w:p>
        </w:tc>
        <w:tc>
          <w:tcPr>
            <w:tcW w:type="dxa" w:w="2340"/>
          </w:tcPr>
          <w:p>
            <w:r>
              <w:rPr>
                <w:rFonts w:ascii="Segoe UI" w:hAnsi="Segoe UI"/>
                <w:sz w:val="19"/>
              </w:rPr>
              <w:t>MODERATE: Requires multi-table join to associate with school assets.</w:t>
            </w:r>
          </w:p>
        </w:tc>
      </w:tr>
    </w:tbl>
    <w:p>
      <w:pPr>
        <w:spacing w:after="120" w:line="276" w:lineRule="auto"/>
      </w:pPr>
      <w:r>
        <w:rPr>
          <w:rFonts w:ascii="Segoe UI" w:hAnsi="Segoe UI"/>
          <w:color w:val="334155"/>
          <w:sz w:val="22"/>
        </w:rPr>
        <w:t>Resolution: Migrated to production-grade Dataset 2, which provides 100% census data (500,000 student records), full relational integrity via School ID, 0 missing values, and cleaned entity headers.</w:t>
      </w:r>
    </w:p>
    <w:p>
      <w:pPr>
        <w:pStyle w:val="Heading1"/>
      </w:pPr>
      <w:r>
        <w:rPr>
          <w:rFonts w:ascii="Segoe UI" w:hAnsi="Segoe UI"/>
          <w:b/>
          <w:color w:val="0B192C"/>
          <w:sz w:val="36"/>
        </w:rPr>
        <w:t>4. Methodologies, Data Architecture &amp; Star Schema</w:t>
      </w:r>
    </w:p>
    <w:p>
      <w:pPr>
        <w:spacing w:after="120" w:line="276" w:lineRule="auto"/>
      </w:pPr>
      <w:r>
        <w:rPr>
          <w:rFonts w:ascii="Segoe UI" w:hAnsi="Segoe UI"/>
          <w:color w:val="334155"/>
          <w:sz w:val="22"/>
        </w:rPr>
        <w:t>To achieve high performance on 500,000 records, an enterprise-grade Star Schema architecture was designed in Power BI Desktop:</w:t>
      </w:r>
    </w:p>
    <w:p>
      <w:pPr>
        <w:spacing w:after="120" w:line="276" w:lineRule="auto"/>
      </w:pPr>
      <w:r>
        <w:rPr>
          <w:rFonts w:ascii="Segoe UI" w:hAnsi="Segoe UI"/>
          <w:b/>
          <w:color w:val="1E293B"/>
          <w:sz w:val="22"/>
        </w:rPr>
        <w:t xml:space="preserve">Power Query Transformation: </w:t>
      </w:r>
      <w:r>
        <w:rPr>
          <w:rFonts w:ascii="Segoe UI" w:hAnsi="Segoe UI"/>
          <w:color w:val="334155"/>
          <w:sz w:val="22"/>
        </w:rPr>
        <w:t>Ingested all 5 tables from Dataset 2, enforced explicit column data types, trimmed all whitespace anomalies, and created custom calculated columns for segmentation (Score Tier, Attendance Bracket, Experience Band).</w:t>
      </w:r>
    </w:p>
    <w:p>
      <w:pPr>
        <w:spacing w:after="120" w:line="276" w:lineRule="auto"/>
      </w:pPr>
      <w:r>
        <w:rPr>
          <w:rFonts w:ascii="Segoe UI" w:hAnsi="Segoe UI"/>
          <w:b/>
          <w:color w:val="1E293B"/>
          <w:sz w:val="22"/>
        </w:rPr>
        <w:t xml:space="preserve">Relational Modeling: </w:t>
      </w:r>
      <w:r>
        <w:rPr>
          <w:rFonts w:ascii="Segoe UI" w:hAnsi="Segoe UI"/>
          <w:color w:val="334155"/>
          <w:sz w:val="22"/>
        </w:rPr>
        <w:t>Constructed a centralized Star Schema where Fact_StudentPerformance links to Dim_SchoolInfrastructure via School ID (1:*), Dim_SocioEconomic via Student ID (1:1), and Dim_Attendance via Student ID (1:1). Created a dedicated Dim_State table via DISTINCT DAX to eliminate many-to-many relationship warnings.</w:t>
      </w:r>
    </w:p>
    <w:p>
      <w:pPr>
        <w:spacing w:after="120" w:line="276" w:lineRule="auto"/>
      </w:pPr>
      <w:r>
        <w:rPr>
          <w:rFonts w:ascii="Segoe UI" w:hAnsi="Segoe UI"/>
          <w:b/>
          <w:color w:val="1E293B"/>
          <w:sz w:val="22"/>
        </w:rPr>
        <w:t xml:space="preserve">DAX Metric Engine: </w:t>
      </w:r>
      <w:r>
        <w:rPr>
          <w:rFonts w:ascii="Segoe UI" w:hAnsi="Segoe UI"/>
          <w:color w:val="334155"/>
          <w:sz w:val="22"/>
        </w:rPr>
        <w:t>Engineered a centralized '_Measures' repository with 20+ DAX measures, including Total Students, Pass Rate %, Exemplary Rate %, Internet Coverage %, Trained Teachers %, and conditional subgroup filters.</w:t>
      </w:r>
    </w:p>
    <w:p>
      <w:pPr>
        <w:pStyle w:val="Heading1"/>
      </w:pPr>
      <w:r>
        <w:rPr>
          <w:rFonts w:ascii="Segoe UI" w:hAnsi="Segoe UI"/>
          <w:b/>
          <w:color w:val="0B192C"/>
          <w:sz w:val="36"/>
        </w:rPr>
        <w:t>5. Power BI Dashboard Modules &amp; Detailed Findings</w:t>
      </w:r>
    </w:p>
    <w:p>
      <w:pPr>
        <w:pStyle w:val="Heading2"/>
      </w:pPr>
      <w:r>
        <w:rPr>
          <w:rFonts w:ascii="Segoe UI" w:hAnsi="Segoe UI"/>
          <w:b/>
          <w:color w:val="183059"/>
          <w:sz w:val="28"/>
        </w:rPr>
        <w:t>5.1 Module 1: Executive Overview &amp; State Benchmarking (Page 1)</w:t>
      </w:r>
    </w:p>
    <w:p>
      <w:pPr>
        <w:spacing w:after="120" w:line="276" w:lineRule="auto"/>
      </w:pPr>
      <w:r>
        <w:rPr>
          <w:rFonts w:ascii="Segoe UI" w:hAnsi="Segoe UI"/>
          <w:color w:val="334155"/>
          <w:sz w:val="22"/>
        </w:rPr>
        <w:t>Module 1 provides executive-level visibility into national educational performance, geographic score distributions across India, score tier segmentation, and state-level benchmarking.</w:t>
      </w:r>
    </w:p>
    <w:p>
      <w:r>
        <w:drawing>
          <wp:inline xmlns:a="http://schemas.openxmlformats.org/drawingml/2006/main" xmlns:pic="http://schemas.openxmlformats.org/drawingml/2006/picture">
            <wp:extent cx="5669280" cy="3151006"/>
            <wp:docPr id="1" name="Picture 1"/>
            <wp:cNvGraphicFramePr>
              <a:graphicFrameLocks noChangeAspect="1"/>
            </wp:cNvGraphicFramePr>
            <a:graphic>
              <a:graphicData uri="http://schemas.openxmlformats.org/drawingml/2006/picture">
                <pic:pic>
                  <pic:nvPicPr>
                    <pic:cNvPr id="0" name="media_1789046834450.png"/>
                    <pic:cNvPicPr/>
                  </pic:nvPicPr>
                  <pic:blipFill>
                    <a:blip r:embed="rId9"/>
                    <a:stretch>
                      <a:fillRect/>
                    </a:stretch>
                  </pic:blipFill>
                  <pic:spPr>
                    <a:xfrm>
                      <a:off x="0" y="0"/>
                      <a:ext cx="5669280" cy="3151006"/>
                    </a:xfrm>
                    <a:prstGeom prst="rect"/>
                  </pic:spPr>
                </pic:pic>
              </a:graphicData>
            </a:graphic>
          </wp:inline>
        </w:drawing>
      </w:r>
    </w:p>
    <w:p>
      <w:pPr>
        <w:jc w:val="center"/>
      </w:pPr>
      <w:r>
        <w:rPr>
          <w:i/>
          <w:sz w:val="18"/>
        </w:rPr>
        <w:t>Figure 1: Power BI Dashboard Page 1 — Executive Overview &amp; State Benchmarking</w:t>
      </w:r>
    </w:p>
    <w:p>
      <w:pPr>
        <w:spacing w:after="120" w:line="276" w:lineRule="auto"/>
      </w:pPr>
      <w:r>
        <w:rPr>
          <w:rFonts w:ascii="Segoe UI" w:hAnsi="Segoe UI"/>
          <w:b/>
          <w:color w:val="1E293B"/>
          <w:sz w:val="22"/>
        </w:rPr>
        <w:t xml:space="preserve">Baseline Performance: </w:t>
      </w:r>
      <w:r>
        <w:rPr>
          <w:rFonts w:ascii="Segoe UI" w:hAnsi="Segoe UI"/>
          <w:color w:val="334155"/>
          <w:sz w:val="22"/>
        </w:rPr>
        <w:t>National performance in secondary Mathematics averages 65.92 / 100 (Median: 68.0, StdDev: 20.58). The national pass rate is 87.34% (Score &gt;= 40), while 27.59% achieve Exemplary status (Score &gt;= 80).</w:t>
      </w:r>
    </w:p>
    <w:p>
      <w:pPr>
        <w:spacing w:after="120" w:line="276" w:lineRule="auto"/>
      </w:pPr>
      <w:r>
        <w:rPr>
          <w:rFonts w:ascii="Segoe UI" w:hAnsi="Segoe UI"/>
          <w:b/>
          <w:color w:val="1E293B"/>
          <w:sz w:val="22"/>
        </w:rPr>
        <w:t xml:space="preserve">State Benchmarking: </w:t>
      </w:r>
      <w:r>
        <w:rPr>
          <w:rFonts w:ascii="Segoe UI" w:hAnsi="Segoe UI"/>
          <w:color w:val="334155"/>
          <w:sz w:val="22"/>
        </w:rPr>
        <w:t>Top performing states comprise Goa (66.19), Mizoram (66.16), Himachal Pradesh (66.15), Gujarat (66.13), and Uttar Pradesh (66.13). Conversely, Rajasthan (65.60), Bihar (65.62), Andhra Pradesh (65.72), and Nagaland (65.74) form the lowest-performing quartile.</w:t>
      </w:r>
    </w:p>
    <w:p>
      <w:pPr>
        <w:spacing w:after="120" w:line="276" w:lineRule="auto"/>
      </w:pPr>
      <w:r>
        <w:rPr>
          <w:rFonts w:ascii="Segoe UI" w:hAnsi="Segoe UI"/>
          <w:b/>
          <w:color w:val="1E293B"/>
          <w:sz w:val="22"/>
        </w:rPr>
        <w:t xml:space="preserve">Score Distribution: </w:t>
      </w:r>
      <w:r>
        <w:rPr>
          <w:rFonts w:ascii="Segoe UI" w:hAnsi="Segoe UI"/>
          <w:color w:val="334155"/>
          <w:sz w:val="22"/>
        </w:rPr>
        <w:t>35.35% Proficient (61-80), 27.59% Exemplary (81-100), 24.39% Average (40-60), and 12.66% Needs Remediation (&lt;40).</w:t>
      </w:r>
    </w:p>
    <w:p>
      <w:pPr>
        <w:pStyle w:val="Heading2"/>
      </w:pPr>
      <w:r>
        <w:rPr>
          <w:rFonts w:ascii="Segoe UI" w:hAnsi="Segoe UI"/>
          <w:b/>
          <w:color w:val="183059"/>
          <w:sz w:val="28"/>
        </w:rPr>
        <w:t>5.2 Module 2: Socio-Economic Impact Analysis (Page 2)</w:t>
      </w:r>
    </w:p>
    <w:p>
      <w:pPr>
        <w:spacing w:after="120" w:line="276" w:lineRule="auto"/>
      </w:pPr>
      <w:r>
        <w:rPr>
          <w:rFonts w:ascii="Segoe UI" w:hAnsi="Segoe UI"/>
          <w:color w:val="334155"/>
          <w:sz w:val="22"/>
        </w:rPr>
        <w:t>Module 2 explores the equity dimension, analyzing how parental education and household income influence academic outcomes.</w:t>
      </w:r>
    </w:p>
    <w:p>
      <w:r>
        <w:drawing>
          <wp:inline xmlns:a="http://schemas.openxmlformats.org/drawingml/2006/main" xmlns:pic="http://schemas.openxmlformats.org/drawingml/2006/picture">
            <wp:extent cx="5669280" cy="3190150"/>
            <wp:docPr id="2" name="Picture 2"/>
            <wp:cNvGraphicFramePr>
              <a:graphicFrameLocks noChangeAspect="1"/>
            </wp:cNvGraphicFramePr>
            <a:graphic>
              <a:graphicData uri="http://schemas.openxmlformats.org/drawingml/2006/picture">
                <pic:pic>
                  <pic:nvPicPr>
                    <pic:cNvPr id="0" name="media_1789048579333.png"/>
                    <pic:cNvPicPr/>
                  </pic:nvPicPr>
                  <pic:blipFill>
                    <a:blip r:embed="rId10"/>
                    <a:stretch>
                      <a:fillRect/>
                    </a:stretch>
                  </pic:blipFill>
                  <pic:spPr>
                    <a:xfrm>
                      <a:off x="0" y="0"/>
                      <a:ext cx="5669280" cy="3190150"/>
                    </a:xfrm>
                    <a:prstGeom prst="rect"/>
                  </pic:spPr>
                </pic:pic>
              </a:graphicData>
            </a:graphic>
          </wp:inline>
        </w:drawing>
      </w:r>
    </w:p>
    <w:p>
      <w:pPr>
        <w:jc w:val="center"/>
      </w:pPr>
      <w:r>
        <w:rPr>
          <w:i/>
          <w:sz w:val="18"/>
        </w:rPr>
        <w:t>Figure 2: Power BI Dashboard Page 2 — Socio-Economic Impact &amp; Educational Disparity</w:t>
      </w:r>
    </w:p>
    <w:p>
      <w:pPr>
        <w:spacing w:after="120" w:line="276" w:lineRule="auto"/>
      </w:pPr>
      <w:r>
        <w:rPr>
          <w:rFonts w:ascii="Segoe UI" w:hAnsi="Segoe UI"/>
          <w:b/>
          <w:color w:val="1E293B"/>
          <w:sz w:val="22"/>
        </w:rPr>
        <w:t xml:space="preserve">Parental Education Gradient: </w:t>
      </w:r>
      <w:r>
        <w:rPr>
          <w:rFonts w:ascii="Segoe UI" w:hAnsi="Segoe UI"/>
          <w:color w:val="334155"/>
          <w:sz w:val="22"/>
        </w:rPr>
        <w:t>A clear hierarchical trend is observed: Post-Graduate parents (66.03), Graduate (65.92), Secondary (65.89), and Primary (65.87). While the absolute difference (+0.16 marks) is modest, higher parental education consistently reduces failure probability.</w:t>
      </w:r>
    </w:p>
    <w:p>
      <w:pPr>
        <w:spacing w:after="120" w:line="276" w:lineRule="auto"/>
      </w:pPr>
      <w:r>
        <w:rPr>
          <w:rFonts w:ascii="Segoe UI" w:hAnsi="Segoe UI"/>
          <w:b/>
          <w:color w:val="1E293B"/>
          <w:sz w:val="22"/>
        </w:rPr>
        <w:t xml:space="preserve">Household Income: </w:t>
      </w:r>
      <w:r>
        <w:rPr>
          <w:rFonts w:ascii="Segoe UI" w:hAnsi="Segoe UI"/>
          <w:color w:val="334155"/>
          <w:sz w:val="22"/>
        </w:rPr>
        <w:t>High Income households average 65.96 marks vs 65.88 marks for Low Income cohorts.</w:t>
      </w:r>
    </w:p>
    <w:p>
      <w:pPr>
        <w:spacing w:after="120" w:line="276" w:lineRule="auto"/>
      </w:pPr>
      <w:r>
        <w:rPr>
          <w:rFonts w:ascii="Segoe UI" w:hAnsi="Segoe UI"/>
          <w:b/>
          <w:color w:val="1E293B"/>
          <w:sz w:val="22"/>
        </w:rPr>
        <w:t xml:space="preserve">2D Socio-Economic Matrix: </w:t>
      </w:r>
      <w:r>
        <w:rPr>
          <w:rFonts w:ascii="Segoe UI" w:hAnsi="Segoe UI"/>
          <w:color w:val="334155"/>
          <w:sz w:val="22"/>
        </w:rPr>
        <w:t>The 2D heatmap isolates the highest-performing demographic as Post-Graduate + High Income (66.11) and the most vulnerable as Primary Education + Low Income (65.79).</w:t>
      </w:r>
    </w:p>
    <w:p>
      <w:pPr>
        <w:pStyle w:val="Heading2"/>
      </w:pPr>
      <w:r>
        <w:rPr>
          <w:rFonts w:ascii="Segoe UI" w:hAnsi="Segoe UI"/>
          <w:b/>
          <w:color w:val="183059"/>
          <w:sz w:val="28"/>
        </w:rPr>
        <w:t>5.3 Module 3: School Infrastructure &amp; Digital Resources (Page 3)</w:t>
      </w:r>
    </w:p>
    <w:p>
      <w:pPr>
        <w:spacing w:after="120" w:line="276" w:lineRule="auto"/>
      </w:pPr>
      <w:r>
        <w:rPr>
          <w:rFonts w:ascii="Segoe UI" w:hAnsi="Segoe UI"/>
          <w:color w:val="334155"/>
          <w:sz w:val="22"/>
        </w:rPr>
        <w:t>Module 3 audits physical and digital assets across 50,000 secondary schools to evaluate infrastructure ROI.</w:t>
      </w:r>
    </w:p>
    <w:p>
      <w:r>
        <w:drawing>
          <wp:inline xmlns:a="http://schemas.openxmlformats.org/drawingml/2006/main" xmlns:pic="http://schemas.openxmlformats.org/drawingml/2006/picture">
            <wp:extent cx="5669280" cy="3193694"/>
            <wp:docPr id="3" name="Picture 3"/>
            <wp:cNvGraphicFramePr>
              <a:graphicFrameLocks noChangeAspect="1"/>
            </wp:cNvGraphicFramePr>
            <a:graphic>
              <a:graphicData uri="http://schemas.openxmlformats.org/drawingml/2006/picture">
                <pic:pic>
                  <pic:nvPicPr>
                    <pic:cNvPr id="0" name="media_1789050133239.png"/>
                    <pic:cNvPicPr/>
                  </pic:nvPicPr>
                  <pic:blipFill>
                    <a:blip r:embed="rId11"/>
                    <a:stretch>
                      <a:fillRect/>
                    </a:stretch>
                  </pic:blipFill>
                  <pic:spPr>
                    <a:xfrm>
                      <a:off x="0" y="0"/>
                      <a:ext cx="5669280" cy="3193694"/>
                    </a:xfrm>
                    <a:prstGeom prst="rect"/>
                  </pic:spPr>
                </pic:pic>
              </a:graphicData>
            </a:graphic>
          </wp:inline>
        </w:drawing>
      </w:r>
    </w:p>
    <w:p>
      <w:pPr>
        <w:jc w:val="center"/>
      </w:pPr>
      <w:r>
        <w:rPr>
          <w:i/>
          <w:sz w:val="18"/>
        </w:rPr>
        <w:t>Figure 3: Power BI Dashboard Page 3 — School Infrastructure &amp; Digital Enablement</w:t>
      </w:r>
    </w:p>
    <w:p>
      <w:pPr>
        <w:spacing w:after="120" w:line="276" w:lineRule="auto"/>
      </w:pPr>
      <w:r>
        <w:rPr>
          <w:rFonts w:ascii="Segoe UI" w:hAnsi="Segoe UI"/>
          <w:b/>
          <w:color w:val="1E293B"/>
          <w:sz w:val="22"/>
        </w:rPr>
        <w:t xml:space="preserve">Asset Availability: </w:t>
      </w:r>
      <w:r>
        <w:rPr>
          <w:rFonts w:ascii="Segoe UI" w:hAnsi="Segoe UI"/>
          <w:color w:val="334155"/>
          <w:sz w:val="22"/>
        </w:rPr>
        <w:t>79.91% of schools have broadband internet (39,954 schools), while 70.19% have functional libraries (35,093 schools). Schools with internet achieve a higher average score (65.92 vs 65.90).</w:t>
      </w:r>
    </w:p>
    <w:p>
      <w:pPr>
        <w:spacing w:after="120" w:line="276" w:lineRule="auto"/>
      </w:pPr>
      <w:r>
        <w:rPr>
          <w:rFonts w:ascii="Segoe UI" w:hAnsi="Segoe UI"/>
          <w:b/>
          <w:color w:val="1E293B"/>
          <w:sz w:val="22"/>
        </w:rPr>
        <w:t xml:space="preserve">Computer Lab Density: </w:t>
      </w:r>
      <w:r>
        <w:rPr>
          <w:rFonts w:ascii="Segoe UI" w:hAnsi="Segoe UI"/>
          <w:color w:val="334155"/>
          <w:sz w:val="22"/>
        </w:rPr>
        <w:t>Secondary schools maintain an average of 24.45 computers (range: 0-49). Computer lab density provides a stabilizing baseline, preventing performance decay in high-enrollment schools.</w:t>
      </w:r>
    </w:p>
    <w:p>
      <w:pPr>
        <w:spacing w:after="120" w:line="276" w:lineRule="auto"/>
      </w:pPr>
      <w:r>
        <w:rPr>
          <w:rFonts w:ascii="Segoe UI" w:hAnsi="Segoe UI"/>
          <w:b/>
          <w:color w:val="1E293B"/>
          <w:sz w:val="22"/>
        </w:rPr>
        <w:t xml:space="preserve">Classroom Scale: </w:t>
      </w:r>
      <w:r>
        <w:rPr>
          <w:rFonts w:ascii="Segoe UI" w:hAnsi="Segoe UI"/>
          <w:color w:val="334155"/>
          <w:sz w:val="22"/>
        </w:rPr>
        <w:t>Schools with 7-12 classrooms achieve optimal student scores (66.23 marks) compared to under-scaled (&lt;6 classrooms) or overcrowded (&gt;16 classrooms) facilities.</w:t>
      </w:r>
    </w:p>
    <w:p>
      <w:pPr>
        <w:pStyle w:val="Heading2"/>
      </w:pPr>
      <w:r>
        <w:rPr>
          <w:rFonts w:ascii="Segoe UI" w:hAnsi="Segoe UI"/>
          <w:b/>
          <w:color w:val="183059"/>
          <w:sz w:val="28"/>
        </w:rPr>
        <w:t>5.4 Module 4: Teacher Qualifications &amp; Training Effectiveness (Page 4)</w:t>
      </w:r>
    </w:p>
    <w:p>
      <w:pPr>
        <w:spacing w:after="120" w:line="276" w:lineRule="auto"/>
      </w:pPr>
      <w:r>
        <w:rPr>
          <w:rFonts w:ascii="Segoe UI" w:hAnsi="Segoe UI"/>
          <w:color w:val="334155"/>
          <w:sz w:val="22"/>
        </w:rPr>
        <w:t>Module 4 examines pedagogical capacity across 100,000 educators, evaluating degrees, experience, and training programs.</w:t>
      </w:r>
    </w:p>
    <w:p>
      <w:r>
        <w:drawing>
          <wp:inline xmlns:a="http://schemas.openxmlformats.org/drawingml/2006/main" xmlns:pic="http://schemas.openxmlformats.org/drawingml/2006/picture">
            <wp:extent cx="5669280" cy="3207372"/>
            <wp:docPr id="4" name="Picture 4"/>
            <wp:cNvGraphicFramePr>
              <a:graphicFrameLocks noChangeAspect="1"/>
            </wp:cNvGraphicFramePr>
            <a:graphic>
              <a:graphicData uri="http://schemas.openxmlformats.org/drawingml/2006/picture">
                <pic:pic>
                  <pic:nvPicPr>
                    <pic:cNvPr id="0" name="media_1789051978302.png"/>
                    <pic:cNvPicPr/>
                  </pic:nvPicPr>
                  <pic:blipFill>
                    <a:blip r:embed="rId12"/>
                    <a:stretch>
                      <a:fillRect/>
                    </a:stretch>
                  </pic:blipFill>
                  <pic:spPr>
                    <a:xfrm>
                      <a:off x="0" y="0"/>
                      <a:ext cx="5669280" cy="3207372"/>
                    </a:xfrm>
                    <a:prstGeom prst="rect"/>
                  </pic:spPr>
                </pic:pic>
              </a:graphicData>
            </a:graphic>
          </wp:inline>
        </w:drawing>
      </w:r>
    </w:p>
    <w:p>
      <w:pPr>
        <w:jc w:val="center"/>
      </w:pPr>
      <w:r>
        <w:rPr>
          <w:i/>
          <w:sz w:val="18"/>
        </w:rPr>
        <w:t>Figure 4: Power BI Dashboard Page 4 — Teacher Qualifications, Experience &amp; Training Dynamics</w:t>
      </w:r>
    </w:p>
    <w:p>
      <w:pPr>
        <w:spacing w:after="120" w:line="276" w:lineRule="auto"/>
      </w:pPr>
      <w:r>
        <w:rPr>
          <w:rFonts w:ascii="Segoe UI" w:hAnsi="Segoe UI"/>
          <w:b/>
          <w:color w:val="1E293B"/>
          <w:sz w:val="22"/>
        </w:rPr>
        <w:t xml:space="preserve">Training Completion ROI: </w:t>
      </w:r>
      <w:r>
        <w:rPr>
          <w:rFonts w:ascii="Segoe UI" w:hAnsi="Segoe UI"/>
          <w:color w:val="334155"/>
          <w:sz w:val="22"/>
        </w:rPr>
        <w:t>70.22% of teachers (70,220) have completed state training programs. States with &gt;71% training completion consistently rank in the top national performance quintile.</w:t>
      </w:r>
    </w:p>
    <w:p>
      <w:pPr>
        <w:spacing w:after="120" w:line="276" w:lineRule="auto"/>
      </w:pPr>
      <w:r>
        <w:rPr>
          <w:rFonts w:ascii="Segoe UI" w:hAnsi="Segoe UI"/>
          <w:b/>
          <w:color w:val="1E293B"/>
          <w:sz w:val="22"/>
        </w:rPr>
        <w:t xml:space="preserve">Workforce Experience: </w:t>
      </w:r>
      <w:r>
        <w:rPr>
          <w:rFonts w:ascii="Segoe UI" w:hAnsi="Segoe UI"/>
          <w:color w:val="334155"/>
          <w:sz w:val="22"/>
        </w:rPr>
        <w:t>Teaching experience averages 15.03 years. Senior teachers (16+ yrs) represent 48.44K, Mid-career (6-15 yrs) 34.31K, and Novice (1-5 yrs) 17.26K.</w:t>
      </w:r>
    </w:p>
    <w:p>
      <w:pPr>
        <w:spacing w:after="120" w:line="276" w:lineRule="auto"/>
      </w:pPr>
      <w:r>
        <w:rPr>
          <w:rFonts w:ascii="Segoe UI" w:hAnsi="Segoe UI"/>
          <w:b/>
          <w:color w:val="1E293B"/>
          <w:sz w:val="22"/>
        </w:rPr>
        <w:t xml:space="preserve">Qualification Distribution: </w:t>
      </w:r>
      <w:r>
        <w:rPr>
          <w:rFonts w:ascii="Segoe UI" w:hAnsi="Segoe UI"/>
          <w:color w:val="334155"/>
          <w:sz w:val="22"/>
        </w:rPr>
        <w:t>The workforce is evenly divided: 33.5% B.Ed, 33.1% M.Ed, and 33.4% Ph.D holders.</w:t>
      </w:r>
    </w:p>
    <w:p>
      <w:pPr>
        <w:pStyle w:val="Heading2"/>
      </w:pPr>
      <w:r>
        <w:rPr>
          <w:rFonts w:ascii="Segoe UI" w:hAnsi="Segoe UI"/>
          <w:b/>
          <w:color w:val="183059"/>
          <w:sz w:val="28"/>
        </w:rPr>
        <w:t>5.5 Module 5: Student Attendance &amp; Remedial Risk Matrix (Page 5)</w:t>
      </w:r>
    </w:p>
    <w:p>
      <w:pPr>
        <w:spacing w:after="120" w:line="276" w:lineRule="auto"/>
      </w:pPr>
      <w:r>
        <w:rPr>
          <w:rFonts w:ascii="Segoe UI" w:hAnsi="Segoe UI"/>
          <w:color w:val="334155"/>
          <w:sz w:val="22"/>
        </w:rPr>
        <w:t>Module 5 provides actionable early-warning diagnostics connecting student attendance rates to remedial failure risks.</w:t>
      </w:r>
    </w:p>
    <w:p>
      <w:r>
        <w:drawing>
          <wp:inline xmlns:a="http://schemas.openxmlformats.org/drawingml/2006/main" xmlns:pic="http://schemas.openxmlformats.org/drawingml/2006/picture">
            <wp:extent cx="5669280" cy="3232373"/>
            <wp:docPr id="5" name="Picture 5"/>
            <wp:cNvGraphicFramePr>
              <a:graphicFrameLocks noChangeAspect="1"/>
            </wp:cNvGraphicFramePr>
            <a:graphic>
              <a:graphicData uri="http://schemas.openxmlformats.org/drawingml/2006/picture">
                <pic:pic>
                  <pic:nvPicPr>
                    <pic:cNvPr id="0" name="media_1789058705955.png"/>
                    <pic:cNvPicPr/>
                  </pic:nvPicPr>
                  <pic:blipFill>
                    <a:blip r:embed="rId13"/>
                    <a:stretch>
                      <a:fillRect/>
                    </a:stretch>
                  </pic:blipFill>
                  <pic:spPr>
                    <a:xfrm>
                      <a:off x="0" y="0"/>
                      <a:ext cx="5669280" cy="3232373"/>
                    </a:xfrm>
                    <a:prstGeom prst="rect"/>
                  </pic:spPr>
                </pic:pic>
              </a:graphicData>
            </a:graphic>
          </wp:inline>
        </w:drawing>
      </w:r>
    </w:p>
    <w:p>
      <w:pPr>
        <w:jc w:val="center"/>
      </w:pPr>
      <w:r>
        <w:rPr>
          <w:i/>
          <w:sz w:val="18"/>
        </w:rPr>
        <w:t>Figure 5: Power BI Dashboard Page 5 — Student Attendance &amp; Remedial Risk Analysis</w:t>
      </w:r>
    </w:p>
    <w:p>
      <w:pPr>
        <w:spacing w:after="120" w:line="276" w:lineRule="auto"/>
      </w:pPr>
      <w:r>
        <w:rPr>
          <w:rFonts w:ascii="Segoe UI" w:hAnsi="Segoe UI"/>
          <w:b/>
          <w:color w:val="1E293B"/>
          <w:sz w:val="22"/>
        </w:rPr>
        <w:t xml:space="preserve">Attendance Tiers: </w:t>
      </w:r>
      <w:r>
        <w:rPr>
          <w:rFonts w:ascii="Segoe UI" w:hAnsi="Segoe UI"/>
          <w:color w:val="334155"/>
          <w:sz w:val="22"/>
        </w:rPr>
        <w:t>Monthly attendance averages 50.01%. 49.52% of students are in the Critical Attendance (&lt;50%) tier, 25.72% Moderate (50-75%), and 24.76% Satisfactory (&gt;75%).</w:t>
      </w:r>
    </w:p>
    <w:p>
      <w:pPr>
        <w:spacing w:after="120" w:line="276" w:lineRule="auto"/>
      </w:pPr>
      <w:r>
        <w:rPr>
          <w:rFonts w:ascii="Segoe UI" w:hAnsi="Segoe UI"/>
          <w:b/>
          <w:color w:val="1E293B"/>
          <w:sz w:val="22"/>
        </w:rPr>
        <w:t xml:space="preserve">Remedial Identification: </w:t>
      </w:r>
      <w:r>
        <w:rPr>
          <w:rFonts w:ascii="Segoe UI" w:hAnsi="Segoe UI"/>
          <w:color w:val="334155"/>
          <w:sz w:val="22"/>
        </w:rPr>
        <w:t>63,300 students scored below the passing mark (&lt;40). Over 78% of these remedial students exhibit chronic absenteeism (&lt;50% attendance).</w:t>
      </w:r>
    </w:p>
    <w:p>
      <w:pPr>
        <w:spacing w:after="120" w:line="276" w:lineRule="auto"/>
      </w:pPr>
      <w:r>
        <w:rPr>
          <w:rFonts w:ascii="Segoe UI" w:hAnsi="Segoe UI"/>
          <w:b/>
          <w:color w:val="1E293B"/>
          <w:sz w:val="22"/>
        </w:rPr>
        <w:t xml:space="preserve">Actionable Intervention Matrix: </w:t>
      </w:r>
      <w:r>
        <w:rPr>
          <w:rFonts w:ascii="Segoe UI" w:hAnsi="Segoe UI"/>
          <w:color w:val="334155"/>
          <w:sz w:val="22"/>
        </w:rPr>
        <w:t>The High-Risk Remedial Table provides an operational intervention list containing State, School ID, Student ID, Attendance %, and Score to deploy localized tutoring.</w:t>
      </w:r>
    </w:p>
    <w:p>
      <w:pPr>
        <w:pStyle w:val="Heading1"/>
      </w:pPr>
      <w:r>
        <w:rPr>
          <w:rFonts w:ascii="Segoe UI" w:hAnsi="Segoe UI"/>
          <w:b/>
          <w:color w:val="0B192C"/>
          <w:sz w:val="36"/>
        </w:rPr>
        <w:t>6. Actionable Recommendations: 3-Pronged Policy Framework</w:t>
      </w:r>
    </w:p>
    <w:p>
      <w:pPr>
        <w:spacing w:after="120" w:line="276" w:lineRule="auto"/>
      </w:pPr>
      <w:r>
        <w:rPr>
          <w:rFonts w:ascii="Segoe UI" w:hAnsi="Segoe UI"/>
          <w:color w:val="334155"/>
          <w:sz w:val="22"/>
        </w:rPr>
        <w:t>Based on the quantitative insights generated, the Ministry should implement a structured 3-Pronged Strategic Policy Framework:</w:t>
      </w:r>
    </w:p>
    <w:p>
      <w:pPr>
        <w:spacing w:after="120" w:line="276" w:lineRule="auto"/>
      </w:pPr>
      <w:r>
        <w:rPr>
          <w:rFonts w:ascii="Segoe UI" w:hAnsi="Segoe UI"/>
          <w:b/>
          <w:color w:val="1E293B"/>
          <w:sz w:val="22"/>
        </w:rPr>
        <w:t xml:space="preserve">Pillar 1: Pedagogical Upskilling: </w:t>
      </w:r>
      <w:r>
        <w:rPr>
          <w:rFonts w:ascii="Segoe UI" w:hAnsi="Segoe UI"/>
          <w:color w:val="334155"/>
          <w:sz w:val="22"/>
        </w:rPr>
        <w:t>Mandate annual in-service training for the 29,780 untrained teachers, modernize mathematics pedagogy toward interactive problem-solving, and establish mentorship pairs between senior (16+ yrs) and novice teachers.</w:t>
      </w:r>
    </w:p>
    <w:p>
      <w:pPr>
        <w:spacing w:after="120" w:line="276" w:lineRule="auto"/>
      </w:pPr>
      <w:r>
        <w:rPr>
          <w:rFonts w:ascii="Segoe UI" w:hAnsi="Segoe UI"/>
          <w:b/>
          <w:color w:val="1E293B"/>
          <w:sz w:val="22"/>
        </w:rPr>
        <w:t xml:space="preserve">Pillar 2: Infrastructure 2.0 &amp; Digital Connectivity: </w:t>
      </w:r>
      <w:r>
        <w:rPr>
          <w:rFonts w:ascii="Segoe UI" w:hAnsi="Segoe UI"/>
          <w:color w:val="334155"/>
          <w:sz w:val="22"/>
        </w:rPr>
        <w:t>Provide dedicated broadband connectivity to the 10,046 unserved schools within 9 months, enforce minimum 4 hours/week of student computer lab time, and expand digital STEM libraries.</w:t>
      </w:r>
    </w:p>
    <w:p>
      <w:pPr>
        <w:spacing w:after="120" w:line="276" w:lineRule="auto"/>
      </w:pPr>
      <w:r>
        <w:rPr>
          <w:rFonts w:ascii="Segoe UI" w:hAnsi="Segoe UI"/>
          <w:b/>
          <w:color w:val="1E293B"/>
          <w:sz w:val="22"/>
        </w:rPr>
        <w:t xml:space="preserve">Pillar 3: Attendance Tracking &amp; Social Support: </w:t>
      </w:r>
      <w:r>
        <w:rPr>
          <w:rFonts w:ascii="Segoe UI" w:hAnsi="Segoe UI"/>
          <w:color w:val="334155"/>
          <w:sz w:val="22"/>
        </w:rPr>
        <w:t>Deploy automated SMS attendance tracking for students with &lt;60% attendance, provide subsidized transport/mid-day meals in rural districts, and operationalize weekend remedial clinics for the 63.3K at-risk students.</w:t>
      </w:r>
    </w:p>
    <w:p>
      <w:pPr>
        <w:pStyle w:val="Heading1"/>
      </w:pPr>
      <w:r>
        <w:rPr>
          <w:rFonts w:ascii="Segoe UI" w:hAnsi="Segoe UI"/>
          <w:b/>
          <w:color w:val="0B192C"/>
          <w:sz w:val="36"/>
        </w:rPr>
        <w:t>7. Implementation Roadmap &amp; Conclusion</w:t>
      </w:r>
    </w:p>
    <w:p>
      <w:pPr>
        <w:spacing w:after="120" w:line="276" w:lineRule="auto"/>
      </w:pPr>
      <w:r>
        <w:rPr>
          <w:rFonts w:ascii="Segoe UI" w:hAnsi="Segoe UI"/>
          <w:color w:val="334155"/>
          <w:sz w:val="22"/>
        </w:rPr>
        <w:t>A 12-month phased implementation roadmap ensures rapid operationalization:</w:t>
      </w:r>
    </w:p>
    <w:p>
      <w:pPr>
        <w:spacing w:after="120" w:line="276" w:lineRule="auto"/>
      </w:pPr>
      <w:r>
        <w:rPr>
          <w:rFonts w:ascii="Segoe UI" w:hAnsi="Segoe UI"/>
          <w:b/>
          <w:color w:val="1E293B"/>
          <w:sz w:val="22"/>
        </w:rPr>
        <w:t xml:space="preserve">Q1 (Months 1–3): </w:t>
      </w:r>
      <w:r>
        <w:rPr>
          <w:rFonts w:ascii="Segoe UI" w:hAnsi="Segoe UI"/>
          <w:color w:val="334155"/>
          <w:sz w:val="22"/>
        </w:rPr>
        <w:t>Deploy Power BI dashboard to all 28 State Education Directorates; audit 10,046 unserved schools and initiate broadband contracts.</w:t>
      </w:r>
    </w:p>
    <w:p>
      <w:pPr>
        <w:spacing w:after="120" w:line="276" w:lineRule="auto"/>
      </w:pPr>
      <w:r>
        <w:rPr>
          <w:rFonts w:ascii="Segoe UI" w:hAnsi="Segoe UI"/>
          <w:b/>
          <w:color w:val="1E293B"/>
          <w:sz w:val="22"/>
        </w:rPr>
        <w:t xml:space="preserve">Q2 (Months 4–6): </w:t>
      </w:r>
      <w:r>
        <w:rPr>
          <w:rFonts w:ascii="Segoe UI" w:hAnsi="Segoe UI"/>
          <w:color w:val="334155"/>
          <w:sz w:val="22"/>
        </w:rPr>
        <w:t>Roll out nationwide in-service training targeting the 29.8K untrained teachers.</w:t>
      </w:r>
    </w:p>
    <w:p>
      <w:pPr>
        <w:spacing w:after="120" w:line="276" w:lineRule="auto"/>
      </w:pPr>
      <w:r>
        <w:rPr>
          <w:rFonts w:ascii="Segoe UI" w:hAnsi="Segoe UI"/>
          <w:b/>
          <w:color w:val="1E293B"/>
          <w:sz w:val="22"/>
        </w:rPr>
        <w:t xml:space="preserve">Q3 (Months 7–9): </w:t>
      </w:r>
      <w:r>
        <w:rPr>
          <w:rFonts w:ascii="Segoe UI" w:hAnsi="Segoe UI"/>
          <w:color w:val="334155"/>
          <w:sz w:val="22"/>
        </w:rPr>
        <w:t>Launch automated SMS attendance tracking and weekend remedial clinics for 63.3K at-risk students.</w:t>
      </w:r>
    </w:p>
    <w:p>
      <w:pPr>
        <w:spacing w:after="120" w:line="276" w:lineRule="auto"/>
      </w:pPr>
      <w:r>
        <w:rPr>
          <w:rFonts w:ascii="Segoe UI" w:hAnsi="Segoe UI"/>
          <w:b/>
          <w:color w:val="1E293B"/>
          <w:sz w:val="22"/>
        </w:rPr>
        <w:t xml:space="preserve">Q4 (Months 10–12): </w:t>
      </w:r>
      <w:r>
        <w:rPr>
          <w:rFonts w:ascii="Segoe UI" w:hAnsi="Segoe UI"/>
          <w:color w:val="334155"/>
          <w:sz w:val="22"/>
        </w:rPr>
        <w:t>Conduct annual standardized assessment and re-benchmark state resource matrices.</w:t>
      </w:r>
    </w:p>
    <w:p>
      <w:pPr>
        <w:spacing w:after="120" w:line="276" w:lineRule="auto"/>
      </w:pPr>
      <w:r>
        <w:rPr>
          <w:rFonts w:ascii="Segoe UI" w:hAnsi="Segoe UI"/>
          <w:color w:val="334155"/>
          <w:sz w:val="22"/>
        </w:rPr>
        <w:t>By transitioning to empirical, data-driven governance, the Ministry of Education can systematically eliminate educational disparities, empower educators, and maximize secondary school learning outcomes across India.</w:t>
      </w:r>
    </w:p>
    <w:p>
      <w:pPr>
        <w:spacing w:after="120" w:line="276" w:lineRule="auto"/>
      </w:pPr>
      <w:r>
        <w:rPr>
          <w:rFonts w:ascii="Segoe UI" w:hAnsi="Segoe UI"/>
          <w:color w:val="334155"/>
          <w:sz w:val="22"/>
        </w:rPr>
        <w:t>Report Prepared by: Shubham Gadekar | Lead Data Analyst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