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293B"/>
          <w:sz w:val="44"/>
          <w:szCs w:val="44"/>
        </w:rPr>
        <w:t xml:space="preserve">Uber Rides Analytics Dashboard</w:t>
      </w:r>
    </w:p>
    <w:p>
      <w:pPr>
        <w:spacing w:after="320"/>
      </w:pPr>
      <w:r>
        <w:rPr>
          <w:i/>
          <w:iCs/>
          <w:color w:val="0F766E"/>
          <w:sz w:val="26"/>
          <w:szCs w:val="26"/>
        </w:rPr>
        <w:t xml:space="preserve">A Power BI Project Report</w:t>
      </w:r>
    </w:p>
    <w:p>
      <w:pPr>
        <w:pBdr>
          <w:bottom w:val="single" w:color="E2E8F0" w:sz="6"/>
        </w:pBdr>
        <w:spacing w:after="300"/>
      </w:pPr>
      <w:r>
        <w:t xml:space="preserve"/>
      </w:r>
    </w:p>
    <w:p>
      <w:pPr>
        <w:pStyle w:val="Heading1"/>
        <w:spacing w:after="160" w:before="380"/>
      </w:pPr>
      <w:r>
        <w:rPr>
          <w:b/>
          <w:bCs/>
          <w:color w:val="0F766E"/>
          <w:sz w:val="30"/>
          <w:szCs w:val="30"/>
        </w:rPr>
        <w:t xml:space="preserve">1. Introduction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This project presents an interactive Power BI dashboard built to analyze ride-hailing operations data modeled on Uber's business. It moves beyond static spreadsheets into a decision-ready analytics tool that surfaces trends across bookings, revenue, vehicles, customers, and locations in a single, navigable report.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The report is built on a connected data model covering bookings, cancellations, revenue, distance, ratings, payments, and customer-level detail, with DAX measures layered on top to power every KPI card, chart, and table in the report.</w:t>
      </w:r>
    </w:p>
    <w:p>
      <w:pPr>
        <w:pStyle w:val="Heading1"/>
        <w:spacing w:after="160" w:before="380"/>
      </w:pPr>
      <w:r>
        <w:rPr>
          <w:b/>
          <w:bCs/>
          <w:color w:val="0F766E"/>
          <w:sz w:val="30"/>
          <w:szCs w:val="30"/>
        </w:rPr>
        <w:t xml:space="preserve">2. Project Objective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The objective was to design a multi-page, end-to-end business intelligence report that: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Consolidates ride, revenue, vehicle, and customer data into one interactive report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Surfaces key performance indicators (KPIs) at a glance for quick decision-making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Allows drill-down analysis across vehicle type, customer segment, and geography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Quantifies operational health — cancellations, lost revenue, and completion rates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Demonstrates practical, end-to-end Power BI skills: data modeling, DAX, and report design</w:t>
      </w:r>
    </w:p>
    <w:p>
      <w:pPr>
        <w:pStyle w:val="Heading1"/>
        <w:spacing w:after="160" w:before="380"/>
      </w:pPr>
      <w:r>
        <w:rPr>
          <w:b/>
          <w:bCs/>
          <w:color w:val="0F766E"/>
          <w:sz w:val="30"/>
          <w:szCs w:val="30"/>
        </w:rPr>
        <w:t xml:space="preserve">3. Tools &amp; Technologies Used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Power BI Desktop — data modeling, DAX measures, and report/visual design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Power Query (M) — data cleaning, shaping, and transformation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DAX (Data Analysis Expressions) — calculated measures and KPI logic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Custom icons, 3D vehicle imagery, and consistent visuals — for a clean, branded report experience</w:t>
      </w:r>
    </w:p>
    <w:p>
      <w:pPr>
        <w:pStyle w:val="Heading1"/>
        <w:spacing w:after="160" w:before="380"/>
      </w:pPr>
      <w:r>
        <w:rPr>
          <w:b/>
          <w:bCs/>
          <w:color w:val="0F766E"/>
          <w:sz w:val="30"/>
          <w:szCs w:val="30"/>
        </w:rPr>
        <w:t xml:space="preserve">4. Key Performance Indicators (KPIs)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Every page of the report is anchored by a consistent KPI strip at the top, giving viewers instant context before they drill into detail. Across the full dataset, the headline numbers are: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000"/>
      </w:tblGrid>
      <w:tr>
        <w:trPr>
          <w:tblHeader/>
        </w:trPr>
        <w:tc>
          <w:tcPr>
            <w:tcW w:type="dxa" w:w="2200"/>
            <w:shd w:fill="0F766E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600"/>
            <w:shd w:fill="0F766E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 (Overall)</w:t>
            </w:r>
          </w:p>
        </w:tc>
        <w:tc>
          <w:tcPr>
            <w:tcW w:type="dxa" w:w="5000"/>
            <w:shd w:fill="0F766E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Bookings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93K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Total ride bookings received across all vehicle types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Lost Bookings</w:t>
            </w:r>
          </w:p>
        </w:tc>
        <w:tc>
          <w:tcPr>
            <w:tcW w:type="dxa" w:w="1600"/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57K</w:t>
            </w:r>
          </w:p>
        </w:tc>
        <w:tc>
          <w:tcPr>
            <w:tcW w:type="dxa" w:w="5000"/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Bookings that were cancelled or left incomplete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Revenue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52M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Total revenue generated from completed rides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Total Distance</w:t>
            </w:r>
          </w:p>
        </w:tc>
        <w:tc>
          <w:tcPr>
            <w:tcW w:type="dxa" w:w="1600"/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2.51M</w:t>
            </w:r>
          </w:p>
        </w:tc>
        <w:tc>
          <w:tcPr>
            <w:tcW w:type="dxa" w:w="5000"/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Sum of distance (km) travelled across all trips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Average Distance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24.64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Average trip distance in km</w:t>
            </w:r>
          </w:p>
        </w:tc>
      </w:tr>
      <w:tr>
        <w:tc>
          <w:tcPr>
            <w:tcW w:type="dxa" w:w="2200"/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Average Customer Rating</w:t>
            </w:r>
          </w:p>
        </w:tc>
        <w:tc>
          <w:tcPr>
            <w:tcW w:type="dxa" w:w="1600"/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4.40 / 5</w:t>
            </w:r>
          </w:p>
        </w:tc>
        <w:tc>
          <w:tcPr>
            <w:tcW w:type="dxa" w:w="5000"/>
            <w:shd w:fill="F8FA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Mean rating given by customers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Average Driver Rating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4.23 / 5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Mean rating given to drivers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These top-line KPIs are re-contextualized per vehicle type: for example, filtering to Premier Sedan shows 11K bookings, 7K lost bookings, 6M revenue, 302.94K total distance, and 24.60 average distance — the same KPI logic, sliced dynamically.</w:t>
      </w:r>
    </w:p>
    <w:p>
      <w:pPr>
        <w:pStyle w:val="Heading1"/>
        <w:spacing w:after="160" w:before="380"/>
      </w:pPr>
      <w:r>
        <w:rPr>
          <w:b/>
          <w:bCs/>
          <w:color w:val="0F766E"/>
          <w:sz w:val="30"/>
          <w:szCs w:val="30"/>
        </w:rPr>
        <w:t xml:space="preserve">5. Extra DAX Measures &amp; Calculations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Beyond the core KPIs, the model includes a set of calculated DAX measures that power deeper analysis on the Vehicle, Revenue, Customer, and Location pages:</w:t>
      </w:r>
    </w:p>
    <w:p>
      <w:pPr>
        <w:pStyle w:val="Heading2"/>
        <w:spacing w:after="120" w:before="260"/>
      </w:pPr>
      <w:r>
        <w:rPr>
          <w:b/>
          <w:bCs/>
          <w:color w:val="1E293B"/>
          <w:sz w:val="24"/>
          <w:szCs w:val="24"/>
        </w:rPr>
        <w:t xml:space="preserve">Revenue Measures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MoM Revenue % — month-over-month revenue growth rate (e.g. 0.09 / 9%)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Avg Revenue per Booking — Revenue ÷ Completed Bookings (348.51)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Lost Revenue — estimated revenue forfeited from cancelled/incomplete bookings (19.80M)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Revenue per KM — Revenue ÷ Total Distance, a unit-economics measure (20.63)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Revenue by Payment Method — revenue split across UPI, Cash, Uber Wallet, Credit Card, and Debit Card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Revenue by Customer — top revenue-contributing customers, ranked</w:t>
      </w:r>
    </w:p>
    <w:p>
      <w:pPr>
        <w:pStyle w:val="Heading2"/>
        <w:spacing w:after="120" w:before="260"/>
      </w:pPr>
      <w:r>
        <w:rPr>
          <w:b/>
          <w:bCs/>
          <w:color w:val="1E293B"/>
          <w:sz w:val="24"/>
          <w:szCs w:val="24"/>
        </w:rPr>
        <w:t xml:space="preserve">Vehicle Measures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Top Revenue Vehicle — the vehicle type generating the most revenue (Auto)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Top Vehicle Revenue % — that vehicle's share of total revenue (24.84%)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Contribution % (Contri %) — each vehicle type's share of completed bookings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Ride Completion Rate % — Completed Bookings ÷ Total Bookings (62.21%)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Ride Incomplete Rate % — Incomplete Bookings ÷ Total Bookings (38.19%)</w:t>
      </w:r>
    </w:p>
    <w:p>
      <w:pPr>
        <w:pStyle w:val="Heading2"/>
        <w:spacing w:after="120" w:before="260"/>
      </w:pPr>
      <w:r>
        <w:rPr>
          <w:b/>
          <w:bCs/>
          <w:color w:val="1E293B"/>
          <w:sz w:val="24"/>
          <w:szCs w:val="24"/>
        </w:rPr>
        <w:t xml:space="preserve">Customer Measures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First-Time / Return / Regular Customer counts — customer lifecycle segmentation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Customer Cancellation % — share of bookings cancelled by the customer (7%)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Customer Revenue Risk % — revenue exposed to cancellation-prone customers (10%)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Customer Cancelled Count — number of bookings cancelled by customers (1K)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Customer Cancelled Revenue Impact — revenue lost specifically to customer-side cancellations (645.11K)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Top Cancellation Reason — most frequent cause of cancellation (e.g. "Driver asked to cancel")</w:t>
      </w:r>
    </w:p>
    <w:p>
      <w:pPr>
        <w:pStyle w:val="Heading2"/>
        <w:spacing w:after="120" w:before="260"/>
      </w:pPr>
      <w:r>
        <w:rPr>
          <w:b/>
          <w:bCs/>
          <w:color w:val="1E293B"/>
          <w:sz w:val="24"/>
          <w:szCs w:val="24"/>
        </w:rPr>
        <w:t xml:space="preserve">Location Measures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Top Pickup / Top Drop Location — highest-volume pickup and drop points (Khandsa, Ashram)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Vehicle by Total Distance — distance travelled broken down by vehicle type and by location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Demand by Time Slot — a day-of-week × time-slot matrix showing peak booking windows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Example DAX pattern used for rate-style measures:</w:t>
      </w:r>
    </w:p>
    <w:p>
      <w:pPr>
        <w:shd w:fill="F1F5F9" w:color="auto" w:val="clear"/>
        <w:spacing w:after="22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Ride Completion Rate % = DIVIDE([Completed Bookings], [Total Bookings], 0)</w:t>
      </w:r>
    </w:p>
    <w:p>
      <w:pPr>
        <w:pStyle w:val="Heading1"/>
        <w:spacing w:after="160" w:before="380"/>
      </w:pPr>
      <w:r>
        <w:rPr>
          <w:b/>
          <w:bCs/>
          <w:color w:val="0F766E"/>
          <w:sz w:val="30"/>
          <w:szCs w:val="30"/>
        </w:rPr>
        <w:t xml:space="preserve">6. Dashboard Walkthrough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The report is organized into six pages, each focused on a specific business lens. Screenshots of the live report are shown below.</w:t>
      </w:r>
    </w:p>
    <w:p>
      <w:pPr>
        <w:pStyle w:val="Heading2"/>
        <w:spacing w:after="120" w:before="260"/>
      </w:pPr>
      <w:r>
        <w:rPr>
          <w:b/>
          <w:bCs/>
          <w:color w:val="1E293B"/>
          <w:sz w:val="24"/>
          <w:szCs w:val="24"/>
        </w:rPr>
        <w:t xml:space="preserve">6.1 Home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The landing page introduces the project and provides one-click navigation to every other page in the report.</w:t>
      </w:r>
    </w:p>
    <w:p>
      <w:pPr>
        <w:spacing w:after="60"/>
        <w:jc w:val="center"/>
      </w:pPr>
      <w:r>
        <w:drawing>
          <wp:inline distT="0" distB="0" distL="0" distR="0">
            <wp:extent cx="6035040" cy="35160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5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64748B"/>
          <w:sz w:val="18"/>
          <w:szCs w:val="18"/>
        </w:rPr>
        <w:t xml:space="preserve">Home — navigation hub and project introduction</w:t>
      </w:r>
    </w:p>
    <w:p>
      <w:pPr>
        <w:pStyle w:val="Heading2"/>
        <w:spacing w:after="120" w:before="260"/>
      </w:pPr>
      <w:r>
        <w:rPr>
          <w:b/>
          <w:bCs/>
          <w:color w:val="1E293B"/>
          <w:sz w:val="24"/>
          <w:szCs w:val="24"/>
        </w:rPr>
        <w:t xml:space="preserve">6.2 Overview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The Overview page summarizes overall performance: total bookings, lost bookings, revenue, distance, and rating KPIs, alongside monthly booking and revenue trends, a revenue-by-vehicle-type breakdown, and top pickup/drop locations.</w:t>
      </w:r>
    </w:p>
    <w:p>
      <w:pPr>
        <w:spacing w:after="60"/>
        <w:jc w:val="center"/>
      </w:pPr>
      <w:r>
        <w:drawing>
          <wp:inline distT="0" distB="0" distL="0" distR="0">
            <wp:extent cx="6035040" cy="349336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49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64748B"/>
          <w:sz w:val="18"/>
          <w:szCs w:val="18"/>
        </w:rPr>
        <w:t xml:space="preserve">Overview — high-level KPIs and monthly trends</w:t>
      </w:r>
    </w:p>
    <w:p>
      <w:pPr>
        <w:pStyle w:val="Heading2"/>
        <w:spacing w:after="120" w:before="260"/>
      </w:pPr>
      <w:r>
        <w:rPr>
          <w:b/>
          <w:bCs/>
          <w:color w:val="1E293B"/>
          <w:sz w:val="24"/>
          <w:szCs w:val="24"/>
        </w:rPr>
        <w:t xml:space="preserve">6.3 Vehicle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This page breaks down performance by vehicle type — Auto, Bike, Go Mini, Go Sedan, Premier Sedan, and Uber XL — showing customer count, revenue, completed bookings, contribution %, and a completed-bookings trend sparkline for each, plus Ride Completion / Incomplete Rate KPIs.</w:t>
      </w:r>
    </w:p>
    <w:p>
      <w:pPr>
        <w:spacing w:after="60"/>
        <w:jc w:val="center"/>
      </w:pPr>
      <w:r>
        <w:drawing>
          <wp:inline distT="0" distB="0" distL="0" distR="0">
            <wp:extent cx="6035040" cy="34613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4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64748B"/>
          <w:sz w:val="18"/>
          <w:szCs w:val="18"/>
        </w:rPr>
        <w:t xml:space="preserve">Vehicle — performance breakdown by vehicle type</w:t>
      </w:r>
    </w:p>
    <w:p>
      <w:pPr>
        <w:pStyle w:val="Heading2"/>
        <w:spacing w:after="120" w:before="260"/>
      </w:pPr>
      <w:r>
        <w:rPr>
          <w:b/>
          <w:bCs/>
          <w:color w:val="1E293B"/>
          <w:sz w:val="24"/>
          <w:szCs w:val="24"/>
        </w:rPr>
        <w:t xml:space="preserve">6.4 Revenue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The Revenue page tracks monthly and quarterly revenue trends, revenue by payment method, revenue by top customers, MoM revenue growth, average revenue per booking, lost revenue, and revenue per km.</w:t>
      </w:r>
    </w:p>
    <w:p>
      <w:pPr>
        <w:spacing w:after="60"/>
        <w:jc w:val="center"/>
      </w:pPr>
      <w:r>
        <w:drawing>
          <wp:inline distT="0" distB="0" distL="0" distR="0">
            <wp:extent cx="6035040" cy="34731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47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64748B"/>
          <w:sz w:val="18"/>
          <w:szCs w:val="18"/>
        </w:rPr>
        <w:t xml:space="preserve">Revenue — trends, payment methods, and unit economics</w:t>
      </w:r>
    </w:p>
    <w:p>
      <w:pPr>
        <w:pStyle w:val="Heading2"/>
        <w:spacing w:after="120" w:before="260"/>
      </w:pPr>
      <w:r>
        <w:rPr>
          <w:b/>
          <w:bCs/>
          <w:color w:val="1E293B"/>
          <w:sz w:val="24"/>
          <w:szCs w:val="24"/>
        </w:rPr>
        <w:t xml:space="preserve">6.5 Customer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The Customer page segments riders into first-time, return, and regular customers, tracks payment method usage by customer, and quantifies cancellation risk — including customer cancellation %, revenue at risk, cancelled count, cancelled revenue impact, and the top cancellation reason.</w:t>
      </w:r>
    </w:p>
    <w:p>
      <w:pPr>
        <w:spacing w:after="60"/>
        <w:jc w:val="center"/>
      </w:pPr>
      <w:r>
        <w:drawing>
          <wp:inline distT="0" distB="0" distL="0" distR="0">
            <wp:extent cx="6035040" cy="35160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5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64748B"/>
          <w:sz w:val="18"/>
          <w:szCs w:val="18"/>
        </w:rPr>
        <w:t xml:space="preserve">Customer — segmentation and cancellation risk analysis</w:t>
      </w:r>
    </w:p>
    <w:p>
      <w:pPr>
        <w:pStyle w:val="Heading2"/>
        <w:spacing w:after="120" w:before="260"/>
      </w:pPr>
      <w:r>
        <w:rPr>
          <w:b/>
          <w:bCs/>
          <w:color w:val="1E293B"/>
          <w:sz w:val="24"/>
          <w:szCs w:val="24"/>
        </w:rPr>
        <w:t xml:space="preserve">6.6 Location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The Location page shows distance travelled by vehicle type and by pickup location, along with a day-of-week × time-slot demand heatmap that highlights peak booking windows.</w:t>
      </w:r>
    </w:p>
    <w:p>
      <w:pPr>
        <w:spacing w:after="60"/>
        <w:jc w:val="center"/>
      </w:pPr>
      <w:r>
        <w:drawing>
          <wp:inline distT="0" distB="0" distL="0" distR="0">
            <wp:extent cx="6035040" cy="348379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48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64748B"/>
          <w:sz w:val="18"/>
          <w:szCs w:val="18"/>
        </w:rPr>
        <w:t xml:space="preserve">Location — geographic distance breakdown and demand heatmap</w:t>
      </w:r>
    </w:p>
    <w:p>
      <w:pPr>
        <w:pStyle w:val="Heading1"/>
        <w:spacing w:after="160" w:before="380"/>
      </w:pPr>
      <w:r>
        <w:rPr>
          <w:b/>
          <w:bCs/>
          <w:color w:val="0F766E"/>
          <w:sz w:val="30"/>
          <w:szCs w:val="30"/>
        </w:rPr>
        <w:t xml:space="preserve">7. Key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Multi-page interactive navigation with a dedicated Home hub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Custom icon set, 3D vehicle imagery, and consistent visual branding across all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KPI cards for at-a-glance executive summaries, dynamically filtered by vehicle type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Cross-filtering and drill-down across vehicle, customer, and location dimensions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A dedicated day-of-week × time-slot demand heatmap for operational planning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Cancellation and revenue-risk analysis at the customer level, not just in aggregate</w:t>
      </w:r>
    </w:p>
    <w:p>
      <w:pPr>
        <w:pStyle w:val="Heading1"/>
        <w:spacing w:after="160" w:before="380"/>
      </w:pPr>
      <w:r>
        <w:rPr>
          <w:b/>
          <w:bCs/>
          <w:color w:val="0F766E"/>
          <w:sz w:val="30"/>
          <w:szCs w:val="30"/>
        </w:rPr>
        <w:t xml:space="preserve">8. Business Value &amp; Key Insights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By consolidating trip, revenue, vehicle, and customer data into a single interactive report, the dashboard enables faster, evidence-based decisions. Specific insights surfaced by the data include: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Auto is the top revenue-generating vehicle type, contributing 24.84% of total revenue (12.9M), followed closely by Bike (11.5M) and Go Mini (10.3M).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Only 62.21% of rides are completed successfully — a 38.19% incomplete rate represents a significant opportunity for operational improvement.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UPI dominates payment methods at 23M in revenue, more than Cash, Uber Wallet, Credit Card, and Debit Card combined.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"Driver asked to cancel" is the top customer-reported cancellation reason, pointing to a specific, addressable operational issue.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Customer-side cancellations put 10% of revenue at risk, with a measured impact of 645.11K in lost revenue.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E293B"/>
          <w:sz w:val="22"/>
          <w:szCs w:val="22"/>
        </w:rPr>
        <w:t xml:space="preserve">Khandsa and Ashram are the top pickup and drop locations respectively, and demand peaks in the 6 PM–9 PM window — useful signals for driver allocation and surge planning.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This mirrors how analytics teams at ride-hailing and logistics companies support operational, pricing, and retention decisions in practice.</w:t>
      </w:r>
    </w:p>
    <w:p>
      <w:pPr>
        <w:pStyle w:val="Heading1"/>
        <w:spacing w:after="160" w:before="380"/>
      </w:pPr>
      <w:r>
        <w:rPr>
          <w:b/>
          <w:bCs/>
          <w:color w:val="0F766E"/>
          <w:sz w:val="30"/>
          <w:szCs w:val="30"/>
        </w:rPr>
        <w:t xml:space="preserve">9. Conclusion</w:t>
      </w:r>
    </w:p>
    <w:p>
      <w:pPr>
        <w:spacing w:after="160" w:line="300"/>
      </w:pPr>
      <w:r>
        <w:rPr>
          <w:color w:val="1E293B"/>
          <w:sz w:val="22"/>
          <w:szCs w:val="22"/>
        </w:rPr>
        <w:t xml:space="preserve">This project demonstrates practical, end-to-end Power BI capability: from data modeling and DAX through to polished, stakeholder-ready report design. The KPI framework and calculated measures go beyond simple totals to surface completion rates, revenue risk, and cancellation drivers — reflecting a workflow that can be applied directly to real-world business intelligence problems in operations, revenue, and customer analytics.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Uber Rides Analytics Dashboard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9f921d71ba53ad605570313904031f4e8892ad3.jpg"/><Relationship Id="rId10" Type="http://schemas.openxmlformats.org/officeDocument/2006/relationships/image" Target="media/96f5bc3a5c4f8bd770b8c642200d9cfed5e0f722.jpg"/><Relationship Id="rId11" Type="http://schemas.openxmlformats.org/officeDocument/2006/relationships/image" Target="media/d25073021c89c96a8be30f57c441dacba3955065.jpg"/><Relationship Id="rId12" Type="http://schemas.openxmlformats.org/officeDocument/2006/relationships/image" Target="media/9d8c00c4bb50242a83acbba6492803febf5fb042.jpg"/><Relationship Id="rId13" Type="http://schemas.openxmlformats.org/officeDocument/2006/relationships/image" Target="media/115d31e9d811f3cd75a77352768829c650936598.jpg"/><Relationship Id="rId14" Type="http://schemas.openxmlformats.org/officeDocument/2006/relationships/image" Target="media/c9d2f27cc5c60e7c79b1689a51ff467d41da1834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2026-07-09T05:24:09.979Z</dcterms:created>
  <dcterms:modified xsi:type="dcterms:W3CDTF">2026-07-09T05:24:09.979Z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