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pPr>
      <w:r>
        <w:rPr>
          <w:rFonts w:ascii="Calibri" w:cs="Calibri" w:eastAsia="Calibri" w:hAnsi="Calibri"/>
          <w:b/>
          <w:bCs/>
          <w:color w:val="1F3864"/>
          <w:sz w:val="40"/>
          <w:szCs w:val="40"/>
        </w:rPr>
        <w:t xml:space="preserve">Handover Due Diligence — Response Pack</w:t>
      </w:r>
    </w:p>
    <w:p>
      <w:pPr>
        <w:spacing w:after="200" w:line="276"/>
      </w:pPr>
      <w:r>
        <w:rPr>
          <w:rFonts w:ascii="Calibri" w:cs="Calibri" w:eastAsia="Calibri" w:hAnsi="Calibri"/>
          <w:i/>
          <w:iCs/>
          <w:color w:val="595959"/>
          <w:sz w:val="22"/>
          <w:szCs w:val="22"/>
        </w:rPr>
        <w:t xml:space="preserve">DispatchChat Platform (Nishan TMS) — Dispatch Web Application, Nishan Driver Mobile App and DispatchChat Messaging App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Item</w:t>
            </w:r>
          </w:p>
        </w:tc>
        <w:tc>
          <w:tcPr>
            <w:tcW w:type="dxa" w:w="74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Detail</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Client</w:t>
            </w:r>
          </w:p>
        </w:tc>
        <w:tc>
          <w:tcPr>
            <w:tcW w:type="dxa" w:w="7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Nishan Transport, 1805 Chemin Saint-François, Dorval, Quebec, H9P 2S1</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Prepared by</w:t>
            </w:r>
          </w:p>
        </w:tc>
        <w:tc>
          <w:tcPr>
            <w:tcW w:type="dxa" w:w="7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Nishantpreet Singh &amp; Shubham Bansal (the “Developers”)</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Date</w:t>
            </w:r>
          </w:p>
        </w:tc>
        <w:tc>
          <w:tcPr>
            <w:tcW w:type="dxa" w:w="7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 September 2026</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Companion document</w:t>
            </w:r>
          </w:p>
        </w:tc>
        <w:tc>
          <w:tcPr>
            <w:tcW w:type="dxa" w:w="7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Memorandum of Understanding — Software Build, Delivery, IP Assignment and Handover, Version 1.0 (Execution Draft), Effective Date 2 September 2026 (the “MOU”)</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Status</w:t>
            </w:r>
          </w:p>
        </w:tc>
        <w:tc>
          <w:tcPr>
            <w:tcW w:type="dxa" w:w="7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Completed response — all open items resolved by reference to the MOU Schedules A–G, except AI tool plan tiers (see C3)</w:t>
            </w:r>
          </w:p>
        </w:tc>
      </w:tr>
    </w:tbl>
    <w:p>
      <w:pPr>
        <w:spacing w:after="120"/>
      </w:pPr>
    </w:p>
    <w:p>
      <w:pPr>
        <w:spacing w:after="120" w:line="276"/>
      </w:pPr>
      <w:r>
        <w:rPr>
          <w:rFonts w:ascii="Calibri" w:cs="Calibri" w:eastAsia="Calibri" w:hAnsi="Calibri"/>
          <w:i/>
          <w:iCs/>
          <w:color w:val="595959"/>
          <w:sz w:val="20"/>
          <w:szCs w:val="20"/>
        </w:rPr>
        <w:t xml:space="preserve">Cross-references in square brackets (e.g. [MOU cl. 8.5], [Sch. B]) point to the clause or Schedule of the MOU that governs the answer. Where this pack and the MOU differ, the MOU prevails [MOU cl. 24.1].</w:t>
      </w:r>
    </w:p>
    <w:p>
      <w:pPr>
        <w:pStyle w:val="Heading1"/>
        <w:spacing w:after="160" w:before="360"/>
      </w:pPr>
      <w:r>
        <w:rPr>
          <w:rFonts w:ascii="Calibri" w:cs="Calibri" w:eastAsia="Calibri" w:hAnsi="Calibri"/>
          <w:b/>
          <w:bCs/>
          <w:color w:val="1F3864"/>
          <w:sz w:val="30"/>
          <w:szCs w:val="30"/>
        </w:rPr>
        <w:t xml:space="preserve">Section A — Identity and commercial basics</w:t>
      </w:r>
    </w:p>
    <w:p>
      <w:pPr>
        <w:pStyle w:val="Heading2"/>
        <w:spacing w:after="100" w:before="240"/>
      </w:pPr>
      <w:r>
        <w:rPr>
          <w:rFonts w:ascii="Calibri" w:cs="Calibri" w:eastAsia="Calibri" w:hAnsi="Calibri"/>
          <w:b/>
          <w:bCs/>
          <w:color w:val="1F3864"/>
          <w:sz w:val="24"/>
          <w:szCs w:val="24"/>
        </w:rPr>
        <w:t xml:space="preserve">A1. Full legal name and address</w:t>
      </w:r>
    </w:p>
    <w:p>
      <w:pPr>
        <w:spacing w:after="120" w:line="276"/>
      </w:pPr>
      <w:r>
        <w:rPr>
          <w:rFonts w:ascii="Calibri" w:cs="Calibri" w:eastAsia="Calibri" w:hAnsi="Calibri"/>
          <w:sz w:val="22"/>
          <w:szCs w:val="22"/>
        </w:rPr>
        <w:t xml:space="preserve">Nishantpreet Singh of 2656 Mohalla Phool Chakkar, Ropar, Punjab 140001, India; and Shubham Bansal of Narang Colony, Street No. 1, Sri Muktsar Sahib, Punjab, India, acting jointly and severally as independent contractors for the software build phase [MOU cl. 1.1(b), 22.1].</w:t>
      </w:r>
    </w:p>
    <w:p>
      <w:pPr>
        <w:spacing w:after="120" w:line="276"/>
      </w:pPr>
      <w:r>
        <w:rPr>
          <w:rFonts w:ascii="Calibri" w:cs="Calibri" w:eastAsia="Calibri" w:hAnsi="Calibri"/>
          <w:sz w:val="22"/>
          <w:szCs w:val="22"/>
        </w:rPr>
        <w:t xml:space="preserve">Client: Nishan Transport, 1805 Chemin Saint-François, Dorval, Quebec, H9P 2S1. Client Representative: Nick (Nishan Transport) [MOU cl. 3.1].</w:t>
      </w:r>
    </w:p>
    <w:p>
      <w:pPr>
        <w:pStyle w:val="Heading2"/>
        <w:spacing w:after="100" w:before="240"/>
      </w:pPr>
      <w:r>
        <w:rPr>
          <w:rFonts w:ascii="Calibri" w:cs="Calibri" w:eastAsia="Calibri" w:hAnsi="Calibri"/>
          <w:b/>
          <w:bCs/>
          <w:color w:val="1F3864"/>
          <w:sz w:val="24"/>
          <w:szCs w:val="24"/>
        </w:rPr>
        <w:t xml:space="preserve">A2. Bank details</w:t>
      </w:r>
    </w:p>
    <w:p>
      <w:pPr>
        <w:spacing w:after="120" w:line="276"/>
      </w:pPr>
      <w:r>
        <w:rPr>
          <w:rFonts w:ascii="Calibri" w:cs="Calibri" w:eastAsia="Calibri" w:hAnsi="Calibri"/>
          <w:sz w:val="22"/>
          <w:szCs w:val="22"/>
        </w:rPr>
        <w:t xml:space="preserve">Bank details will be stated on our formal joint invoice for each Milestone and verified by Nishan Transport by telephone, to a number independently known to Nishan Transport, before the first payment is made. We will not change bank details by email at any point during this engagement, and any emailed request to change bank details should be treated as fraudulent unless verified by telephone in the same manner [MOU cl. 8.4, 8.5; Sch. C].</w:t>
      </w:r>
    </w:p>
    <w:p>
      <w:pPr>
        <w:pStyle w:val="Heading1"/>
        <w:spacing w:after="160" w:before="360"/>
      </w:pPr>
      <w:r>
        <w:rPr>
          <w:rFonts w:ascii="Calibri" w:cs="Calibri" w:eastAsia="Calibri" w:hAnsi="Calibri"/>
          <w:b/>
          <w:bCs/>
          <w:color w:val="1F3864"/>
          <w:sz w:val="30"/>
          <w:szCs w:val="30"/>
        </w:rPr>
        <w:t xml:space="preserve">Section B — Remaining work and schedule</w:t>
      </w:r>
    </w:p>
    <w:p>
      <w:pPr>
        <w:pStyle w:val="Heading2"/>
        <w:spacing w:after="100" w:before="240"/>
      </w:pPr>
      <w:r>
        <w:rPr>
          <w:rFonts w:ascii="Calibri" w:cs="Calibri" w:eastAsia="Calibri" w:hAnsi="Calibri"/>
          <w:b/>
          <w:bCs/>
          <w:color w:val="1F3864"/>
          <w:sz w:val="24"/>
          <w:szCs w:val="24"/>
        </w:rPr>
        <w:t xml:space="preserve">B1. Breakdown of the remaining 2–3 weeks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6840"/>
        <w:gridCol w:w="18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Week</w:t>
            </w:r>
          </w:p>
        </w:tc>
        <w:tc>
          <w:tcPr>
            <w:tcW w:type="dxa" w:w="6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Activity</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Milestone</w:t>
            </w:r>
          </w:p>
        </w:tc>
      </w:tr>
      <w:t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Week 1</w:t>
            </w:r>
          </w:p>
        </w:tc>
        <w:tc>
          <w:tcPr>
            <w:tcW w:type="dxa" w:w="6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Final pre-launch preparation; stabilisation of the staging environment; closure of all items marked “Verify” in Schedule A; client User Acceptance Testing (UAT) against Schedule E; UAT sign-off.</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M3 — 25%</w:t>
            </w:r>
          </w:p>
        </w:tc>
      </w:tr>
      <w:t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Week 2</w:t>
            </w:r>
          </w:p>
        </w:tc>
        <w:tc>
          <w:tcPr>
            <w:tcW w:type="dxa" w:w="6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Production deployment (Go-Live) under Nishan Transport-owned accounts (Schedule D), data migration with zero data loss, Android device builds; application made available to end users.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M4 — 25%</w:t>
            </w:r>
          </w:p>
        </w:tc>
      </w:tr>
      <w:t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Week 3</w:t>
            </w:r>
          </w:p>
        </w:tc>
        <w:tc>
          <w:tcPr>
            <w:tcW w:type="dxa" w:w="6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Post-launch monitoring; agreed minor feature additions (up to three person-days, included in the Fees); delivery of all handover documentation (Schedule F) and SBOM (Schedule G); Handover Completion.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M5 — 20%</w:t>
            </w:r>
          </w:p>
        </w:tc>
      </w:tr>
    </w:tbl>
    <w:p>
      <w:pPr>
        <w:spacing w:after="120"/>
      </w:pPr>
    </w:p>
    <w:p>
      <w:pPr>
        <w:spacing w:after="120" w:line="276"/>
      </w:pPr>
      <w:r>
        <w:rPr>
          <w:rFonts w:ascii="Calibri" w:cs="Calibri" w:eastAsia="Calibri" w:hAnsi="Calibri"/>
          <w:b/>
          <w:bCs/>
          <w:i/>
          <w:iCs/>
          <w:sz w:val="20"/>
          <w:szCs w:val="20"/>
        </w:rPr>
        <w:t xml:space="preserve">Note: </w:t>
      </w:r>
      <w:r>
        <w:rPr>
          <w:rFonts w:ascii="Calibri" w:cs="Calibri" w:eastAsia="Calibri" w:hAnsi="Calibri"/>
          <w:i/>
          <w:iCs/>
          <w:sz w:val="20"/>
          <w:szCs w:val="20"/>
        </w:rPr>
        <w:t xml:space="preserve">This schedule assumes UAT feedback is delivered within five Business Days of each UAT delivery [MOU cl. 6.1(c)]. Client delay shifts subsequent dates day-for-day [MOU cl. 6.2]. If no Acceptance or Defect list is received within ten Business Days of a UAT delivery, the Milestone is deemed Accepted [MOU cl. 7.5].</w:t>
      </w:r>
    </w:p>
    <w:p>
      <w:pPr>
        <w:pStyle w:val="Heading2"/>
        <w:spacing w:after="100" w:before="240"/>
      </w:pPr>
      <w:r>
        <w:rPr>
          <w:rFonts w:ascii="Calibri" w:cs="Calibri" w:eastAsia="Calibri" w:hAnsi="Calibri"/>
          <w:b/>
          <w:bCs/>
          <w:color w:val="1F3864"/>
          <w:sz w:val="24"/>
          <w:szCs w:val="24"/>
        </w:rPr>
        <w:t xml:space="preserve">B2. Status and detail of the modules</w:t>
      </w:r>
    </w:p>
    <w:p>
      <w:pPr>
        <w:spacing w:after="120" w:line="276"/>
      </w:pPr>
      <w:r>
        <w:rPr>
          <w:rFonts w:ascii="Calibri" w:cs="Calibri" w:eastAsia="Calibri" w:hAnsi="Calibri"/>
          <w:b/>
          <w:bCs/>
          <w:i/>
          <w:iCs/>
          <w:sz w:val="20"/>
          <w:szCs w:val="20"/>
        </w:rPr>
        <w:t xml:space="preserve">Note: </w:t>
      </w:r>
      <w:r>
        <w:rPr>
          <w:rFonts w:ascii="Calibri" w:cs="Calibri" w:eastAsia="Calibri" w:hAnsi="Calibri"/>
          <w:i/>
          <w:iCs/>
          <w:sz w:val="20"/>
          <w:szCs w:val="20"/>
        </w:rPr>
        <w:t xml:space="preserve">The phases below correspond to the module groups in Schedule A of the MOU (features A1–A21) and the status table in Schedule B. Status is as recorded from the repository at 2 September 2026 and will be jointly confirmed at the start of UAT.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5040"/>
        <w:gridCol w:w="1200"/>
        <w:gridCol w:w="1000"/>
        <w:gridCol w:w="21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w:t>
            </w:r>
          </w:p>
        </w:tc>
        <w:tc>
          <w:tcPr>
            <w:tcW w:type="dxa" w:w="50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Module / Phase</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Status</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 Complete</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Remaining Work</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Phase 1 — Platform foundation, security and access control (JWT auth, RBAC, staff admin, audit logging, PostgreSQL schema of 40+ tables with auto-migrations, notification engine, Vercel/Render deployment pipeline), Live Dispatch core and Kanban freight pipeline [Sch. A1–A3]</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Complete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100%</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None</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Phase 2 — Operations modules through module 2.12: Nishan Driver App (web + Android), Driver Manager Hub, Driver HR &amp; Fleet, Safety &amp; HOS, Cross-Dock Warehouse, Customs (PAPS/PARS, BorderConnect), Customer Portal &amp; Rate Requests, Public Tracking, Predictive ETA &amp; Weather, Samsara Fleet Radar, Detention Tracker, PC*MILER Routing/Tolls/IFTA, Predictive Maintenance, Invoicing, Driver Settlements, Executive Analytics, Audit Trail [Sch. A4–A20]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Complete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100%</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None</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3</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Phase 3 — DispatchChat messaging application (accounts, 1:1 and group chat, broadcast, WebRTC voice/video, status, load cards via Supabase webhook, BOL upload from chat, EN/FR/Punjabi translation, offline queue and push, Android packaging) and Dispatch ↔ Chat integration; closure of items marked “Verify” in Schedule A (load board, relay legs, AI driver matcher, live GPS, pay tab, Android packaging, reassignment, HOS logs, tracking page) [Sch. A21]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In Progress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30%</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Final UI/logic adjustments; live-data verification of “Verify” items</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4</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Phase 4 — Production environment under Nishan Transport-owned accounts, data migration (PostgreSQL, MongoDB, file storage), Android device builds for both apps [Sch. D; MOU cl. 12]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In Progress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10%</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Integration testing; account transfer per Schedule D</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5</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Testing Phase — staging stabilisation and UAT against Schedule E scenarios (tender-to-cash, cross-border, customer journey, relay, administration, messaging)</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In Progress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50%</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Final UAT in Week 1</w:t>
            </w:r>
          </w:p>
        </w:tc>
      </w:tr>
      <w:t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6</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Handover and Paperwork — documentation (Schedule F), code and account transfer, SBOM (Schedule G), runbooks, recorded walkthroughs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Not Started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0%</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Documentation and code transfer in Week 3</w:t>
            </w:r>
          </w:p>
        </w:tc>
      </w:tr>
    </w:tbl>
    <w:p>
      <w:pPr>
        <w:spacing w:after="120"/>
      </w:pPr>
    </w:p>
    <w:p>
      <w:pPr>
        <w:pStyle w:val="Heading2"/>
        <w:spacing w:after="100" w:before="240"/>
      </w:pPr>
      <w:r>
        <w:rPr>
          <w:rFonts w:ascii="Calibri" w:cs="Calibri" w:eastAsia="Calibri" w:hAnsi="Calibri"/>
          <w:b/>
          <w:bCs/>
          <w:color w:val="1F3864"/>
          <w:sz w:val="24"/>
          <w:szCs w:val="24"/>
        </w:rPr>
        <w:t xml:space="preserve">Clarification on Payment Milestones</w:t>
      </w:r>
    </w:p>
    <w:p>
      <w:pPr>
        <w:spacing w:after="120" w:line="276"/>
      </w:pPr>
      <w:r>
        <w:rPr>
          <w:rFonts w:ascii="Calibri" w:cs="Calibri" w:eastAsia="Calibri" w:hAnsi="Calibri"/>
          <w:sz w:val="22"/>
          <w:szCs w:val="22"/>
        </w:rPr>
        <w:t xml:space="preserve">To align with standard software delivery practice and our upcoming transition to full-time internal roles, the payment milestones for the freelance build phase are structured as follows. The total fixed fee is CAD 35,000; Milestones 1 and 2 (30% in aggregate) were invoiced and paid before the Effective Date [MOU cl. 8.1–8.3; Sch. C].</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4640"/>
        <w:gridCol w:w="1000"/>
        <w:gridCol w:w="1300"/>
        <w:gridCol w:w="19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Milestone</w:t>
            </w:r>
          </w:p>
        </w:tc>
        <w:tc>
          <w:tcPr>
            <w:tcW w:type="dxa" w:w="46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Deliverable / trigger</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 of Fees</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Amount (CAD)</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Payment due</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M1</w:t>
            </w:r>
          </w:p>
        </w:tc>
        <w:tc>
          <w:tcPr>
            <w:tcW w:type="dxa" w:w="4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Phase 1 — Platform foundation and Live Dispatch core delivered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3,500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Paid</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M2</w:t>
            </w:r>
          </w:p>
        </w:tc>
        <w:tc>
          <w:tcPr>
            <w:tcW w:type="dxa" w:w="4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Phase 2 — Operations modules delivered (through module 2.12)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7,000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Paid</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M3</w:t>
            </w:r>
          </w:p>
        </w:tc>
        <w:tc>
          <w:tcPr>
            <w:tcW w:type="dxa" w:w="4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Phase 3 (formerly “Module 2.7” milestone) — staging stabilised, all Schedule A items closed, UAT sign-off obtained (end of Week 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25%</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8,750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10 Business Days after Acceptance</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M4</w:t>
            </w:r>
          </w:p>
        </w:tc>
        <w:tc>
          <w:tcPr>
            <w:tcW w:type="dxa" w:w="4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Phase 4 (formerly “Module 2.12” milestone) — production Go-Live under Client-owned accounts with migrated data (end of Week 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25%</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8,750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10 Business Days after Acceptance</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M5</w:t>
            </w:r>
          </w:p>
        </w:tc>
        <w:tc>
          <w:tcPr>
            <w:tcW w:type="dxa" w:w="4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Phases 5 &amp; 6 — Handover Completion: all Schedule D transfers, Schedule F documentation and Schedule G SBOM delivered and confirmed (end of Week 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7,000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10 Business Days after Handover Completion</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
            </w:r>
          </w:p>
        </w:tc>
        <w:tc>
          <w:tcPr>
            <w:tcW w:type="dxa" w:w="4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Total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100%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35,000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
            </w:r>
          </w:p>
        </w:tc>
      </w:tr>
    </w:tbl>
    <w:p>
      <w:pPr>
        <w:spacing w:after="120"/>
      </w:pPr>
    </w:p>
    <w:p>
      <w:pPr>
        <w:spacing w:after="120" w:line="276"/>
      </w:pPr>
      <w:r>
        <w:rPr>
          <w:rFonts w:ascii="Calibri" w:cs="Calibri" w:eastAsia="Calibri" w:hAnsi="Calibri"/>
          <w:sz w:val="22"/>
          <w:szCs w:val="22"/>
        </w:rPr>
        <w:t xml:space="preserve">One joint invoice is issued per Milestone upon Acceptance; undisputed invoices are payable within ten Business Days [MOU cl. 8.4]. Third-party hosting and API charges become Nishan Transport’s responsibility from the date each account is transferred into its name [MOU cl. 8.7].</w:t>
      </w:r>
    </w:p>
    <w:p>
      <w:pPr>
        <w:pStyle w:val="Heading1"/>
        <w:spacing w:after="160" w:before="360"/>
      </w:pPr>
      <w:r>
        <w:rPr>
          <w:rFonts w:ascii="Calibri" w:cs="Calibri" w:eastAsia="Calibri" w:hAnsi="Calibri"/>
          <w:b/>
          <w:bCs/>
          <w:color w:val="1F3864"/>
          <w:sz w:val="30"/>
          <w:szCs w:val="30"/>
        </w:rPr>
        <w:t xml:space="preserve">Section C — Intellectual property and code provenance</w:t>
      </w:r>
    </w:p>
    <w:p>
      <w:pPr>
        <w:pStyle w:val="Heading2"/>
        <w:spacing w:after="100" w:before="240"/>
      </w:pPr>
      <w:r>
        <w:rPr>
          <w:rFonts w:ascii="Calibri" w:cs="Calibri" w:eastAsia="Calibri" w:hAnsi="Calibri"/>
          <w:b/>
          <w:bCs/>
          <w:color w:val="1F3864"/>
          <w:sz w:val="24"/>
          <w:szCs w:val="24"/>
        </w:rPr>
        <w:t xml:space="preserve">C1. Assignment agreements from your team</w:t>
      </w:r>
    </w:p>
    <w:p>
      <w:pPr>
        <w:spacing w:after="120" w:line="276"/>
      </w:pPr>
      <w:r>
        <w:rPr>
          <w:rFonts w:ascii="Calibri" w:cs="Calibri" w:eastAsia="Calibri" w:hAnsi="Calibri"/>
          <w:sz w:val="22"/>
          <w:szCs w:val="22"/>
        </w:rPr>
        <w:t xml:space="preserve">Agreed. As the joint signatories, we warrant that we are the sole authors and owners of all bespoke code in the Deliverables and that no employee, sub-contractor or other third party has contributed code without a written assignment in our favour [MOU cl. 9.4]. All Intellectual Property Rights in the Deliverables are assigned to Nishan Transport by way of present assignment; legal title vests absolutely on payment of the final Milestone, and pending that payment Nishan Transport holds an exclusive, irrevocable, royalty-free licence to use, host, modify and operate the Deliverables [MOU cl. 9.1–9.2]. We waive all moral rights in favour of Nishan Transport [MOU cl. 9.3] and will execute any further documents reasonably required to perfect these rights [MOU cl. 9.5].</w:t>
      </w:r>
    </w:p>
    <w:p>
      <w:pPr>
        <w:pStyle w:val="Heading2"/>
        <w:spacing w:after="100" w:before="240"/>
      </w:pPr>
      <w:r>
        <w:rPr>
          <w:rFonts w:ascii="Calibri" w:cs="Calibri" w:eastAsia="Calibri" w:hAnsi="Calibri"/>
          <w:b/>
          <w:bCs/>
          <w:color w:val="1F3864"/>
          <w:sz w:val="24"/>
          <w:szCs w:val="24"/>
        </w:rPr>
        <w:t xml:space="preserve">C2. Reused, pre-existing and library code</w:t>
      </w:r>
    </w:p>
    <w:p>
      <w:pPr>
        <w:spacing w:after="120" w:line="276"/>
      </w:pPr>
      <w:r>
        <w:rPr>
          <w:rFonts w:ascii="Calibri" w:cs="Calibri" w:eastAsia="Calibri" w:hAnsi="Calibri"/>
          <w:sz w:val="22"/>
          <w:szCs w:val="22"/>
        </w:rPr>
        <w:t xml:space="preserve">The project code falls into two categories [MOU cl. 10.1]:</w:t>
      </w:r>
    </w:p>
    <w:p>
      <w:pPr>
        <w:pStyle w:val="ListParagraph"/>
        <w:numPr>
          <w:ilvl w:val="0"/>
          <w:numId w:val="2"/>
        </w:numPr>
        <w:spacing w:after="80" w:line="276"/>
      </w:pPr>
      <w:r>
        <w:rPr>
          <w:rFonts w:ascii="Calibri" w:cs="Calibri" w:eastAsia="Calibri" w:hAnsi="Calibri"/>
          <w:b/>
          <w:bCs/>
          <w:sz w:val="22"/>
          <w:szCs w:val="22"/>
        </w:rPr>
        <w:t xml:space="preserve">(a) Bespoke project code</w:t>
      </w:r>
      <w:r>
        <w:rPr>
          <w:rFonts w:ascii="Calibri" w:cs="Calibri" w:eastAsia="Calibri" w:hAnsi="Calibri"/>
          <w:sz w:val="22"/>
          <w:szCs w:val="22"/>
        </w:rPr>
        <w:t xml:space="preserve"> — written specifically for Nishan Transport. Full ownership assigns to Nishan Transport as described in C1.</w:t>
      </w:r>
    </w:p>
    <w:p>
      <w:pPr>
        <w:pStyle w:val="ListParagraph"/>
        <w:numPr>
          <w:ilvl w:val="0"/>
          <w:numId w:val="2"/>
        </w:numPr>
        <w:spacing w:after="80" w:line="276"/>
      </w:pPr>
      <w:r>
        <w:rPr>
          <w:rFonts w:ascii="Calibri" w:cs="Calibri" w:eastAsia="Calibri" w:hAnsi="Calibri"/>
          <w:b/>
          <w:bCs/>
          <w:sz w:val="22"/>
          <w:szCs w:val="22"/>
        </w:rPr>
        <w:t xml:space="preserve">(b) Third-party open source</w:t>
      </w:r>
      <w:r>
        <w:rPr>
          <w:rFonts w:ascii="Calibri" w:cs="Calibri" w:eastAsia="Calibri" w:hAnsi="Calibri"/>
          <w:sz w:val="22"/>
          <w:szCs w:val="22"/>
        </w:rPr>
        <w:t xml:space="preserve"> — listed with licences in Schedule G of the MOU (React, React Router, Vite, Tailwind CSS, DaisyUI, Zustand, Leaflet, Capacitor, Express and middleware, pg, Mongoose, Socket.io/ws, jsonwebtoken, bcrypt, node-cron, nodemailer/imapflow/mailparser, @google/genai, @supabase/supabase-js, cloudinary, axios, dotenv, react-hot-toast, concurrently; OpenStreetMap/Nominatim data under ODbL). All are MIT, BSD-2-Clause, ISC or Apache-2.0 licensed; no GPL or AGPL component is included [MOU cl. 10.2; Sch. G1].</w:t>
      </w:r>
    </w:p>
    <w:p>
      <w:pPr>
        <w:spacing w:after="120" w:line="276"/>
      </w:pPr>
      <w:r>
        <w:rPr>
          <w:rFonts w:ascii="Calibri" w:cs="Calibri" w:eastAsia="Calibri" w:hAnsi="Calibri"/>
          <w:sz w:val="22"/>
          <w:szCs w:val="22"/>
        </w:rPr>
        <w:t xml:space="preserve">No pre-existing proprietary code belonging to the Developers or to any other client is incorporated in the Platform.</w:t>
      </w:r>
    </w:p>
    <w:p>
      <w:pPr>
        <w:pStyle w:val="Heading2"/>
        <w:spacing w:after="100" w:before="240"/>
      </w:pPr>
      <w:r>
        <w:rPr>
          <w:rFonts w:ascii="Calibri" w:cs="Calibri" w:eastAsia="Calibri" w:hAnsi="Calibri"/>
          <w:b/>
          <w:bCs/>
          <w:color w:val="1F3864"/>
          <w:sz w:val="24"/>
          <w:szCs w:val="24"/>
        </w:rPr>
        <w:t xml:space="preserve">C3. AI-generated code</w:t>
      </w:r>
    </w:p>
    <w:p>
      <w:pPr>
        <w:spacing w:after="120" w:line="276"/>
      </w:pPr>
      <w:r>
        <w:rPr>
          <w:rFonts w:ascii="Calibri" w:cs="Calibri" w:eastAsia="Calibri" w:hAnsi="Calibri"/>
          <w:sz w:val="22"/>
          <w:szCs w:val="22"/>
        </w:rPr>
        <w:t xml:space="preserve">We used AI coding assistants for boilerplate generation, logic troubleshooting and code review [MOU cl. 10.3; Sch. G2]. No Client Data or credentials were submitted to any AI service.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300"/>
        <w:gridCol w:w="324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Tool</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Plan / tier</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Vendor claims rights in output?</w:t>
            </w:r>
          </w:p>
        </w:tc>
        <w:tc>
          <w:tcPr>
            <w:tcW w:type="dxa" w:w="32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Trains on submitted code?</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Google Gemini</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To be confirmed by the Developers at UAT (Free / Advanced)</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No</w:t>
            </w:r>
          </w:p>
        </w:tc>
        <w:tc>
          <w:tcPr>
            <w:tcW w:type="dxa" w:w="3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Depends on plan: Free tier may use inputs for improvement; paid/Advanced tier does not. Plan to be confirmed.</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Anthropic Claude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To be confirmed by the Developers at UAT (Free / Pro)</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No</w:t>
            </w:r>
          </w:p>
        </w:tc>
        <w:tc>
          <w:tcPr>
            <w:tcW w:type="dxa" w:w="3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Per Anthropic consumer terms, training on conversations depends on the account’s privacy setting. Setting to be confirmed.</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GitHub Copilot</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To be confirmed by the Developers at UAT (Individual / Business)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No</w:t>
            </w:r>
          </w:p>
        </w:tc>
        <w:tc>
          <w:tcPr>
            <w:tcW w:type="dxa" w:w="3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Individual: code snippets may be collected unless opted out; Business: not used for training. Plan to be confirmed.</w:t>
            </w:r>
          </w:p>
        </w:tc>
      </w:tr>
    </w:tbl>
    <w:p>
      <w:pPr>
        <w:spacing w:after="120"/>
      </w:pPr>
    </w:p>
    <w:p>
      <w:pPr>
        <w:spacing w:after="120" w:line="276"/>
      </w:pPr>
      <w:r>
        <w:rPr>
          <w:rFonts w:ascii="Calibri" w:cs="Calibri" w:eastAsia="Calibri" w:hAnsi="Calibri"/>
          <w:sz w:val="22"/>
          <w:szCs w:val="22"/>
        </w:rPr>
        <w:t xml:space="preserve">All AI-assisted output was reviewed, tested and modified by the Developers before inclusion. Per the vendors’ terms, no vendor asserts ownership of the output. The plan tiers above are not recorded in the MOU or the repository and will be confirmed in writing by the Developers, together with the SBOM, before Handover Completion.</w:t>
      </w:r>
    </w:p>
    <w:p>
      <w:pPr>
        <w:pStyle w:val="Heading2"/>
        <w:spacing w:after="100" w:before="240"/>
      </w:pPr>
      <w:r>
        <w:rPr>
          <w:rFonts w:ascii="Calibri" w:cs="Calibri" w:eastAsia="Calibri" w:hAnsi="Calibri"/>
          <w:b/>
          <w:bCs/>
          <w:color w:val="1F3864"/>
          <w:sz w:val="24"/>
          <w:szCs w:val="24"/>
        </w:rPr>
        <w:t xml:space="preserve">C4. Open source components and licences</w:t>
      </w:r>
    </w:p>
    <w:p>
      <w:pPr>
        <w:spacing w:after="120" w:line="276"/>
      </w:pPr>
      <w:r>
        <w:rPr>
          <w:rFonts w:ascii="Calibri" w:cs="Calibri" w:eastAsia="Calibri" w:hAnsi="Calibri"/>
          <w:sz w:val="22"/>
          <w:szCs w:val="22"/>
        </w:rPr>
        <w:t xml:space="preserve">A complete software bill of materials (SBOM) in CycloneDX/SPDX JSON and Markdown, covering all four packages (Dispatch front-end, Dispatch API, Chat front-end, Chat back-end) with every third-party component, version and licence, will be delivered at Handover Completion [MOU cl. 10.2; Sch. F, G]. The principal components are already declared in Schedule G1. All components are used in compliance with their licences, and no component is licensed on terms that would require disclosure of the bespoke source code when the Platform is operated as a hosted service. Commercial API services (Samsara, Gemini, BorderConnect, PC*MILER) are governed by Nishan Transport’s own subscription terms.</w:t>
      </w:r>
    </w:p>
    <w:p>
      <w:pPr>
        <w:pStyle w:val="Heading2"/>
        <w:spacing w:after="100" w:before="240"/>
      </w:pPr>
      <w:r>
        <w:rPr>
          <w:rFonts w:ascii="Calibri" w:cs="Calibri" w:eastAsia="Calibri" w:hAnsi="Calibri"/>
          <w:b/>
          <w:bCs/>
          <w:color w:val="1F3864"/>
          <w:sz w:val="24"/>
          <w:szCs w:val="24"/>
        </w:rPr>
        <w:t xml:space="preserve">C5. Similar work for other clients</w:t>
      </w:r>
    </w:p>
    <w:p>
      <w:pPr>
        <w:spacing w:after="120" w:line="276"/>
      </w:pPr>
      <w:r>
        <w:rPr>
          <w:rFonts w:ascii="Calibri" w:cs="Calibri" w:eastAsia="Calibri" w:hAnsi="Calibri"/>
          <w:sz w:val="22"/>
          <w:szCs w:val="22"/>
        </w:rPr>
        <w:t xml:space="preserve">We have not built, are not building and will not build a comparable dispatch, fleet or driver-communication system for any other person using the bespoke elements of the Platform. The bespoke Deliverables are unique to this engagement and will not be reused for any third party [MOU cl. 10.4]. We indemnify Nishan Transport against third-party IP infringement claims relating to the bespoke Deliverables [MOU cl. 10.5].</w:t>
      </w:r>
    </w:p>
    <w:p>
      <w:pPr>
        <w:pStyle w:val="Heading1"/>
        <w:spacing w:after="160" w:before="360"/>
      </w:pPr>
      <w:r>
        <w:rPr>
          <w:rFonts w:ascii="Calibri" w:cs="Calibri" w:eastAsia="Calibri" w:hAnsi="Calibri"/>
          <w:b/>
          <w:bCs/>
          <w:color w:val="1F3864"/>
          <w:sz w:val="30"/>
          <w:szCs w:val="30"/>
        </w:rPr>
        <w:t xml:space="preserve">Section D — Where the code and accounts live</w:t>
      </w:r>
    </w:p>
    <w:p>
      <w:pPr>
        <w:pStyle w:val="Heading2"/>
        <w:spacing w:after="100" w:before="240"/>
      </w:pPr>
      <w:r>
        <w:rPr>
          <w:rFonts w:ascii="Calibri" w:cs="Calibri" w:eastAsia="Calibri" w:hAnsi="Calibri"/>
          <w:b/>
          <w:bCs/>
          <w:color w:val="1F3864"/>
          <w:sz w:val="24"/>
          <w:szCs w:val="24"/>
        </w:rPr>
        <w:t xml:space="preserve">D1. Current location of the code</w:t>
      </w:r>
    </w:p>
    <w:p>
      <w:pPr>
        <w:spacing w:after="120" w:line="276"/>
      </w:pPr>
      <w:r>
        <w:rPr>
          <w:rFonts w:ascii="Calibri" w:cs="Calibri" w:eastAsia="Calibri" w:hAnsi="Calibri"/>
          <w:sz w:val="22"/>
          <w:szCs w:val="22"/>
        </w:rPr>
        <w:t xml:space="preserve">All source code for the Platform is held in a single private GitHub repository, github.com/Shubb3006/DispatchChat, containing the Dispatch front-end (Dispatch/frontend), Dispatch API (Dispatch/backend) and the Chat application (Chat/frontend and Chat/backend). The repository has 108 commits to 1 September 2026, plus a backup/root-copy branch preserving the earlier root-level copy of the Dispatch app.</w:t>
      </w:r>
    </w:p>
    <w:p>
      <w:pPr>
        <w:spacing w:after="120" w:line="276"/>
      </w:pPr>
      <w:r>
        <w:rPr>
          <w:rFonts w:ascii="Calibri" w:cs="Calibri" w:eastAsia="Calibri" w:hAnsi="Calibri"/>
          <w:sz w:val="22"/>
          <w:szCs w:val="22"/>
        </w:rPr>
        <w:t xml:space="preserve">Within three Business Days of the Effective Date the repository will be transferred to a GitHub organisation owned and administered by Nishan Transport, preserving the full commit history and all branches [MOU cl. 11.1]. From that date all development takes place in the Nishan Transport-owned repository, with code committed no less than daily [MOU cl. 5.1(c), 11.2]. We will ensure no secrets, API keys, passwords or connection strings remain in the repository or its history and will provide a written list of any historic secrets to be rotated [MOU cl. 11.3].</w:t>
      </w:r>
    </w:p>
    <w:p>
      <w:pPr>
        <w:spacing w:after="120" w:line="276"/>
      </w:pPr>
      <w:r>
        <w:rPr>
          <w:rFonts w:ascii="Calibri" w:cs="Calibri" w:eastAsia="Calibri" w:hAnsi="Calibri"/>
          <w:sz w:val="22"/>
          <w:szCs w:val="22"/>
        </w:rPr>
        <w:t xml:space="preserve">The running staging application is hosted on Vercel (Dispatch front-end), Render (Dispatch API service ozack-dispatch-backend, including the cron/geofence worker), Supabase (PostgreSQL with PgBouncer, Storage) and MongoDB Atlas (Chat), all currently under Developer accounts.</w:t>
      </w:r>
    </w:p>
    <w:p>
      <w:pPr>
        <w:pStyle w:val="Heading2"/>
        <w:spacing w:after="100" w:before="240"/>
      </w:pPr>
      <w:r>
        <w:rPr>
          <w:rFonts w:ascii="Calibri" w:cs="Calibri" w:eastAsia="Calibri" w:hAnsi="Calibri"/>
          <w:b/>
          <w:bCs/>
          <w:color w:val="1F3864"/>
          <w:sz w:val="24"/>
          <w:szCs w:val="24"/>
        </w:rPr>
        <w:t xml:space="preserve">D2. Accounts, tokens and billing transfer</w:t>
      </w:r>
    </w:p>
    <w:p>
      <w:pPr>
        <w:spacing w:after="120" w:line="276"/>
      </w:pPr>
      <w:r>
        <w:rPr>
          <w:rFonts w:ascii="Calibri" w:cs="Calibri" w:eastAsia="Calibri" w:hAnsi="Calibri"/>
          <w:sz w:val="22"/>
          <w:szCs w:val="22"/>
        </w:rPr>
        <w:t xml:space="preserve">The services below make up the stack. Every account must be owned and billed in Nishan Transport’s name before Go-Live, and all credentials regenerated immediately after transfer with previous credentials revoked [MOU cl. 12.1–12.2; Sch. 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300"/>
        <w:gridCol w:w="274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Service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What it’s for</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Currently in whose name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Transfer at</w:t>
            </w:r>
          </w:p>
        </w:tc>
        <w:tc>
          <w:tcPr>
            <w:tcW w:type="dxa" w:w="27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Method / notes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GitHub</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Source code repository Shubb3006/DispatchChat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Developers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Effective Date + 3 Business Days</w:t>
            </w:r>
          </w:p>
        </w:tc>
        <w:tc>
          <w:tcPr>
            <w:tcW w:type="dxa" w:w="27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Transfer repo to Client GitHub organisation; preserve history and branches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Vercel</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Dispatch front-end hosting (auto-deploy from main)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Developers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Go-Live</w:t>
            </w:r>
          </w:p>
        </w:tc>
        <w:tc>
          <w:tcPr>
            <w:tcW w:type="dxa" w:w="27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Create Client team; re-import repo; set env vars; move custom domain</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Render</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Dispatch API hosting (ozack-dispatch-backend), cron/geofence worker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Developers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Go-Live</w:t>
            </w:r>
          </w:p>
        </w:tc>
        <w:tc>
          <w:tcPr>
            <w:tcW w:type="dxa" w:w="27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Create Client account; new web service on paid plan (avoids free-tier sleep); set all env vars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Supabase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PostgreSQL database (PgBouncer), Storage buckets for documents, webhooks to Chat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Developers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Go-Live</w:t>
            </w:r>
          </w:p>
        </w:tc>
        <w:tc>
          <w:tcPr>
            <w:tcW w:type="dxa" w:w="27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Transfer project to Client organisation or dump/restore; rotate DB password and service keys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MongoDB Atlas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DispatchChat messaging database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Developers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Go-Live</w:t>
            </w:r>
          </w:p>
        </w:tc>
        <w:tc>
          <w:tcPr>
            <w:tcW w:type="dxa" w:w="27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Transfer project or export/import; rotate credentials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Cloudinary</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Chat media (images, documents) storage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Developers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Go-Live</w:t>
            </w:r>
          </w:p>
        </w:tc>
        <w:tc>
          <w:tcPr>
            <w:tcW w:type="dxa" w:w="27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New Client account; migrate assets; rotate keys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Google Cloud / Gemini API</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AI tender parsing, driver matcher, forecasts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Developers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Go-Live</w:t>
            </w:r>
          </w:p>
        </w:tc>
        <w:tc>
          <w:tcPr>
            <w:tcW w:type="dxa" w:w="27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Client Google Cloud project; new GEMINI_API_KEY with billing</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Samsara</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Telematics, fleet map, geofence, DTC</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Nishan Transport (fleet account)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Confirm</w:t>
            </w:r>
          </w:p>
        </w:tc>
        <w:tc>
          <w:tcPr>
            <w:tcW w:type="dxa" w:w="27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Issue new SAMSARA_API_TOKEN from Client’s Samsara org; revoke Developer-held tokens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BorderConnect</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ACE/ACI e-manifest filing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Nishan Transport (customs account)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Confirm</w:t>
            </w:r>
          </w:p>
        </w:tc>
        <w:tc>
          <w:tcPr>
            <w:tcW w:type="dxa" w:w="27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Rotate API key; confirm account ownership</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PC*MILER / Trimble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Truck routing, mileage, tolls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Developers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Go-Live</w:t>
            </w:r>
          </w:p>
        </w:tc>
        <w:tc>
          <w:tcPr>
            <w:tcW w:type="dxa" w:w="27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Licence in Client name; rotate key</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Gmail / Google Workspace mailbox</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IMAP intake of load confirmations; SMTP notifications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None yet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Go-Live</w:t>
            </w:r>
          </w:p>
        </w:tc>
        <w:tc>
          <w:tcPr>
            <w:tcW w:type="dxa" w:w="27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Use Client-owned mailbox with app password; rotate</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Google Play Console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Publishing Nishan Driver and DispatchChat Android apps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Developers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Go-Live</w:t>
            </w:r>
          </w:p>
        </w:tc>
        <w:tc>
          <w:tcPr>
            <w:tcW w:type="dxa" w:w="27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Client developer account; upload signing keys / Play App Signing</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Domain / DNS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Production URLs for web app, API, portal and tracking links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Developers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Go-Live</w:t>
            </w:r>
          </w:p>
        </w:tc>
        <w:tc>
          <w:tcPr>
            <w:tcW w:type="dxa" w:w="27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Registrar account in Client name</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AWS †</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Cloud infrastructure / storage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Developers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Go-Live</w:t>
            </w:r>
          </w:p>
        </w:tc>
        <w:tc>
          <w:tcPr>
            <w:tcW w:type="dxa" w:w="27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Not referenced in current repository — confirm usage at UAT; transfer or strike</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Make (make.com) †</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Automations / integrations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Developers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Go-Live</w:t>
            </w:r>
          </w:p>
        </w:tc>
        <w:tc>
          <w:tcPr>
            <w:tcW w:type="dxa" w:w="27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Not referenced in current repository — confirm usage at UAT; export scenarios; transfer or strike</w:t>
            </w:r>
          </w:p>
        </w:tc>
      </w:tr>
    </w:tbl>
    <w:p>
      <w:pPr>
        <w:spacing w:after="120"/>
      </w:pPr>
    </w:p>
    <w:p>
      <w:pPr>
        <w:spacing w:after="120" w:line="276"/>
      </w:pPr>
      <w:r>
        <w:rPr>
          <w:rFonts w:ascii="Calibri" w:cs="Calibri" w:eastAsia="Calibri" w:hAnsi="Calibri"/>
          <w:b/>
          <w:bCs/>
          <w:i/>
          <w:iCs/>
          <w:sz w:val="20"/>
          <w:szCs w:val="20"/>
        </w:rPr>
        <w:t xml:space="preserve">Note: </w:t>
      </w:r>
      <w:r>
        <w:rPr>
          <w:rFonts w:ascii="Calibri" w:cs="Calibri" w:eastAsia="Calibri" w:hAnsi="Calibri"/>
          <w:i/>
          <w:iCs/>
          <w:sz w:val="20"/>
          <w:szCs w:val="20"/>
        </w:rPr>
        <w:t xml:space="preserve">Rows marked † were listed in our original response but are not referenced in the current repository; we will confirm at UAT whether each is in use and strike any that are not [Sch. D].</w:t>
      </w:r>
    </w:p>
    <w:p>
      <w:pPr>
        <w:spacing w:after="120" w:line="276"/>
      </w:pPr>
      <w:r>
        <w:rPr>
          <w:rFonts w:ascii="Calibri" w:cs="Calibri" w:eastAsia="Calibri" w:hAnsi="Calibri"/>
          <w:b/>
          <w:bCs/>
          <w:sz w:val="22"/>
          <w:szCs w:val="22"/>
        </w:rPr>
        <w:t xml:space="preserve">Secrets to be regenerated by Nishan Transport at Go-Live (minimum): </w:t>
      </w:r>
      <w:r>
        <w:rPr>
          <w:rFonts w:ascii="Calibri" w:cs="Calibri" w:eastAsia="Calibri" w:hAnsi="Calibri"/>
          <w:sz w:val="22"/>
          <w:szCs w:val="22"/>
        </w:rPr>
        <w:t xml:space="preserve">DATABASE_URL password, JWT_SECRET, MONGODB_URI, Supabase anon/service keys, Cloudinary API secret, GEMINI_API_KEY, SAMSARA_API_TOKEN, BorderConnect API key, PC*MILER key, SMTP/IMAP app password, webhook signing secrets and the Android keystore. We will confirm in writing that we hold no live credentials other than those issued to us by Nishan Transport [MOU cl. 12.2]. Nishan Transport will be the registered owner of all domain names, app-store listings and messaging identities [MOU cl. 12.3].</w:t>
      </w:r>
    </w:p>
    <w:p>
      <w:pPr>
        <w:pStyle w:val="Heading1"/>
        <w:spacing w:after="160" w:before="360"/>
      </w:pPr>
      <w:r>
        <w:rPr>
          <w:rFonts w:ascii="Calibri" w:cs="Calibri" w:eastAsia="Calibri" w:hAnsi="Calibri"/>
          <w:b/>
          <w:bCs/>
          <w:color w:val="1F3864"/>
          <w:sz w:val="30"/>
          <w:szCs w:val="30"/>
        </w:rPr>
        <w:t xml:space="preserve">Section E — Post-handover access, support and independence</w:t>
      </w:r>
    </w:p>
    <w:p>
      <w:pPr>
        <w:pStyle w:val="Heading2"/>
        <w:spacing w:after="100" w:before="240"/>
      </w:pPr>
      <w:r>
        <w:rPr>
          <w:rFonts w:ascii="Calibri" w:cs="Calibri" w:eastAsia="Calibri" w:hAnsi="Calibri"/>
          <w:b/>
          <w:bCs/>
          <w:color w:val="1F3864"/>
          <w:sz w:val="24"/>
          <w:szCs w:val="24"/>
        </w:rPr>
        <w:t xml:space="preserve">E1. Do you need access after handover?</w:t>
      </w:r>
    </w:p>
    <w:p>
      <w:pPr>
        <w:spacing w:after="120" w:line="276"/>
      </w:pPr>
      <w:r>
        <w:rPr>
          <w:rFonts w:ascii="Calibri" w:cs="Calibri" w:eastAsia="Calibri" w:hAnsi="Calibri"/>
          <w:sz w:val="22"/>
          <w:szCs w:val="22"/>
        </w:rPr>
        <w:t xml:space="preserve">Because we are transitioning to full-time internal roles at Nishan Transport, our access will move from external contractor access to internal employee access governed by Nishan Transport’s internal IT and security policies, and all contractor credentials will be revoked on commencement of employment [MOU cl. 17.3]. We will not retain any copy of the bespoke source code or Client Data after Handover Completion, other than on Nishan Transport-controlled systems in our capacity as employees [MOU cl. 9.6, 18.3].</w:t>
      </w:r>
    </w:p>
    <w:p>
      <w:pPr>
        <w:pStyle w:val="Heading2"/>
        <w:spacing w:after="100" w:before="240"/>
      </w:pPr>
      <w:r>
        <w:rPr>
          <w:rFonts w:ascii="Calibri" w:cs="Calibri" w:eastAsia="Calibri" w:hAnsi="Calibri"/>
          <w:b/>
          <w:bCs/>
          <w:color w:val="1F3864"/>
          <w:sz w:val="24"/>
          <w:szCs w:val="24"/>
        </w:rPr>
        <w:t xml:space="preserve">E2. Anything only you know how to operate</w:t>
      </w:r>
    </w:p>
    <w:p>
      <w:pPr>
        <w:spacing w:after="120" w:line="276"/>
      </w:pPr>
      <w:r>
        <w:rPr>
          <w:rFonts w:ascii="Calibri" w:cs="Calibri" w:eastAsia="Calibri" w:hAnsi="Calibri"/>
          <w:sz w:val="22"/>
          <w:szCs w:val="22"/>
        </w:rPr>
        <w:t xml:space="preserve">The Platform is designed to run automatically on standard infrastructure (Vercel, Render, Supabase, MongoDB Atlas) with git-push continuous deployment and auto-running SQL migrations. Scheduled work (the geofence worker every three minutes and the Outlook/Gmail intake automation worker) runs under node-cron inside the API service. Manual operations — database backups and restores, secret rotation, environment-variable updates, worker monitoring, Render/Supabase connection-pool tuning and common failure modes — will be fully documented in the Operations runbook [Sch. F]. The Documentation is required to be sufficient for a competent software engineer to build, deploy, operate, back up, restore and extend the Platform without our assistance [MOU cl. 13.1], so no operational knowledge depends on us personally.</w:t>
      </w:r>
    </w:p>
    <w:p>
      <w:pPr>
        <w:pStyle w:val="Heading2"/>
        <w:spacing w:after="100" w:before="240"/>
      </w:pPr>
      <w:r>
        <w:rPr>
          <w:rFonts w:ascii="Calibri" w:cs="Calibri" w:eastAsia="Calibri" w:hAnsi="Calibri"/>
          <w:b/>
          <w:bCs/>
          <w:color w:val="1F3864"/>
          <w:sz w:val="24"/>
          <w:szCs w:val="24"/>
        </w:rPr>
        <w:t xml:space="preserve">E3. Reproducible build and deployment</w:t>
      </w:r>
    </w:p>
    <w:p>
      <w:pPr>
        <w:spacing w:after="120" w:line="276"/>
      </w:pPr>
      <w:r>
        <w:rPr>
          <w:rFonts w:ascii="Calibri" w:cs="Calibri" w:eastAsia="Calibri" w:hAnsi="Calibri"/>
          <w:sz w:val="22"/>
          <w:szCs w:val="22"/>
        </w:rPr>
        <w:t xml:space="preserve">We will deliver a documented, reproducible build and deployment process [MOU cl. 13.2; Sch. F] comprising:</w:t>
      </w:r>
    </w:p>
    <w:p>
      <w:pPr>
        <w:pStyle w:val="ListParagraph"/>
        <w:numPr>
          <w:ilvl w:val="0"/>
          <w:numId w:val="2"/>
        </w:numPr>
        <w:spacing w:after="80" w:line="276"/>
      </w:pPr>
      <w:r>
        <w:rPr>
          <w:rFonts w:ascii="Calibri" w:cs="Calibri" w:eastAsia="Calibri" w:hAnsi="Calibri"/>
          <w:sz w:val="22"/>
          <w:szCs w:val="22"/>
        </w:rPr>
        <w:t xml:space="preserve">Full source code with complete commit history and all branches in the Nishan Transport-owned repository.</w:t>
      </w:r>
    </w:p>
    <w:p>
      <w:pPr>
        <w:pStyle w:val="ListParagraph"/>
        <w:numPr>
          <w:ilvl w:val="0"/>
          <w:numId w:val="2"/>
        </w:numPr>
        <w:spacing w:after="80" w:line="276"/>
      </w:pPr>
      <w:r>
        <w:rPr>
          <w:rFonts w:ascii="Calibri" w:cs="Calibri" w:eastAsia="Calibri" w:hAnsi="Calibri"/>
          <w:sz w:val="22"/>
          <w:szCs w:val="22"/>
        </w:rPr>
        <w:t xml:space="preserve">Environment configuration template listing every required variable for all four packages (secrets excluded).</w:t>
      </w:r>
    </w:p>
    <w:p>
      <w:pPr>
        <w:pStyle w:val="ListParagraph"/>
        <w:numPr>
          <w:ilvl w:val="0"/>
          <w:numId w:val="2"/>
        </w:numPr>
        <w:spacing w:after="80" w:line="276"/>
      </w:pPr>
      <w:r>
        <w:rPr>
          <w:rFonts w:ascii="Calibri" w:cs="Calibri" w:eastAsia="Calibri" w:hAnsi="Calibri"/>
          <w:sz w:val="22"/>
          <w:szCs w:val="22"/>
        </w:rPr>
        <w:t xml:space="preserve">Database schema documentation for PostgreSQL (Supabase) and MongoDB, including migration order and how to add migrations.</w:t>
      </w:r>
    </w:p>
    <w:p>
      <w:pPr>
        <w:pStyle w:val="ListParagraph"/>
        <w:numPr>
          <w:ilvl w:val="0"/>
          <w:numId w:val="2"/>
        </w:numPr>
        <w:spacing w:after="80" w:line="276"/>
      </w:pPr>
      <w:r>
        <w:rPr>
          <w:rFonts w:ascii="Calibri" w:cs="Calibri" w:eastAsia="Calibri" w:hAnsi="Calibri"/>
          <w:sz w:val="22"/>
          <w:szCs w:val="22"/>
        </w:rPr>
        <w:t xml:space="preserve">Step-by-step build and deployment runbook covering local setup (API on port 5555, front-end on 5173), staging and production deployment on Vercel and Render, Android build and signing for both apps, and rollback procedure.</w:t>
      </w:r>
    </w:p>
    <w:p>
      <w:pPr>
        <w:spacing w:after="120" w:line="276"/>
      </w:pPr>
      <w:r>
        <w:rPr>
          <w:rFonts w:ascii="Calibri" w:cs="Calibri" w:eastAsia="Calibri" w:hAnsi="Calibri"/>
          <w:sz w:val="22"/>
          <w:szCs w:val="22"/>
        </w:rPr>
        <w:t xml:space="preserve">A clean clone of the repository, following only the runbook and the environment template, must produce a working staging deployment; Nishan Transport may verify this as part of Handover Completion.</w:t>
      </w:r>
    </w:p>
    <w:p>
      <w:pPr>
        <w:pStyle w:val="Heading1"/>
        <w:spacing w:after="160" w:before="360"/>
      </w:pPr>
      <w:r>
        <w:rPr>
          <w:rFonts w:ascii="Calibri" w:cs="Calibri" w:eastAsia="Calibri" w:hAnsi="Calibri"/>
          <w:b/>
          <w:bCs/>
          <w:color w:val="1F3864"/>
          <w:sz w:val="30"/>
          <w:szCs w:val="30"/>
        </w:rPr>
        <w:t xml:space="preserve">Section F — Performance, testing and warranty</w:t>
      </w:r>
    </w:p>
    <w:p>
      <w:pPr>
        <w:pStyle w:val="Heading2"/>
        <w:spacing w:after="100" w:before="240"/>
      </w:pPr>
      <w:r>
        <w:rPr>
          <w:rFonts w:ascii="Calibri" w:cs="Calibri" w:eastAsia="Calibri" w:hAnsi="Calibri"/>
          <w:b/>
          <w:bCs/>
          <w:color w:val="1F3864"/>
          <w:sz w:val="24"/>
          <w:szCs w:val="24"/>
        </w:rPr>
        <w:t xml:space="preserve">F1. Uptime and response time targets</w:t>
      </w:r>
    </w:p>
    <w:p>
      <w:pPr>
        <w:spacing w:after="120" w:line="276"/>
      </w:pPr>
      <w:r>
        <w:rPr>
          <w:rFonts w:ascii="Calibri" w:cs="Calibri" w:eastAsia="Calibri" w:hAnsi="Calibri"/>
          <w:sz w:val="22"/>
          <w:szCs w:val="22"/>
        </w:rPr>
        <w:t xml:space="preserve">Application performance targets, measured on production-equivalent staging [MOU cl. 16.1; Sch. E2]:</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44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Metric</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Target</w:t>
            </w:r>
          </w:p>
        </w:tc>
        <w:tc>
          <w:tcPr>
            <w:tcW w:type="dxa" w:w="34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Measurement</w:t>
            </w:r>
          </w:p>
        </w:tc>
      </w:tr>
      <w:t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Page load — typical screens (dashboard, load board, kanban, driver app)</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 2.0 seconds</w:t>
            </w:r>
          </w:p>
        </w:tc>
        <w:tc>
          <w:tcPr>
            <w:tcW w:type="dxa" w:w="3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Browser DevTools / Lighthouse, 5 runs, median, broadband connection</w:t>
            </w:r>
          </w:p>
        </w:tc>
      </w:tr>
      <w:t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API response — 95th percentile across list and detail endpoints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 500 ms</w:t>
            </w:r>
          </w:p>
        </w:tc>
        <w:tc>
          <w:tcPr>
            <w:tcW w:type="dxa" w:w="3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Load-test tool (k6 or equivalent) under the F2 conditions</w:t>
            </w:r>
          </w:p>
        </w:tc>
      </w:tr>
      <w:t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Live position update latency (Samsara → map)</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 1 polling interval (3 minutes)</w:t>
            </w:r>
          </w:p>
        </w:tc>
        <w:tc>
          <w:tcPr>
            <w:tcW w:type="dxa" w:w="3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Observed</w:t>
            </w:r>
          </w:p>
        </w:tc>
      </w:tr>
      <w:t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Chat message delivery (online recipients)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 2 seconds</w:t>
            </w:r>
          </w:p>
        </w:tc>
        <w:tc>
          <w:tcPr>
            <w:tcW w:type="dxa" w:w="3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Observed across two devices</w:t>
            </w:r>
          </w:p>
        </w:tc>
      </w:tr>
    </w:tbl>
    <w:p>
      <w:pPr>
        <w:spacing w:after="120"/>
      </w:pPr>
    </w:p>
    <w:p>
      <w:pPr>
        <w:spacing w:after="120" w:line="276"/>
      </w:pPr>
      <w:r>
        <w:rPr>
          <w:rFonts w:ascii="Calibri" w:cs="Calibri" w:eastAsia="Calibri" w:hAnsi="Calibri"/>
          <w:b/>
          <w:bCs/>
          <w:sz w:val="22"/>
          <w:szCs w:val="22"/>
        </w:rPr>
        <w:t xml:space="preserve">Availability: </w:t>
      </w:r>
      <w:r>
        <w:rPr>
          <w:rFonts w:ascii="Calibri" w:cs="Calibri" w:eastAsia="Calibri" w:hAnsi="Calibri"/>
          <w:sz w:val="22"/>
          <w:szCs w:val="22"/>
        </w:rPr>
        <w:t xml:space="preserve">System availability is a function of the underlying hosting providers (Vercel, Render, Supabase and, where used, AWS and MongoDB Atlas), whose published service levels are typically 99.9% or higher. Our architecture does not prevent achievement of those service levels; however, we cannot warrant uptime beyond what the providers guarantee. Nishan Transport should select provider plans appropriate to its availability needs — in particular a paid Render plan to avoid free-tier instance sleep [MOU cl. 16.2].</w:t>
      </w:r>
    </w:p>
    <w:p>
      <w:pPr>
        <w:pStyle w:val="Heading2"/>
        <w:spacing w:after="100" w:before="240"/>
      </w:pPr>
      <w:r>
        <w:rPr>
          <w:rFonts w:ascii="Calibri" w:cs="Calibri" w:eastAsia="Calibri" w:hAnsi="Calibri"/>
          <w:b/>
          <w:bCs/>
          <w:color w:val="1F3864"/>
          <w:sz w:val="24"/>
          <w:szCs w:val="24"/>
        </w:rPr>
        <w:t xml:space="preserve">F2. Stress test pass criteria</w:t>
      </w:r>
    </w:p>
    <w:p>
      <w:pPr>
        <w:spacing w:after="120" w:line="276"/>
      </w:pPr>
      <w:r>
        <w:rPr>
          <w:rFonts w:ascii="Calibri" w:cs="Calibri" w:eastAsia="Calibri" w:hAnsi="Calibri"/>
          <w:sz w:val="22"/>
          <w:szCs w:val="22"/>
        </w:rPr>
        <w:t xml:space="preserve">The Platform must handle a volume equivalent to 1,000 orders (loads) per day [MOU cl. 16.3]. To ensure headroom, the acceptance test simulates peak hour: 200 loads created over a 60-minute window, with 80 concurrent users performing mixed operations against the database (create/edit loads, status updates, driver position posts, document uploads, portal queries) [Sch. E3].</w:t>
      </w:r>
    </w:p>
    <w:p>
      <w:pPr>
        <w:spacing w:after="120" w:line="276"/>
      </w:pPr>
      <w:r>
        <w:rPr>
          <w:rFonts w:ascii="Calibri" w:cs="Calibri" w:eastAsia="Calibri" w:hAnsi="Calibri"/>
          <w:b/>
          <w:bCs/>
          <w:sz w:val="22"/>
          <w:szCs w:val="22"/>
        </w:rPr>
        <w:t xml:space="preserve">Pass criteria:</w:t>
      </w:r>
    </w:p>
    <w:p>
      <w:pPr>
        <w:pStyle w:val="ListParagraph"/>
        <w:numPr>
          <w:ilvl w:val="0"/>
          <w:numId w:val="2"/>
        </w:numPr>
        <w:spacing w:after="80" w:line="276"/>
      </w:pPr>
      <w:r>
        <w:rPr>
          <w:rFonts w:ascii="Calibri" w:cs="Calibri" w:eastAsia="Calibri" w:hAnsi="Calibri"/>
          <w:sz w:val="22"/>
          <w:szCs w:val="22"/>
        </w:rPr>
        <w:t xml:space="preserve">Load creation success rate ≥ 99.9%, with zero data loss.</w:t>
      </w:r>
    </w:p>
    <w:p>
      <w:pPr>
        <w:pStyle w:val="ListParagraph"/>
        <w:numPr>
          <w:ilvl w:val="0"/>
          <w:numId w:val="2"/>
        </w:numPr>
        <w:spacing w:after="80" w:line="276"/>
      </w:pPr>
      <w:r>
        <w:rPr>
          <w:rFonts w:ascii="Calibri" w:cs="Calibri" w:eastAsia="Calibri" w:hAnsi="Calibri"/>
          <w:sz w:val="22"/>
          <w:szCs w:val="22"/>
        </w:rPr>
        <w:t xml:space="preserve">HTTP 5xx error rate &lt; 1% of requests.</w:t>
      </w:r>
    </w:p>
    <w:p>
      <w:pPr>
        <w:pStyle w:val="ListParagraph"/>
        <w:numPr>
          <w:ilvl w:val="0"/>
          <w:numId w:val="2"/>
        </w:numPr>
        <w:spacing w:after="80" w:line="276"/>
      </w:pPr>
      <w:r>
        <w:rPr>
          <w:rFonts w:ascii="Calibri" w:cs="Calibri" w:eastAsia="Calibri" w:hAnsi="Calibri"/>
          <w:sz w:val="22"/>
          <w:szCs w:val="22"/>
        </w:rPr>
        <w:t xml:space="preserve">Zero data corruption and zero duplicate loads under concurrent operations.</w:t>
      </w:r>
    </w:p>
    <w:p>
      <w:pPr>
        <w:pStyle w:val="ListParagraph"/>
        <w:numPr>
          <w:ilvl w:val="0"/>
          <w:numId w:val="2"/>
        </w:numPr>
        <w:spacing w:after="80" w:line="276"/>
      </w:pPr>
      <w:r>
        <w:rPr>
          <w:rFonts w:ascii="Calibri" w:cs="Calibri" w:eastAsia="Calibri" w:hAnsi="Calibri"/>
          <w:sz w:val="22"/>
          <w:szCs w:val="22"/>
        </w:rPr>
        <w:t xml:space="preserve">95th-percentile API response within the F1 target (≤ 500 ms) throughout the test.</w:t>
      </w:r>
    </w:p>
    <w:p>
      <w:pPr>
        <w:pStyle w:val="ListParagraph"/>
        <w:numPr>
          <w:ilvl w:val="0"/>
          <w:numId w:val="2"/>
        </w:numPr>
        <w:spacing w:after="80" w:line="276"/>
      </w:pPr>
      <w:r>
        <w:rPr>
          <w:rFonts w:ascii="Calibri" w:cs="Calibri" w:eastAsia="Calibri" w:hAnsi="Calibri"/>
          <w:sz w:val="22"/>
          <w:szCs w:val="22"/>
        </w:rPr>
        <w:t xml:space="preserve">No unrecovered database connection-pool exhaustion.</w:t>
      </w:r>
    </w:p>
    <w:p>
      <w:pPr>
        <w:spacing w:after="120" w:line="276"/>
      </w:pPr>
      <w:r>
        <w:rPr>
          <w:rFonts w:ascii="Calibri" w:cs="Calibri" w:eastAsia="Calibri" w:hAnsi="Calibri"/>
          <w:b/>
          <w:bCs/>
          <w:sz w:val="22"/>
          <w:szCs w:val="22"/>
        </w:rPr>
        <w:t xml:space="preserve">Security acceptance </w:t>
      </w:r>
      <w:r>
        <w:rPr>
          <w:rFonts w:ascii="Calibri" w:cs="Calibri" w:eastAsia="Calibri" w:hAnsi="Calibri"/>
          <w:sz w:val="22"/>
          <w:szCs w:val="22"/>
        </w:rPr>
        <w:t xml:space="preserve">[Sch. E4]: no secrets in repository or client bundle (automated scan); all protected API routes reject requests without a valid JWT and enforce role checks; public tracking, portal and webhook endpoints reject invalid tokens/signatures; HTTPS enforced, database TLS enabled and CORS restricted to Nishan Transport domains. At Go-Live JWT_SECRET and all database passwords will be unique random values of at least 32 characters [MOU cl. 19.1].</w:t>
      </w:r>
    </w:p>
    <w:p>
      <w:pPr>
        <w:pStyle w:val="Heading2"/>
        <w:spacing w:after="100" w:before="240"/>
      </w:pPr>
      <w:r>
        <w:rPr>
          <w:rFonts w:ascii="Calibri" w:cs="Calibri" w:eastAsia="Calibri" w:hAnsi="Calibri"/>
          <w:b/>
          <w:bCs/>
          <w:color w:val="1F3864"/>
          <w:sz w:val="24"/>
          <w:szCs w:val="24"/>
        </w:rPr>
        <w:t xml:space="preserve">F3. Warranty period</w:t>
      </w:r>
    </w:p>
    <w:p>
      <w:pPr>
        <w:spacing w:after="120" w:line="276"/>
      </w:pPr>
      <w:r>
        <w:rPr>
          <w:rFonts w:ascii="Calibri" w:cs="Calibri" w:eastAsia="Calibri" w:hAnsi="Calibri"/>
          <w:sz w:val="22"/>
          <w:szCs w:val="22"/>
        </w:rPr>
        <w:t xml:space="preserve">Warranty period: ninety (90) days from Go-Live. During the Warranty Period the Platform will perform materially in accordance with Schedules A and E and we will correct any notified Defect at no charge [MOU cl. 15.1]. We further warrant that the Deliverables contain no malicious code, undisclosed backdoors, hard-coded credentials, licence keys or time-locks, and no functionality that transmits Client Data to any third party other than the integrations listed in Schedule D [MOU cl. 15.2].</w:t>
      </w:r>
    </w:p>
    <w:p>
      <w:pPr>
        <w:spacing w:after="120" w:line="276"/>
      </w:pPr>
      <w:r>
        <w:rPr>
          <w:rFonts w:ascii="Calibri" w:cs="Calibri" w:eastAsia="Calibri" w:hAnsi="Calibri"/>
          <w:sz w:val="22"/>
          <w:szCs w:val="22"/>
        </w:rPr>
        <w:t xml:space="preserve">As we are joining Nishan Transport full-time, we expect to perform this warranty obligation as employees, and ongoing maintenance, bug fixes and feature expansion will be absorbed into our day-to-day employment responsibilities from Go-Live. If for any reason either of us is not employed by Nishan Transport during the Warranty Period, the warranty continues to bind that Developer as an independent contractor [MOU cl. 15.1, 17.4].</w:t>
      </w:r>
    </w:p>
    <w:p>
      <w:pPr>
        <w:spacing w:after="120" w:line="276"/>
      </w:pPr>
      <w:r>
        <w:rPr>
          <w:rFonts w:ascii="Calibri" w:cs="Calibri" w:eastAsia="Calibri" w:hAnsi="Calibri"/>
          <w:b/>
          <w:bCs/>
          <w:sz w:val="22"/>
          <w:szCs w:val="22"/>
        </w:rPr>
        <w:t xml:space="preserve">Important commercial note: </w:t>
      </w:r>
      <w:r>
        <w:rPr>
          <w:rFonts w:ascii="Calibri" w:cs="Calibri" w:eastAsia="Calibri" w:hAnsi="Calibri"/>
          <w:sz w:val="22"/>
          <w:szCs w:val="22"/>
        </w:rPr>
        <w:t xml:space="preserve">The final 20% Milestone payment (M5, CAD 7,000) is a distinct commercial payment for the freelance build phase. It is separate from, and shall not be set off against or reduced by, any remuneration under our employment agreements [MOU cl. 8.6; Sch. C].</w:t>
      </w:r>
    </w:p>
    <w:p>
      <w:pPr>
        <w:pStyle w:val="Heading1"/>
        <w:spacing w:after="160" w:before="360"/>
      </w:pPr>
      <w:r>
        <w:rPr>
          <w:rFonts w:ascii="Calibri" w:cs="Calibri" w:eastAsia="Calibri" w:hAnsi="Calibri"/>
          <w:b/>
          <w:bCs/>
          <w:color w:val="1F3864"/>
          <w:sz w:val="30"/>
          <w:szCs w:val="30"/>
        </w:rPr>
        <w:t xml:space="preserve">Section G — Documentation, training and change control</w:t>
      </w:r>
    </w:p>
    <w:p>
      <w:pPr>
        <w:pStyle w:val="Heading2"/>
        <w:spacing w:after="100" w:before="240"/>
      </w:pPr>
      <w:r>
        <w:rPr>
          <w:rFonts w:ascii="Calibri" w:cs="Calibri" w:eastAsia="Calibri" w:hAnsi="Calibri"/>
          <w:b/>
          <w:bCs/>
          <w:color w:val="1F3864"/>
          <w:sz w:val="24"/>
          <w:szCs w:val="24"/>
        </w:rPr>
        <w:t xml:space="preserve">G1. Documentation being delivered</w:t>
      </w:r>
    </w:p>
    <w:p>
      <w:pPr>
        <w:spacing w:after="120" w:line="276"/>
      </w:pPr>
      <w:r>
        <w:rPr>
          <w:rFonts w:ascii="Calibri" w:cs="Calibri" w:eastAsia="Calibri" w:hAnsi="Calibri"/>
          <w:sz w:val="22"/>
          <w:szCs w:val="22"/>
        </w:rPr>
        <w:t xml:space="preserve">We will deliver the following in the Nishan Transport-owned repository (/docs) no later than Handover Completion [MOU cl. 13.1; Sch. F]:</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5040"/>
        <w:gridCol w:w="24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Deliverable</w:t>
            </w:r>
          </w:p>
        </w:tc>
        <w:tc>
          <w:tcPr>
            <w:tcW w:type="dxa" w:w="50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Content</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Format / location</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System architecture overview</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Components, data flow, environments, external integrations (Samsara, Gemini, BorderConnect, PC*MILER, CBP/CBSA, NWS, Gmail, Cloudinary), Dispatch ↔ Chat webhook integration.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Markdown + diagram in /docs</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Database schema documentation</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Every PostgreSQL table and MongoDB collection, relationships, key constraints, migration order and how to add migrations.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Markdown + ER diagram</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API reference</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All ~174 Dispatch endpoints (27 route groups) and all Chat endpoints/socket events: method, path, auth/role, request/response, errors.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Markdown or OpenAPI</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Build &amp; deployment runbook</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Local setup (ports 5555/5173), environment variable template (secrets excluded), staging and production deploy on Vercel/Render, Android build and signing for both apps, rollback procedure.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Markdown</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Operations runbook</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Backups and restore (Postgres, MongoDB, storage), secret rotation, worker monitoring (geofence, automation), log locations, common failure modes and fixes, Render/Supabase pool tuning.</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Markdown</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Security notes</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Known limitations, recommended hardening, historic secrets to rotate.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Markdown</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Software bill of materials (SBOM)</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All third-party components with version and licence for all four packages.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CycloneDX/SPDX JSON + Markdown</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Data export &amp; backups</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Verified full export of production PostgreSQL, MongoDB and file storage as at Go-Live.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Encrypted archive to Client storage</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Recorded walkthroughs</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Two sessions (operations; architecture &amp; codebase), at least 60 minutes each.</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Video in Client store</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Access &amp; credential register</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Every account, who has access, and confirmation of Developer credential revocation and data deletion.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Signed statement</w:t>
            </w:r>
          </w:p>
        </w:tc>
      </w:tr>
    </w:tbl>
    <w:p>
      <w:pPr>
        <w:spacing w:after="120"/>
      </w:pPr>
    </w:p>
    <w:p>
      <w:pPr>
        <w:pStyle w:val="Heading2"/>
        <w:spacing w:after="100" w:before="240"/>
      </w:pPr>
      <w:r>
        <w:rPr>
          <w:rFonts w:ascii="Calibri" w:cs="Calibri" w:eastAsia="Calibri" w:hAnsi="Calibri"/>
          <w:b/>
          <w:bCs/>
          <w:color w:val="1F3864"/>
          <w:sz w:val="24"/>
          <w:szCs w:val="24"/>
        </w:rPr>
        <w:t xml:space="preserve">G2. Training and knowledge transfer</w:t>
      </w:r>
    </w:p>
    <w:p>
      <w:pPr>
        <w:spacing w:after="120" w:line="276"/>
      </w:pPr>
      <w:r>
        <w:rPr>
          <w:rFonts w:ascii="Calibri" w:cs="Calibri" w:eastAsia="Calibri" w:hAnsi="Calibri"/>
          <w:sz w:val="22"/>
          <w:szCs w:val="22"/>
        </w:rPr>
        <w:t xml:space="preserve">Because we are joining Nishan Transport full-time, formal classroom training is not required [MOU cl. 13.3]. We will nevertheless deliver two recorded walkthrough sessions — one on operations and one on architecture and the codebase — of not less than sixty minutes each, stored in Nishan Transport’s repository or document store, and we will keep the documentation listed in G1 up to date for internal reference and for any future engineering hires. We will also provide written progress updates at least twice per week until Handover Completion [MOU cl. 5.1(g)].</w:t>
      </w:r>
    </w:p>
    <w:p>
      <w:pPr>
        <w:pStyle w:val="Heading2"/>
        <w:spacing w:after="100" w:before="240"/>
      </w:pPr>
      <w:r>
        <w:rPr>
          <w:rFonts w:ascii="Calibri" w:cs="Calibri" w:eastAsia="Calibri" w:hAnsi="Calibri"/>
          <w:b/>
          <w:bCs/>
          <w:color w:val="1F3864"/>
          <w:sz w:val="24"/>
          <w:szCs w:val="24"/>
        </w:rPr>
        <w:t xml:space="preserve">G3. Will your employees become Nishan employees?</w:t>
      </w:r>
    </w:p>
    <w:p>
      <w:pPr>
        <w:spacing w:after="120" w:line="276"/>
      </w:pPr>
      <w:r>
        <w:rPr>
          <w:rFonts w:ascii="Calibri" w:cs="Calibri" w:eastAsia="Calibri" w:hAnsi="Calibri"/>
          <w:sz w:val="22"/>
          <w:szCs w:val="22"/>
        </w:rPr>
        <w:t xml:space="preserve">Yes. Both Nishantpreet Singh and Shubham Bansal have agreed to join Nishan Transport as full-time internal employees to maintain, support and further develop the Platform, with a minimum commitment of one year from each of us. This will be formalised under separate written employment agreements intended to take effect on or about Go-Live, subject to Nishan Transport’s standard onboarding and any applicable work-authorisation requirements [MOU cl. 17.1–17.2]. The employment transition does not condition, reduce or delay Nishan Transport’s payment obligations or our handover obligations; if the employment agreements are not entered into for any reason, we will still complete Handover under Schedules D and F and the 90-day warranty will apply [MOU cl. 17.4].</w:t>
      </w:r>
    </w:p>
    <w:p>
      <w:pPr>
        <w:pStyle w:val="Heading2"/>
        <w:spacing w:after="100" w:before="240"/>
      </w:pPr>
      <w:r>
        <w:rPr>
          <w:rFonts w:ascii="Calibri" w:cs="Calibri" w:eastAsia="Calibri" w:hAnsi="Calibri"/>
          <w:b/>
          <w:bCs/>
          <w:color w:val="1F3864"/>
          <w:sz w:val="24"/>
          <w:szCs w:val="24"/>
        </w:rPr>
        <w:t xml:space="preserve">G4. Post go-live change requests</w:t>
      </w:r>
    </w:p>
    <w:p>
      <w:pPr>
        <w:spacing w:after="120" w:line="276"/>
      </w:pPr>
      <w:r>
        <w:rPr>
          <w:rFonts w:ascii="Calibri" w:cs="Calibri" w:eastAsia="Calibri" w:hAnsi="Calibri"/>
          <w:sz w:val="22"/>
          <w:szCs w:val="22"/>
        </w:rPr>
        <w:t xml:space="preserve">Before Go-Live, any change to the feature scope (Schedule A) or timeline (Schedule B) goes through change control: we provide a written impact assessment (effort, timeline and any fee impact) within three Business Days, and no change is effective until agreed in writing by both Parties [MOU cl. 14.1]. Agreed minor feature additions in Week 3 totalling up to three person-days are included in the Fees [MOU cl. 14.2].</w:t>
      </w:r>
    </w:p>
    <w:p>
      <w:pPr>
        <w:spacing w:after="120" w:line="276"/>
      </w:pPr>
      <w:r>
        <w:rPr>
          <w:rFonts w:ascii="Calibri" w:cs="Calibri" w:eastAsia="Calibri" w:hAnsi="Calibri"/>
          <w:sz w:val="22"/>
          <w:szCs w:val="22"/>
        </w:rPr>
        <w:t xml:space="preserve">After Go-Live, all change requests, routine development, bug fixes and system scaling will be handled by us internally as Nishan Transport’s dedicated engineering team under our employment agreements, outside the scope of the build-phase MOU [MOU cl. 14.3, 17].</w:t>
      </w:r>
    </w:p>
    <w:p>
      <w:pPr>
        <w:pStyle w:val="Heading1"/>
        <w:spacing w:after="160" w:before="360"/>
      </w:pPr>
      <w:r>
        <w:rPr>
          <w:rFonts w:ascii="Calibri" w:cs="Calibri" w:eastAsia="Calibri" w:hAnsi="Calibri"/>
          <w:b/>
          <w:bCs/>
          <w:color w:val="1F3864"/>
          <w:sz w:val="30"/>
          <w:szCs w:val="30"/>
        </w:rPr>
        <w:t xml:space="preserve">Confirmation</w:t>
      </w:r>
    </w:p>
    <w:p>
      <w:pPr>
        <w:spacing w:after="120" w:line="276"/>
      </w:pPr>
      <w:r>
        <w:rPr>
          <w:rFonts w:ascii="Calibri" w:cs="Calibri" w:eastAsia="Calibri" w:hAnsi="Calibri"/>
          <w:sz w:val="22"/>
          <w:szCs w:val="22"/>
        </w:rPr>
        <w:t xml:space="preserve">We confirm that the responses in this pack are accurate as at 2 September 2026 and are consistent with the MOU of the same date, which governs in the event of any inconsistency.</w:t>
      </w:r>
    </w:p>
    <w:p>
      <w:pPr>
        <w:spacing w:after="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rPr>
          <w:tblHeader/>
        </w:trPr>
        <w:tc>
          <w:tcPr>
            <w:tcW w:type="dxa" w:w="49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Nishantpreet Singh</w:t>
            </w:r>
          </w:p>
        </w:tc>
        <w:tc>
          <w:tcPr>
            <w:tcW w:type="dxa" w:w="49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Shubham Bansal</w:t>
            </w:r>
          </w:p>
        </w:tc>
      </w:tr>
      <w:tr>
        <w:tc>
          <w:tcPr>
            <w:tcW w:type="dxa" w:w="4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Signature: ______________________________</w:t>
            </w:r>
          </w:p>
        </w:tc>
        <w:tc>
          <w:tcPr>
            <w:tcW w:type="dxa" w:w="4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Signature: ______________________________</w:t>
            </w:r>
          </w:p>
        </w:tc>
      </w:tr>
      <w:tr>
        <w:tc>
          <w:tcPr>
            <w:tcW w:type="dxa" w:w="4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Date: ____ / ____ / 2026</w:t>
            </w:r>
          </w:p>
        </w:tc>
        <w:tc>
          <w:tcPr>
            <w:tcW w:type="dxa" w:w="49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Date: ____ / ____ / 2026</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Nishan Transport — Handover Due Diligence Response Pack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2026-09-02T10:35:06.149Z</dcterms:created>
  <dcterms:modified xsi:type="dcterms:W3CDTF">2026-09-02T10:35:06.165Z</dcterms:modified>
</cp:coreProperties>
</file>

<file path=docProps/custom.xml><?xml version="1.0" encoding="utf-8"?>
<Properties xmlns="http://schemas.openxmlformats.org/officeDocument/2006/custom-properties" xmlns:vt="http://schemas.openxmlformats.org/officeDocument/2006/docPropsVTypes"/>
</file>