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jc w:val="center"/>
      </w:pPr>
      <w:r>
        <w:rPr>
          <w:rFonts w:ascii="Calibri" w:cs="Calibri" w:eastAsia="Calibri" w:hAnsi="Calibri"/>
          <w:b/>
          <w:bCs/>
          <w:color w:val="1F3A5F"/>
          <w:sz w:val="44"/>
          <w:szCs w:val="44"/>
        </w:rPr>
        <w:t xml:space="preserve">MEMORANDUM OF UNDERSTANDING</w:t>
      </w:r>
    </w:p>
    <w:p>
      <w:pPr>
        <w:spacing w:after="120"/>
        <w:jc w:val="center"/>
      </w:pPr>
      <w:r>
        <w:rPr>
          <w:rFonts w:ascii="Calibri" w:cs="Calibri" w:eastAsia="Calibri" w:hAnsi="Calibri"/>
          <w:color w:val="555555"/>
          <w:sz w:val="26"/>
          <w:szCs w:val="26"/>
        </w:rPr>
        <w:t xml:space="preserve">Software Build, Delivery, Intellectual Property Assignment and Handover</w:t>
      </w:r>
    </w:p>
    <w:p>
      <w:pPr>
        <w:spacing w:after="600"/>
        <w:jc w:val="center"/>
      </w:pPr>
      <w:r>
        <w:rPr>
          <w:rFonts w:ascii="Calibri" w:cs="Calibri" w:eastAsia="Calibri" w:hAnsi="Calibri"/>
          <w:i/>
          <w:iCs/>
          <w:color w:val="555555"/>
          <w:sz w:val="24"/>
          <w:szCs w:val="24"/>
        </w:rPr>
        <w:t xml:space="preserve">DispatchChat Platform — Dispatch Web Application, Nishan Driver Mobile App and DispatchChat Messaging App</w:t>
      </w:r>
    </w:p>
    <w:p>
      <w:pPr>
        <w:pBdr>
          <w:bottom w:val="single" w:color="1F3A5F" w:sz="8" w:space="1"/>
        </w:pBdr>
        <w:spacing w:after="400"/>
        <w:jc w:val="center"/>
      </w:pPr>
      <w:r>
        <w:rPr>
          <w:rFonts w:ascii="Calibri" w:cs="Calibri" w:eastAsia="Calibri" w:hAnsi="Calibri"/>
          <w:sz w:val="22"/>
          <w:szCs w:val="22"/>
        </w:rPr>
        <w:t xml:space="preserve"/>
      </w:r>
    </w:p>
    <w:p>
      <w:pPr>
        <w:spacing w:after="100"/>
        <w:jc w:val="center"/>
      </w:pPr>
      <w:r>
        <w:rPr>
          <w:rFonts w:ascii="Calibri" w:cs="Calibri" w:eastAsia="Calibri" w:hAnsi="Calibri"/>
          <w:color w:val="555555"/>
          <w:sz w:val="22"/>
          <w:szCs w:val="22"/>
        </w:rPr>
        <w:t xml:space="preserve">between</w:t>
      </w:r>
    </w:p>
    <w:p>
      <w:pPr>
        <w:spacing w:after="300"/>
        <w:jc w:val="center"/>
      </w:pPr>
      <w:r>
        <w:rPr>
          <w:rFonts w:ascii="Calibri" w:cs="Calibri" w:eastAsia="Calibri" w:hAnsi="Calibri"/>
          <w:b/>
          <w:bCs/>
          <w:sz w:val="28"/>
          <w:szCs w:val="28"/>
        </w:rPr>
        <w:t xml:space="preserve">NISHAN TRANSPORT</w:t>
      </w:r>
    </w:p>
    <w:p>
      <w:pPr>
        <w:spacing w:after="100"/>
        <w:jc w:val="center"/>
      </w:pPr>
      <w:r>
        <w:rPr>
          <w:rFonts w:ascii="Calibri" w:cs="Calibri" w:eastAsia="Calibri" w:hAnsi="Calibri"/>
          <w:color w:val="555555"/>
          <w:sz w:val="22"/>
          <w:szCs w:val="22"/>
        </w:rPr>
        <w:t xml:space="preserve">and</w:t>
      </w:r>
    </w:p>
    <w:p>
      <w:pPr>
        <w:spacing w:after="60"/>
        <w:jc w:val="center"/>
      </w:pPr>
      <w:r>
        <w:rPr>
          <w:rFonts w:ascii="Calibri" w:cs="Calibri" w:eastAsia="Calibri" w:hAnsi="Calibri"/>
          <w:b/>
          <w:bCs/>
          <w:sz w:val="28"/>
          <w:szCs w:val="28"/>
        </w:rPr>
        <w:t xml:space="preserve">NISHANTPREET SINGH</w:t>
      </w:r>
    </w:p>
    <w:p>
      <w:pPr>
        <w:spacing w:after="60"/>
        <w:jc w:val="center"/>
      </w:pPr>
      <w:r>
        <w:rPr>
          <w:rFonts w:ascii="Calibri" w:cs="Calibri" w:eastAsia="Calibri" w:hAnsi="Calibri"/>
          <w:color w:val="555555"/>
          <w:sz w:val="22"/>
          <w:szCs w:val="22"/>
        </w:rPr>
        <w:t xml:space="preserve">and</w:t>
      </w:r>
    </w:p>
    <w:p>
      <w:pPr>
        <w:spacing w:after="600"/>
        <w:jc w:val="center"/>
      </w:pPr>
      <w:r>
        <w:rPr>
          <w:rFonts w:ascii="Calibri" w:cs="Calibri" w:eastAsia="Calibri" w:hAnsi="Calibri"/>
          <w:b/>
          <w:bCs/>
          <w:sz w:val="28"/>
          <w:szCs w:val="28"/>
        </w:rPr>
        <w:t xml:space="preserve">SHUBHAM BANSAL</w:t>
      </w:r>
    </w:p>
    <w:p>
      <w:pPr>
        <w:spacing w:after="80"/>
        <w:jc w:val="center"/>
      </w:pPr>
      <w:r>
        <w:rPr>
          <w:rFonts w:ascii="Calibri" w:cs="Calibri" w:eastAsia="Calibri" w:hAnsi="Calibri"/>
          <w:sz w:val="22"/>
          <w:szCs w:val="22"/>
        </w:rPr>
        <w:t xml:space="preserve">Effective Date: 2 September 2026</w:t>
      </w:r>
    </w:p>
    <w:p>
      <w:pPr>
        <w:spacing w:after="80"/>
        <w:jc w:val="center"/>
      </w:pPr>
      <w:r>
        <w:rPr>
          <w:rFonts w:ascii="Calibri" w:cs="Calibri" w:eastAsia="Calibri" w:hAnsi="Calibri"/>
          <w:color w:val="555555"/>
          <w:sz w:val="20"/>
          <w:szCs w:val="20"/>
        </w:rPr>
        <w:t xml:space="preserve">Version 1.0 — Execution Draft</w:t>
      </w:r>
    </w:p>
    <w:p>
      <w:pPr>
        <w:spacing w:before="1200"/>
        <w:jc w:val="center"/>
      </w:pPr>
      <w:r>
        <w:rPr>
          <w:rFonts w:ascii="Calibri" w:cs="Calibri" w:eastAsia="Calibri" w:hAnsi="Calibri"/>
          <w:b/>
          <w:bCs/>
          <w:color w:val="555555"/>
          <w:sz w:val="20"/>
          <w:szCs w:val="20"/>
        </w:rPr>
        <w:t xml:space="preserve">CONFIDENTIAL</w:t>
      </w:r>
    </w:p>
    <w:p>
      <w:r>
        <w:br w:type="page"/>
      </w:r>
    </w:p>
    <w:p>
      <w:pPr>
        <w:pStyle w:val="Heading1"/>
        <w:keepNext/>
        <w:spacing w:after="160" w:before="360"/>
      </w:pPr>
      <w:r>
        <w:rPr>
          <w:rFonts w:ascii="Calibri" w:cs="Calibri" w:eastAsia="Calibri" w:hAnsi="Calibri"/>
          <w:b/>
          <w:bCs/>
          <w:color w:val="1F3A5F"/>
          <w:sz w:val="28"/>
          <w:szCs w:val="28"/>
        </w:rPr>
        <w:t xml:space="preserve">Contents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6"/>
        <w:gridCol w:w="6578"/>
        <w:gridCol w:w="1754"/>
      </w:tblGrid>
      <w:tr>
        <w:trPr>
          <w:cantSplit/>
        </w:trPr>
        <w:tc>
          <w:tcPr>
            <w:tcW w:type="dxa" w:w="131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Part 1</w:t>
            </w:r>
          </w:p>
        </w:tc>
        <w:tc>
          <w:tcPr>
            <w:tcW w:type="dxa" w:w="657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Parties, Background and Interpretation</w:t>
            </w:r>
          </w:p>
        </w:tc>
        <w:tc>
          <w:tcPr>
            <w:tcW w:type="dxa" w:w="175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Clauses 1–3</w:t>
            </w:r>
          </w:p>
        </w:tc>
      </w:tr>
      <w:tr>
        <w:trPr>
          <w:cantSplit/>
        </w:trPr>
        <w:tc>
          <w:tcPr>
            <w:tcW w:type="dxa" w:w="131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Part 2</w:t>
            </w:r>
          </w:p>
        </w:tc>
        <w:tc>
          <w:tcPr>
            <w:tcW w:type="dxa" w:w="657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Scope, Delivery and Acceptance</w:t>
            </w:r>
          </w:p>
        </w:tc>
        <w:tc>
          <w:tcPr>
            <w:tcW w:type="dxa" w:w="175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Clauses 4–7</w:t>
            </w:r>
          </w:p>
        </w:tc>
      </w:tr>
      <w:tr>
        <w:trPr>
          <w:cantSplit/>
        </w:trPr>
        <w:tc>
          <w:tcPr>
            <w:tcW w:type="dxa" w:w="131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Part 3</w:t>
            </w:r>
          </w:p>
        </w:tc>
        <w:tc>
          <w:tcPr>
            <w:tcW w:type="dxa" w:w="657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Fees and Payment</w:t>
            </w:r>
          </w:p>
        </w:tc>
        <w:tc>
          <w:tcPr>
            <w:tcW w:type="dxa" w:w="175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Clause 8</w:t>
            </w:r>
          </w:p>
        </w:tc>
      </w:tr>
      <w:tr>
        <w:trPr>
          <w:cantSplit/>
        </w:trPr>
        <w:tc>
          <w:tcPr>
            <w:tcW w:type="dxa" w:w="131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Part 4</w:t>
            </w:r>
          </w:p>
        </w:tc>
        <w:tc>
          <w:tcPr>
            <w:tcW w:type="dxa" w:w="657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Intellectual Property and Code Provenance</w:t>
            </w:r>
          </w:p>
        </w:tc>
        <w:tc>
          <w:tcPr>
            <w:tcW w:type="dxa" w:w="175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Clauses 9–10</w:t>
            </w:r>
          </w:p>
        </w:tc>
      </w:tr>
      <w:tr>
        <w:trPr>
          <w:cantSplit/>
        </w:trPr>
        <w:tc>
          <w:tcPr>
            <w:tcW w:type="dxa" w:w="131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Part 5</w:t>
            </w:r>
          </w:p>
        </w:tc>
        <w:tc>
          <w:tcPr>
            <w:tcW w:type="dxa" w:w="657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Handover, Documentation and Security</w:t>
            </w:r>
          </w:p>
        </w:tc>
        <w:tc>
          <w:tcPr>
            <w:tcW w:type="dxa" w:w="175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Clauses 11–14</w:t>
            </w:r>
          </w:p>
        </w:tc>
      </w:tr>
      <w:tr>
        <w:trPr>
          <w:cantSplit/>
        </w:trPr>
        <w:tc>
          <w:tcPr>
            <w:tcW w:type="dxa" w:w="131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Part 6</w:t>
            </w:r>
          </w:p>
        </w:tc>
        <w:tc>
          <w:tcPr>
            <w:tcW w:type="dxa" w:w="657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Warranty, Performance and Support</w:t>
            </w:r>
          </w:p>
        </w:tc>
        <w:tc>
          <w:tcPr>
            <w:tcW w:type="dxa" w:w="175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Clauses 15–16</w:t>
            </w:r>
          </w:p>
        </w:tc>
      </w:tr>
      <w:tr>
        <w:trPr>
          <w:cantSplit/>
        </w:trPr>
        <w:tc>
          <w:tcPr>
            <w:tcW w:type="dxa" w:w="131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Part 7</w:t>
            </w:r>
          </w:p>
        </w:tc>
        <w:tc>
          <w:tcPr>
            <w:tcW w:type="dxa" w:w="657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Transition to Employment</w:t>
            </w:r>
          </w:p>
        </w:tc>
        <w:tc>
          <w:tcPr>
            <w:tcW w:type="dxa" w:w="175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Clause 17</w:t>
            </w:r>
          </w:p>
        </w:tc>
      </w:tr>
      <w:tr>
        <w:trPr>
          <w:cantSplit/>
        </w:trPr>
        <w:tc>
          <w:tcPr>
            <w:tcW w:type="dxa" w:w="131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Part 8</w:t>
            </w:r>
          </w:p>
        </w:tc>
        <w:tc>
          <w:tcPr>
            <w:tcW w:type="dxa" w:w="657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Confidentiality, Liability and General</w:t>
            </w:r>
          </w:p>
        </w:tc>
        <w:tc>
          <w:tcPr>
            <w:tcW w:type="dxa" w:w="175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Clauses 18–24</w:t>
            </w:r>
          </w:p>
        </w:tc>
      </w:tr>
      <w:tr>
        <w:trPr>
          <w:cantSplit/>
        </w:trPr>
        <w:tc>
          <w:tcPr>
            <w:tcW w:type="dxa" w:w="131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Schedule A</w:t>
            </w:r>
          </w:p>
        </w:tc>
        <w:tc>
          <w:tcPr>
            <w:tcW w:type="dxa" w:w="657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Platform Feature Inventory (complete list of delivered and in-progress features)</w:t>
            </w:r>
          </w:p>
        </w:tc>
        <w:tc>
          <w:tcPr>
            <w:tcW w:type="dxa" w:w="175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p>
        </w:tc>
      </w:tr>
      <w:tr>
        <w:trPr>
          <w:cantSplit/>
        </w:trPr>
        <w:tc>
          <w:tcPr>
            <w:tcW w:type="dxa" w:w="131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Schedule B</w:t>
            </w:r>
          </w:p>
        </w:tc>
        <w:tc>
          <w:tcPr>
            <w:tcW w:type="dxa" w:w="657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Project Status, Remaining Work and Timeline</w:t>
            </w:r>
          </w:p>
        </w:tc>
        <w:tc>
          <w:tcPr>
            <w:tcW w:type="dxa" w:w="175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p>
        </w:tc>
      </w:tr>
      <w:tr>
        <w:trPr>
          <w:cantSplit/>
        </w:trPr>
        <w:tc>
          <w:tcPr>
            <w:tcW w:type="dxa" w:w="131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Schedule C</w:t>
            </w:r>
          </w:p>
        </w:tc>
        <w:tc>
          <w:tcPr>
            <w:tcW w:type="dxa" w:w="657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Fees and Payment Milestones</w:t>
            </w:r>
          </w:p>
        </w:tc>
        <w:tc>
          <w:tcPr>
            <w:tcW w:type="dxa" w:w="175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p>
        </w:tc>
      </w:tr>
      <w:tr>
        <w:trPr>
          <w:cantSplit/>
        </w:trPr>
        <w:tc>
          <w:tcPr>
            <w:tcW w:type="dxa" w:w="131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Schedule D</w:t>
            </w:r>
          </w:p>
        </w:tc>
        <w:tc>
          <w:tcPr>
            <w:tcW w:type="dxa" w:w="657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Accounts, Services and Infrastructure Transfer Register</w:t>
            </w:r>
          </w:p>
        </w:tc>
        <w:tc>
          <w:tcPr>
            <w:tcW w:type="dxa" w:w="175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p>
        </w:tc>
      </w:tr>
      <w:tr>
        <w:trPr>
          <w:cantSplit/>
        </w:trPr>
        <w:tc>
          <w:tcPr>
            <w:tcW w:type="dxa" w:w="131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Schedule E</w:t>
            </w:r>
          </w:p>
        </w:tc>
        <w:tc>
          <w:tcPr>
            <w:tcW w:type="dxa" w:w="657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Acceptance Criteria and Performance Tests</w:t>
            </w:r>
          </w:p>
        </w:tc>
        <w:tc>
          <w:tcPr>
            <w:tcW w:type="dxa" w:w="175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p>
        </w:tc>
      </w:tr>
      <w:tr>
        <w:trPr>
          <w:cantSplit/>
        </w:trPr>
        <w:tc>
          <w:tcPr>
            <w:tcW w:type="dxa" w:w="131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Schedule F</w:t>
            </w:r>
          </w:p>
        </w:tc>
        <w:tc>
          <w:tcPr>
            <w:tcW w:type="dxa" w:w="657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Documentation and Handover Deliverables</w:t>
            </w:r>
          </w:p>
        </w:tc>
        <w:tc>
          <w:tcPr>
            <w:tcW w:type="dxa" w:w="175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p>
        </w:tc>
      </w:tr>
      <w:tr>
        <w:trPr>
          <w:cantSplit/>
        </w:trPr>
        <w:tc>
          <w:tcPr>
            <w:tcW w:type="dxa" w:w="131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Schedule G</w:t>
            </w:r>
          </w:p>
        </w:tc>
        <w:tc>
          <w:tcPr>
            <w:tcW w:type="dxa" w:w="657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Third-Party Components, Licences and AI Tooling Declaration</w:t>
            </w:r>
          </w:p>
        </w:tc>
        <w:tc>
          <w:tcPr>
            <w:tcW w:type="dxa" w:w="175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p>
        </w:tc>
      </w:tr>
    </w:tbl>
    <w:p>
      <w:r>
        <w:br w:type="page"/>
      </w:r>
    </w:p>
    <w:p>
      <w:pPr>
        <w:pStyle w:val="Heading1"/>
        <w:keepNext/>
        <w:spacing w:after="160" w:before="360"/>
      </w:pPr>
      <w:r>
        <w:rPr>
          <w:rFonts w:ascii="Calibri" w:cs="Calibri" w:eastAsia="Calibri" w:hAnsi="Calibri"/>
          <w:b/>
          <w:bCs/>
          <w:color w:val="1F3A5F"/>
          <w:sz w:val="28"/>
          <w:szCs w:val="28"/>
        </w:rPr>
        <w:t xml:space="preserve">Part 1 — Parties, Background and Interpretation</w:t>
      </w:r>
    </w:p>
    <w:p>
      <w:pPr>
        <w:pStyle w:val="Heading2"/>
        <w:keepNext/>
        <w:spacing w:after="120" w:before="240"/>
      </w:pPr>
      <w:r>
        <w:rPr>
          <w:rFonts w:ascii="Calibri" w:cs="Calibri" w:eastAsia="Calibri" w:hAnsi="Calibri"/>
          <w:b/>
          <w:bCs/>
          <w:color w:val="1F3A5F"/>
          <w:sz w:val="24"/>
          <w:szCs w:val="24"/>
        </w:rPr>
        <w:t xml:space="preserve">1. Parties</w:t>
      </w:r>
    </w:p>
    <w:p>
      <w:pPr>
        <w:tabs>
          <w:tab w:val="left" w:pos="720"/>
        </w:tabs>
        <w:spacing w:after="120" w:line="276"/>
        <w:ind w:left="720" w:hanging="720"/>
      </w:pPr>
      <w:r>
        <w:rPr>
          <w:rFonts w:ascii="Calibri" w:cs="Calibri" w:eastAsia="Calibri" w:hAnsi="Calibri"/>
          <w:b/>
          <w:bCs/>
          <w:sz w:val="22"/>
          <w:szCs w:val="22"/>
        </w:rPr>
        <w:t xml:space="preserve">1.1	</w:t>
      </w:r>
      <w:r>
        <w:rPr>
          <w:rFonts w:ascii="Calibri" w:cs="Calibri" w:eastAsia="Calibri" w:hAnsi="Calibri"/>
          <w:sz w:val="22"/>
          <w:szCs w:val="22"/>
        </w:rPr>
        <w:t xml:space="preserve">This Memorandum of Understanding (the </w:t>
      </w:r>
      <w:r>
        <w:rPr>
          <w:rFonts w:ascii="Calibri" w:cs="Calibri" w:eastAsia="Calibri" w:hAnsi="Calibri"/>
          <w:b/>
          <w:bCs/>
          <w:sz w:val="22"/>
          <w:szCs w:val="22"/>
        </w:rPr>
        <w:t xml:space="preserve">“MOU”</w:t>
      </w:r>
      <w:r>
        <w:rPr>
          <w:rFonts w:ascii="Calibri" w:cs="Calibri" w:eastAsia="Calibri" w:hAnsi="Calibri"/>
          <w:sz w:val="22"/>
          <w:szCs w:val="22"/>
        </w:rPr>
        <w:t xml:space="preserve">) is made on 2 September 2026 (the </w:t>
      </w:r>
      <w:r>
        <w:rPr>
          <w:rFonts w:ascii="Calibri" w:cs="Calibri" w:eastAsia="Calibri" w:hAnsi="Calibri"/>
          <w:b/>
          <w:bCs/>
          <w:sz w:val="22"/>
          <w:szCs w:val="22"/>
        </w:rPr>
        <w:t xml:space="preserve">“Effective Date”</w:t>
      </w:r>
      <w:r>
        <w:rPr>
          <w:rFonts w:ascii="Calibri" w:cs="Calibri" w:eastAsia="Calibri" w:hAnsi="Calibri"/>
          <w:sz w:val="22"/>
          <w:szCs w:val="22"/>
        </w:rPr>
        <w:t xml:space="preserve">) between:</w:t>
      </w:r>
    </w:p>
    <w:p>
      <w:pPr>
        <w:tabs>
          <w:tab w:val="left" w:pos="1440"/>
        </w:tabs>
        <w:spacing w:after="80" w:line="276"/>
        <w:ind w:left="1440" w:hanging="540"/>
      </w:pPr>
      <w:r>
        <w:rPr>
          <w:rFonts w:ascii="Calibri" w:cs="Calibri" w:eastAsia="Calibri" w:hAnsi="Calibri"/>
          <w:sz w:val="22"/>
          <w:szCs w:val="22"/>
        </w:rPr>
        <w:t xml:space="preserve">(a)	</w:t>
      </w:r>
      <w:r>
        <w:rPr>
          <w:rFonts w:ascii="Calibri" w:cs="Calibri" w:eastAsia="Calibri" w:hAnsi="Calibri"/>
          <w:b/>
          <w:bCs/>
          <w:sz w:val="22"/>
          <w:szCs w:val="22"/>
        </w:rPr>
        <w:t xml:space="preserve">NISHAN TRANSPORT</w:t>
      </w:r>
      <w:r>
        <w:rPr>
          <w:rFonts w:ascii="Calibri" w:cs="Calibri" w:eastAsia="Calibri" w:hAnsi="Calibri"/>
          <w:sz w:val="22"/>
          <w:szCs w:val="22"/>
        </w:rPr>
        <w:t xml:space="preserve">, a transportation and logistics company having its principal place of business at </w:t>
      </w:r>
      <w:r>
        <w:rPr>
          <w:rFonts w:ascii="Calibri" w:cs="Calibri" w:eastAsia="Calibri" w:hAnsi="Calibri"/>
          <w:b/>
          <w:bCs/>
          <w:sz w:val="22"/>
          <w:szCs w:val="22"/>
          <w:highlight w:val="yellow"/>
          <w:highlightCs w:val="yellow"/>
        </w:rPr>
        <w:t xml:space="preserve">[Nishan Transport registered address, Ontario, Canada]</w:t>
      </w:r>
      <w:r>
        <w:rPr>
          <w:rFonts w:ascii="Calibri" w:cs="Calibri" w:eastAsia="Calibri" w:hAnsi="Calibri"/>
          <w:sz w:val="22"/>
          <w:szCs w:val="22"/>
        </w:rPr>
        <w:t xml:space="preserve"> (the </w:t>
      </w:r>
      <w:r>
        <w:rPr>
          <w:rFonts w:ascii="Calibri" w:cs="Calibri" w:eastAsia="Calibri" w:hAnsi="Calibri"/>
          <w:b/>
          <w:bCs/>
          <w:sz w:val="22"/>
          <w:szCs w:val="22"/>
        </w:rPr>
        <w:t xml:space="preserve">“Client”</w:t>
      </w:r>
      <w:r>
        <w:rPr>
          <w:rFonts w:ascii="Calibri" w:cs="Calibri" w:eastAsia="Calibri" w:hAnsi="Calibri"/>
          <w:sz w:val="22"/>
          <w:szCs w:val="22"/>
        </w:rPr>
        <w:t xml:space="preserve">); and</w:t>
      </w:r>
    </w:p>
    <w:p>
      <w:pPr>
        <w:tabs>
          <w:tab w:val="left" w:pos="1440"/>
        </w:tabs>
        <w:spacing w:after="80" w:line="276"/>
        <w:ind w:left="1440" w:hanging="540"/>
      </w:pPr>
      <w:r>
        <w:rPr>
          <w:rFonts w:ascii="Calibri" w:cs="Calibri" w:eastAsia="Calibri" w:hAnsi="Calibri"/>
          <w:sz w:val="22"/>
          <w:szCs w:val="22"/>
        </w:rPr>
        <w:t xml:space="preserve">(b)	</w:t>
      </w:r>
      <w:r>
        <w:rPr>
          <w:rFonts w:ascii="Calibri" w:cs="Calibri" w:eastAsia="Calibri" w:hAnsi="Calibri"/>
          <w:b/>
          <w:bCs/>
          <w:sz w:val="22"/>
          <w:szCs w:val="22"/>
        </w:rPr>
        <w:t xml:space="preserve">NISHANTPREET SINGH</w:t>
      </w:r>
      <w:r>
        <w:rPr>
          <w:rFonts w:ascii="Calibri" w:cs="Calibri" w:eastAsia="Calibri" w:hAnsi="Calibri"/>
          <w:sz w:val="22"/>
          <w:szCs w:val="22"/>
        </w:rPr>
        <w:t xml:space="preserve">, an individual of 2656 Mohalla Phool Chakkar, Ropar, Punjab 140001, India; and </w:t>
      </w:r>
      <w:r>
        <w:rPr>
          <w:rFonts w:ascii="Calibri" w:cs="Calibri" w:eastAsia="Calibri" w:hAnsi="Calibri"/>
          <w:b/>
          <w:bCs/>
          <w:sz w:val="22"/>
          <w:szCs w:val="22"/>
        </w:rPr>
        <w:t xml:space="preserve">SHUBHAM BANSAL</w:t>
      </w:r>
      <w:r>
        <w:rPr>
          <w:rFonts w:ascii="Calibri" w:cs="Calibri" w:eastAsia="Calibri" w:hAnsi="Calibri"/>
          <w:sz w:val="22"/>
          <w:szCs w:val="22"/>
        </w:rPr>
        <w:t xml:space="preserve">, an individual of Narang Colony, Street No. 1, Sri Muktsar Sahib, Punjab, India, acting jointly and severally as independent contractors (together the </w:t>
      </w:r>
      <w:r>
        <w:rPr>
          <w:rFonts w:ascii="Calibri" w:cs="Calibri" w:eastAsia="Calibri" w:hAnsi="Calibri"/>
          <w:b/>
          <w:bCs/>
          <w:sz w:val="22"/>
          <w:szCs w:val="22"/>
        </w:rPr>
        <w:t xml:space="preserve">“Developers”</w:t>
      </w:r>
      <w:r>
        <w:rPr>
          <w:rFonts w:ascii="Calibri" w:cs="Calibri" w:eastAsia="Calibri" w:hAnsi="Calibri"/>
          <w:sz w:val="22"/>
          <w:szCs w:val="22"/>
        </w:rPr>
        <w:t xml:space="preserve"> and each a </w:t>
      </w:r>
      <w:r>
        <w:rPr>
          <w:rFonts w:ascii="Calibri" w:cs="Calibri" w:eastAsia="Calibri" w:hAnsi="Calibri"/>
          <w:b/>
          <w:bCs/>
          <w:sz w:val="22"/>
          <w:szCs w:val="22"/>
        </w:rPr>
        <w:t xml:space="preserve">“Developer”</w:t>
      </w:r>
      <w:r>
        <w:rPr>
          <w:rFonts w:ascii="Calibri" w:cs="Calibri" w:eastAsia="Calibri" w:hAnsi="Calibri"/>
          <w:sz w:val="22"/>
          <w:szCs w:val="22"/>
        </w:rPr>
        <w:t xml:space="preserve">).</w:t>
      </w:r>
    </w:p>
    <w:p>
      <w:pPr>
        <w:tabs>
          <w:tab w:val="left" w:pos="720"/>
        </w:tabs>
        <w:spacing w:after="120" w:line="276"/>
        <w:ind w:left="720" w:hanging="720"/>
      </w:pPr>
      <w:r>
        <w:rPr>
          <w:rFonts w:ascii="Calibri" w:cs="Calibri" w:eastAsia="Calibri" w:hAnsi="Calibri"/>
          <w:b/>
          <w:bCs/>
          <w:sz w:val="22"/>
          <w:szCs w:val="22"/>
        </w:rPr>
        <w:t xml:space="preserve">1.2	</w:t>
      </w:r>
      <w:r>
        <w:rPr>
          <w:rFonts w:ascii="Calibri" w:cs="Calibri" w:eastAsia="Calibri" w:hAnsi="Calibri"/>
          <w:sz w:val="22"/>
          <w:szCs w:val="22"/>
        </w:rPr>
        <w:t xml:space="preserve">The Client and the Developers are each a “Party” and together the “Parties”.</w:t>
      </w:r>
    </w:p>
    <w:p>
      <w:pPr>
        <w:pStyle w:val="Heading2"/>
        <w:keepNext/>
        <w:spacing w:after="120" w:before="240"/>
      </w:pPr>
      <w:r>
        <w:rPr>
          <w:rFonts w:ascii="Calibri" w:cs="Calibri" w:eastAsia="Calibri" w:hAnsi="Calibri"/>
          <w:b/>
          <w:bCs/>
          <w:color w:val="1F3A5F"/>
          <w:sz w:val="24"/>
          <w:szCs w:val="24"/>
        </w:rPr>
        <w:t xml:space="preserve">2. Background</w:t>
      </w:r>
    </w:p>
    <w:p>
      <w:pPr>
        <w:tabs>
          <w:tab w:val="left" w:pos="720"/>
        </w:tabs>
        <w:spacing w:after="120" w:line="276"/>
        <w:ind w:left="720" w:hanging="720"/>
      </w:pPr>
      <w:r>
        <w:rPr>
          <w:rFonts w:ascii="Calibri" w:cs="Calibri" w:eastAsia="Calibri" w:hAnsi="Calibri"/>
          <w:b/>
          <w:bCs/>
          <w:sz w:val="22"/>
          <w:szCs w:val="22"/>
        </w:rPr>
        <w:t xml:space="preserve">2.1	</w:t>
      </w:r>
      <w:r>
        <w:rPr>
          <w:rFonts w:ascii="Calibri" w:cs="Calibri" w:eastAsia="Calibri" w:hAnsi="Calibri"/>
          <w:sz w:val="22"/>
          <w:szCs w:val="22"/>
        </w:rPr>
        <w:t xml:space="preserve">The Developers have designed and built for the Client a cloud-hosted trucking dispatch and fleet-operations platform known as “DispatchChat” (working name “Ozack”), consisting of (i) the Dispatch web application and its API, (ii) the Nishan Driver Android mobile application, and (iii) the DispatchChat real-time messaging application for drivers and dispatch staff (together the “Platform”). The Platform is described feature-by-feature in Schedule A.</w:t>
      </w:r>
    </w:p>
    <w:p>
      <w:pPr>
        <w:tabs>
          <w:tab w:val="left" w:pos="720"/>
        </w:tabs>
        <w:spacing w:after="120" w:line="276"/>
        <w:ind w:left="720" w:hanging="720"/>
      </w:pPr>
      <w:r>
        <w:rPr>
          <w:rFonts w:ascii="Calibri" w:cs="Calibri" w:eastAsia="Calibri" w:hAnsi="Calibri"/>
          <w:b/>
          <w:bCs/>
          <w:sz w:val="22"/>
          <w:szCs w:val="22"/>
        </w:rPr>
        <w:t xml:space="preserve">2.2	</w:t>
      </w:r>
      <w:r>
        <w:rPr>
          <w:rFonts w:ascii="Calibri" w:cs="Calibri" w:eastAsia="Calibri" w:hAnsi="Calibri"/>
          <w:sz w:val="22"/>
          <w:szCs w:val="22"/>
        </w:rPr>
        <w:t xml:space="preserve">The build phase is substantially complete. The Parties wish to record, in a single binding document, the remaining work, the acceptance process, the outstanding payment milestones, the assignment of all intellectual property to the Client, the handover of source code, accounts and infrastructure, and the Developers’ intended transition to full-time employment with the Client.</w:t>
      </w:r>
    </w:p>
    <w:p>
      <w:pPr>
        <w:tabs>
          <w:tab w:val="left" w:pos="720"/>
        </w:tabs>
        <w:spacing w:after="120" w:line="276"/>
        <w:ind w:left="720" w:hanging="720"/>
      </w:pPr>
      <w:r>
        <w:rPr>
          <w:rFonts w:ascii="Calibri" w:cs="Calibri" w:eastAsia="Calibri" w:hAnsi="Calibri"/>
          <w:b/>
          <w:bCs/>
          <w:sz w:val="22"/>
          <w:szCs w:val="22"/>
        </w:rPr>
        <w:t xml:space="preserve">2.3	</w:t>
      </w:r>
      <w:r>
        <w:rPr>
          <w:rFonts w:ascii="Calibri" w:cs="Calibri" w:eastAsia="Calibri" w:hAnsi="Calibri"/>
          <w:sz w:val="22"/>
          <w:szCs w:val="22"/>
        </w:rPr>
        <w:t xml:space="preserve">The Parties intend this MOU to be legally binding in its entirety, save where a clause is expressly stated to be non-binding.</w:t>
      </w:r>
    </w:p>
    <w:p>
      <w:pPr>
        <w:pStyle w:val="Heading2"/>
        <w:keepNext/>
        <w:spacing w:after="120" w:before="240"/>
      </w:pPr>
      <w:r>
        <w:rPr>
          <w:rFonts w:ascii="Calibri" w:cs="Calibri" w:eastAsia="Calibri" w:hAnsi="Calibri"/>
          <w:b/>
          <w:bCs/>
          <w:color w:val="1F3A5F"/>
          <w:sz w:val="24"/>
          <w:szCs w:val="24"/>
        </w:rPr>
        <w:t xml:space="preserve">3. Definitions and Interpretation</w:t>
      </w:r>
    </w:p>
    <w:p>
      <w:pPr>
        <w:tabs>
          <w:tab w:val="left" w:pos="720"/>
        </w:tabs>
        <w:spacing w:after="120" w:line="276"/>
        <w:ind w:left="720" w:hanging="720"/>
      </w:pPr>
      <w:r>
        <w:rPr>
          <w:rFonts w:ascii="Calibri" w:cs="Calibri" w:eastAsia="Calibri" w:hAnsi="Calibri"/>
          <w:b/>
          <w:bCs/>
          <w:sz w:val="22"/>
          <w:szCs w:val="22"/>
        </w:rPr>
        <w:t xml:space="preserve">3.1	</w:t>
      </w:r>
      <w:r>
        <w:rPr>
          <w:rFonts w:ascii="Calibri" w:cs="Calibri" w:eastAsia="Calibri" w:hAnsi="Calibri"/>
          <w:sz w:val="22"/>
          <w:szCs w:val="22"/>
        </w:rPr>
        <w:t xml:space="preserve">In this MOU the following terms have the following meanings: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7236"/>
      </w:tblGrid>
      <w:tr>
        <w:trPr>
          <w:tblHeader/>
        </w:trPr>
        <w:tc>
          <w:tcPr>
            <w:tcW w:type="dxa" w:w="241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Term</w:t>
            </w:r>
          </w:p>
        </w:tc>
        <w:tc>
          <w:tcPr>
            <w:tcW w:type="dxa" w:w="7236"/>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Meaning</w:t>
            </w:r>
          </w:p>
        </w:tc>
      </w:tr>
      <w:tr>
        <w:trPr>
          <w:cantSplit/>
        </w:trPr>
        <w:tc>
          <w:tcPr>
            <w:tcW w:type="dxa" w:w="241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Acceptance</w:t>
            </w:r>
          </w:p>
        </w:tc>
        <w:tc>
          <w:tcPr>
            <w:tcW w:type="dxa" w:w="723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Written confirmation by the Client (email from the Client Representative suffices) that a Milestone or the Platform meets the applicable Acceptance Criteria, or Deemed Acceptance under clause 7.5.</w:t>
            </w:r>
          </w:p>
        </w:tc>
      </w:tr>
      <w:tr>
        <w:trPr>
          <w:cantSplit/>
        </w:trPr>
        <w:tc>
          <w:tcPr>
            <w:tcW w:type="dxa" w:w="241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Acceptance Criteria</w:t>
            </w:r>
          </w:p>
        </w:tc>
        <w:tc>
          <w:tcPr>
            <w:tcW w:type="dxa" w:w="723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The functional and performance criteria set out in Schedule E.</w:t>
            </w:r>
          </w:p>
        </w:tc>
      </w:tr>
      <w:tr>
        <w:trPr>
          <w:cantSplit/>
        </w:trPr>
        <w:tc>
          <w:tcPr>
            <w:tcW w:type="dxa" w:w="241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Business Day</w:t>
            </w:r>
          </w:p>
        </w:tc>
        <w:tc>
          <w:tcPr>
            <w:tcW w:type="dxa" w:w="723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 day other than a Saturday, Sunday or statutory holiday in Ontario, Canada.</w:t>
            </w:r>
          </w:p>
        </w:tc>
      </w:tr>
      <w:tr>
        <w:trPr>
          <w:cantSplit/>
        </w:trPr>
        <w:tc>
          <w:tcPr>
            <w:tcW w:type="dxa" w:w="241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Client Data</w:t>
            </w:r>
          </w:p>
        </w:tc>
        <w:tc>
          <w:tcPr>
            <w:tcW w:type="dxa" w:w="723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All data entered into, uploaded to, generated by or stored within the Platform relating to the Client, its customers, drivers, loads, vehicles, finances and personnel.</w:t>
            </w:r>
          </w:p>
        </w:tc>
      </w:tr>
      <w:tr>
        <w:trPr>
          <w:cantSplit/>
        </w:trPr>
        <w:tc>
          <w:tcPr>
            <w:tcW w:type="dxa" w:w="241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Client Representative</w:t>
            </w:r>
          </w:p>
        </w:tc>
        <w:tc>
          <w:tcPr>
            <w:tcW w:type="dxa" w:w="723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Nick [surname], [title], Nishan Transport, or such other person as the Client notifies in writing.</w:t>
            </w:r>
          </w:p>
        </w:tc>
      </w:tr>
      <w:tr>
        <w:trPr>
          <w:cantSplit/>
        </w:trPr>
        <w:tc>
          <w:tcPr>
            <w:tcW w:type="dxa" w:w="241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Deliverables</w:t>
            </w:r>
          </w:p>
        </w:tc>
        <w:tc>
          <w:tcPr>
            <w:tcW w:type="dxa" w:w="723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The Platform, Source Code, Documentation and all other work product listed in Schedules A, D and F.</w:t>
            </w:r>
          </w:p>
        </w:tc>
      </w:tr>
      <w:tr>
        <w:trPr>
          <w:cantSplit/>
        </w:trPr>
        <w:tc>
          <w:tcPr>
            <w:tcW w:type="dxa" w:w="241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Documentation</w:t>
            </w:r>
          </w:p>
        </w:tc>
        <w:tc>
          <w:tcPr>
            <w:tcW w:type="dxa" w:w="723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The documents described in Schedule F.</w:t>
            </w:r>
          </w:p>
        </w:tc>
      </w:tr>
      <w:tr>
        <w:trPr>
          <w:cantSplit/>
        </w:trPr>
        <w:tc>
          <w:tcPr>
            <w:tcW w:type="dxa" w:w="241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Fees</w:t>
            </w:r>
          </w:p>
        </w:tc>
        <w:tc>
          <w:tcPr>
            <w:tcW w:type="dxa" w:w="723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The fixed project fee set out in Schedule C.</w:t>
            </w:r>
          </w:p>
        </w:tc>
      </w:tr>
      <w:tr>
        <w:trPr>
          <w:cantSplit/>
        </w:trPr>
        <w:tc>
          <w:tcPr>
            <w:tcW w:type="dxa" w:w="241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Go-Live</w:t>
            </w:r>
          </w:p>
        </w:tc>
        <w:tc>
          <w:tcPr>
            <w:tcW w:type="dxa" w:w="723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The date on which the Platform is deployed to the Client’s production environment under Client-owned accounts and made available to end users, as confirmed in writing by the Client.</w:t>
            </w:r>
          </w:p>
        </w:tc>
      </w:tr>
      <w:tr>
        <w:trPr>
          <w:cantSplit/>
        </w:trPr>
        <w:tc>
          <w:tcPr>
            <w:tcW w:type="dxa" w:w="241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Handover Completion</w:t>
            </w:r>
          </w:p>
        </w:tc>
        <w:tc>
          <w:tcPr>
            <w:tcW w:type="dxa" w:w="723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The date on which every item in Schedules D and F has been delivered and confirmed by the Client in writing.</w:t>
            </w:r>
          </w:p>
        </w:tc>
      </w:tr>
      <w:tr>
        <w:trPr>
          <w:cantSplit/>
        </w:trPr>
        <w:tc>
          <w:tcPr>
            <w:tcW w:type="dxa" w:w="241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Intellectual Property Rights</w:t>
            </w:r>
          </w:p>
        </w:tc>
        <w:tc>
          <w:tcPr>
            <w:tcW w:type="dxa" w:w="723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Copyright, patents, design rights, database rights, trade marks, trade secrets, know-how, moral rights and all other intellectual property rights anywhere in the world, whether registered or not, including applications and rights to apply.</w:t>
            </w:r>
          </w:p>
        </w:tc>
      </w:tr>
      <w:tr>
        <w:trPr>
          <w:cantSplit/>
        </w:trPr>
        <w:tc>
          <w:tcPr>
            <w:tcW w:type="dxa" w:w="241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Milestone</w:t>
            </w:r>
          </w:p>
        </w:tc>
        <w:tc>
          <w:tcPr>
            <w:tcW w:type="dxa" w:w="723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 delivery milestone described in Schedule C.</w:t>
            </w:r>
          </w:p>
        </w:tc>
      </w:tr>
      <w:tr>
        <w:trPr>
          <w:cantSplit/>
        </w:trPr>
        <w:tc>
          <w:tcPr>
            <w:tcW w:type="dxa" w:w="241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Open Source Components</w:t>
            </w:r>
          </w:p>
        </w:tc>
        <w:tc>
          <w:tcPr>
            <w:tcW w:type="dxa" w:w="723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Third-party software distributed under an open-source licence and incorporated in the Platform, listed in Schedule G.</w:t>
            </w:r>
          </w:p>
        </w:tc>
      </w:tr>
      <w:tr>
        <w:trPr>
          <w:cantSplit/>
        </w:trPr>
        <w:tc>
          <w:tcPr>
            <w:tcW w:type="dxa" w:w="241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Source Code</w:t>
            </w:r>
          </w:p>
        </w:tc>
        <w:tc>
          <w:tcPr>
            <w:tcW w:type="dxa" w:w="723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The complete human-readable source code of the Platform, including all front-end, back-end, mobile, database migration, configuration, build and deployment scripts, and the full Git commit history.</w:t>
            </w:r>
          </w:p>
        </w:tc>
      </w:tr>
      <w:tr>
        <w:trPr>
          <w:cantSplit/>
        </w:trPr>
        <w:tc>
          <w:tcPr>
            <w:tcW w:type="dxa" w:w="241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UAT</w:t>
            </w:r>
          </w:p>
        </w:tc>
        <w:tc>
          <w:tcPr>
            <w:tcW w:type="dxa" w:w="723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User acceptance testing performed by the Client under clause 7.</w:t>
            </w:r>
          </w:p>
        </w:tc>
      </w:tr>
    </w:tbl>
    <w:p>
      <w:pPr>
        <w:spacing w:after="120"/>
      </w:pPr>
    </w:p>
    <w:p>
      <w:pPr>
        <w:tabs>
          <w:tab w:val="left" w:pos="720"/>
        </w:tabs>
        <w:spacing w:after="120" w:line="276"/>
        <w:ind w:left="720" w:hanging="720"/>
      </w:pPr>
      <w:r>
        <w:rPr>
          <w:rFonts w:ascii="Calibri" w:cs="Calibri" w:eastAsia="Calibri" w:hAnsi="Calibri"/>
          <w:b/>
          <w:bCs/>
          <w:sz w:val="22"/>
          <w:szCs w:val="22"/>
        </w:rPr>
        <w:t xml:space="preserve">3.2	</w:t>
      </w:r>
      <w:r>
        <w:rPr>
          <w:rFonts w:ascii="Calibri" w:cs="Calibri" w:eastAsia="Calibri" w:hAnsi="Calibri"/>
          <w:sz w:val="22"/>
          <w:szCs w:val="22"/>
        </w:rPr>
        <w:t xml:space="preserve">Clause and Schedule headings are for convenience only. The Schedules form part of this MOU. In the event of conflict, the clauses prevail over the Schedules. “Including” means including without limitation. References to “writing” include email.</w:t>
      </w:r>
    </w:p>
    <w:p>
      <w:pPr>
        <w:pStyle w:val="Heading1"/>
        <w:keepNext/>
        <w:spacing w:after="160" w:before="360"/>
      </w:pPr>
      <w:r>
        <w:rPr>
          <w:rFonts w:ascii="Calibri" w:cs="Calibri" w:eastAsia="Calibri" w:hAnsi="Calibri"/>
          <w:b/>
          <w:bCs/>
          <w:color w:val="1F3A5F"/>
          <w:sz w:val="28"/>
          <w:szCs w:val="28"/>
        </w:rPr>
        <w:t xml:space="preserve">Part 2 — Scope, Delivery and Acceptance</w:t>
      </w:r>
    </w:p>
    <w:p>
      <w:pPr>
        <w:pStyle w:val="Heading2"/>
        <w:keepNext/>
        <w:spacing w:after="120" w:before="240"/>
      </w:pPr>
      <w:r>
        <w:rPr>
          <w:rFonts w:ascii="Calibri" w:cs="Calibri" w:eastAsia="Calibri" w:hAnsi="Calibri"/>
          <w:b/>
          <w:bCs/>
          <w:color w:val="1F3A5F"/>
          <w:sz w:val="24"/>
          <w:szCs w:val="24"/>
        </w:rPr>
        <w:t xml:space="preserve">4. Scope of Work</w:t>
      </w:r>
    </w:p>
    <w:p>
      <w:pPr>
        <w:tabs>
          <w:tab w:val="left" w:pos="720"/>
        </w:tabs>
        <w:spacing w:after="120" w:line="276"/>
        <w:ind w:left="720" w:hanging="720"/>
      </w:pPr>
      <w:r>
        <w:rPr>
          <w:rFonts w:ascii="Calibri" w:cs="Calibri" w:eastAsia="Calibri" w:hAnsi="Calibri"/>
          <w:b/>
          <w:bCs/>
          <w:sz w:val="22"/>
          <w:szCs w:val="22"/>
        </w:rPr>
        <w:t xml:space="preserve">4.1	</w:t>
      </w:r>
      <w:r>
        <w:rPr>
          <w:rFonts w:ascii="Calibri" w:cs="Calibri" w:eastAsia="Calibri" w:hAnsi="Calibri"/>
          <w:sz w:val="22"/>
          <w:szCs w:val="22"/>
        </w:rPr>
        <w:t xml:space="preserve">The Developers shall complete, stabilise, deploy and hand over the Platform comprising every feature listed in Schedule A, in accordance with the timeline in Schedule B and the Acceptance Criteria in Schedule E.</w:t>
      </w:r>
    </w:p>
    <w:p>
      <w:pPr>
        <w:tabs>
          <w:tab w:val="left" w:pos="720"/>
        </w:tabs>
        <w:spacing w:after="120" w:line="276"/>
        <w:ind w:left="720" w:hanging="720"/>
      </w:pPr>
      <w:r>
        <w:rPr>
          <w:rFonts w:ascii="Calibri" w:cs="Calibri" w:eastAsia="Calibri" w:hAnsi="Calibri"/>
          <w:b/>
          <w:bCs/>
          <w:sz w:val="22"/>
          <w:szCs w:val="22"/>
        </w:rPr>
        <w:t xml:space="preserve">4.2	</w:t>
      </w:r>
      <w:r>
        <w:rPr>
          <w:rFonts w:ascii="Calibri" w:cs="Calibri" w:eastAsia="Calibri" w:hAnsi="Calibri"/>
          <w:sz w:val="22"/>
          <w:szCs w:val="22"/>
        </w:rPr>
        <w:t xml:space="preserve">Schedule A is an exhaustive statement of the features that form part of the Fees. Any feature not listed in Schedule A is out of scope and shall be handled under clause 14 (Change Control) or, after Go-Live, as part of the Developers’ employment duties under clause 17.</w:t>
      </w:r>
    </w:p>
    <w:p>
      <w:pPr>
        <w:tabs>
          <w:tab w:val="left" w:pos="720"/>
        </w:tabs>
        <w:spacing w:after="120" w:line="276"/>
        <w:ind w:left="720" w:hanging="720"/>
      </w:pPr>
      <w:r>
        <w:rPr>
          <w:rFonts w:ascii="Calibri" w:cs="Calibri" w:eastAsia="Calibri" w:hAnsi="Calibri"/>
          <w:b/>
          <w:bCs/>
          <w:sz w:val="22"/>
          <w:szCs w:val="22"/>
        </w:rPr>
        <w:t xml:space="preserve">4.3	</w:t>
      </w:r>
      <w:r>
        <w:rPr>
          <w:rFonts w:ascii="Calibri" w:cs="Calibri" w:eastAsia="Calibri" w:hAnsi="Calibri"/>
          <w:sz w:val="22"/>
          <w:szCs w:val="22"/>
        </w:rPr>
        <w:t xml:space="preserve">The Platform architecture as delivered is:</w:t>
      </w:r>
    </w:p>
    <w:p>
      <w:pPr>
        <w:tabs>
          <w:tab w:val="left" w:pos="1440"/>
        </w:tabs>
        <w:spacing w:after="80" w:line="276"/>
        <w:ind w:left="1440" w:hanging="540"/>
      </w:pPr>
      <w:r>
        <w:rPr>
          <w:rFonts w:ascii="Calibri" w:cs="Calibri" w:eastAsia="Calibri" w:hAnsi="Calibri"/>
          <w:sz w:val="22"/>
          <w:szCs w:val="22"/>
        </w:rPr>
        <w:t xml:space="preserve">(a)	</w:t>
      </w:r>
      <w:r>
        <w:rPr>
          <w:rFonts w:ascii="Calibri" w:cs="Calibri" w:eastAsia="Calibri" w:hAnsi="Calibri"/>
          <w:sz w:val="22"/>
          <w:szCs w:val="22"/>
        </w:rPr>
        <w:t xml:space="preserve">Dispatch web application — React 18 / Vite single-page application with Tailwind CSS, Zustand state management and Leaflet mapping, deployed on Vercel;</w:t>
      </w:r>
    </w:p>
    <w:p>
      <w:pPr>
        <w:tabs>
          <w:tab w:val="left" w:pos="1440"/>
        </w:tabs>
        <w:spacing w:after="80" w:line="276"/>
        <w:ind w:left="1440" w:hanging="540"/>
      </w:pPr>
      <w:r>
        <w:rPr>
          <w:rFonts w:ascii="Calibri" w:cs="Calibri" w:eastAsia="Calibri" w:hAnsi="Calibri"/>
          <w:sz w:val="22"/>
          <w:szCs w:val="22"/>
        </w:rPr>
        <w:t xml:space="preserve">(b)	</w:t>
      </w:r>
      <w:r>
        <w:rPr>
          <w:rFonts w:ascii="Calibri" w:cs="Calibri" w:eastAsia="Calibri" w:hAnsi="Calibri"/>
          <w:sz w:val="22"/>
          <w:szCs w:val="22"/>
        </w:rPr>
        <w:t xml:space="preserve">Dispatch API — Node.js / Express REST and WebSocket API (approximately 174 endpoints across 27 route groups) with JWT authentication, bcrypt password hashing, node-cron scheduled workers and auto-running SQL migrations, deployed on Render, backed by a PostgreSQL database hosted on Supabase (PgBouncer transaction pooling) with Supabase Storage for documents;</w:t>
      </w:r>
    </w:p>
    <w:p>
      <w:pPr>
        <w:tabs>
          <w:tab w:val="left" w:pos="1440"/>
        </w:tabs>
        <w:spacing w:after="80" w:line="276"/>
        <w:ind w:left="1440" w:hanging="540"/>
      </w:pPr>
      <w:r>
        <w:rPr>
          <w:rFonts w:ascii="Calibri" w:cs="Calibri" w:eastAsia="Calibri" w:hAnsi="Calibri"/>
          <w:sz w:val="22"/>
          <w:szCs w:val="22"/>
        </w:rPr>
        <w:t xml:space="preserve">(c)	</w:t>
      </w:r>
      <w:r>
        <w:rPr>
          <w:rFonts w:ascii="Calibri" w:cs="Calibri" w:eastAsia="Calibri" w:hAnsi="Calibri"/>
          <w:sz w:val="22"/>
          <w:szCs w:val="22"/>
        </w:rPr>
        <w:t xml:space="preserve">Nishan Driver mobile application — the Dispatch front-end packaged as a native Android application with Capacitor (app id com.nishantransport.driver) including native geolocation;</w:t>
      </w:r>
    </w:p>
    <w:p>
      <w:pPr>
        <w:tabs>
          <w:tab w:val="left" w:pos="1440"/>
        </w:tabs>
        <w:spacing w:after="80" w:line="276"/>
        <w:ind w:left="1440" w:hanging="540"/>
      </w:pPr>
      <w:r>
        <w:rPr>
          <w:rFonts w:ascii="Calibri" w:cs="Calibri" w:eastAsia="Calibri" w:hAnsi="Calibri"/>
          <w:sz w:val="22"/>
          <w:szCs w:val="22"/>
        </w:rPr>
        <w:t xml:space="preserve">(d)	</w:t>
      </w:r>
      <w:r>
        <w:rPr>
          <w:rFonts w:ascii="Calibri" w:cs="Calibri" w:eastAsia="Calibri" w:hAnsi="Calibri"/>
          <w:sz w:val="22"/>
          <w:szCs w:val="22"/>
        </w:rPr>
        <w:t xml:space="preserve">DispatchChat messaging application — React / Vite front-end with Node.js / Express / Socket.io back-end, MongoDB (Mongoose) database, Cloudinary media storage and WebRTC signalling, packaged for Android (and configured for iOS) with Capacitor (app id com.fleethub.chatapp), integrated to the Dispatch database via Supabase webhooks;</w:t>
      </w:r>
    </w:p>
    <w:p>
      <w:pPr>
        <w:tabs>
          <w:tab w:val="left" w:pos="1440"/>
        </w:tabs>
        <w:spacing w:after="80" w:line="276"/>
        <w:ind w:left="1440" w:hanging="540"/>
      </w:pPr>
      <w:r>
        <w:rPr>
          <w:rFonts w:ascii="Calibri" w:cs="Calibri" w:eastAsia="Calibri" w:hAnsi="Calibri"/>
          <w:sz w:val="22"/>
          <w:szCs w:val="22"/>
        </w:rPr>
        <w:t xml:space="preserve">(e)	</w:t>
      </w:r>
      <w:r>
        <w:rPr>
          <w:rFonts w:ascii="Calibri" w:cs="Calibri" w:eastAsia="Calibri" w:hAnsi="Calibri"/>
          <w:sz w:val="22"/>
          <w:szCs w:val="22"/>
        </w:rPr>
        <w:t xml:space="preserve">External integrations — Samsara telematics API, Google Gemini generative AI API, BorderConnect ACE/ACI e-manifest API, PC*MILER / Trimble routing, OpenStreetMap Nominatim geocoding, US CBP and Canadian CBSA border-wait feeds, US National Weather Service alerts, Gmail IMAP intake, and SMTP email notification.</w:t>
      </w:r>
    </w:p>
    <w:p>
      <w:pPr>
        <w:pStyle w:val="Heading2"/>
        <w:keepNext/>
        <w:spacing w:after="120" w:before="240"/>
      </w:pPr>
      <w:r>
        <w:rPr>
          <w:rFonts w:ascii="Calibri" w:cs="Calibri" w:eastAsia="Calibri" w:hAnsi="Calibri"/>
          <w:b/>
          <w:bCs/>
          <w:color w:val="1F3A5F"/>
          <w:sz w:val="24"/>
          <w:szCs w:val="24"/>
        </w:rPr>
        <w:t xml:space="preserve">5. Developers’ Obligations</w:t>
      </w:r>
    </w:p>
    <w:p>
      <w:pPr>
        <w:tabs>
          <w:tab w:val="left" w:pos="720"/>
        </w:tabs>
        <w:spacing w:after="120" w:line="276"/>
        <w:ind w:left="720" w:hanging="720"/>
      </w:pPr>
      <w:r>
        <w:rPr>
          <w:rFonts w:ascii="Calibri" w:cs="Calibri" w:eastAsia="Calibri" w:hAnsi="Calibri"/>
          <w:b/>
          <w:bCs/>
          <w:sz w:val="22"/>
          <w:szCs w:val="22"/>
        </w:rPr>
        <w:t xml:space="preserve">5.1	</w:t>
      </w:r>
      <w:r>
        <w:rPr>
          <w:rFonts w:ascii="Calibri" w:cs="Calibri" w:eastAsia="Calibri" w:hAnsi="Calibri"/>
          <w:sz w:val="22"/>
          <w:szCs w:val="22"/>
        </w:rPr>
        <w:t xml:space="preserve">The Developers shall:</w:t>
      </w:r>
    </w:p>
    <w:p>
      <w:pPr>
        <w:tabs>
          <w:tab w:val="left" w:pos="1440"/>
        </w:tabs>
        <w:spacing w:after="80" w:line="276"/>
        <w:ind w:left="1440" w:hanging="540"/>
      </w:pPr>
      <w:r>
        <w:rPr>
          <w:rFonts w:ascii="Calibri" w:cs="Calibri" w:eastAsia="Calibri" w:hAnsi="Calibri"/>
          <w:sz w:val="22"/>
          <w:szCs w:val="22"/>
        </w:rPr>
        <w:t xml:space="preserve">(a)	</w:t>
      </w:r>
      <w:r>
        <w:rPr>
          <w:rFonts w:ascii="Calibri" w:cs="Calibri" w:eastAsia="Calibri" w:hAnsi="Calibri"/>
          <w:sz w:val="22"/>
          <w:szCs w:val="22"/>
        </w:rPr>
        <w:t xml:space="preserve">perform the remaining work in Schedule B with reasonable skill, care and diligence and in accordance with good industry practice;</w:t>
      </w:r>
    </w:p>
    <w:p>
      <w:pPr>
        <w:tabs>
          <w:tab w:val="left" w:pos="1440"/>
        </w:tabs>
        <w:spacing w:after="80" w:line="276"/>
        <w:ind w:left="1440" w:hanging="540"/>
      </w:pPr>
      <w:r>
        <w:rPr>
          <w:rFonts w:ascii="Calibri" w:cs="Calibri" w:eastAsia="Calibri" w:hAnsi="Calibri"/>
          <w:sz w:val="22"/>
          <w:szCs w:val="22"/>
        </w:rPr>
        <w:t xml:space="preserve">(b)	</w:t>
      </w:r>
      <w:r>
        <w:rPr>
          <w:rFonts w:ascii="Calibri" w:cs="Calibri" w:eastAsia="Calibri" w:hAnsi="Calibri"/>
          <w:sz w:val="22"/>
          <w:szCs w:val="22"/>
        </w:rPr>
        <w:t xml:space="preserve">ensure the Platform, when Accepted, materially conforms to Schedule A and Schedule E;</w:t>
      </w:r>
    </w:p>
    <w:p>
      <w:pPr>
        <w:tabs>
          <w:tab w:val="left" w:pos="1440"/>
        </w:tabs>
        <w:spacing w:after="80" w:line="276"/>
        <w:ind w:left="1440" w:hanging="540"/>
      </w:pPr>
      <w:r>
        <w:rPr>
          <w:rFonts w:ascii="Calibri" w:cs="Calibri" w:eastAsia="Calibri" w:hAnsi="Calibri"/>
          <w:sz w:val="22"/>
          <w:szCs w:val="22"/>
        </w:rPr>
        <w:t xml:space="preserve">(c)	</w:t>
      </w:r>
      <w:r>
        <w:rPr>
          <w:rFonts w:ascii="Calibri" w:cs="Calibri" w:eastAsia="Calibri" w:hAnsi="Calibri"/>
          <w:sz w:val="22"/>
          <w:szCs w:val="22"/>
        </w:rPr>
        <w:t xml:space="preserve">commit all Source Code to the Client-owned repository under clause 11 no less than daily during the remaining work;</w:t>
      </w:r>
    </w:p>
    <w:p>
      <w:pPr>
        <w:tabs>
          <w:tab w:val="left" w:pos="1440"/>
        </w:tabs>
        <w:spacing w:after="80" w:line="276"/>
        <w:ind w:left="1440" w:hanging="540"/>
      </w:pPr>
      <w:r>
        <w:rPr>
          <w:rFonts w:ascii="Calibri" w:cs="Calibri" w:eastAsia="Calibri" w:hAnsi="Calibri"/>
          <w:sz w:val="22"/>
          <w:szCs w:val="22"/>
        </w:rPr>
        <w:t xml:space="preserve">(d)	</w:t>
      </w:r>
      <w:r>
        <w:rPr>
          <w:rFonts w:ascii="Calibri" w:cs="Calibri" w:eastAsia="Calibri" w:hAnsi="Calibri"/>
          <w:sz w:val="22"/>
          <w:szCs w:val="22"/>
        </w:rPr>
        <w:t xml:space="preserve">not introduce any code, dependency or service that has not been declared in Schedule G without the Client’s prior written consent;</w:t>
      </w:r>
    </w:p>
    <w:p>
      <w:pPr>
        <w:tabs>
          <w:tab w:val="left" w:pos="1440"/>
        </w:tabs>
        <w:spacing w:after="80" w:line="276"/>
        <w:ind w:left="1440" w:hanging="540"/>
      </w:pPr>
      <w:r>
        <w:rPr>
          <w:rFonts w:ascii="Calibri" w:cs="Calibri" w:eastAsia="Calibri" w:hAnsi="Calibri"/>
          <w:sz w:val="22"/>
          <w:szCs w:val="22"/>
        </w:rPr>
        <w:t xml:space="preserve">(e)	</w:t>
      </w:r>
      <w:r>
        <w:rPr>
          <w:rFonts w:ascii="Calibri" w:cs="Calibri" w:eastAsia="Calibri" w:hAnsi="Calibri"/>
          <w:sz w:val="22"/>
          <w:szCs w:val="22"/>
        </w:rPr>
        <w:t xml:space="preserve">co-operate with the Client’s UAT and remedy Defects in accordance with clause 7;</w:t>
      </w:r>
    </w:p>
    <w:p>
      <w:pPr>
        <w:tabs>
          <w:tab w:val="left" w:pos="1440"/>
        </w:tabs>
        <w:spacing w:after="80" w:line="276"/>
        <w:ind w:left="1440" w:hanging="540"/>
      </w:pPr>
      <w:r>
        <w:rPr>
          <w:rFonts w:ascii="Calibri" w:cs="Calibri" w:eastAsia="Calibri" w:hAnsi="Calibri"/>
          <w:sz w:val="22"/>
          <w:szCs w:val="22"/>
        </w:rPr>
        <w:t xml:space="preserve">(f)	</w:t>
      </w:r>
      <w:r>
        <w:rPr>
          <w:rFonts w:ascii="Calibri" w:cs="Calibri" w:eastAsia="Calibri" w:hAnsi="Calibri"/>
          <w:sz w:val="22"/>
          <w:szCs w:val="22"/>
        </w:rPr>
        <w:t xml:space="preserve">comply with the Client’s reasonable security and data-handling instructions; and</w:t>
      </w:r>
    </w:p>
    <w:p>
      <w:pPr>
        <w:tabs>
          <w:tab w:val="left" w:pos="1440"/>
        </w:tabs>
        <w:spacing w:after="80" w:line="276"/>
        <w:ind w:left="1440" w:hanging="540"/>
      </w:pPr>
      <w:r>
        <w:rPr>
          <w:rFonts w:ascii="Calibri" w:cs="Calibri" w:eastAsia="Calibri" w:hAnsi="Calibri"/>
          <w:sz w:val="22"/>
          <w:szCs w:val="22"/>
        </w:rPr>
        <w:t xml:space="preserve">(g)	</w:t>
      </w:r>
      <w:r>
        <w:rPr>
          <w:rFonts w:ascii="Calibri" w:cs="Calibri" w:eastAsia="Calibri" w:hAnsi="Calibri"/>
          <w:sz w:val="22"/>
          <w:szCs w:val="22"/>
        </w:rPr>
        <w:t xml:space="preserve">keep the Client Representative informed of progress by written update at least twice per week until Handover Completion.</w:t>
      </w:r>
    </w:p>
    <w:p>
      <w:pPr>
        <w:pStyle w:val="Heading2"/>
        <w:keepNext/>
        <w:spacing w:after="120" w:before="240"/>
      </w:pPr>
      <w:r>
        <w:rPr>
          <w:rFonts w:ascii="Calibri" w:cs="Calibri" w:eastAsia="Calibri" w:hAnsi="Calibri"/>
          <w:b/>
          <w:bCs/>
          <w:color w:val="1F3A5F"/>
          <w:sz w:val="24"/>
          <w:szCs w:val="24"/>
        </w:rPr>
        <w:t xml:space="preserve">6. Client’s Obligations</w:t>
      </w:r>
    </w:p>
    <w:p>
      <w:pPr>
        <w:tabs>
          <w:tab w:val="left" w:pos="720"/>
        </w:tabs>
        <w:spacing w:after="120" w:line="276"/>
        <w:ind w:left="720" w:hanging="720"/>
      </w:pPr>
      <w:r>
        <w:rPr>
          <w:rFonts w:ascii="Calibri" w:cs="Calibri" w:eastAsia="Calibri" w:hAnsi="Calibri"/>
          <w:b/>
          <w:bCs/>
          <w:sz w:val="22"/>
          <w:szCs w:val="22"/>
        </w:rPr>
        <w:t xml:space="preserve">6.1	</w:t>
      </w:r>
      <w:r>
        <w:rPr>
          <w:rFonts w:ascii="Calibri" w:cs="Calibri" w:eastAsia="Calibri" w:hAnsi="Calibri"/>
          <w:sz w:val="22"/>
          <w:szCs w:val="22"/>
        </w:rPr>
        <w:t xml:space="preserve">The Client shall:</w:t>
      </w:r>
    </w:p>
    <w:p>
      <w:pPr>
        <w:tabs>
          <w:tab w:val="left" w:pos="1440"/>
        </w:tabs>
        <w:spacing w:after="80" w:line="276"/>
        <w:ind w:left="1440" w:hanging="540"/>
      </w:pPr>
      <w:r>
        <w:rPr>
          <w:rFonts w:ascii="Calibri" w:cs="Calibri" w:eastAsia="Calibri" w:hAnsi="Calibri"/>
          <w:sz w:val="22"/>
          <w:szCs w:val="22"/>
        </w:rPr>
        <w:t xml:space="preserve">(a)	</w:t>
      </w:r>
      <w:r>
        <w:rPr>
          <w:rFonts w:ascii="Calibri" w:cs="Calibri" w:eastAsia="Calibri" w:hAnsi="Calibri"/>
          <w:sz w:val="22"/>
          <w:szCs w:val="22"/>
        </w:rPr>
        <w:t xml:space="preserve">provide timely access to personnel, sample data, and business information reasonably required for UAT;</w:t>
      </w:r>
    </w:p>
    <w:p>
      <w:pPr>
        <w:tabs>
          <w:tab w:val="left" w:pos="1440"/>
        </w:tabs>
        <w:spacing w:after="80" w:line="276"/>
        <w:ind w:left="1440" w:hanging="540"/>
      </w:pPr>
      <w:r>
        <w:rPr>
          <w:rFonts w:ascii="Calibri" w:cs="Calibri" w:eastAsia="Calibri" w:hAnsi="Calibri"/>
          <w:sz w:val="22"/>
          <w:szCs w:val="22"/>
        </w:rPr>
        <w:t xml:space="preserve">(b)	</w:t>
      </w:r>
      <w:r>
        <w:rPr>
          <w:rFonts w:ascii="Calibri" w:cs="Calibri" w:eastAsia="Calibri" w:hAnsi="Calibri"/>
          <w:sz w:val="22"/>
          <w:szCs w:val="22"/>
        </w:rPr>
        <w:t xml:space="preserve">create, own and pay for the production accounts listed in Schedule D by the dates stated therein;</w:t>
      </w:r>
    </w:p>
    <w:p>
      <w:pPr>
        <w:tabs>
          <w:tab w:val="left" w:pos="1440"/>
        </w:tabs>
        <w:spacing w:after="80" w:line="276"/>
        <w:ind w:left="1440" w:hanging="540"/>
      </w:pPr>
      <w:r>
        <w:rPr>
          <w:rFonts w:ascii="Calibri" w:cs="Calibri" w:eastAsia="Calibri" w:hAnsi="Calibri"/>
          <w:sz w:val="22"/>
          <w:szCs w:val="22"/>
        </w:rPr>
        <w:t xml:space="preserve">(c)	</w:t>
      </w:r>
      <w:r>
        <w:rPr>
          <w:rFonts w:ascii="Calibri" w:cs="Calibri" w:eastAsia="Calibri" w:hAnsi="Calibri"/>
          <w:sz w:val="22"/>
          <w:szCs w:val="22"/>
        </w:rPr>
        <w:t xml:space="preserve">complete UAT and deliver a consolidated written Defect list within five (5) Business Days of each UAT delivery;</w:t>
      </w:r>
    </w:p>
    <w:p>
      <w:pPr>
        <w:tabs>
          <w:tab w:val="left" w:pos="1440"/>
        </w:tabs>
        <w:spacing w:after="80" w:line="276"/>
        <w:ind w:left="1440" w:hanging="540"/>
      </w:pPr>
      <w:r>
        <w:rPr>
          <w:rFonts w:ascii="Calibri" w:cs="Calibri" w:eastAsia="Calibri" w:hAnsi="Calibri"/>
          <w:sz w:val="22"/>
          <w:szCs w:val="22"/>
        </w:rPr>
        <w:t xml:space="preserve">(d)	</w:t>
      </w:r>
      <w:r>
        <w:rPr>
          <w:rFonts w:ascii="Calibri" w:cs="Calibri" w:eastAsia="Calibri" w:hAnsi="Calibri"/>
          <w:sz w:val="22"/>
          <w:szCs w:val="22"/>
        </w:rPr>
        <w:t xml:space="preserve">pay undisputed invoices in accordance with clause 8; and</w:t>
      </w:r>
    </w:p>
    <w:p>
      <w:pPr>
        <w:tabs>
          <w:tab w:val="left" w:pos="1440"/>
        </w:tabs>
        <w:spacing w:after="80" w:line="276"/>
        <w:ind w:left="1440" w:hanging="540"/>
      </w:pPr>
      <w:r>
        <w:rPr>
          <w:rFonts w:ascii="Calibri" w:cs="Calibri" w:eastAsia="Calibri" w:hAnsi="Calibri"/>
          <w:sz w:val="22"/>
          <w:szCs w:val="22"/>
        </w:rPr>
        <w:t xml:space="preserve">(e)	</w:t>
      </w:r>
      <w:r>
        <w:rPr>
          <w:rFonts w:ascii="Calibri" w:cs="Calibri" w:eastAsia="Calibri" w:hAnsi="Calibri"/>
          <w:sz w:val="22"/>
          <w:szCs w:val="22"/>
        </w:rPr>
        <w:t xml:space="preserve">nominate the Client Representative with authority to grant Acceptance.</w:t>
      </w:r>
    </w:p>
    <w:p>
      <w:pPr>
        <w:tabs>
          <w:tab w:val="left" w:pos="720"/>
        </w:tabs>
        <w:spacing w:after="120" w:line="276"/>
        <w:ind w:left="720" w:hanging="720"/>
      </w:pPr>
      <w:r>
        <w:rPr>
          <w:rFonts w:ascii="Calibri" w:cs="Calibri" w:eastAsia="Calibri" w:hAnsi="Calibri"/>
          <w:b/>
          <w:bCs/>
          <w:sz w:val="22"/>
          <w:szCs w:val="22"/>
        </w:rPr>
        <w:t xml:space="preserve">6.2	</w:t>
      </w:r>
      <w:r>
        <w:rPr>
          <w:rFonts w:ascii="Calibri" w:cs="Calibri" w:eastAsia="Calibri" w:hAnsi="Calibri"/>
          <w:sz w:val="22"/>
          <w:szCs w:val="22"/>
        </w:rPr>
        <w:t xml:space="preserve">Where the Client’s delay in performing an obligation in clause 6.1 directly delays a Milestone, the dates in Schedule B shall be extended by an equivalent period and the Developers shall not be in breach for that delay.</w:t>
      </w:r>
    </w:p>
    <w:p>
      <w:pPr>
        <w:pStyle w:val="Heading2"/>
        <w:keepNext/>
        <w:spacing w:after="120" w:before="240"/>
      </w:pPr>
      <w:r>
        <w:rPr>
          <w:rFonts w:ascii="Calibri" w:cs="Calibri" w:eastAsia="Calibri" w:hAnsi="Calibri"/>
          <w:b/>
          <w:bCs/>
          <w:color w:val="1F3A5F"/>
          <w:sz w:val="24"/>
          <w:szCs w:val="24"/>
        </w:rPr>
        <w:t xml:space="preserve">7. Testing and Acceptance</w:t>
      </w:r>
    </w:p>
    <w:p>
      <w:pPr>
        <w:tabs>
          <w:tab w:val="left" w:pos="720"/>
        </w:tabs>
        <w:spacing w:after="120" w:line="276"/>
        <w:ind w:left="720" w:hanging="720"/>
      </w:pPr>
      <w:r>
        <w:rPr>
          <w:rFonts w:ascii="Calibri" w:cs="Calibri" w:eastAsia="Calibri" w:hAnsi="Calibri"/>
          <w:b/>
          <w:bCs/>
          <w:sz w:val="22"/>
          <w:szCs w:val="22"/>
        </w:rPr>
        <w:t xml:space="preserve">7.1	</w:t>
      </w:r>
      <w:r>
        <w:rPr>
          <w:rFonts w:ascii="Calibri" w:cs="Calibri" w:eastAsia="Calibri" w:hAnsi="Calibri"/>
          <w:sz w:val="22"/>
          <w:szCs w:val="22"/>
        </w:rPr>
        <w:t xml:space="preserve">The Developers shall deliver the stabilised Platform on the staging environment for UAT at the start of Week 1 (Schedule B). UAT shall be conducted against the Acceptance Criteria in Schedule E and the feature inventory in Schedule A.</w:t>
      </w:r>
    </w:p>
    <w:p>
      <w:pPr>
        <w:tabs>
          <w:tab w:val="left" w:pos="720"/>
        </w:tabs>
        <w:spacing w:after="120" w:line="276"/>
        <w:ind w:left="720" w:hanging="720"/>
      </w:pPr>
      <w:r>
        <w:rPr>
          <w:rFonts w:ascii="Calibri" w:cs="Calibri" w:eastAsia="Calibri" w:hAnsi="Calibri"/>
          <w:b/>
          <w:bCs/>
          <w:sz w:val="22"/>
          <w:szCs w:val="22"/>
        </w:rPr>
        <w:t xml:space="preserve">7.2	</w:t>
      </w:r>
      <w:r>
        <w:rPr>
          <w:rFonts w:ascii="Calibri" w:cs="Calibri" w:eastAsia="Calibri" w:hAnsi="Calibri"/>
          <w:sz w:val="22"/>
          <w:szCs w:val="22"/>
        </w:rPr>
        <w:t xml:space="preserve">Defects identified during UAT shall be classified as follows: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9"/>
        <w:gridCol w:w="7839"/>
      </w:tblGrid>
      <w:tr>
        <w:trPr>
          <w:tblHeader/>
        </w:trPr>
        <w:tc>
          <w:tcPr>
            <w:tcW w:type="dxa" w:w="1809"/>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Severity</w:t>
            </w:r>
          </w:p>
        </w:tc>
        <w:tc>
          <w:tcPr>
            <w:tcW w:type="dxa" w:w="7839"/>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Definition</w:t>
            </w:r>
          </w:p>
        </w:tc>
      </w:tr>
      <w:tr>
        <w:trPr>
          <w:cantSplit/>
        </w:trPr>
        <w:tc>
          <w:tcPr>
            <w:tcW w:type="dxa" w:w="180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Critical</w:t>
            </w:r>
          </w:p>
        </w:tc>
        <w:tc>
          <w:tcPr>
            <w:tcW w:type="dxa" w:w="783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Platform or a core module (Live Dispatch, Driver App, Customer Portal, Invoicing, Settlements) is unusable, data is lost or corrupted, or a security vulnerability exposes Client Data.</w:t>
            </w:r>
          </w:p>
        </w:tc>
      </w:tr>
      <w:tr>
        <w:trPr>
          <w:cantSplit/>
        </w:trPr>
        <w:tc>
          <w:tcPr>
            <w:tcW w:type="dxa" w:w="180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Major</w:t>
            </w:r>
          </w:p>
        </w:tc>
        <w:tc>
          <w:tcPr>
            <w:tcW w:type="dxa" w:w="783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 Schedule A feature does not work as described and no reasonable workaround exists.</w:t>
            </w:r>
          </w:p>
        </w:tc>
      </w:tr>
      <w:tr>
        <w:trPr>
          <w:cantSplit/>
        </w:trPr>
        <w:tc>
          <w:tcPr>
            <w:tcW w:type="dxa" w:w="180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Minor</w:t>
            </w:r>
          </w:p>
        </w:tc>
        <w:tc>
          <w:tcPr>
            <w:tcW w:type="dxa" w:w="783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 feature works with a workaround, or the issue is cosmetic, textual or affects a non-core path.</w:t>
            </w:r>
          </w:p>
        </w:tc>
      </w:tr>
    </w:tbl>
    <w:p>
      <w:pPr>
        <w:spacing w:after="120"/>
      </w:pPr>
    </w:p>
    <w:p>
      <w:pPr>
        <w:tabs>
          <w:tab w:val="left" w:pos="720"/>
        </w:tabs>
        <w:spacing w:after="120" w:line="276"/>
        <w:ind w:left="720" w:hanging="720"/>
      </w:pPr>
      <w:r>
        <w:rPr>
          <w:rFonts w:ascii="Calibri" w:cs="Calibri" w:eastAsia="Calibri" w:hAnsi="Calibri"/>
          <w:b/>
          <w:bCs/>
          <w:sz w:val="22"/>
          <w:szCs w:val="22"/>
        </w:rPr>
        <w:t xml:space="preserve">7.3	</w:t>
      </w:r>
      <w:r>
        <w:rPr>
          <w:rFonts w:ascii="Calibri" w:cs="Calibri" w:eastAsia="Calibri" w:hAnsi="Calibri"/>
          <w:sz w:val="22"/>
          <w:szCs w:val="22"/>
        </w:rPr>
        <w:t xml:space="preserve">The Developers shall remedy all Critical and Major Defects before Go-Live at no additional charge. Minor Defects shall be remedied before Handover Completion or, by written agreement, logged for post-Go-Live resolution under clause 17.</w:t>
      </w:r>
    </w:p>
    <w:p>
      <w:pPr>
        <w:tabs>
          <w:tab w:val="left" w:pos="720"/>
        </w:tabs>
        <w:spacing w:after="120" w:line="276"/>
        <w:ind w:left="720" w:hanging="720"/>
      </w:pPr>
      <w:r>
        <w:rPr>
          <w:rFonts w:ascii="Calibri" w:cs="Calibri" w:eastAsia="Calibri" w:hAnsi="Calibri"/>
          <w:b/>
          <w:bCs/>
          <w:sz w:val="22"/>
          <w:szCs w:val="22"/>
        </w:rPr>
        <w:t xml:space="preserve">7.4	</w:t>
      </w:r>
      <w:r>
        <w:rPr>
          <w:rFonts w:ascii="Calibri" w:cs="Calibri" w:eastAsia="Calibri" w:hAnsi="Calibri"/>
          <w:sz w:val="22"/>
          <w:szCs w:val="22"/>
        </w:rPr>
        <w:t xml:space="preserve">Acceptance of a Milestone shall be granted when there are no open Critical or Major Defects against that Milestone and the applicable Schedule E tests pass. Acceptance shall not be unreasonably withheld or delayed.</w:t>
      </w:r>
    </w:p>
    <w:p>
      <w:pPr>
        <w:tabs>
          <w:tab w:val="left" w:pos="720"/>
        </w:tabs>
        <w:spacing w:after="120" w:line="276"/>
        <w:ind w:left="720" w:hanging="720"/>
      </w:pPr>
      <w:r>
        <w:rPr>
          <w:rFonts w:ascii="Calibri" w:cs="Calibri" w:eastAsia="Calibri" w:hAnsi="Calibri"/>
          <w:b/>
          <w:bCs/>
          <w:sz w:val="22"/>
          <w:szCs w:val="22"/>
        </w:rPr>
        <w:t xml:space="preserve">7.5	</w:t>
      </w:r>
      <w:r>
        <w:rPr>
          <w:rFonts w:ascii="Calibri" w:cs="Calibri" w:eastAsia="Calibri" w:hAnsi="Calibri"/>
          <w:sz w:val="22"/>
          <w:szCs w:val="22"/>
        </w:rPr>
        <w:t xml:space="preserve">If the Client neither grants Acceptance nor delivers a written Defect list within ten (10) Business Days of a UAT delivery, the Milestone shall be deemed Accepted (“Deemed Acceptance”).</w:t>
      </w:r>
    </w:p>
    <w:p>
      <w:pPr>
        <w:tabs>
          <w:tab w:val="left" w:pos="720"/>
        </w:tabs>
        <w:spacing w:after="120" w:line="276"/>
        <w:ind w:left="720" w:hanging="720"/>
      </w:pPr>
      <w:r>
        <w:rPr>
          <w:rFonts w:ascii="Calibri" w:cs="Calibri" w:eastAsia="Calibri" w:hAnsi="Calibri"/>
          <w:b/>
          <w:bCs/>
          <w:sz w:val="22"/>
          <w:szCs w:val="22"/>
        </w:rPr>
        <w:t xml:space="preserve">7.6	</w:t>
      </w:r>
      <w:r>
        <w:rPr>
          <w:rFonts w:ascii="Calibri" w:cs="Calibri" w:eastAsia="Calibri" w:hAnsi="Calibri"/>
          <w:sz w:val="22"/>
          <w:szCs w:val="22"/>
        </w:rPr>
        <w:t xml:space="preserve">Acceptance does not relieve the Developers of their obligations under clause 15 (Warranty) in respect of latent Defects.</w:t>
      </w:r>
    </w:p>
    <w:p>
      <w:pPr>
        <w:pStyle w:val="Heading1"/>
        <w:keepNext/>
        <w:spacing w:after="160" w:before="360"/>
      </w:pPr>
      <w:r>
        <w:rPr>
          <w:rFonts w:ascii="Calibri" w:cs="Calibri" w:eastAsia="Calibri" w:hAnsi="Calibri"/>
          <w:b/>
          <w:bCs/>
          <w:color w:val="1F3A5F"/>
          <w:sz w:val="28"/>
          <w:szCs w:val="28"/>
        </w:rPr>
        <w:t xml:space="preserve">Part 3 — Fees and Payment</w:t>
      </w:r>
    </w:p>
    <w:p>
      <w:pPr>
        <w:pStyle w:val="Heading2"/>
        <w:keepNext/>
        <w:spacing w:after="120" w:before="240"/>
      </w:pPr>
      <w:r>
        <w:rPr>
          <w:rFonts w:ascii="Calibri" w:cs="Calibri" w:eastAsia="Calibri" w:hAnsi="Calibri"/>
          <w:b/>
          <w:bCs/>
          <w:color w:val="1F3A5F"/>
          <w:sz w:val="24"/>
          <w:szCs w:val="24"/>
        </w:rPr>
        <w:t xml:space="preserve">8. Fees, Milestones and Payment Terms</w:t>
      </w:r>
    </w:p>
    <w:p>
      <w:pPr>
        <w:tabs>
          <w:tab w:val="left" w:pos="720"/>
        </w:tabs>
        <w:spacing w:after="120" w:line="276"/>
        <w:ind w:left="720" w:hanging="720"/>
      </w:pPr>
      <w:r>
        <w:rPr>
          <w:rFonts w:ascii="Calibri" w:cs="Calibri" w:eastAsia="Calibri" w:hAnsi="Calibri"/>
          <w:b/>
          <w:bCs/>
          <w:sz w:val="22"/>
          <w:szCs w:val="22"/>
        </w:rPr>
        <w:t xml:space="preserve">8.1	</w:t>
      </w:r>
      <w:r>
        <w:rPr>
          <w:rFonts w:ascii="Calibri" w:cs="Calibri" w:eastAsia="Calibri" w:hAnsi="Calibri"/>
          <w:sz w:val="22"/>
          <w:szCs w:val="22"/>
        </w:rPr>
        <w:t xml:space="preserve">The total fixed fee for the build phase is </w:t>
      </w:r>
      <w:r>
        <w:rPr>
          <w:rFonts w:ascii="Calibri" w:cs="Calibri" w:eastAsia="Calibri" w:hAnsi="Calibri"/>
          <w:b/>
          <w:bCs/>
          <w:sz w:val="22"/>
          <w:szCs w:val="22"/>
          <w:highlight w:val="yellow"/>
          <w:highlightCs w:val="yellow"/>
        </w:rPr>
        <w:t xml:space="preserve">CAD [_____________]</w:t>
      </w:r>
      <w:r>
        <w:rPr>
          <w:rFonts w:ascii="Calibri" w:cs="Calibri" w:eastAsia="Calibri" w:hAnsi="Calibri"/>
          <w:sz w:val="22"/>
          <w:szCs w:val="22"/>
        </w:rPr>
        <w:t xml:space="preserve"> (the “Fees”), payable in Canadian dollars in the Milestone instalments set out in Schedule C. The Fees are inclusive of all costs, expenses and taxes payable by the Developers except as stated in clause 8.7.</w:t>
      </w:r>
    </w:p>
    <w:p>
      <w:pPr>
        <w:tabs>
          <w:tab w:val="left" w:pos="720"/>
        </w:tabs>
        <w:spacing w:after="120" w:line="276"/>
        <w:ind w:left="720" w:hanging="720"/>
      </w:pPr>
      <w:r>
        <w:rPr>
          <w:rFonts w:ascii="Calibri" w:cs="Calibri" w:eastAsia="Calibri" w:hAnsi="Calibri"/>
          <w:b/>
          <w:bCs/>
          <w:sz w:val="22"/>
          <w:szCs w:val="22"/>
        </w:rPr>
        <w:t xml:space="preserve">8.2	</w:t>
      </w:r>
      <w:r>
        <w:rPr>
          <w:rFonts w:ascii="Calibri" w:cs="Calibri" w:eastAsia="Calibri" w:hAnsi="Calibri"/>
          <w:sz w:val="22"/>
          <w:szCs w:val="22"/>
        </w:rPr>
        <w:t xml:space="preserve">The Parties acknowledge that Milestones 1 and 2 (30% of the Fees in aggregate) have been invoiced and paid prior to the Effective Date, and that no further sums are due in respect of them.</w:t>
      </w:r>
    </w:p>
    <w:p>
      <w:pPr>
        <w:tabs>
          <w:tab w:val="left" w:pos="720"/>
        </w:tabs>
        <w:spacing w:after="120" w:line="276"/>
        <w:ind w:left="720" w:hanging="720"/>
      </w:pPr>
      <w:r>
        <w:rPr>
          <w:rFonts w:ascii="Calibri" w:cs="Calibri" w:eastAsia="Calibri" w:hAnsi="Calibri"/>
          <w:b/>
          <w:bCs/>
          <w:sz w:val="22"/>
          <w:szCs w:val="22"/>
        </w:rPr>
        <w:t xml:space="preserve">8.3	</w:t>
      </w:r>
      <w:r>
        <w:rPr>
          <w:rFonts w:ascii="Calibri" w:cs="Calibri" w:eastAsia="Calibri" w:hAnsi="Calibri"/>
          <w:sz w:val="22"/>
          <w:szCs w:val="22"/>
        </w:rPr>
        <w:t xml:space="preserve">The remaining 70% of the Fees is payable as follows: 25% on Acceptance of Milestone 3; 25% on Acceptance of Milestone 4 (Go-Live); and the final 20% on Handover Completion, each as defined in Schedule C.</w:t>
      </w:r>
    </w:p>
    <w:p>
      <w:pPr>
        <w:tabs>
          <w:tab w:val="left" w:pos="720"/>
        </w:tabs>
        <w:spacing w:after="120" w:line="276"/>
        <w:ind w:left="720" w:hanging="720"/>
      </w:pPr>
      <w:r>
        <w:rPr>
          <w:rFonts w:ascii="Calibri" w:cs="Calibri" w:eastAsia="Calibri" w:hAnsi="Calibri"/>
          <w:b/>
          <w:bCs/>
          <w:sz w:val="22"/>
          <w:szCs w:val="22"/>
        </w:rPr>
        <w:t xml:space="preserve">8.4	</w:t>
      </w:r>
      <w:r>
        <w:rPr>
          <w:rFonts w:ascii="Calibri" w:cs="Calibri" w:eastAsia="Calibri" w:hAnsi="Calibri"/>
          <w:sz w:val="22"/>
          <w:szCs w:val="22"/>
        </w:rPr>
        <w:t xml:space="preserve">The Developers shall issue a single joint invoice for each Milestone upon Acceptance. The Client shall pay each undisputed invoice within ten (10) Business Days of receipt. If the Client disputes any part of an invoice in good faith it shall notify the Developers in writing within five (5) Business Days, pay the undisputed portion, and the Parties shall resolve the dispute under clause 23.</w:t>
      </w:r>
    </w:p>
    <w:p>
      <w:pPr>
        <w:tabs>
          <w:tab w:val="left" w:pos="720"/>
        </w:tabs>
        <w:spacing w:after="120" w:line="276"/>
        <w:ind w:left="720" w:hanging="720"/>
      </w:pPr>
      <w:r>
        <w:rPr>
          <w:rFonts w:ascii="Calibri" w:cs="Calibri" w:eastAsia="Calibri" w:hAnsi="Calibri"/>
          <w:b/>
          <w:bCs/>
          <w:sz w:val="22"/>
          <w:szCs w:val="22"/>
        </w:rPr>
        <w:t xml:space="preserve">8.5	</w:t>
      </w:r>
      <w:r>
        <w:rPr>
          <w:rFonts w:ascii="Calibri" w:cs="Calibri" w:eastAsia="Calibri" w:hAnsi="Calibri"/>
          <w:b/>
          <w:bCs/>
          <w:sz w:val="22"/>
          <w:szCs w:val="22"/>
        </w:rPr>
        <w:t xml:space="preserve">Bank-detail verification. </w:t>
      </w:r>
      <w:r>
        <w:rPr>
          <w:rFonts w:ascii="Calibri" w:cs="Calibri" w:eastAsia="Calibri" w:hAnsi="Calibri"/>
          <w:sz w:val="22"/>
          <w:szCs w:val="22"/>
        </w:rPr>
        <w:t xml:space="preserve">The Developers’ bank details shall be stated on the formal invoice and shall be verified by the Client by telephone call to a number independently known to the Client before the first payment under this MOU. The Developers confirm that their bank details will not be changed by email at any point during this engagement, and the Client shall treat any emailed request to change bank details as fraudulent unless and until verified by telephone in the same manner.</w:t>
      </w:r>
    </w:p>
    <w:p>
      <w:pPr>
        <w:tabs>
          <w:tab w:val="left" w:pos="720"/>
        </w:tabs>
        <w:spacing w:after="120" w:line="276"/>
        <w:ind w:left="720" w:hanging="720"/>
      </w:pPr>
      <w:r>
        <w:rPr>
          <w:rFonts w:ascii="Calibri" w:cs="Calibri" w:eastAsia="Calibri" w:hAnsi="Calibri"/>
          <w:b/>
          <w:bCs/>
          <w:sz w:val="22"/>
          <w:szCs w:val="22"/>
        </w:rPr>
        <w:t xml:space="preserve">8.6	</w:t>
      </w:r>
      <w:r>
        <w:rPr>
          <w:rFonts w:ascii="Calibri" w:cs="Calibri" w:eastAsia="Calibri" w:hAnsi="Calibri"/>
          <w:sz w:val="22"/>
          <w:szCs w:val="22"/>
        </w:rPr>
        <w:t xml:space="preserve">The final 20% Milestone payment is a distinct commercial payment for the freelance build phase. It is separate from, and shall not be set off against or reduced by, any remuneration payable under the employment agreements contemplated in clause 17.</w:t>
      </w:r>
    </w:p>
    <w:p>
      <w:pPr>
        <w:tabs>
          <w:tab w:val="left" w:pos="720"/>
        </w:tabs>
        <w:spacing w:after="120" w:line="276"/>
        <w:ind w:left="720" w:hanging="720"/>
      </w:pPr>
      <w:r>
        <w:rPr>
          <w:rFonts w:ascii="Calibri" w:cs="Calibri" w:eastAsia="Calibri" w:hAnsi="Calibri"/>
          <w:b/>
          <w:bCs/>
          <w:sz w:val="22"/>
          <w:szCs w:val="22"/>
        </w:rPr>
        <w:t xml:space="preserve">8.7	</w:t>
      </w:r>
      <w:r>
        <w:rPr>
          <w:rFonts w:ascii="Calibri" w:cs="Calibri" w:eastAsia="Calibri" w:hAnsi="Calibri"/>
          <w:sz w:val="22"/>
          <w:szCs w:val="22"/>
        </w:rPr>
        <w:t xml:space="preserve">Third-party hosting, API and subscription charges for the services in Schedule D are the Client’s responsibility from the date each account is transferred to or created in the Client’s name. Any such charges incurred by the Developers prior to transfer are included in the Fees unless otherwise agreed in writing.</w:t>
      </w:r>
    </w:p>
    <w:p>
      <w:pPr>
        <w:tabs>
          <w:tab w:val="left" w:pos="720"/>
        </w:tabs>
        <w:spacing w:after="120" w:line="276"/>
        <w:ind w:left="720" w:hanging="720"/>
      </w:pPr>
      <w:r>
        <w:rPr>
          <w:rFonts w:ascii="Calibri" w:cs="Calibri" w:eastAsia="Calibri" w:hAnsi="Calibri"/>
          <w:b/>
          <w:bCs/>
          <w:sz w:val="22"/>
          <w:szCs w:val="22"/>
        </w:rPr>
        <w:t xml:space="preserve">8.8	</w:t>
      </w:r>
      <w:r>
        <w:rPr>
          <w:rFonts w:ascii="Calibri" w:cs="Calibri" w:eastAsia="Calibri" w:hAnsi="Calibri"/>
          <w:sz w:val="22"/>
          <w:szCs w:val="22"/>
        </w:rPr>
        <w:t xml:space="preserve">The Developers are responsible for their own income taxes and statutory contributions in their jurisdiction of residence. If the Client is required by law to withhold tax from any payment, it shall provide the Developers with evidence of the withholding.</w:t>
      </w:r>
    </w:p>
    <w:p>
      <w:pPr>
        <w:pStyle w:val="Heading1"/>
        <w:keepNext/>
        <w:spacing w:after="160" w:before="360"/>
      </w:pPr>
      <w:r>
        <w:rPr>
          <w:rFonts w:ascii="Calibri" w:cs="Calibri" w:eastAsia="Calibri" w:hAnsi="Calibri"/>
          <w:b/>
          <w:bCs/>
          <w:color w:val="1F3A5F"/>
          <w:sz w:val="28"/>
          <w:szCs w:val="28"/>
        </w:rPr>
        <w:t xml:space="preserve">Part 4 — Intellectual Property and Code Provenance</w:t>
      </w:r>
    </w:p>
    <w:p>
      <w:pPr>
        <w:pStyle w:val="Heading2"/>
        <w:keepNext/>
        <w:spacing w:after="120" w:before="240"/>
      </w:pPr>
      <w:r>
        <w:rPr>
          <w:rFonts w:ascii="Calibri" w:cs="Calibri" w:eastAsia="Calibri" w:hAnsi="Calibri"/>
          <w:b/>
          <w:bCs/>
          <w:color w:val="1F3A5F"/>
          <w:sz w:val="24"/>
          <w:szCs w:val="24"/>
        </w:rPr>
        <w:t xml:space="preserve">9. Assignment of Intellectual Property</w:t>
      </w:r>
    </w:p>
    <w:p>
      <w:pPr>
        <w:tabs>
          <w:tab w:val="left" w:pos="720"/>
        </w:tabs>
        <w:spacing w:after="120" w:line="276"/>
        <w:ind w:left="720" w:hanging="720"/>
      </w:pPr>
      <w:r>
        <w:rPr>
          <w:rFonts w:ascii="Calibri" w:cs="Calibri" w:eastAsia="Calibri" w:hAnsi="Calibri"/>
          <w:b/>
          <w:bCs/>
          <w:sz w:val="22"/>
          <w:szCs w:val="22"/>
        </w:rPr>
        <w:t xml:space="preserve">9.1	</w:t>
      </w:r>
      <w:r>
        <w:rPr>
          <w:rFonts w:ascii="Calibri" w:cs="Calibri" w:eastAsia="Calibri" w:hAnsi="Calibri"/>
          <w:sz w:val="22"/>
          <w:szCs w:val="22"/>
        </w:rPr>
        <w:t xml:space="preserve">The Developers hereby assign to the Client, with full title guarantee and by way of present assignment of present and future rights, all Intellectual Property Rights in the Deliverables, including all bespoke Source Code, database schemas, user-interface designs, documentation, AI prompts and configurations, and all Client Data, together with the right to sue for past infringement. The assignment of Source Code written after the Effective Date takes effect automatically on creation.</w:t>
      </w:r>
    </w:p>
    <w:p>
      <w:pPr>
        <w:tabs>
          <w:tab w:val="left" w:pos="720"/>
        </w:tabs>
        <w:spacing w:after="120" w:line="276"/>
        <w:ind w:left="720" w:hanging="720"/>
      </w:pPr>
      <w:r>
        <w:rPr>
          <w:rFonts w:ascii="Calibri" w:cs="Calibri" w:eastAsia="Calibri" w:hAnsi="Calibri"/>
          <w:b/>
          <w:bCs/>
          <w:sz w:val="22"/>
          <w:szCs w:val="22"/>
        </w:rPr>
        <w:t xml:space="preserve">9.2	</w:t>
      </w:r>
      <w:r>
        <w:rPr>
          <w:rFonts w:ascii="Calibri" w:cs="Calibri" w:eastAsia="Calibri" w:hAnsi="Calibri"/>
          <w:sz w:val="22"/>
          <w:szCs w:val="22"/>
        </w:rPr>
        <w:t xml:space="preserve">Legal title under clause 9.1 vests in the Client conditionally upon payment of the final Milestone under clause 8.3. Pending that payment the Client has an exclusive, irrevocable, royalty-free, worldwide licence to use, host, modify and operate the Deliverables for its business. On receipt of the final payment the assignment becomes absolute without further act. If this MOU is terminated for the Developers’ breach, the assignment becomes absolute in respect of all Deliverables paid for to the date of termination.</w:t>
      </w:r>
    </w:p>
    <w:p>
      <w:pPr>
        <w:tabs>
          <w:tab w:val="left" w:pos="720"/>
        </w:tabs>
        <w:spacing w:after="120" w:line="276"/>
        <w:ind w:left="720" w:hanging="720"/>
      </w:pPr>
      <w:r>
        <w:rPr>
          <w:rFonts w:ascii="Calibri" w:cs="Calibri" w:eastAsia="Calibri" w:hAnsi="Calibri"/>
          <w:b/>
          <w:bCs/>
          <w:sz w:val="22"/>
          <w:szCs w:val="22"/>
        </w:rPr>
        <w:t xml:space="preserve">9.3	</w:t>
      </w:r>
      <w:r>
        <w:rPr>
          <w:rFonts w:ascii="Calibri" w:cs="Calibri" w:eastAsia="Calibri" w:hAnsi="Calibri"/>
          <w:sz w:val="22"/>
          <w:szCs w:val="22"/>
        </w:rPr>
        <w:t xml:space="preserve">Each Developer irrevocably and unconditionally waives, and shall procure the waiver of, all moral rights in the Deliverables in favour of the Client, to the fullest extent permitted by law, including under the Copyright Act (Canada).</w:t>
      </w:r>
    </w:p>
    <w:p>
      <w:pPr>
        <w:tabs>
          <w:tab w:val="left" w:pos="720"/>
        </w:tabs>
        <w:spacing w:after="120" w:line="276"/>
        <w:ind w:left="720" w:hanging="720"/>
      </w:pPr>
      <w:r>
        <w:rPr>
          <w:rFonts w:ascii="Calibri" w:cs="Calibri" w:eastAsia="Calibri" w:hAnsi="Calibri"/>
          <w:b/>
          <w:bCs/>
          <w:sz w:val="22"/>
          <w:szCs w:val="22"/>
        </w:rPr>
        <w:t xml:space="preserve">9.4	</w:t>
      </w:r>
      <w:r>
        <w:rPr>
          <w:rFonts w:ascii="Calibri" w:cs="Calibri" w:eastAsia="Calibri" w:hAnsi="Calibri"/>
          <w:sz w:val="22"/>
          <w:szCs w:val="22"/>
        </w:rPr>
        <w:t xml:space="preserve">The Developers warrant that they are the sole authors and owners of all bespoke code in the Deliverables; that no employee, sub-contractor or other third party has contributed code without a written assignment in favour of the Developers (copies of which shall be provided to the Client on request); and that the Deliverables, excluding Open Source Components, do not infringe the Intellectual Property Rights of any third party.</w:t>
      </w:r>
    </w:p>
    <w:p>
      <w:pPr>
        <w:tabs>
          <w:tab w:val="left" w:pos="720"/>
        </w:tabs>
        <w:spacing w:after="120" w:line="276"/>
        <w:ind w:left="720" w:hanging="720"/>
      </w:pPr>
      <w:r>
        <w:rPr>
          <w:rFonts w:ascii="Calibri" w:cs="Calibri" w:eastAsia="Calibri" w:hAnsi="Calibri"/>
          <w:b/>
          <w:bCs/>
          <w:sz w:val="22"/>
          <w:szCs w:val="22"/>
        </w:rPr>
        <w:t xml:space="preserve">9.5	</w:t>
      </w:r>
      <w:r>
        <w:rPr>
          <w:rFonts w:ascii="Calibri" w:cs="Calibri" w:eastAsia="Calibri" w:hAnsi="Calibri"/>
          <w:sz w:val="22"/>
          <w:szCs w:val="22"/>
        </w:rPr>
        <w:t xml:space="preserve">The Developers shall, at the Client’s request and expense, execute all documents and do all acts reasonably required to perfect, register or enforce the Client’s rights under this clause 9.</w:t>
      </w:r>
    </w:p>
    <w:p>
      <w:pPr>
        <w:tabs>
          <w:tab w:val="left" w:pos="720"/>
        </w:tabs>
        <w:spacing w:after="120" w:line="276"/>
        <w:ind w:left="720" w:hanging="720"/>
      </w:pPr>
      <w:r>
        <w:rPr>
          <w:rFonts w:ascii="Calibri" w:cs="Calibri" w:eastAsia="Calibri" w:hAnsi="Calibri"/>
          <w:b/>
          <w:bCs/>
          <w:sz w:val="22"/>
          <w:szCs w:val="22"/>
        </w:rPr>
        <w:t xml:space="preserve">9.6	</w:t>
      </w:r>
      <w:r>
        <w:rPr>
          <w:rFonts w:ascii="Calibri" w:cs="Calibri" w:eastAsia="Calibri" w:hAnsi="Calibri"/>
          <w:sz w:val="22"/>
          <w:szCs w:val="22"/>
        </w:rPr>
        <w:t xml:space="preserve">The Developers shall not retain any copy of the bespoke Source Code or Client Data after Handover Completion, save as required in their capacity as employees under clause 17 and then only on Client-controlled systems.</w:t>
      </w:r>
    </w:p>
    <w:p>
      <w:pPr>
        <w:pStyle w:val="Heading2"/>
        <w:keepNext/>
        <w:spacing w:after="120" w:before="240"/>
      </w:pPr>
      <w:r>
        <w:rPr>
          <w:rFonts w:ascii="Calibri" w:cs="Calibri" w:eastAsia="Calibri" w:hAnsi="Calibri"/>
          <w:b/>
          <w:bCs/>
          <w:color w:val="1F3A5F"/>
          <w:sz w:val="24"/>
          <w:szCs w:val="24"/>
        </w:rPr>
        <w:t xml:space="preserve">10. Code Provenance, Open Source and AI-Generated Code</w:t>
      </w:r>
    </w:p>
    <w:p>
      <w:pPr>
        <w:tabs>
          <w:tab w:val="left" w:pos="720"/>
        </w:tabs>
        <w:spacing w:after="120" w:line="276"/>
        <w:ind w:left="720" w:hanging="720"/>
      </w:pPr>
      <w:r>
        <w:rPr>
          <w:rFonts w:ascii="Calibri" w:cs="Calibri" w:eastAsia="Calibri" w:hAnsi="Calibri"/>
          <w:b/>
          <w:bCs/>
          <w:sz w:val="22"/>
          <w:szCs w:val="22"/>
        </w:rPr>
        <w:t xml:space="preserve">10.1	</w:t>
      </w:r>
      <w:r>
        <w:rPr>
          <w:rFonts w:ascii="Calibri" w:cs="Calibri" w:eastAsia="Calibri" w:hAnsi="Calibri"/>
          <w:sz w:val="22"/>
          <w:szCs w:val="22"/>
        </w:rPr>
        <w:t xml:space="preserve">The Source Code falls into two categories: (a) bespoke project code written specifically for the Client, which is assigned under clause 9; and (b) Open Source Components, which are licensed to the Client under their respective licences listed in Schedule G.</w:t>
      </w:r>
    </w:p>
    <w:p>
      <w:pPr>
        <w:tabs>
          <w:tab w:val="left" w:pos="720"/>
        </w:tabs>
        <w:spacing w:after="120" w:line="276"/>
        <w:ind w:left="720" w:hanging="720"/>
      </w:pPr>
      <w:r>
        <w:rPr>
          <w:rFonts w:ascii="Calibri" w:cs="Calibri" w:eastAsia="Calibri" w:hAnsi="Calibri"/>
          <w:b/>
          <w:bCs/>
          <w:sz w:val="22"/>
          <w:szCs w:val="22"/>
        </w:rPr>
        <w:t xml:space="preserve">10.2	</w:t>
      </w:r>
      <w:r>
        <w:rPr>
          <w:rFonts w:ascii="Calibri" w:cs="Calibri" w:eastAsia="Calibri" w:hAnsi="Calibri"/>
          <w:sz w:val="22"/>
          <w:szCs w:val="22"/>
        </w:rPr>
        <w:t xml:space="preserve">The Developers warrant that every Open Source Component is used in compliance with its licence, that no component is licensed under terms that would require disclosure of the bespoke Source Code (for example GPL or AGPL) when the Platform is operated as a hosted service, and that a complete software bill of materials (SBOM) listing every third-party component, version and licence will be delivered at Handover Completion in accordance with Schedule F.</w:t>
      </w:r>
    </w:p>
    <w:p>
      <w:pPr>
        <w:tabs>
          <w:tab w:val="left" w:pos="720"/>
        </w:tabs>
        <w:spacing w:after="120" w:line="276"/>
        <w:ind w:left="720" w:hanging="720"/>
      </w:pPr>
      <w:r>
        <w:rPr>
          <w:rFonts w:ascii="Calibri" w:cs="Calibri" w:eastAsia="Calibri" w:hAnsi="Calibri"/>
          <w:b/>
          <w:bCs/>
          <w:sz w:val="22"/>
          <w:szCs w:val="22"/>
        </w:rPr>
        <w:t xml:space="preserve">10.3	</w:t>
      </w:r>
      <w:r>
        <w:rPr>
          <w:rFonts w:ascii="Calibri" w:cs="Calibri" w:eastAsia="Calibri" w:hAnsi="Calibri"/>
          <w:sz w:val="22"/>
          <w:szCs w:val="22"/>
        </w:rPr>
        <w:t xml:space="preserve">The Developers disclose that AI coding assistants (Google Gemini, Anthropic Claude and GitHub Copilot) were used for boilerplate generation, troubleshooting and code review as declared in Schedule G. The Developers warrant that all AI-assisted output was reviewed, tested and modified by the Developers before inclusion; that, per the applicable vendor terms, no vendor asserts ownership of such output; and that no Client Data or credentials were submitted to any AI service.</w:t>
      </w:r>
    </w:p>
    <w:p>
      <w:pPr>
        <w:tabs>
          <w:tab w:val="left" w:pos="720"/>
        </w:tabs>
        <w:spacing w:after="120" w:line="276"/>
        <w:ind w:left="720" w:hanging="720"/>
      </w:pPr>
      <w:r>
        <w:rPr>
          <w:rFonts w:ascii="Calibri" w:cs="Calibri" w:eastAsia="Calibri" w:hAnsi="Calibri"/>
          <w:b/>
          <w:bCs/>
          <w:sz w:val="22"/>
          <w:szCs w:val="22"/>
        </w:rPr>
        <w:t xml:space="preserve">10.4	</w:t>
      </w:r>
      <w:r>
        <w:rPr>
          <w:rFonts w:ascii="Calibri" w:cs="Calibri" w:eastAsia="Calibri" w:hAnsi="Calibri"/>
          <w:sz w:val="22"/>
          <w:szCs w:val="22"/>
        </w:rPr>
        <w:t xml:space="preserve">The Developers warrant that they have not built, are not building and will not build a comparable dispatch, fleet or driver-communication system for any other person using the bespoke elements of the Platform, and that the bespoke Deliverables will not be reused for any third party.</w:t>
      </w:r>
    </w:p>
    <w:p>
      <w:pPr>
        <w:tabs>
          <w:tab w:val="left" w:pos="720"/>
        </w:tabs>
        <w:spacing w:after="120" w:line="276"/>
        <w:ind w:left="720" w:hanging="720"/>
      </w:pPr>
      <w:r>
        <w:rPr>
          <w:rFonts w:ascii="Calibri" w:cs="Calibri" w:eastAsia="Calibri" w:hAnsi="Calibri"/>
          <w:b/>
          <w:bCs/>
          <w:sz w:val="22"/>
          <w:szCs w:val="22"/>
        </w:rPr>
        <w:t xml:space="preserve">10.5	</w:t>
      </w:r>
      <w:r>
        <w:rPr>
          <w:rFonts w:ascii="Calibri" w:cs="Calibri" w:eastAsia="Calibri" w:hAnsi="Calibri"/>
          <w:sz w:val="22"/>
          <w:szCs w:val="22"/>
        </w:rPr>
        <w:t xml:space="preserve">The Developers shall indemnify the Client against all losses, damages, costs and expenses (including reasonable legal fees) arising from any claim that the bespoke Deliverables infringe a third party’s Intellectual Property Rights, or from any breach of clause 10.2, subject to clause 20.</w:t>
      </w:r>
    </w:p>
    <w:p>
      <w:pPr>
        <w:pStyle w:val="Heading1"/>
        <w:keepNext/>
        <w:spacing w:after="160" w:before="360"/>
      </w:pPr>
      <w:r>
        <w:rPr>
          <w:rFonts w:ascii="Calibri" w:cs="Calibri" w:eastAsia="Calibri" w:hAnsi="Calibri"/>
          <w:b/>
          <w:bCs/>
          <w:color w:val="1F3A5F"/>
          <w:sz w:val="28"/>
          <w:szCs w:val="28"/>
        </w:rPr>
        <w:t xml:space="preserve">Part 5 — Handover, Documentation and Security</w:t>
      </w:r>
    </w:p>
    <w:p>
      <w:pPr>
        <w:pStyle w:val="Heading2"/>
        <w:keepNext/>
        <w:spacing w:after="120" w:before="240"/>
      </w:pPr>
      <w:r>
        <w:rPr>
          <w:rFonts w:ascii="Calibri" w:cs="Calibri" w:eastAsia="Calibri" w:hAnsi="Calibri"/>
          <w:b/>
          <w:bCs/>
          <w:color w:val="1F3A5F"/>
          <w:sz w:val="24"/>
          <w:szCs w:val="24"/>
        </w:rPr>
        <w:t xml:space="preserve">11. Source Code Repository Transfer</w:t>
      </w:r>
    </w:p>
    <w:p>
      <w:pPr>
        <w:tabs>
          <w:tab w:val="left" w:pos="720"/>
        </w:tabs>
        <w:spacing w:after="120" w:line="276"/>
        <w:ind w:left="720" w:hanging="720"/>
      </w:pPr>
      <w:r>
        <w:rPr>
          <w:rFonts w:ascii="Calibri" w:cs="Calibri" w:eastAsia="Calibri" w:hAnsi="Calibri"/>
          <w:b/>
          <w:bCs/>
          <w:sz w:val="22"/>
          <w:szCs w:val="22"/>
        </w:rPr>
        <w:t xml:space="preserve">11.1	</w:t>
      </w:r>
      <w:r>
        <w:rPr>
          <w:rFonts w:ascii="Calibri" w:cs="Calibri" w:eastAsia="Calibri" w:hAnsi="Calibri"/>
          <w:sz w:val="22"/>
          <w:szCs w:val="22"/>
        </w:rPr>
        <w:t xml:space="preserve">Within three (3) Business Days of the Effective Date the Developers shall transfer the GitHub repository currently at github.com/Shubb3006/DispatchChat (and any other repository containing Platform code) to a GitHub organisation owned and administered by the Client, preserving the complete commit history (108 commits to 1 September 2026) and all branches, including backup/root-copy.</w:t>
      </w:r>
    </w:p>
    <w:p>
      <w:pPr>
        <w:tabs>
          <w:tab w:val="left" w:pos="720"/>
        </w:tabs>
        <w:spacing w:after="120" w:line="276"/>
        <w:ind w:left="720" w:hanging="720"/>
      </w:pPr>
      <w:r>
        <w:rPr>
          <w:rFonts w:ascii="Calibri" w:cs="Calibri" w:eastAsia="Calibri" w:hAnsi="Calibri"/>
          <w:b/>
          <w:bCs/>
          <w:sz w:val="22"/>
          <w:szCs w:val="22"/>
        </w:rPr>
        <w:t xml:space="preserve">11.2	</w:t>
      </w:r>
      <w:r>
        <w:rPr>
          <w:rFonts w:ascii="Calibri" w:cs="Calibri" w:eastAsia="Calibri" w:hAnsi="Calibri"/>
          <w:sz w:val="22"/>
          <w:szCs w:val="22"/>
        </w:rPr>
        <w:t xml:space="preserve">From the date of transfer all development shall take place in the Client-owned repository. The Client shall grant the Developers write access for the duration of the remaining work and shall retain sole ownership and administrative control.</w:t>
      </w:r>
    </w:p>
    <w:p>
      <w:pPr>
        <w:tabs>
          <w:tab w:val="left" w:pos="720"/>
        </w:tabs>
        <w:spacing w:after="120" w:line="276"/>
        <w:ind w:left="720" w:hanging="720"/>
      </w:pPr>
      <w:r>
        <w:rPr>
          <w:rFonts w:ascii="Calibri" w:cs="Calibri" w:eastAsia="Calibri" w:hAnsi="Calibri"/>
          <w:b/>
          <w:bCs/>
          <w:sz w:val="22"/>
          <w:szCs w:val="22"/>
        </w:rPr>
        <w:t xml:space="preserve">11.3	</w:t>
      </w:r>
      <w:r>
        <w:rPr>
          <w:rFonts w:ascii="Calibri" w:cs="Calibri" w:eastAsia="Calibri" w:hAnsi="Calibri"/>
          <w:sz w:val="22"/>
          <w:szCs w:val="22"/>
        </w:rPr>
        <w:t xml:space="preserve">The Developers shall ensure that no secrets, API keys, passwords or connection strings remain in the repository or its history, and shall provide the Client with a written list of any historic secrets that must be rotated.</w:t>
      </w:r>
    </w:p>
    <w:p>
      <w:pPr>
        <w:pStyle w:val="Heading2"/>
        <w:keepNext/>
        <w:spacing w:after="120" w:before="240"/>
      </w:pPr>
      <w:r>
        <w:rPr>
          <w:rFonts w:ascii="Calibri" w:cs="Calibri" w:eastAsia="Calibri" w:hAnsi="Calibri"/>
          <w:b/>
          <w:bCs/>
          <w:color w:val="1F3A5F"/>
          <w:sz w:val="24"/>
          <w:szCs w:val="24"/>
        </w:rPr>
        <w:t xml:space="preserve">12. Accounts, Services and Infrastructure Transfer</w:t>
      </w:r>
    </w:p>
    <w:p>
      <w:pPr>
        <w:tabs>
          <w:tab w:val="left" w:pos="720"/>
        </w:tabs>
        <w:spacing w:after="120" w:line="276"/>
        <w:ind w:left="720" w:hanging="720"/>
      </w:pPr>
      <w:r>
        <w:rPr>
          <w:rFonts w:ascii="Calibri" w:cs="Calibri" w:eastAsia="Calibri" w:hAnsi="Calibri"/>
          <w:b/>
          <w:bCs/>
          <w:sz w:val="22"/>
          <w:szCs w:val="22"/>
        </w:rPr>
        <w:t xml:space="preserve">12.1	</w:t>
      </w:r>
      <w:r>
        <w:rPr>
          <w:rFonts w:ascii="Calibri" w:cs="Calibri" w:eastAsia="Calibri" w:hAnsi="Calibri"/>
          <w:sz w:val="22"/>
          <w:szCs w:val="22"/>
        </w:rPr>
        <w:t xml:space="preserve">All hosting, database, storage, AI, telematics, customs and automation services used by the Platform are listed in Schedule D. Each shall be transferred to, or recreated under, an account in the Client’s legal name, with billing in the Client’s name, no later than the transfer date stated in Schedule D and in any event before Go-Live.</w:t>
      </w:r>
    </w:p>
    <w:p>
      <w:pPr>
        <w:tabs>
          <w:tab w:val="left" w:pos="720"/>
        </w:tabs>
        <w:spacing w:after="120" w:line="276"/>
        <w:ind w:left="720" w:hanging="720"/>
      </w:pPr>
      <w:r>
        <w:rPr>
          <w:rFonts w:ascii="Calibri" w:cs="Calibri" w:eastAsia="Calibri" w:hAnsi="Calibri"/>
          <w:b/>
          <w:bCs/>
          <w:sz w:val="22"/>
          <w:szCs w:val="22"/>
        </w:rPr>
        <w:t xml:space="preserve">12.2	</w:t>
      </w:r>
      <w:r>
        <w:rPr>
          <w:rFonts w:ascii="Calibri" w:cs="Calibri" w:eastAsia="Calibri" w:hAnsi="Calibri"/>
          <w:sz w:val="22"/>
          <w:szCs w:val="22"/>
        </w:rPr>
        <w:t xml:space="preserve">Immediately after each transfer, all API keys, tokens, secrets, JWT signing keys and passwords for that service shall be regenerated by the Client (or by the Developers under the Client’s supervision) and the previous credentials revoked. The Developers shall confirm in writing that they hold no live credentials other than those issued to them by the Client.</w:t>
      </w:r>
    </w:p>
    <w:p>
      <w:pPr>
        <w:tabs>
          <w:tab w:val="left" w:pos="720"/>
        </w:tabs>
        <w:spacing w:after="120" w:line="276"/>
        <w:ind w:left="720" w:hanging="720"/>
      </w:pPr>
      <w:r>
        <w:rPr>
          <w:rFonts w:ascii="Calibri" w:cs="Calibri" w:eastAsia="Calibri" w:hAnsi="Calibri"/>
          <w:b/>
          <w:bCs/>
          <w:sz w:val="22"/>
          <w:szCs w:val="22"/>
        </w:rPr>
        <w:t xml:space="preserve">12.3	</w:t>
      </w:r>
      <w:r>
        <w:rPr>
          <w:rFonts w:ascii="Calibri" w:cs="Calibri" w:eastAsia="Calibri" w:hAnsi="Calibri"/>
          <w:sz w:val="22"/>
          <w:szCs w:val="22"/>
        </w:rPr>
        <w:t xml:space="preserve">The Client shall be the registered owner of all domain names, mobile-app store listings (Google Play developer account and, if applicable, Apple Developer account), and email or messaging identities used by the Platform.</w:t>
      </w:r>
    </w:p>
    <w:p>
      <w:pPr>
        <w:tabs>
          <w:tab w:val="left" w:pos="720"/>
        </w:tabs>
        <w:spacing w:after="120" w:line="276"/>
        <w:ind w:left="720" w:hanging="720"/>
      </w:pPr>
      <w:r>
        <w:rPr>
          <w:rFonts w:ascii="Calibri" w:cs="Calibri" w:eastAsia="Calibri" w:hAnsi="Calibri"/>
          <w:b/>
          <w:bCs/>
          <w:sz w:val="22"/>
          <w:szCs w:val="22"/>
        </w:rPr>
        <w:t xml:space="preserve">12.4	</w:t>
      </w:r>
      <w:r>
        <w:rPr>
          <w:rFonts w:ascii="Calibri" w:cs="Calibri" w:eastAsia="Calibri" w:hAnsi="Calibri"/>
          <w:sz w:val="22"/>
          <w:szCs w:val="22"/>
        </w:rPr>
        <w:t xml:space="preserve">The Developers shall migrate all production data (PostgreSQL, MongoDB and file storage) into the Client-owned environments with zero data loss, and shall provide a verified backup export of each database as at Go-Live.</w:t>
      </w:r>
    </w:p>
    <w:p>
      <w:pPr>
        <w:pStyle w:val="Heading2"/>
        <w:keepNext/>
        <w:spacing w:after="120" w:before="240"/>
      </w:pPr>
      <w:r>
        <w:rPr>
          <w:rFonts w:ascii="Calibri" w:cs="Calibri" w:eastAsia="Calibri" w:hAnsi="Calibri"/>
          <w:b/>
          <w:bCs/>
          <w:color w:val="1F3A5F"/>
          <w:sz w:val="24"/>
          <w:szCs w:val="24"/>
        </w:rPr>
        <w:t xml:space="preserve">13. Documentation and Knowledge Transfer</w:t>
      </w:r>
    </w:p>
    <w:p>
      <w:pPr>
        <w:tabs>
          <w:tab w:val="left" w:pos="720"/>
        </w:tabs>
        <w:spacing w:after="120" w:line="276"/>
        <w:ind w:left="720" w:hanging="720"/>
      </w:pPr>
      <w:r>
        <w:rPr>
          <w:rFonts w:ascii="Calibri" w:cs="Calibri" w:eastAsia="Calibri" w:hAnsi="Calibri"/>
          <w:b/>
          <w:bCs/>
          <w:sz w:val="22"/>
          <w:szCs w:val="22"/>
        </w:rPr>
        <w:t xml:space="preserve">13.1	</w:t>
      </w:r>
      <w:r>
        <w:rPr>
          <w:rFonts w:ascii="Calibri" w:cs="Calibri" w:eastAsia="Calibri" w:hAnsi="Calibri"/>
          <w:sz w:val="22"/>
          <w:szCs w:val="22"/>
        </w:rPr>
        <w:t xml:space="preserve">The Developers shall deliver the Documentation listed in Schedule F in the Client-owned repository no later than Handover Completion. Documentation shall be sufficient to allow a competent software engineer, without the Developers’ assistance, to build, deploy, operate, back up, restore and extend the Platform.</w:t>
      </w:r>
    </w:p>
    <w:p>
      <w:pPr>
        <w:tabs>
          <w:tab w:val="left" w:pos="720"/>
        </w:tabs>
        <w:spacing w:after="120" w:line="276"/>
        <w:ind w:left="720" w:hanging="720"/>
      </w:pPr>
      <w:r>
        <w:rPr>
          <w:rFonts w:ascii="Calibri" w:cs="Calibri" w:eastAsia="Calibri" w:hAnsi="Calibri"/>
          <w:b/>
          <w:bCs/>
          <w:sz w:val="22"/>
          <w:szCs w:val="22"/>
        </w:rPr>
        <w:t xml:space="preserve">13.2	</w:t>
      </w:r>
      <w:r>
        <w:rPr>
          <w:rFonts w:ascii="Calibri" w:cs="Calibri" w:eastAsia="Calibri" w:hAnsi="Calibri"/>
          <w:sz w:val="22"/>
          <w:szCs w:val="22"/>
        </w:rPr>
        <w:t xml:space="preserve">The Developers shall deliver a reproducible build: a clean clone of the repository, following only the runbook and the environment template, must produce a working staging deployment. The Client may verify this as part of Handover Completion.</w:t>
      </w:r>
    </w:p>
    <w:p>
      <w:pPr>
        <w:tabs>
          <w:tab w:val="left" w:pos="720"/>
        </w:tabs>
        <w:spacing w:after="120" w:line="276"/>
        <w:ind w:left="720" w:hanging="720"/>
      </w:pPr>
      <w:r>
        <w:rPr>
          <w:rFonts w:ascii="Calibri" w:cs="Calibri" w:eastAsia="Calibri" w:hAnsi="Calibri"/>
          <w:b/>
          <w:bCs/>
          <w:sz w:val="22"/>
          <w:szCs w:val="22"/>
        </w:rPr>
        <w:t xml:space="preserve">13.3	</w:t>
      </w:r>
      <w:r>
        <w:rPr>
          <w:rFonts w:ascii="Calibri" w:cs="Calibri" w:eastAsia="Calibri" w:hAnsi="Calibri"/>
          <w:sz w:val="22"/>
          <w:szCs w:val="22"/>
        </w:rPr>
        <w:t xml:space="preserve">Because the Developers are transitioning to employment under clause 17, formal classroom training is not required. The Developers shall nevertheless deliver two recorded walkthrough sessions (operations and architecture) of not less than sixty minutes each, stored in the Client’s repository or document store.</w:t>
      </w:r>
    </w:p>
    <w:p>
      <w:pPr>
        <w:pStyle w:val="Heading2"/>
        <w:keepNext/>
        <w:spacing w:after="120" w:before="240"/>
      </w:pPr>
      <w:r>
        <w:rPr>
          <w:rFonts w:ascii="Calibri" w:cs="Calibri" w:eastAsia="Calibri" w:hAnsi="Calibri"/>
          <w:b/>
          <w:bCs/>
          <w:color w:val="1F3A5F"/>
          <w:sz w:val="24"/>
          <w:szCs w:val="24"/>
        </w:rPr>
        <w:t xml:space="preserve">14. Change Control</w:t>
      </w:r>
    </w:p>
    <w:p>
      <w:pPr>
        <w:tabs>
          <w:tab w:val="left" w:pos="720"/>
        </w:tabs>
        <w:spacing w:after="120" w:line="276"/>
        <w:ind w:left="720" w:hanging="720"/>
      </w:pPr>
      <w:r>
        <w:rPr>
          <w:rFonts w:ascii="Calibri" w:cs="Calibri" w:eastAsia="Calibri" w:hAnsi="Calibri"/>
          <w:b/>
          <w:bCs/>
          <w:sz w:val="22"/>
          <w:szCs w:val="22"/>
        </w:rPr>
        <w:t xml:space="preserve">14.1	</w:t>
      </w:r>
      <w:r>
        <w:rPr>
          <w:rFonts w:ascii="Calibri" w:cs="Calibri" w:eastAsia="Calibri" w:hAnsi="Calibri"/>
          <w:sz w:val="22"/>
          <w:szCs w:val="22"/>
        </w:rPr>
        <w:t xml:space="preserve">Either Party may request a change to Schedule A or Schedule B before Go-Live. The Developers shall within three (3) Business Days provide a written impact assessment (effort, timeline and, if any, fee impact). No change is effective until agreed in writing by both Parties.</w:t>
      </w:r>
    </w:p>
    <w:p>
      <w:pPr>
        <w:tabs>
          <w:tab w:val="left" w:pos="720"/>
        </w:tabs>
        <w:spacing w:after="120" w:line="276"/>
        <w:ind w:left="720" w:hanging="720"/>
      </w:pPr>
      <w:r>
        <w:rPr>
          <w:rFonts w:ascii="Calibri" w:cs="Calibri" w:eastAsia="Calibri" w:hAnsi="Calibri"/>
          <w:b/>
          <w:bCs/>
          <w:sz w:val="22"/>
          <w:szCs w:val="22"/>
        </w:rPr>
        <w:t xml:space="preserve">14.2	</w:t>
      </w:r>
      <w:r>
        <w:rPr>
          <w:rFonts w:ascii="Calibri" w:cs="Calibri" w:eastAsia="Calibri" w:hAnsi="Calibri"/>
          <w:sz w:val="22"/>
          <w:szCs w:val="22"/>
        </w:rPr>
        <w:t xml:space="preserve">Minor feature additions in Week 3 of Schedule B that are agreed in writing and do not exceed a total of three (3) person-days of effort are included in the Fees.</w:t>
      </w:r>
    </w:p>
    <w:p>
      <w:pPr>
        <w:tabs>
          <w:tab w:val="left" w:pos="720"/>
        </w:tabs>
        <w:spacing w:after="120" w:line="276"/>
        <w:ind w:left="720" w:hanging="720"/>
      </w:pPr>
      <w:r>
        <w:rPr>
          <w:rFonts w:ascii="Calibri" w:cs="Calibri" w:eastAsia="Calibri" w:hAnsi="Calibri"/>
          <w:b/>
          <w:bCs/>
          <w:sz w:val="22"/>
          <w:szCs w:val="22"/>
        </w:rPr>
        <w:t xml:space="preserve">14.3	</w:t>
      </w:r>
      <w:r>
        <w:rPr>
          <w:rFonts w:ascii="Calibri" w:cs="Calibri" w:eastAsia="Calibri" w:hAnsi="Calibri"/>
          <w:sz w:val="22"/>
          <w:szCs w:val="22"/>
        </w:rPr>
        <w:t xml:space="preserve">After Go-Live, change requests, routine development, bug fixing and scaling are handled by the Developers in their capacity as internal engineering staff under clause 17 and are outside this MOU.</w:t>
      </w:r>
    </w:p>
    <w:p>
      <w:pPr>
        <w:pStyle w:val="Heading1"/>
        <w:keepNext/>
        <w:spacing w:after="160" w:before="360"/>
      </w:pPr>
      <w:r>
        <w:rPr>
          <w:rFonts w:ascii="Calibri" w:cs="Calibri" w:eastAsia="Calibri" w:hAnsi="Calibri"/>
          <w:b/>
          <w:bCs/>
          <w:color w:val="1F3A5F"/>
          <w:sz w:val="28"/>
          <w:szCs w:val="28"/>
        </w:rPr>
        <w:t xml:space="preserve">Part 6 — Warranty, Performance and Support</w:t>
      </w:r>
    </w:p>
    <w:p>
      <w:pPr>
        <w:pStyle w:val="Heading2"/>
        <w:keepNext/>
        <w:spacing w:after="120" w:before="240"/>
      </w:pPr>
      <w:r>
        <w:rPr>
          <w:rFonts w:ascii="Calibri" w:cs="Calibri" w:eastAsia="Calibri" w:hAnsi="Calibri"/>
          <w:b/>
          <w:bCs/>
          <w:color w:val="1F3A5F"/>
          <w:sz w:val="24"/>
          <w:szCs w:val="24"/>
        </w:rPr>
        <w:t xml:space="preserve">15. Warranty</w:t>
      </w:r>
    </w:p>
    <w:p>
      <w:pPr>
        <w:tabs>
          <w:tab w:val="left" w:pos="720"/>
        </w:tabs>
        <w:spacing w:after="120" w:line="276"/>
        <w:ind w:left="720" w:hanging="720"/>
      </w:pPr>
      <w:r>
        <w:rPr>
          <w:rFonts w:ascii="Calibri" w:cs="Calibri" w:eastAsia="Calibri" w:hAnsi="Calibri"/>
          <w:b/>
          <w:bCs/>
          <w:sz w:val="22"/>
          <w:szCs w:val="22"/>
        </w:rPr>
        <w:t xml:space="preserve">15.1	</w:t>
      </w:r>
      <w:r>
        <w:rPr>
          <w:rFonts w:ascii="Calibri" w:cs="Calibri" w:eastAsia="Calibri" w:hAnsi="Calibri"/>
          <w:sz w:val="22"/>
          <w:szCs w:val="22"/>
        </w:rPr>
        <w:t xml:space="preserve">The Developers warrant that for a period of ninety (90) days from Go-Live (the “Warranty Period”) the Platform will perform materially in accordance with Schedule A and Schedule E, and that they will correct any Defect notified during the Warranty Period at no charge. The Parties acknowledge that the Developers expect to perform this obligation as employees of the Client; if for any reason either Developer is not employed by the Client during the Warranty Period, this clause 15 shall continue to bind that Developer as an independent contractor.</w:t>
      </w:r>
    </w:p>
    <w:p>
      <w:pPr>
        <w:tabs>
          <w:tab w:val="left" w:pos="720"/>
        </w:tabs>
        <w:spacing w:after="120" w:line="276"/>
        <w:ind w:left="720" w:hanging="720"/>
      </w:pPr>
      <w:r>
        <w:rPr>
          <w:rFonts w:ascii="Calibri" w:cs="Calibri" w:eastAsia="Calibri" w:hAnsi="Calibri"/>
          <w:b/>
          <w:bCs/>
          <w:sz w:val="22"/>
          <w:szCs w:val="22"/>
        </w:rPr>
        <w:t xml:space="preserve">15.2	</w:t>
      </w:r>
      <w:r>
        <w:rPr>
          <w:rFonts w:ascii="Calibri" w:cs="Calibri" w:eastAsia="Calibri" w:hAnsi="Calibri"/>
          <w:sz w:val="22"/>
          <w:szCs w:val="22"/>
        </w:rPr>
        <w:t xml:space="preserve">The Developers further warrant that the Deliverables contain no malicious code, undisclosed back-doors, hard-coded credentials, licence keys or time-locks, and no functionality that transmits Client Data to any third party other than the integrations listed in Schedule D.</w:t>
      </w:r>
    </w:p>
    <w:p>
      <w:pPr>
        <w:tabs>
          <w:tab w:val="left" w:pos="720"/>
        </w:tabs>
        <w:spacing w:after="120" w:line="276"/>
        <w:ind w:left="720" w:hanging="720"/>
      </w:pPr>
      <w:r>
        <w:rPr>
          <w:rFonts w:ascii="Calibri" w:cs="Calibri" w:eastAsia="Calibri" w:hAnsi="Calibri"/>
          <w:b/>
          <w:bCs/>
          <w:sz w:val="22"/>
          <w:szCs w:val="22"/>
        </w:rPr>
        <w:t xml:space="preserve">15.3	</w:t>
      </w:r>
      <w:r>
        <w:rPr>
          <w:rFonts w:ascii="Calibri" w:cs="Calibri" w:eastAsia="Calibri" w:hAnsi="Calibri"/>
          <w:sz w:val="22"/>
          <w:szCs w:val="22"/>
        </w:rPr>
        <w:t xml:space="preserve">The warranty does not cover Defects caused by (a) modifications made by persons other than the Developers, (b) failure of third-party services listed in Schedule D, or (c) use of the Platform other than in accordance with the Documentation.</w:t>
      </w:r>
    </w:p>
    <w:p>
      <w:pPr>
        <w:pStyle w:val="Heading2"/>
        <w:keepNext/>
        <w:spacing w:after="120" w:before="240"/>
      </w:pPr>
      <w:r>
        <w:rPr>
          <w:rFonts w:ascii="Calibri" w:cs="Calibri" w:eastAsia="Calibri" w:hAnsi="Calibri"/>
          <w:b/>
          <w:bCs/>
          <w:color w:val="1F3A5F"/>
          <w:sz w:val="24"/>
          <w:szCs w:val="24"/>
        </w:rPr>
        <w:t xml:space="preserve">16. Performance Targets and Availability</w:t>
      </w:r>
    </w:p>
    <w:p>
      <w:pPr>
        <w:tabs>
          <w:tab w:val="left" w:pos="720"/>
        </w:tabs>
        <w:spacing w:after="120" w:line="276"/>
        <w:ind w:left="720" w:hanging="720"/>
      </w:pPr>
      <w:r>
        <w:rPr>
          <w:rFonts w:ascii="Calibri" w:cs="Calibri" w:eastAsia="Calibri" w:hAnsi="Calibri"/>
          <w:b/>
          <w:bCs/>
          <w:sz w:val="22"/>
          <w:szCs w:val="22"/>
        </w:rPr>
        <w:t xml:space="preserve">16.1	</w:t>
      </w:r>
      <w:r>
        <w:rPr>
          <w:rFonts w:ascii="Calibri" w:cs="Calibri" w:eastAsia="Calibri" w:hAnsi="Calibri"/>
          <w:sz w:val="22"/>
          <w:szCs w:val="22"/>
        </w:rPr>
        <w:t xml:space="preserve">The Platform shall meet the performance targets in Schedule E when measured under the test conditions stated there: page load for typical screens of two (2) seconds or less, and API response at the 95th percentile of 500 milliseconds or less.</w:t>
      </w:r>
    </w:p>
    <w:p>
      <w:pPr>
        <w:tabs>
          <w:tab w:val="left" w:pos="720"/>
        </w:tabs>
        <w:spacing w:after="120" w:line="276"/>
        <w:ind w:left="720" w:hanging="720"/>
      </w:pPr>
      <w:r>
        <w:rPr>
          <w:rFonts w:ascii="Calibri" w:cs="Calibri" w:eastAsia="Calibri" w:hAnsi="Calibri"/>
          <w:b/>
          <w:bCs/>
          <w:sz w:val="22"/>
          <w:szCs w:val="22"/>
        </w:rPr>
        <w:t xml:space="preserve">16.2	</w:t>
      </w:r>
      <w:r>
        <w:rPr>
          <w:rFonts w:ascii="Calibri" w:cs="Calibri" w:eastAsia="Calibri" w:hAnsi="Calibri"/>
          <w:sz w:val="22"/>
          <w:szCs w:val="22"/>
        </w:rPr>
        <w:t xml:space="preserve">The Parties acknowledge that availability of the Platform is a function of the underlying hosting providers (Vercel, Render, Supabase and, where used, AWS and MongoDB Atlas), whose published service levels are typically 99.9% or higher. The Developers warrant that the Platform architecture does not prevent achievement of those service levels but do not warrant uptime beyond what the providers guarantee. The Client shall select provider plans appropriate to its availability needs (for example, a paid Render plan to avoid free-tier instance sleep).</w:t>
      </w:r>
    </w:p>
    <w:p>
      <w:pPr>
        <w:tabs>
          <w:tab w:val="left" w:pos="720"/>
        </w:tabs>
        <w:spacing w:after="120" w:line="276"/>
        <w:ind w:left="720" w:hanging="720"/>
      </w:pPr>
      <w:r>
        <w:rPr>
          <w:rFonts w:ascii="Calibri" w:cs="Calibri" w:eastAsia="Calibri" w:hAnsi="Calibri"/>
          <w:b/>
          <w:bCs/>
          <w:sz w:val="22"/>
          <w:szCs w:val="22"/>
        </w:rPr>
        <w:t xml:space="preserve">16.3	</w:t>
      </w:r>
      <w:r>
        <w:rPr>
          <w:rFonts w:ascii="Calibri" w:cs="Calibri" w:eastAsia="Calibri" w:hAnsi="Calibri"/>
          <w:sz w:val="22"/>
          <w:szCs w:val="22"/>
        </w:rPr>
        <w:t xml:space="preserve">The Platform shall be capable of handling not less than 1,000 orders (loads) per day with the concurrency stated in Schedule E.</w:t>
      </w:r>
    </w:p>
    <w:p>
      <w:pPr>
        <w:pStyle w:val="Heading1"/>
        <w:keepNext/>
        <w:spacing w:after="160" w:before="360"/>
      </w:pPr>
      <w:r>
        <w:rPr>
          <w:rFonts w:ascii="Calibri" w:cs="Calibri" w:eastAsia="Calibri" w:hAnsi="Calibri"/>
          <w:b/>
          <w:bCs/>
          <w:color w:val="1F3A5F"/>
          <w:sz w:val="28"/>
          <w:szCs w:val="28"/>
        </w:rPr>
        <w:t xml:space="preserve">Part 7 — Transition to Employment</w:t>
      </w:r>
    </w:p>
    <w:p>
      <w:pPr>
        <w:pStyle w:val="Heading2"/>
        <w:keepNext/>
        <w:spacing w:after="120" w:before="240"/>
      </w:pPr>
      <w:r>
        <w:rPr>
          <w:rFonts w:ascii="Calibri" w:cs="Calibri" w:eastAsia="Calibri" w:hAnsi="Calibri"/>
          <w:b/>
          <w:bCs/>
          <w:color w:val="1F3A5F"/>
          <w:sz w:val="24"/>
          <w:szCs w:val="24"/>
        </w:rPr>
        <w:t xml:space="preserve">17. Employment Transition</w:t>
      </w:r>
    </w:p>
    <w:p>
      <w:pPr>
        <w:tabs>
          <w:tab w:val="left" w:pos="720"/>
        </w:tabs>
        <w:spacing w:after="120" w:line="276"/>
        <w:ind w:left="720" w:hanging="720"/>
      </w:pPr>
      <w:r>
        <w:rPr>
          <w:rFonts w:ascii="Calibri" w:cs="Calibri" w:eastAsia="Calibri" w:hAnsi="Calibri"/>
          <w:b/>
          <w:bCs/>
          <w:sz w:val="22"/>
          <w:szCs w:val="22"/>
        </w:rPr>
        <w:t xml:space="preserve">17.1	</w:t>
      </w:r>
      <w:r>
        <w:rPr>
          <w:rFonts w:ascii="Calibri" w:cs="Calibri" w:eastAsia="Calibri" w:hAnsi="Calibri"/>
          <w:sz w:val="22"/>
          <w:szCs w:val="22"/>
        </w:rPr>
        <w:t xml:space="preserve">The Parties record their mutual intention that each Developer will join the Client as a full-time employee to maintain, support and further develop the Platform, with a minimum commitment of one (1) year, on terms to be set out in a separate written employment agreement for each Developer (the “Employment Agreements”).</w:t>
      </w:r>
    </w:p>
    <w:p>
      <w:pPr>
        <w:tabs>
          <w:tab w:val="left" w:pos="720"/>
        </w:tabs>
        <w:spacing w:after="120" w:line="276"/>
        <w:ind w:left="720" w:hanging="720"/>
      </w:pPr>
      <w:r>
        <w:rPr>
          <w:rFonts w:ascii="Calibri" w:cs="Calibri" w:eastAsia="Calibri" w:hAnsi="Calibri"/>
          <w:b/>
          <w:bCs/>
          <w:sz w:val="22"/>
          <w:szCs w:val="22"/>
        </w:rPr>
        <w:t xml:space="preserve">17.2	</w:t>
      </w:r>
      <w:r>
        <w:rPr>
          <w:rFonts w:ascii="Calibri" w:cs="Calibri" w:eastAsia="Calibri" w:hAnsi="Calibri"/>
          <w:sz w:val="22"/>
          <w:szCs w:val="22"/>
        </w:rPr>
        <w:t xml:space="preserve">The Employment Agreements are intended to take effect on or about Go-Live, subject to the Client’s standard onboarding requirements and any applicable immigration or work-authorisation requirements. This clause 17 is a statement of intent; the binding terms of employment shall be those of the Employment Agreements only.</w:t>
      </w:r>
    </w:p>
    <w:p>
      <w:pPr>
        <w:tabs>
          <w:tab w:val="left" w:pos="720"/>
        </w:tabs>
        <w:spacing w:after="120" w:line="276"/>
        <w:ind w:left="720" w:hanging="720"/>
      </w:pPr>
      <w:r>
        <w:rPr>
          <w:rFonts w:ascii="Calibri" w:cs="Calibri" w:eastAsia="Calibri" w:hAnsi="Calibri"/>
          <w:b/>
          <w:bCs/>
          <w:sz w:val="22"/>
          <w:szCs w:val="22"/>
        </w:rPr>
        <w:t xml:space="preserve">17.3	</w:t>
      </w:r>
      <w:r>
        <w:rPr>
          <w:rFonts w:ascii="Calibri" w:cs="Calibri" w:eastAsia="Calibri" w:hAnsi="Calibri"/>
          <w:sz w:val="22"/>
          <w:szCs w:val="22"/>
        </w:rPr>
        <w:t xml:space="preserve">From the commencement of employment, each Developer’s access to the Platform shall be governed by the Client’s internal IT and security policies as an employee, and all contractor credentials shall be revoked.</w:t>
      </w:r>
    </w:p>
    <w:p>
      <w:pPr>
        <w:tabs>
          <w:tab w:val="left" w:pos="720"/>
        </w:tabs>
        <w:spacing w:after="120" w:line="276"/>
        <w:ind w:left="720" w:hanging="720"/>
      </w:pPr>
      <w:r>
        <w:rPr>
          <w:rFonts w:ascii="Calibri" w:cs="Calibri" w:eastAsia="Calibri" w:hAnsi="Calibri"/>
          <w:b/>
          <w:bCs/>
          <w:sz w:val="22"/>
          <w:szCs w:val="22"/>
        </w:rPr>
        <w:t xml:space="preserve">17.4	</w:t>
      </w:r>
      <w:r>
        <w:rPr>
          <w:rFonts w:ascii="Calibri" w:cs="Calibri" w:eastAsia="Calibri" w:hAnsi="Calibri"/>
          <w:sz w:val="22"/>
          <w:szCs w:val="22"/>
        </w:rPr>
        <w:t xml:space="preserve">Nothing in clause 17 conditions, reduces or delays the Client’s payment obligations under clause 8, nor the Developers’ obligations under clauses 9 to 13. If the Employment Agreements are not entered into for any reason, this MOU continues in full force, the Developers shall complete Handover under Schedules D and F, and the Warranty under clause 15 shall apply.</w:t>
      </w:r>
    </w:p>
    <w:p>
      <w:pPr>
        <w:tabs>
          <w:tab w:val="left" w:pos="720"/>
        </w:tabs>
        <w:spacing w:after="120" w:line="276"/>
        <w:ind w:left="720" w:hanging="720"/>
      </w:pPr>
      <w:r>
        <w:rPr>
          <w:rFonts w:ascii="Calibri" w:cs="Calibri" w:eastAsia="Calibri" w:hAnsi="Calibri"/>
          <w:b/>
          <w:bCs/>
          <w:sz w:val="22"/>
          <w:szCs w:val="22"/>
        </w:rPr>
        <w:t xml:space="preserve">17.5	</w:t>
      </w:r>
      <w:r>
        <w:rPr>
          <w:rFonts w:ascii="Calibri" w:cs="Calibri" w:eastAsia="Calibri" w:hAnsi="Calibri"/>
          <w:sz w:val="22"/>
          <w:szCs w:val="22"/>
        </w:rPr>
        <w:t xml:space="preserve">Any Intellectual Property Rights created by a Developer in the course of employment shall be governed by the Employment Agreements and shall in any event vest in the Client.</w:t>
      </w:r>
    </w:p>
    <w:p>
      <w:pPr>
        <w:pStyle w:val="Heading1"/>
        <w:keepNext/>
        <w:spacing w:after="160" w:before="360"/>
      </w:pPr>
      <w:r>
        <w:rPr>
          <w:rFonts w:ascii="Calibri" w:cs="Calibri" w:eastAsia="Calibri" w:hAnsi="Calibri"/>
          <w:b/>
          <w:bCs/>
          <w:color w:val="1F3A5F"/>
          <w:sz w:val="28"/>
          <w:szCs w:val="28"/>
        </w:rPr>
        <w:t xml:space="preserve">Part 8 — Confidentiality, Liability and General</w:t>
      </w:r>
    </w:p>
    <w:p>
      <w:pPr>
        <w:pStyle w:val="Heading2"/>
        <w:keepNext/>
        <w:spacing w:after="120" w:before="240"/>
      </w:pPr>
      <w:r>
        <w:rPr>
          <w:rFonts w:ascii="Calibri" w:cs="Calibri" w:eastAsia="Calibri" w:hAnsi="Calibri"/>
          <w:b/>
          <w:bCs/>
          <w:color w:val="1F3A5F"/>
          <w:sz w:val="24"/>
          <w:szCs w:val="24"/>
        </w:rPr>
        <w:t xml:space="preserve">18. Confidentiality and Data Protection</w:t>
      </w:r>
    </w:p>
    <w:p>
      <w:pPr>
        <w:tabs>
          <w:tab w:val="left" w:pos="720"/>
        </w:tabs>
        <w:spacing w:after="120" w:line="276"/>
        <w:ind w:left="720" w:hanging="720"/>
      </w:pPr>
      <w:r>
        <w:rPr>
          <w:rFonts w:ascii="Calibri" w:cs="Calibri" w:eastAsia="Calibri" w:hAnsi="Calibri"/>
          <w:b/>
          <w:bCs/>
          <w:sz w:val="22"/>
          <w:szCs w:val="22"/>
        </w:rPr>
        <w:t xml:space="preserve">18.1	</w:t>
      </w:r>
      <w:r>
        <w:rPr>
          <w:rFonts w:ascii="Calibri" w:cs="Calibri" w:eastAsia="Calibri" w:hAnsi="Calibri"/>
          <w:sz w:val="22"/>
          <w:szCs w:val="22"/>
        </w:rPr>
        <w:t xml:space="preserve">Each Party shall keep confidential all non-public information of the other Party obtained in connection with this MOU, including Client Data, customer lists, rates, driver information, Source Code and the terms of this MOU, and shall use it only for the purposes of this MOU. This obligation survives termination for five (5) years and, for Client Data and trade secrets, indefinitely.</w:t>
      </w:r>
    </w:p>
    <w:p>
      <w:pPr>
        <w:tabs>
          <w:tab w:val="left" w:pos="720"/>
        </w:tabs>
        <w:spacing w:after="120" w:line="276"/>
        <w:ind w:left="720" w:hanging="720"/>
      </w:pPr>
      <w:r>
        <w:rPr>
          <w:rFonts w:ascii="Calibri" w:cs="Calibri" w:eastAsia="Calibri" w:hAnsi="Calibri"/>
          <w:b/>
          <w:bCs/>
          <w:sz w:val="22"/>
          <w:szCs w:val="22"/>
        </w:rPr>
        <w:t xml:space="preserve">18.2	</w:t>
      </w:r>
      <w:r>
        <w:rPr>
          <w:rFonts w:ascii="Calibri" w:cs="Calibri" w:eastAsia="Calibri" w:hAnsi="Calibri"/>
          <w:sz w:val="22"/>
          <w:szCs w:val="22"/>
        </w:rPr>
        <w:t xml:space="preserve">The Developers shall handle all personal information within Client Data (including driver, customer and employee data) in accordance with the Personal Information Protection and Electronic Documents Act (Canada) and any applicable provincial legislation, act only on the Client’s instructions, implement appropriate technical and organisational security measures, and notify the Client within twenty-four (24) hours of becoming aware of any actual or suspected security incident affecting Client Data.</w:t>
      </w:r>
    </w:p>
    <w:p>
      <w:pPr>
        <w:tabs>
          <w:tab w:val="left" w:pos="720"/>
        </w:tabs>
        <w:spacing w:after="120" w:line="276"/>
        <w:ind w:left="720" w:hanging="720"/>
      </w:pPr>
      <w:r>
        <w:rPr>
          <w:rFonts w:ascii="Calibri" w:cs="Calibri" w:eastAsia="Calibri" w:hAnsi="Calibri"/>
          <w:b/>
          <w:bCs/>
          <w:sz w:val="22"/>
          <w:szCs w:val="22"/>
        </w:rPr>
        <w:t xml:space="preserve">18.3	</w:t>
      </w:r>
      <w:r>
        <w:rPr>
          <w:rFonts w:ascii="Calibri" w:cs="Calibri" w:eastAsia="Calibri" w:hAnsi="Calibri"/>
          <w:sz w:val="22"/>
          <w:szCs w:val="22"/>
        </w:rPr>
        <w:t xml:space="preserve">The Developers shall not copy Client Data to personal devices or non-Client accounts other than as strictly required for the remaining work, and shall securely delete all such copies at Handover Completion and confirm deletion in writing.</w:t>
      </w:r>
    </w:p>
    <w:p>
      <w:pPr>
        <w:pStyle w:val="Heading2"/>
        <w:keepNext/>
        <w:spacing w:after="120" w:before="240"/>
      </w:pPr>
      <w:r>
        <w:rPr>
          <w:rFonts w:ascii="Calibri" w:cs="Calibri" w:eastAsia="Calibri" w:hAnsi="Calibri"/>
          <w:b/>
          <w:bCs/>
          <w:color w:val="1F3A5F"/>
          <w:sz w:val="24"/>
          <w:szCs w:val="24"/>
        </w:rPr>
        <w:t xml:space="preserve">19. Security Obligations</w:t>
      </w:r>
    </w:p>
    <w:p>
      <w:pPr>
        <w:tabs>
          <w:tab w:val="left" w:pos="720"/>
        </w:tabs>
        <w:spacing w:after="120" w:line="276"/>
        <w:ind w:left="720" w:hanging="720"/>
      </w:pPr>
      <w:r>
        <w:rPr>
          <w:rFonts w:ascii="Calibri" w:cs="Calibri" w:eastAsia="Calibri" w:hAnsi="Calibri"/>
          <w:b/>
          <w:bCs/>
          <w:sz w:val="22"/>
          <w:szCs w:val="22"/>
        </w:rPr>
        <w:t xml:space="preserve">19.1	</w:t>
      </w:r>
      <w:r>
        <w:rPr>
          <w:rFonts w:ascii="Calibri" w:cs="Calibri" w:eastAsia="Calibri" w:hAnsi="Calibri"/>
          <w:sz w:val="22"/>
          <w:szCs w:val="22"/>
        </w:rPr>
        <w:t xml:space="preserve">The Developers shall ensure that at Go-Live: all secrets are supplied by environment variables only; JWT_SECRET and all database passwords are unique, randomly generated values of at least 32 characters; database connections use TLS; CORS is restricted to Client domains; role-based authorisation is enforced on every API route; passwords are hashed with bcrypt; and the public tracking, customer-portal and webhook endpoints validate tokens and signatures.</w:t>
      </w:r>
    </w:p>
    <w:p>
      <w:pPr>
        <w:tabs>
          <w:tab w:val="left" w:pos="720"/>
        </w:tabs>
        <w:spacing w:after="120" w:line="276"/>
        <w:ind w:left="720" w:hanging="720"/>
      </w:pPr>
      <w:r>
        <w:rPr>
          <w:rFonts w:ascii="Calibri" w:cs="Calibri" w:eastAsia="Calibri" w:hAnsi="Calibri"/>
          <w:b/>
          <w:bCs/>
          <w:sz w:val="22"/>
          <w:szCs w:val="22"/>
        </w:rPr>
        <w:t xml:space="preserve">19.2	</w:t>
      </w:r>
      <w:r>
        <w:rPr>
          <w:rFonts w:ascii="Calibri" w:cs="Calibri" w:eastAsia="Calibri" w:hAnsi="Calibri"/>
          <w:sz w:val="22"/>
          <w:szCs w:val="22"/>
        </w:rPr>
        <w:t xml:space="preserve">The Developers shall provide the Client with a written summary of known security limitations and recommended hardening steps as part of Schedule F.</w:t>
      </w:r>
    </w:p>
    <w:p>
      <w:pPr>
        <w:pStyle w:val="Heading2"/>
        <w:keepNext/>
        <w:spacing w:after="120" w:before="240"/>
      </w:pPr>
      <w:r>
        <w:rPr>
          <w:rFonts w:ascii="Calibri" w:cs="Calibri" w:eastAsia="Calibri" w:hAnsi="Calibri"/>
          <w:b/>
          <w:bCs/>
          <w:color w:val="1F3A5F"/>
          <w:sz w:val="24"/>
          <w:szCs w:val="24"/>
        </w:rPr>
        <w:t xml:space="preserve">20. Limitation of Liability</w:t>
      </w:r>
    </w:p>
    <w:p>
      <w:pPr>
        <w:tabs>
          <w:tab w:val="left" w:pos="720"/>
        </w:tabs>
        <w:spacing w:after="120" w:line="276"/>
        <w:ind w:left="720" w:hanging="720"/>
      </w:pPr>
      <w:r>
        <w:rPr>
          <w:rFonts w:ascii="Calibri" w:cs="Calibri" w:eastAsia="Calibri" w:hAnsi="Calibri"/>
          <w:b/>
          <w:bCs/>
          <w:sz w:val="22"/>
          <w:szCs w:val="22"/>
        </w:rPr>
        <w:t xml:space="preserve">20.1	</w:t>
      </w:r>
      <w:r>
        <w:rPr>
          <w:rFonts w:ascii="Calibri" w:cs="Calibri" w:eastAsia="Calibri" w:hAnsi="Calibri"/>
          <w:sz w:val="22"/>
          <w:szCs w:val="22"/>
        </w:rPr>
        <w:t xml:space="preserve">Nothing in this MOU limits liability for death or personal injury caused by negligence, fraud or fraudulent misrepresentation, wilful default, breach of clause 18 (Confidentiality), or the indemnity in clause 10.5.</w:t>
      </w:r>
    </w:p>
    <w:p>
      <w:pPr>
        <w:tabs>
          <w:tab w:val="left" w:pos="720"/>
        </w:tabs>
        <w:spacing w:after="120" w:line="276"/>
        <w:ind w:left="720" w:hanging="720"/>
      </w:pPr>
      <w:r>
        <w:rPr>
          <w:rFonts w:ascii="Calibri" w:cs="Calibri" w:eastAsia="Calibri" w:hAnsi="Calibri"/>
          <w:b/>
          <w:bCs/>
          <w:sz w:val="22"/>
          <w:szCs w:val="22"/>
        </w:rPr>
        <w:t xml:space="preserve">20.2	</w:t>
      </w:r>
      <w:r>
        <w:rPr>
          <w:rFonts w:ascii="Calibri" w:cs="Calibri" w:eastAsia="Calibri" w:hAnsi="Calibri"/>
          <w:sz w:val="22"/>
          <w:szCs w:val="22"/>
        </w:rPr>
        <w:t xml:space="preserve">Subject to clause 20.1, neither Party shall be liable for indirect or consequential loss, loss of profit, or loss of business, and each Party’s aggregate liability under or in connection with this MOU shall not exceed an amount equal to the total Fees.</w:t>
      </w:r>
    </w:p>
    <w:p>
      <w:pPr>
        <w:pStyle w:val="Heading2"/>
        <w:keepNext/>
        <w:spacing w:after="120" w:before="240"/>
      </w:pPr>
      <w:r>
        <w:rPr>
          <w:rFonts w:ascii="Calibri" w:cs="Calibri" w:eastAsia="Calibri" w:hAnsi="Calibri"/>
          <w:b/>
          <w:bCs/>
          <w:color w:val="1F3A5F"/>
          <w:sz w:val="24"/>
          <w:szCs w:val="24"/>
        </w:rPr>
        <w:t xml:space="preserve">21. Term and Termination</w:t>
      </w:r>
    </w:p>
    <w:p>
      <w:pPr>
        <w:tabs>
          <w:tab w:val="left" w:pos="720"/>
        </w:tabs>
        <w:spacing w:after="120" w:line="276"/>
        <w:ind w:left="720" w:hanging="720"/>
      </w:pPr>
      <w:r>
        <w:rPr>
          <w:rFonts w:ascii="Calibri" w:cs="Calibri" w:eastAsia="Calibri" w:hAnsi="Calibri"/>
          <w:b/>
          <w:bCs/>
          <w:sz w:val="22"/>
          <w:szCs w:val="22"/>
        </w:rPr>
        <w:t xml:space="preserve">21.1	</w:t>
      </w:r>
      <w:r>
        <w:rPr>
          <w:rFonts w:ascii="Calibri" w:cs="Calibri" w:eastAsia="Calibri" w:hAnsi="Calibri"/>
          <w:sz w:val="22"/>
          <w:szCs w:val="22"/>
        </w:rPr>
        <w:t xml:space="preserve">This MOU commences on the Effective Date and continues until Handover Completion and the expiry of the Warranty Period, save for clauses expressed to survive.</w:t>
      </w:r>
    </w:p>
    <w:p>
      <w:pPr>
        <w:tabs>
          <w:tab w:val="left" w:pos="720"/>
        </w:tabs>
        <w:spacing w:after="120" w:line="276"/>
        <w:ind w:left="720" w:hanging="720"/>
      </w:pPr>
      <w:r>
        <w:rPr>
          <w:rFonts w:ascii="Calibri" w:cs="Calibri" w:eastAsia="Calibri" w:hAnsi="Calibri"/>
          <w:b/>
          <w:bCs/>
          <w:sz w:val="22"/>
          <w:szCs w:val="22"/>
        </w:rPr>
        <w:t xml:space="preserve">21.2	</w:t>
      </w:r>
      <w:r>
        <w:rPr>
          <w:rFonts w:ascii="Calibri" w:cs="Calibri" w:eastAsia="Calibri" w:hAnsi="Calibri"/>
          <w:sz w:val="22"/>
          <w:szCs w:val="22"/>
        </w:rPr>
        <w:t xml:space="preserve">Either Party may terminate this MOU by written notice if the other Party commits a material breach that is not remedied within fifteen (15) Business Days of written notice specifying the breach.</w:t>
      </w:r>
    </w:p>
    <w:p>
      <w:pPr>
        <w:tabs>
          <w:tab w:val="left" w:pos="720"/>
        </w:tabs>
        <w:spacing w:after="120" w:line="276"/>
        <w:ind w:left="720" w:hanging="720"/>
      </w:pPr>
      <w:r>
        <w:rPr>
          <w:rFonts w:ascii="Calibri" w:cs="Calibri" w:eastAsia="Calibri" w:hAnsi="Calibri"/>
          <w:b/>
          <w:bCs/>
          <w:sz w:val="22"/>
          <w:szCs w:val="22"/>
        </w:rPr>
        <w:t xml:space="preserve">21.3	</w:t>
      </w:r>
      <w:r>
        <w:rPr>
          <w:rFonts w:ascii="Calibri" w:cs="Calibri" w:eastAsia="Calibri" w:hAnsi="Calibri"/>
          <w:sz w:val="22"/>
          <w:szCs w:val="22"/>
        </w:rPr>
        <w:t xml:space="preserve">On termination for any reason: (a) the Developers shall immediately deliver all Source Code, Documentation and Client Data in their possession to the Client; (b) clause 9 applies to all Deliverables paid for; (c) the Client shall pay for Milestones Accepted before termination; and (d) clauses 9, 10, 12.2, 15, 18, 20, 23 and 24 survive.</w:t>
      </w:r>
    </w:p>
    <w:p>
      <w:pPr>
        <w:pStyle w:val="Heading2"/>
        <w:keepNext/>
        <w:spacing w:after="120" w:before="240"/>
      </w:pPr>
      <w:r>
        <w:rPr>
          <w:rFonts w:ascii="Calibri" w:cs="Calibri" w:eastAsia="Calibri" w:hAnsi="Calibri"/>
          <w:b/>
          <w:bCs/>
          <w:color w:val="1F3A5F"/>
          <w:sz w:val="24"/>
          <w:szCs w:val="24"/>
        </w:rPr>
        <w:t xml:space="preserve">22. Independent Contractor Status</w:t>
      </w:r>
    </w:p>
    <w:p>
      <w:pPr>
        <w:tabs>
          <w:tab w:val="left" w:pos="720"/>
        </w:tabs>
        <w:spacing w:after="120" w:line="276"/>
        <w:ind w:left="720" w:hanging="720"/>
      </w:pPr>
      <w:r>
        <w:rPr>
          <w:rFonts w:ascii="Calibri" w:cs="Calibri" w:eastAsia="Calibri" w:hAnsi="Calibri"/>
          <w:b/>
          <w:bCs/>
          <w:sz w:val="22"/>
          <w:szCs w:val="22"/>
        </w:rPr>
        <w:t xml:space="preserve">22.1	</w:t>
      </w:r>
      <w:r>
        <w:rPr>
          <w:rFonts w:ascii="Calibri" w:cs="Calibri" w:eastAsia="Calibri" w:hAnsi="Calibri"/>
          <w:sz w:val="22"/>
          <w:szCs w:val="22"/>
        </w:rPr>
        <w:t xml:space="preserve">Until the commencement of the Employment Agreements, the Developers are independent contractors. Nothing in this MOU creates a partnership, joint venture, agency or (save as contemplated by clause 17) employment relationship. The Developers are jointly and severally liable for their obligations under this MOU.</w:t>
      </w:r>
    </w:p>
    <w:p>
      <w:pPr>
        <w:pStyle w:val="Heading2"/>
        <w:keepNext/>
        <w:spacing w:after="120" w:before="240"/>
      </w:pPr>
      <w:r>
        <w:rPr>
          <w:rFonts w:ascii="Calibri" w:cs="Calibri" w:eastAsia="Calibri" w:hAnsi="Calibri"/>
          <w:b/>
          <w:bCs/>
          <w:color w:val="1F3A5F"/>
          <w:sz w:val="24"/>
          <w:szCs w:val="24"/>
        </w:rPr>
        <w:t xml:space="preserve">23. Dispute Resolution and Governing Law</w:t>
      </w:r>
    </w:p>
    <w:p>
      <w:pPr>
        <w:tabs>
          <w:tab w:val="left" w:pos="720"/>
        </w:tabs>
        <w:spacing w:after="120" w:line="276"/>
        <w:ind w:left="720" w:hanging="720"/>
      </w:pPr>
      <w:r>
        <w:rPr>
          <w:rFonts w:ascii="Calibri" w:cs="Calibri" w:eastAsia="Calibri" w:hAnsi="Calibri"/>
          <w:b/>
          <w:bCs/>
          <w:sz w:val="22"/>
          <w:szCs w:val="22"/>
        </w:rPr>
        <w:t xml:space="preserve">23.1	</w:t>
      </w:r>
      <w:r>
        <w:rPr>
          <w:rFonts w:ascii="Calibri" w:cs="Calibri" w:eastAsia="Calibri" w:hAnsi="Calibri"/>
          <w:sz w:val="22"/>
          <w:szCs w:val="22"/>
        </w:rPr>
        <w:t xml:space="preserve">The Parties shall first attempt to resolve any dispute by good-faith negotiation between the Client Representative and the Developers within ten (10) Business Days of written notice of the dispute. If unresolved, the Parties shall attempt mediation in Ontario before commencing proceedings, save for urgent injunctive relief.</w:t>
      </w:r>
    </w:p>
    <w:p>
      <w:pPr>
        <w:tabs>
          <w:tab w:val="left" w:pos="720"/>
        </w:tabs>
        <w:spacing w:after="120" w:line="276"/>
        <w:ind w:left="720" w:hanging="720"/>
      </w:pPr>
      <w:r>
        <w:rPr>
          <w:rFonts w:ascii="Calibri" w:cs="Calibri" w:eastAsia="Calibri" w:hAnsi="Calibri"/>
          <w:b/>
          <w:bCs/>
          <w:sz w:val="22"/>
          <w:szCs w:val="22"/>
        </w:rPr>
        <w:t xml:space="preserve">23.2	</w:t>
      </w:r>
      <w:r>
        <w:rPr>
          <w:rFonts w:ascii="Calibri" w:cs="Calibri" w:eastAsia="Calibri" w:hAnsi="Calibri"/>
          <w:sz w:val="22"/>
          <w:szCs w:val="22"/>
        </w:rPr>
        <w:t xml:space="preserve">This MOU and any dispute or claim arising out of it are governed by the laws of the Province of Ontario and the federal laws of Canada applicable therein. The Parties submit to the exclusive jurisdiction of the courts of Ontario.</w:t>
      </w:r>
    </w:p>
    <w:p>
      <w:pPr>
        <w:pStyle w:val="Heading2"/>
        <w:keepNext/>
        <w:spacing w:after="120" w:before="240"/>
      </w:pPr>
      <w:r>
        <w:rPr>
          <w:rFonts w:ascii="Calibri" w:cs="Calibri" w:eastAsia="Calibri" w:hAnsi="Calibri"/>
          <w:b/>
          <w:bCs/>
          <w:color w:val="1F3A5F"/>
          <w:sz w:val="24"/>
          <w:szCs w:val="24"/>
        </w:rPr>
        <w:t xml:space="preserve">24. General</w:t>
      </w:r>
    </w:p>
    <w:p>
      <w:pPr>
        <w:tabs>
          <w:tab w:val="left" w:pos="720"/>
        </w:tabs>
        <w:spacing w:after="120" w:line="276"/>
        <w:ind w:left="720" w:hanging="720"/>
      </w:pPr>
      <w:r>
        <w:rPr>
          <w:rFonts w:ascii="Calibri" w:cs="Calibri" w:eastAsia="Calibri" w:hAnsi="Calibri"/>
          <w:b/>
          <w:bCs/>
          <w:sz w:val="22"/>
          <w:szCs w:val="22"/>
        </w:rPr>
        <w:t xml:space="preserve">24.1	</w:t>
      </w:r>
      <w:r>
        <w:rPr>
          <w:rFonts w:ascii="Calibri" w:cs="Calibri" w:eastAsia="Calibri" w:hAnsi="Calibri"/>
          <w:sz w:val="22"/>
          <w:szCs w:val="22"/>
        </w:rPr>
        <w:t xml:space="preserve">Entire agreement. This MOU, with its Schedules, constitutes the entire agreement between the Parties concerning the build phase of the Platform and supersedes all prior proposals, discussions, messages and status reports (including the Developers’ written response dated 2 September 2026, which is incorporated to the extent reflected herein).</w:t>
      </w:r>
    </w:p>
    <w:p>
      <w:pPr>
        <w:tabs>
          <w:tab w:val="left" w:pos="720"/>
        </w:tabs>
        <w:spacing w:after="120" w:line="276"/>
        <w:ind w:left="720" w:hanging="720"/>
      </w:pPr>
      <w:r>
        <w:rPr>
          <w:rFonts w:ascii="Calibri" w:cs="Calibri" w:eastAsia="Calibri" w:hAnsi="Calibri"/>
          <w:b/>
          <w:bCs/>
          <w:sz w:val="22"/>
          <w:szCs w:val="22"/>
        </w:rPr>
        <w:t xml:space="preserve">24.2	</w:t>
      </w:r>
      <w:r>
        <w:rPr>
          <w:rFonts w:ascii="Calibri" w:cs="Calibri" w:eastAsia="Calibri" w:hAnsi="Calibri"/>
          <w:sz w:val="22"/>
          <w:szCs w:val="22"/>
        </w:rPr>
        <w:t xml:space="preserve">Variation. No variation is effective unless in writing and signed by all Parties.</w:t>
      </w:r>
    </w:p>
    <w:p>
      <w:pPr>
        <w:tabs>
          <w:tab w:val="left" w:pos="720"/>
        </w:tabs>
        <w:spacing w:after="120" w:line="276"/>
        <w:ind w:left="720" w:hanging="720"/>
      </w:pPr>
      <w:r>
        <w:rPr>
          <w:rFonts w:ascii="Calibri" w:cs="Calibri" w:eastAsia="Calibri" w:hAnsi="Calibri"/>
          <w:b/>
          <w:bCs/>
          <w:sz w:val="22"/>
          <w:szCs w:val="22"/>
        </w:rPr>
        <w:t xml:space="preserve">24.3	</w:t>
      </w:r>
      <w:r>
        <w:rPr>
          <w:rFonts w:ascii="Calibri" w:cs="Calibri" w:eastAsia="Calibri" w:hAnsi="Calibri"/>
          <w:sz w:val="22"/>
          <w:szCs w:val="22"/>
        </w:rPr>
        <w:t xml:space="preserve">Assignment. The Developers may not assign or sub-contract any obligation without the Client’s prior written consent. The Client may assign this MOU to any affiliate or successor.</w:t>
      </w:r>
    </w:p>
    <w:p>
      <w:pPr>
        <w:tabs>
          <w:tab w:val="left" w:pos="720"/>
        </w:tabs>
        <w:spacing w:after="120" w:line="276"/>
        <w:ind w:left="720" w:hanging="720"/>
      </w:pPr>
      <w:r>
        <w:rPr>
          <w:rFonts w:ascii="Calibri" w:cs="Calibri" w:eastAsia="Calibri" w:hAnsi="Calibri"/>
          <w:b/>
          <w:bCs/>
          <w:sz w:val="22"/>
          <w:szCs w:val="22"/>
        </w:rPr>
        <w:t xml:space="preserve">24.4	</w:t>
      </w:r>
      <w:r>
        <w:rPr>
          <w:rFonts w:ascii="Calibri" w:cs="Calibri" w:eastAsia="Calibri" w:hAnsi="Calibri"/>
          <w:sz w:val="22"/>
          <w:szCs w:val="22"/>
        </w:rPr>
        <w:t xml:space="preserve">Notices. Notices shall be in writing and sent by email to the addresses in the signature block, with a copy by courier for any notice of breach or termination, and are deemed received on the next Business Day.</w:t>
      </w:r>
    </w:p>
    <w:p>
      <w:pPr>
        <w:tabs>
          <w:tab w:val="left" w:pos="720"/>
        </w:tabs>
        <w:spacing w:after="120" w:line="276"/>
        <w:ind w:left="720" w:hanging="720"/>
      </w:pPr>
      <w:r>
        <w:rPr>
          <w:rFonts w:ascii="Calibri" w:cs="Calibri" w:eastAsia="Calibri" w:hAnsi="Calibri"/>
          <w:b/>
          <w:bCs/>
          <w:sz w:val="22"/>
          <w:szCs w:val="22"/>
        </w:rPr>
        <w:t xml:space="preserve">24.5	</w:t>
      </w:r>
      <w:r>
        <w:rPr>
          <w:rFonts w:ascii="Calibri" w:cs="Calibri" w:eastAsia="Calibri" w:hAnsi="Calibri"/>
          <w:sz w:val="22"/>
          <w:szCs w:val="22"/>
        </w:rPr>
        <w:t xml:space="preserve">Severability. If any provision is held invalid, the remainder continues in force and the Parties shall negotiate a valid replacement giving effect to the original intent.</w:t>
      </w:r>
    </w:p>
    <w:p>
      <w:pPr>
        <w:tabs>
          <w:tab w:val="left" w:pos="720"/>
        </w:tabs>
        <w:spacing w:after="120" w:line="276"/>
        <w:ind w:left="720" w:hanging="720"/>
      </w:pPr>
      <w:r>
        <w:rPr>
          <w:rFonts w:ascii="Calibri" w:cs="Calibri" w:eastAsia="Calibri" w:hAnsi="Calibri"/>
          <w:b/>
          <w:bCs/>
          <w:sz w:val="22"/>
          <w:szCs w:val="22"/>
        </w:rPr>
        <w:t xml:space="preserve">24.6	</w:t>
      </w:r>
      <w:r>
        <w:rPr>
          <w:rFonts w:ascii="Calibri" w:cs="Calibri" w:eastAsia="Calibri" w:hAnsi="Calibri"/>
          <w:sz w:val="22"/>
          <w:szCs w:val="22"/>
        </w:rPr>
        <w:t xml:space="preserve">Counterparts and electronic signature. This MOU may be executed in counterparts and by electronic signature, each of which is an original and together constitute one instrument.</w:t>
      </w:r>
    </w:p>
    <w:p>
      <w:pPr>
        <w:tabs>
          <w:tab w:val="left" w:pos="720"/>
        </w:tabs>
        <w:spacing w:after="120" w:line="276"/>
        <w:ind w:left="720" w:hanging="720"/>
      </w:pPr>
      <w:r>
        <w:rPr>
          <w:rFonts w:ascii="Calibri" w:cs="Calibri" w:eastAsia="Calibri" w:hAnsi="Calibri"/>
          <w:b/>
          <w:bCs/>
          <w:sz w:val="22"/>
          <w:szCs w:val="22"/>
        </w:rPr>
        <w:t xml:space="preserve">24.7	</w:t>
      </w:r>
      <w:r>
        <w:rPr>
          <w:rFonts w:ascii="Calibri" w:cs="Calibri" w:eastAsia="Calibri" w:hAnsi="Calibri"/>
          <w:sz w:val="22"/>
          <w:szCs w:val="22"/>
        </w:rPr>
        <w:t xml:space="preserve">Non-binding intent statements. Only clauses 17.1 and 17.2 are statements of intent; all other provisions are legally binding.</w:t>
      </w:r>
    </w:p>
    <w:p>
      <w:r>
        <w:br w:type="page"/>
      </w:r>
    </w:p>
    <w:p>
      <w:pPr>
        <w:pStyle w:val="Heading1"/>
        <w:keepNext/>
        <w:spacing w:after="160" w:before="360"/>
      </w:pPr>
      <w:r>
        <w:rPr>
          <w:rFonts w:ascii="Calibri" w:cs="Calibri" w:eastAsia="Calibri" w:hAnsi="Calibri"/>
          <w:b/>
          <w:bCs/>
          <w:color w:val="1F3A5F"/>
          <w:sz w:val="28"/>
          <w:szCs w:val="28"/>
        </w:rPr>
        <w:t xml:space="preserve">Execution</w:t>
      </w:r>
    </w:p>
    <w:p>
      <w:pPr>
        <w:spacing w:after="120" w:line="276"/>
      </w:pPr>
      <w:r>
        <w:rPr>
          <w:rFonts w:ascii="Calibri" w:cs="Calibri" w:eastAsia="Calibri" w:hAnsi="Calibri"/>
          <w:sz w:val="22"/>
          <w:szCs w:val="22"/>
        </w:rPr>
        <w:t xml:space="preserve">Signed by the Parties on the dates stated below, each acknowledging that they have read and understood this MOU including all Schedules and have had the opportunity to obtain independent legal advice.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rPr>
          <w:cantSplit/>
        </w:trPr>
        <w:tc>
          <w:tcPr>
            <w:tcW w:type="dxa" w:w="482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60" w:before="200"/>
            </w:pPr>
            <w:r>
              <w:rPr>
                <w:rFonts w:ascii="Calibri" w:cs="Calibri" w:eastAsia="Calibri" w:hAnsi="Calibri"/>
                <w:b/>
                <w:bCs/>
                <w:sz w:val="22"/>
                <w:szCs w:val="22"/>
              </w:rPr>
              <w:t xml:space="preserve">For and on behalf of NISHAN TRANSPORT</w:t>
            </w:r>
          </w:p>
          <w:p>
            <w:pPr>
              <w:spacing w:after="120" w:line="276"/>
            </w:pPr>
            <w:r>
              <w:rPr>
                <w:rFonts w:ascii="Calibri" w:cs="Calibri" w:eastAsia="Calibri" w:hAnsi="Calibri"/>
                <w:sz w:val="22"/>
                <w:szCs w:val="22"/>
              </w:rPr>
              <w:t xml:space="preserve">Signature: </w:t>
            </w:r>
            <w:r>
              <w:rPr>
                <w:rFonts w:ascii="Calibri" w:cs="Calibri" w:eastAsia="Calibri" w:hAnsi="Calibri"/>
                <w:sz w:val="22"/>
                <w:szCs w:val="22"/>
              </w:rPr>
              <w:t xml:space="preserve">_______________________________________</w:t>
            </w:r>
          </w:p>
          <w:p>
            <w:pPr>
              <w:spacing w:after="120" w:line="276"/>
            </w:pPr>
            <w:r>
              <w:rPr>
                <w:rFonts w:ascii="Calibri" w:cs="Calibri" w:eastAsia="Calibri" w:hAnsi="Calibri"/>
                <w:sz w:val="22"/>
                <w:szCs w:val="22"/>
              </w:rPr>
              <w:t xml:space="preserve">Name: </w:t>
            </w:r>
            <w:r>
              <w:rPr>
                <w:rFonts w:ascii="Calibri" w:cs="Calibri" w:eastAsia="Calibri" w:hAnsi="Calibri"/>
                <w:b/>
                <w:bCs/>
                <w:sz w:val="22"/>
                <w:szCs w:val="22"/>
                <w:highlight w:val="yellow"/>
                <w:highlightCs w:val="yellow"/>
              </w:rPr>
              <w:t xml:space="preserve">[Full name — e.g. Nick ________]</w:t>
            </w:r>
          </w:p>
          <w:p>
            <w:pPr>
              <w:spacing w:after="120" w:line="276"/>
            </w:pPr>
            <w:r>
              <w:rPr>
                <w:rFonts w:ascii="Calibri" w:cs="Calibri" w:eastAsia="Calibri" w:hAnsi="Calibri"/>
                <w:sz w:val="22"/>
                <w:szCs w:val="22"/>
              </w:rPr>
              <w:t xml:space="preserve">Title / Capacity: </w:t>
            </w:r>
            <w:r>
              <w:rPr>
                <w:rFonts w:ascii="Calibri" w:cs="Calibri" w:eastAsia="Calibri" w:hAnsi="Calibri"/>
                <w:b/>
                <w:bCs/>
                <w:sz w:val="22"/>
                <w:szCs w:val="22"/>
                <w:highlight w:val="yellow"/>
                <w:highlightCs w:val="yellow"/>
              </w:rPr>
              <w:t xml:space="preserve">[Title, authorised signatory]</w:t>
            </w:r>
          </w:p>
          <w:p>
            <w:pPr>
              <w:spacing w:after="120" w:line="276"/>
            </w:pPr>
            <w:r>
              <w:rPr>
                <w:rFonts w:ascii="Calibri" w:cs="Calibri" w:eastAsia="Calibri" w:hAnsi="Calibri"/>
                <w:sz w:val="22"/>
                <w:szCs w:val="22"/>
              </w:rPr>
              <w:t xml:space="preserve">Email: </w:t>
            </w:r>
            <w:r>
              <w:rPr>
                <w:rFonts w:ascii="Calibri" w:cs="Calibri" w:eastAsia="Calibri" w:hAnsi="Calibri"/>
                <w:sz w:val="22"/>
                <w:szCs w:val="22"/>
              </w:rPr>
              <w:t xml:space="preserve">________________________________</w:t>
            </w:r>
          </w:p>
          <w:p>
            <w:pPr>
              <w:spacing w:after="120" w:line="276"/>
            </w:pPr>
            <w:r>
              <w:rPr>
                <w:rFonts w:ascii="Calibri" w:cs="Calibri" w:eastAsia="Calibri" w:hAnsi="Calibri"/>
                <w:sz w:val="22"/>
                <w:szCs w:val="22"/>
              </w:rPr>
              <w:t xml:space="preserve">Date: </w:t>
            </w:r>
            <w:r>
              <w:rPr>
                <w:rFonts w:ascii="Calibri" w:cs="Calibri" w:eastAsia="Calibri" w:hAnsi="Calibri"/>
                <w:sz w:val="22"/>
                <w:szCs w:val="22"/>
              </w:rPr>
              <w:t xml:space="preserve">____ / ____ / 2026</w:t>
            </w:r>
          </w:p>
        </w:tc>
        <w:tc>
          <w:tcPr>
            <w:tcW w:type="dxa" w:w="482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60" w:before="200"/>
            </w:pPr>
            <w:r>
              <w:rPr>
                <w:rFonts w:ascii="Calibri" w:cs="Calibri" w:eastAsia="Calibri" w:hAnsi="Calibri"/>
                <w:b/>
                <w:bCs/>
                <w:sz w:val="22"/>
                <w:szCs w:val="22"/>
              </w:rPr>
              <w:t xml:space="preserve">NISHANTPREET SINGH</w:t>
            </w:r>
          </w:p>
          <w:p>
            <w:pPr>
              <w:spacing w:after="120" w:line="276"/>
            </w:pPr>
            <w:r>
              <w:rPr>
                <w:rFonts w:ascii="Calibri" w:cs="Calibri" w:eastAsia="Calibri" w:hAnsi="Calibri"/>
                <w:sz w:val="22"/>
                <w:szCs w:val="22"/>
              </w:rPr>
              <w:t xml:space="preserve">Signature: </w:t>
            </w:r>
            <w:r>
              <w:rPr>
                <w:rFonts w:ascii="Calibri" w:cs="Calibri" w:eastAsia="Calibri" w:hAnsi="Calibri"/>
                <w:sz w:val="22"/>
                <w:szCs w:val="22"/>
              </w:rPr>
              <w:t xml:space="preserve">_______________________________________</w:t>
            </w:r>
          </w:p>
          <w:p>
            <w:pPr>
              <w:spacing w:after="120" w:line="276"/>
            </w:pPr>
            <w:r>
              <w:rPr>
                <w:rFonts w:ascii="Calibri" w:cs="Calibri" w:eastAsia="Calibri" w:hAnsi="Calibri"/>
                <w:sz w:val="22"/>
                <w:szCs w:val="22"/>
              </w:rPr>
              <w:t xml:space="preserve">Name: </w:t>
            </w:r>
            <w:r>
              <w:rPr>
                <w:rFonts w:ascii="Calibri" w:cs="Calibri" w:eastAsia="Calibri" w:hAnsi="Calibri"/>
                <w:sz w:val="22"/>
                <w:szCs w:val="22"/>
              </w:rPr>
              <w:t xml:space="preserve">Nishantpreet Singh</w:t>
            </w:r>
          </w:p>
          <w:p>
            <w:pPr>
              <w:spacing w:after="120" w:line="276"/>
            </w:pPr>
            <w:r>
              <w:rPr>
                <w:rFonts w:ascii="Calibri" w:cs="Calibri" w:eastAsia="Calibri" w:hAnsi="Calibri"/>
                <w:sz w:val="22"/>
                <w:szCs w:val="22"/>
              </w:rPr>
              <w:t xml:space="preserve">Title / Capacity: </w:t>
            </w:r>
            <w:r>
              <w:rPr>
                <w:rFonts w:ascii="Calibri" w:cs="Calibri" w:eastAsia="Calibri" w:hAnsi="Calibri"/>
                <w:sz w:val="22"/>
                <w:szCs w:val="22"/>
              </w:rPr>
              <w:t xml:space="preserve">Developer (independent contractor), signing in a personal capacity</w:t>
            </w:r>
          </w:p>
          <w:p>
            <w:pPr>
              <w:spacing w:after="120" w:line="276"/>
            </w:pPr>
            <w:r>
              <w:rPr>
                <w:rFonts w:ascii="Calibri" w:cs="Calibri" w:eastAsia="Calibri" w:hAnsi="Calibri"/>
                <w:sz w:val="22"/>
                <w:szCs w:val="22"/>
              </w:rPr>
              <w:t xml:space="preserve">Email: </w:t>
            </w:r>
            <w:r>
              <w:rPr>
                <w:rFonts w:ascii="Calibri" w:cs="Calibri" w:eastAsia="Calibri" w:hAnsi="Calibri"/>
                <w:sz w:val="22"/>
                <w:szCs w:val="22"/>
              </w:rPr>
              <w:t xml:space="preserve">________________________________</w:t>
            </w:r>
          </w:p>
          <w:p>
            <w:pPr>
              <w:spacing w:after="120" w:line="276"/>
            </w:pPr>
            <w:r>
              <w:rPr>
                <w:rFonts w:ascii="Calibri" w:cs="Calibri" w:eastAsia="Calibri" w:hAnsi="Calibri"/>
                <w:sz w:val="22"/>
                <w:szCs w:val="22"/>
              </w:rPr>
              <w:t xml:space="preserve">Date: </w:t>
            </w:r>
            <w:r>
              <w:rPr>
                <w:rFonts w:ascii="Calibri" w:cs="Calibri" w:eastAsia="Calibri" w:hAnsi="Calibri"/>
                <w:sz w:val="22"/>
                <w:szCs w:val="22"/>
              </w:rPr>
              <w:t xml:space="preserve">____ / ____ / 2026</w:t>
            </w:r>
          </w:p>
        </w:tc>
      </w:tr>
    </w:tbl>
    <w:p>
      <w:pPr>
        <w:spacing w:after="80"/>
      </w:pP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rPr>
          <w:cantSplit/>
        </w:trPr>
        <w:tc>
          <w:tcPr>
            <w:tcW w:type="dxa" w:w="482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60" w:before="200"/>
            </w:pPr>
            <w:r>
              <w:rPr>
                <w:rFonts w:ascii="Calibri" w:cs="Calibri" w:eastAsia="Calibri" w:hAnsi="Calibri"/>
                <w:b/>
                <w:bCs/>
                <w:sz w:val="22"/>
                <w:szCs w:val="22"/>
              </w:rPr>
              <w:t xml:space="preserve">SHUBHAM BANSAL</w:t>
            </w:r>
          </w:p>
          <w:p>
            <w:pPr>
              <w:spacing w:after="120" w:line="276"/>
            </w:pPr>
            <w:r>
              <w:rPr>
                <w:rFonts w:ascii="Calibri" w:cs="Calibri" w:eastAsia="Calibri" w:hAnsi="Calibri"/>
                <w:sz w:val="22"/>
                <w:szCs w:val="22"/>
              </w:rPr>
              <w:t xml:space="preserve">Signature: </w:t>
            </w:r>
            <w:r>
              <w:rPr>
                <w:rFonts w:ascii="Calibri" w:cs="Calibri" w:eastAsia="Calibri" w:hAnsi="Calibri"/>
                <w:sz w:val="22"/>
                <w:szCs w:val="22"/>
              </w:rPr>
              <w:t xml:space="preserve">_______________________________________</w:t>
            </w:r>
          </w:p>
          <w:p>
            <w:pPr>
              <w:spacing w:after="120" w:line="276"/>
            </w:pPr>
            <w:r>
              <w:rPr>
                <w:rFonts w:ascii="Calibri" w:cs="Calibri" w:eastAsia="Calibri" w:hAnsi="Calibri"/>
                <w:sz w:val="22"/>
                <w:szCs w:val="22"/>
              </w:rPr>
              <w:t xml:space="preserve">Name: </w:t>
            </w:r>
            <w:r>
              <w:rPr>
                <w:rFonts w:ascii="Calibri" w:cs="Calibri" w:eastAsia="Calibri" w:hAnsi="Calibri"/>
                <w:sz w:val="22"/>
                <w:szCs w:val="22"/>
              </w:rPr>
              <w:t xml:space="preserve">Shubham Bansal</w:t>
            </w:r>
          </w:p>
          <w:p>
            <w:pPr>
              <w:spacing w:after="120" w:line="276"/>
            </w:pPr>
            <w:r>
              <w:rPr>
                <w:rFonts w:ascii="Calibri" w:cs="Calibri" w:eastAsia="Calibri" w:hAnsi="Calibri"/>
                <w:sz w:val="22"/>
                <w:szCs w:val="22"/>
              </w:rPr>
              <w:t xml:space="preserve">Title / Capacity: </w:t>
            </w:r>
            <w:r>
              <w:rPr>
                <w:rFonts w:ascii="Calibri" w:cs="Calibri" w:eastAsia="Calibri" w:hAnsi="Calibri"/>
                <w:sz w:val="22"/>
                <w:szCs w:val="22"/>
              </w:rPr>
              <w:t xml:space="preserve">Developer (independent contractor), signing in a personal capacity</w:t>
            </w:r>
          </w:p>
          <w:p>
            <w:pPr>
              <w:spacing w:after="120" w:line="276"/>
            </w:pPr>
            <w:r>
              <w:rPr>
                <w:rFonts w:ascii="Calibri" w:cs="Calibri" w:eastAsia="Calibri" w:hAnsi="Calibri"/>
                <w:sz w:val="22"/>
                <w:szCs w:val="22"/>
              </w:rPr>
              <w:t xml:space="preserve">Email: </w:t>
            </w:r>
            <w:r>
              <w:rPr>
                <w:rFonts w:ascii="Calibri" w:cs="Calibri" w:eastAsia="Calibri" w:hAnsi="Calibri"/>
                <w:sz w:val="22"/>
                <w:szCs w:val="22"/>
              </w:rPr>
              <w:t xml:space="preserve">________________________________</w:t>
            </w:r>
          </w:p>
          <w:p>
            <w:pPr>
              <w:spacing w:after="120" w:line="276"/>
            </w:pPr>
            <w:r>
              <w:rPr>
                <w:rFonts w:ascii="Calibri" w:cs="Calibri" w:eastAsia="Calibri" w:hAnsi="Calibri"/>
                <w:sz w:val="22"/>
                <w:szCs w:val="22"/>
              </w:rPr>
              <w:t xml:space="preserve">Date: </w:t>
            </w:r>
            <w:r>
              <w:rPr>
                <w:rFonts w:ascii="Calibri" w:cs="Calibri" w:eastAsia="Calibri" w:hAnsi="Calibri"/>
                <w:sz w:val="22"/>
                <w:szCs w:val="22"/>
              </w:rPr>
              <w:t xml:space="preserve">____ / ____ / 2026</w:t>
            </w:r>
          </w:p>
        </w:tc>
        <w:tc>
          <w:tcPr>
            <w:tcW w:type="dxa" w:w="482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60" w:before="200"/>
            </w:pPr>
            <w:r>
              <w:rPr>
                <w:rFonts w:ascii="Calibri" w:cs="Calibri" w:eastAsia="Calibri" w:hAnsi="Calibri"/>
                <w:b/>
                <w:bCs/>
                <w:sz w:val="22"/>
                <w:szCs w:val="22"/>
              </w:rPr>
              <w:t xml:space="preserve">WITNESS (optional)</w:t>
            </w:r>
          </w:p>
          <w:p>
            <w:pPr>
              <w:spacing w:after="120" w:line="276"/>
            </w:pPr>
            <w:r>
              <w:rPr>
                <w:rFonts w:ascii="Calibri" w:cs="Calibri" w:eastAsia="Calibri" w:hAnsi="Calibri"/>
                <w:sz w:val="22"/>
                <w:szCs w:val="22"/>
              </w:rPr>
              <w:t xml:space="preserve">Signature: </w:t>
            </w:r>
            <w:r>
              <w:rPr>
                <w:rFonts w:ascii="Calibri" w:cs="Calibri" w:eastAsia="Calibri" w:hAnsi="Calibri"/>
                <w:sz w:val="22"/>
                <w:szCs w:val="22"/>
              </w:rPr>
              <w:t xml:space="preserve">_______________________________________</w:t>
            </w:r>
          </w:p>
          <w:p>
            <w:pPr>
              <w:spacing w:after="120" w:line="276"/>
            </w:pPr>
            <w:r>
              <w:rPr>
                <w:rFonts w:ascii="Calibri" w:cs="Calibri" w:eastAsia="Calibri" w:hAnsi="Calibri"/>
                <w:sz w:val="22"/>
                <w:szCs w:val="22"/>
              </w:rPr>
              <w:t xml:space="preserve">Name: </w:t>
            </w:r>
            <w:r>
              <w:rPr>
                <w:rFonts w:ascii="Calibri" w:cs="Calibri" w:eastAsia="Calibri" w:hAnsi="Calibri"/>
                <w:b/>
                <w:bCs/>
                <w:sz w:val="22"/>
                <w:szCs w:val="22"/>
                <w:highlight w:val="yellow"/>
                <w:highlightCs w:val="yellow"/>
              </w:rPr>
              <w:t xml:space="preserve">[Full name]</w:t>
            </w:r>
          </w:p>
          <w:p>
            <w:pPr>
              <w:spacing w:after="120" w:line="276"/>
            </w:pPr>
            <w:r>
              <w:rPr>
                <w:rFonts w:ascii="Calibri" w:cs="Calibri" w:eastAsia="Calibri" w:hAnsi="Calibri"/>
                <w:sz w:val="22"/>
                <w:szCs w:val="22"/>
              </w:rPr>
              <w:t xml:space="preserve">Title / Capacity: </w:t>
            </w:r>
            <w:r>
              <w:rPr>
                <w:rFonts w:ascii="Calibri" w:cs="Calibri" w:eastAsia="Calibri" w:hAnsi="Calibri"/>
                <w:b/>
                <w:bCs/>
                <w:sz w:val="22"/>
                <w:szCs w:val="22"/>
                <w:highlight w:val="yellow"/>
                <w:highlightCs w:val="yellow"/>
              </w:rPr>
              <w:t xml:space="preserve">[Occupation]</w:t>
            </w:r>
          </w:p>
          <w:p>
            <w:pPr>
              <w:spacing w:after="120" w:line="276"/>
            </w:pPr>
            <w:r>
              <w:rPr>
                <w:rFonts w:ascii="Calibri" w:cs="Calibri" w:eastAsia="Calibri" w:hAnsi="Calibri"/>
                <w:sz w:val="22"/>
                <w:szCs w:val="22"/>
              </w:rPr>
              <w:t xml:space="preserve">Email: </w:t>
            </w:r>
            <w:r>
              <w:rPr>
                <w:rFonts w:ascii="Calibri" w:cs="Calibri" w:eastAsia="Calibri" w:hAnsi="Calibri"/>
                <w:sz w:val="22"/>
                <w:szCs w:val="22"/>
              </w:rPr>
              <w:t xml:space="preserve">________________________________</w:t>
            </w:r>
          </w:p>
          <w:p>
            <w:pPr>
              <w:spacing w:after="120" w:line="276"/>
            </w:pPr>
            <w:r>
              <w:rPr>
                <w:rFonts w:ascii="Calibri" w:cs="Calibri" w:eastAsia="Calibri" w:hAnsi="Calibri"/>
                <w:sz w:val="22"/>
                <w:szCs w:val="22"/>
              </w:rPr>
              <w:t xml:space="preserve">Date: </w:t>
            </w:r>
            <w:r>
              <w:rPr>
                <w:rFonts w:ascii="Calibri" w:cs="Calibri" w:eastAsia="Calibri" w:hAnsi="Calibri"/>
                <w:sz w:val="22"/>
                <w:szCs w:val="22"/>
              </w:rPr>
              <w:t xml:space="preserve">____ / ____ / 2026</w:t>
            </w:r>
          </w:p>
        </w:tc>
      </w:tr>
    </w:tbl>
    <w:p>
      <w:r>
        <w:br w:type="page"/>
      </w:r>
    </w:p>
    <w:p>
      <w:pPr>
        <w:pStyle w:val="Heading1"/>
        <w:keepNext/>
        <w:spacing w:after="160" w:before="360"/>
      </w:pPr>
      <w:r>
        <w:rPr>
          <w:rFonts w:ascii="Calibri" w:cs="Calibri" w:eastAsia="Calibri" w:hAnsi="Calibri"/>
          <w:b/>
          <w:bCs/>
          <w:color w:val="1F3A5F"/>
          <w:sz w:val="28"/>
          <w:szCs w:val="28"/>
        </w:rPr>
        <w:t xml:space="preserve">Schedule A — Platform Feature Inventory</w:t>
      </w:r>
    </w:p>
    <w:p>
      <w:pPr>
        <w:spacing w:after="120" w:line="276"/>
      </w:pPr>
      <w:r>
        <w:rPr>
          <w:rFonts w:ascii="Calibri" w:cs="Calibri" w:eastAsia="Calibri" w:hAnsi="Calibri"/>
          <w:sz w:val="22"/>
          <w:szCs w:val="22"/>
        </w:rPr>
        <w:t xml:space="preserve">This Schedule lists every module and feature of the Platform that forms part of the Fees. Status is as recorded from the repository at the Effective Date and shall be confirmed jointly by the Parties at the start of UAT. </w:t>
      </w:r>
      <w:r>
        <w:rPr>
          <w:rFonts w:ascii="Calibri" w:cs="Calibri" w:eastAsia="Calibri" w:hAnsi="Calibri"/>
          <w:b/>
          <w:bCs/>
          <w:sz w:val="22"/>
          <w:szCs w:val="22"/>
        </w:rPr>
        <w:t xml:space="preserve">Legend: </w:t>
      </w:r>
      <w:r>
        <w:rPr>
          <w:rFonts w:ascii="Calibri" w:cs="Calibri" w:eastAsia="Calibri" w:hAnsi="Calibri"/>
          <w:sz w:val="22"/>
          <w:szCs w:val="22"/>
        </w:rPr>
        <w:t xml:space="preserve">Complete = built and deployed to staging; Verify = built, final wiring or live-data verification outstanding and to be closed in Week 1 of Schedule B.</w:t>
      </w:r>
    </w:p>
    <w:p>
      <w:pPr>
        <w:pStyle w:val="Heading3"/>
        <w:keepNext/>
        <w:spacing w:after="80" w:before="200"/>
      </w:pPr>
      <w:r>
        <w:rPr>
          <w:rFonts w:ascii="Calibri" w:cs="Calibri" w:eastAsia="Calibri" w:hAnsi="Calibri"/>
          <w:b/>
          <w:bCs/>
          <w:color w:val="555555"/>
          <w:sz w:val="22"/>
          <w:szCs w:val="22"/>
        </w:rPr>
        <w:t xml:space="preserve">A1. Platform Foundation, Security and Access Control</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User authentication</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Username/password login with JWT session tokens, bcrypt-hashed passwords, automatic redirect to login on session expiry (401 interceptor), protected routes.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Role-based access control</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Roles: super_admin, admin, dispatcher, driver, driver_manager, warehouse_manager, hr, safety, customs, customer. Per-user “allowed modules” list controls which navigation items and pages each user may open. Server-side authorisation middleware on every route group.</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A1.3</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User &amp; staff administration</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Create, edit, deactivate and reset passwords for staff users; assign roles and module permissions (HR page).</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A1.4</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Module navigation shell</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Responsive left navigation with 16 operational modules, user profile, theme and quick links.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A1.5</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Audit logging service</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Automatic recording of who changed what and when for loads, trips, drivers, customers and invoices (audit_logs table, auditLogger service).</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A1.6</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Database &amp; migrations</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PostgreSQL schema of 40+ tables (users, customers, drivers, trucks, trailers, loads, load_stops, load_legs, documents, notifications, ai_logs, locations, trips, trip_loads, HOS logs, driver_documents, safety_incidents, invoices, messages, customs_clearance, audit_logs, driver_settlements &amp; line items, warehouse intake, customer portal, tracking tokens, saved filters, BorderConnect filings, geofence events, detention events, route_notes, load_journey). Migrations run automatically at server start.</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A1.7</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Notification engine</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In-app notifications, email notifications via SMTP (nodemailer), live push to browser via WebSocket / Server-Sent Events, customer notification preferences.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A1.8</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Deployment pipeline</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Git-push continuous deployment: Vercel (front-end) and Render (API); environment-variable-only secrets; SPA rewrites and cache headers; local development runner (start-all scripts, concurrently).</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A2. Live Dispatch (Dispatcher Dashboard)</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Load board</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Central list of all loads with status, customer, origin/destination, driver, truck/trailer and dates; pagination, free-text search, column sorting and saved filters per user.</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Verify</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Load creation &amp; editing</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Full load record: customer, shipper/consignee with cities, commodity, weight, pieces, cube volume, rate, reference numbers, pickup/delivery dates, equipment, special instructions.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A2.3</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Multi-stop loads</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Unlimited pickup / intermediate / delivery stops per load with sequence, appointment windows, arrival and departure timestamps.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A2.4</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Shipment details modal</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Consolidated view of a load: info section, stops, documents, customs profile, journey timeline, route tab, history.</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A2.5</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Trips &amp; trip cards</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Group loads into trips assigned to a driver/truck/trailer; trip detail modal with legs section; trip cards on dashboard.</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A2.6</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Relay / multi-leg loads</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Split a load into legs with different drivers and hand-off points (Freight Force consolidation, cross-dock); add, replace, edit and delete legs with validation; settlement lines generated per leg.</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Verify</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A2.7</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Multi-stop route builder</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Modal to build and reorder a multi-stop route for a trip with geocoded stops.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A2.8</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AI driver–load matcher</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Gemini-assisted ranking of available drivers for a load using live Samsara position, HOS remaining, home base, equipment and performance history; shows factor breakdown; one-click auto-assign.</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Verify</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A2.9</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AI load tender ingestion</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Upload a customer tender / rate confirmation PDF or image; Gemini extracts shipper, consignee, dates, commodity, weight, rate and references into a pre-filled load form for review.</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A2.10</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Gmail intake &amp; load confirmation pipeline</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IMAP monitoring of a dispatch mailbox; attachments recognised as load confirmations are parsed and queued as draft loads automatically (automation worker).</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Load status engine</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Standardised status lifecycle (planned → assigned → dispatched → at pickup → in transit → at warehouse → at Freight Force → in delivery → delivered / delayed / cancelled) with automatic customer notifications and tracking-history entries.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Load journey audit trail</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Timeline of every movement of a load across warehouses, hand-offs and drivers with driver, timestamp and notes; colour-coded statuses.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A2.13</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Freight Force alert</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Global red alert badge listing all loads awaiting consolidation at Freight Force with recall / reassign actions.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A2.14</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Route visualisation (Waypoints &amp; Route AI tab)</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Route overview (distance, drive time, toll and fuel estimate), stops timeline with cumulative ETA and dwell, alternative route options (primary, toll-free, heavy-haul), historical transit times on the same lane from delivered loads, persistent driver route notes.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A2.15</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Document templates &amp; uploads</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Generate rate confirmations / dispatch sheets from templates; upload BOL, POD, customs and other documents to Supabase Storage against a load.</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A2.16</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Entity history</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View change history for any load, trip, driver or customer record.</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A2.17</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WhatsApp-style chat hub</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Dispatcher-side messaging panel to drivers embedded in the dispatch screen (messages table).</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A2.18</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Data entry page</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Dedicated fast-entry screen for administrative load data input.</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A3. Kanban Freight Pipeline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A3.1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Kanban board</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Loads displayed as cards in status columns; drag-and-drop between columns updates load status and triggers notifications.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A3.2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Kanban cards</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Card shows customer, lane, driver, dates and alerts; click-through to shipment details.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A4. Nishan Driver App (web + Android)</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A4.1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Driver landing experience</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Driver-role logins land directly on the standalone driver screen; other staff routes hidden.</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A4.2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Active load card</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Current assignment with stops, addresses, appointment times, commodity and instructions; navigate-to-stop link.</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A4.3</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Pickup &amp; delivery workflow</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Guided modals to confirm arrival, loaded/unloaded, piece counts, exceptions and signature/photo capture; updates load status and stop timestamps.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A4.4</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Live GPS monitor</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Continuous device geolocation (browser watchPosition / Capacitor Geolocation) posted to the API for live tracking and geofence detection.</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Verify</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A4.5</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HOS clock widget</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Displays remaining drive, on-duty and cycle hours for the driver.</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A4.6</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Document scanner &amp; camera batch upload</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Capture BOL / POD / receipts with the camera, batch upload to the load’s document store.</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A4.7</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Pay tab</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Driver views own settlements and pay lines per leg (load number, lane, miles, rate, amount).</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Verify</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A4.8</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Driver chat drawer</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In-app messaging with dispatch.</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A4.9</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SOS beacon</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Emergency button sending driver position and alert to dispatch.</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A4.10</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Android packaging</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Capacitor Android project (com.nishantransport.driver, “Nishan Driver”), build guide, API base configuration for device builds, geolocation plugin.</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Verify</w:t>
            </w:r>
          </w:p>
        </w:tc>
      </w:tr>
    </w:tbl>
    <w:p>
      <w:pPr>
        <w:pStyle w:val="Heading3"/>
        <w:keepNext/>
        <w:spacing w:after="80" w:before="200"/>
      </w:pPr>
      <w:r>
        <w:rPr>
          <w:rFonts w:ascii="Calibri" w:cs="Calibri" w:eastAsia="Calibri" w:hAnsi="Calibri"/>
          <w:b/>
          <w:bCs/>
          <w:color w:val="555555"/>
          <w:sz w:val="22"/>
          <w:szCs w:val="22"/>
        </w:rPr>
        <w:t xml:space="preserve">A5. Driver Manager Hub</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A5.1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Driver roster &amp; availability</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List all drivers with status, current load, HOS remaining, home base and equipment.</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A5.2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Reassignment</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Reassign loads between drivers manually or via the AI matcher.</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Verify</w:t>
            </w:r>
          </w:p>
        </w:tc>
      </w:tr>
    </w:tbl>
    <w:p>
      <w:pPr>
        <w:pStyle w:val="Heading3"/>
        <w:keepNext/>
        <w:spacing w:after="80" w:before="200"/>
      </w:pPr>
      <w:r>
        <w:rPr>
          <w:rFonts w:ascii="Calibri" w:cs="Calibri" w:eastAsia="Calibri" w:hAnsi="Calibri"/>
          <w:b/>
          <w:bCs/>
          <w:color w:val="555555"/>
          <w:sz w:val="22"/>
          <w:szCs w:val="22"/>
        </w:rPr>
        <w:t xml:space="preserve">A6. Driver HR &amp; Fleet</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A6.1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Driver records</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Driver profiles with licence, contact, employment, pay type, home base and linked user login.</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A6.2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Driver documents &amp; expiry tracking</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Licence, medical, permits and training documents with expiry dates and alerts.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A6.3</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Trucks &amp; trailers</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Fleet asset registers (units, plates, VIN, type, capacity, Samsara link) with expanded fleet fields.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A6.4</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Staff user management</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Create staff/portal users, assign roles and modules (see A1.3).</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A7. Safety &amp; Hours of Service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A7.1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HOS logs</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Driver HOS log viewing and reporting (hos_remaining_hours etc.).</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Verify</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A7.2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HOS trip feasibility simulator</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Simulates a proposed trip against US FMCSA 49 CFR 395 (11-hour driving, 14-hour window, 30-minute break, 60/70-hour cycle) and Canadian rules (13-hour driving, 14-hour on-duty, cycle limits) to flag infeasible dispatches.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A7.3</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Safety incidents</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Record and manage accidents, violations and inspections against drivers and units.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A8. Cross-Dock Warehouse Management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A8.1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Warehouse intake</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Warehouse-manager screen to receive loads: bay/location, intake condition, notes, received flag and timestamp, warehouse manager attribution.</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A8.2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Warehouse status flow</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at_warehouse status integrated with load journey and Freight Force alerts.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A9. Customs Clearance (PAPS / PARS) &amp; Cross-Border</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A9.1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Customs profile per load</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PAPS/PARS numbers, broker, port of entry, commodity HTS codes with autocomplete, shipper/consignee customs details.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A9.2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Customs manifest</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Generate ACE / ACI e-manifest data and manifest document.</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A9.3</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BorderConnect e-manifest filing</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Submit manifests to BorderConnect API with honest status lifecycle DRAFT → SENT → ACCEPTED / REJECTED / ERROR and response logging.</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A9.4</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Customs receipt role</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Restricted customs_receipt permission for document receipt handling.</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A10. Customer Portal &amp; Rate Requests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A10.1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Portal login</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Separate customer authentication and error boundary (white-screen prevention).</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A10.2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Portal dashboard</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Customer sees their rate requests and loads with status.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A10.3</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Rate request form</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Customer submits lane, dates, equipment, commodity and weight for a quote.</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A10.4</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Portal load detail</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Customer uploads tender documents (parsed by Gemini AI) and customs documents against a load.</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A10.5</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Dispatcher rate-request desk</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Staff list of incoming requests, inline quoting, status updates, live SSE alerts on new requests.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A10.6</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Customer records</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Customer master data, contacts, notification preferences and detention settings.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A11. Public Customer Tracking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A11.1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Tokenised tracking link</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Each load has a unique tracking token; public page /track/:token requires no login.</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A11.2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Tracking page</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Status history, ETA, last known position, delivered timestamp and stop progress for the customer.</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Verify</w:t>
            </w:r>
          </w:p>
        </w:tc>
      </w:tr>
    </w:tbl>
    <w:p>
      <w:pPr>
        <w:pStyle w:val="Heading3"/>
        <w:keepNext/>
        <w:spacing w:after="80" w:before="200"/>
      </w:pPr>
      <w:r>
        <w:rPr>
          <w:rFonts w:ascii="Calibri" w:cs="Calibri" w:eastAsia="Calibri" w:hAnsi="Calibri"/>
          <w:b/>
          <w:bCs/>
          <w:color w:val="555555"/>
          <w:sz w:val="22"/>
          <w:szCs w:val="22"/>
        </w:rPr>
        <w:t xml:space="preserve">A12. Predictive Live ETA &amp; Weather Radar</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A12.1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Border wait times</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Live US CBP and Canadian CBSA port directory and current wait times.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A12.2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Weather alerts</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US National Weather Service alerts along active routes.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A12.3</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Predictive ETA</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ETA adjustment combining route distance, border waits and weather.</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A13. Samsara Fleet Radar &amp; AI Routing (Telematics)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A13.1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Live fleet map</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Real-time vehicle positions from Samsara on a Leaflet map with unit, driver and load overlay.</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A13.2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Geofence worker</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Scheduled worker (every 3 minutes, configurable radius) detects arrival/departure at load stops from Samsara positions and stamps stop timestamps; geofence_events table.</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A13.3</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AI route assignment</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Route/driver assignment suggestions using telematics data.</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A13.4</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Graceful degradation</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All Samsara features degrade cleanly when no API token is configured.</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A14. Facility Detention &amp; Accessorial Tracker</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A14.1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Detention detection</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Detention events created automatically from geofence dwell beyond the customer’s free time.</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A14.2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Customer detention settings</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Free-time minutes and hourly detention rate per customer.</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A14.3</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Detention billing &amp; notifications</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Detention charges calculated, notified to dispatch and available to invoicing.</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A15. PC*MILER Routing, Tolls &amp; IFTA</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A15.1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Route map &amp; modal</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Truck-legal routing with map display and route summary (miles, time, tolls).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A15.2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Turn-by-turn road plan</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Printable turn-by-turn directions.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A15.3</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Trip sheet print</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Printable trip sheet for drivers.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A15.4</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Border crossings &amp; toll plazas</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Reference data of official US/Canada crossings and toll plazas used in routing.</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A15.5</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IFTA mile slicer &amp; tax engine</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Jurisdiction-by-jurisdiction mileage along the route with per-gallon tax rates for US states and Canadian provinces.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A16. Predictive Fleet Maintenance &amp; DTC Radar</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A16.1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Engine fault radar</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Live Samsara J1939 diagnostic trouble codes per unit with severity.</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A16.2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Predictive maintenance</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Service due predictions from odometer / engine hours and fault trends.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A17. Freight Billing &amp; Invoicing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A17.1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Invoice generation</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Create invoices from delivered loads including linehaul, fuel surcharge, detention and accessorials.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A17.2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Invoice management</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Status (draft, sent, paid, overdue), customer statements, AR ageing feeding executive analytics.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A18. Driver Settlements &amp; Payroll</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A18.1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Settlement generation</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Generate driver settlements for a period from completed legs/loads with line items (miles, rate, amount) and deductions.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A18.2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Pay stub</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Printable pay-stub modal per settlement.</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A18.3</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Driver self-service</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Drivers view their own settlements (see A4.7).</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A19. Executive Analytics &amp; Reporting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A19.1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P&amp;L tab</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Revenue, cost and margin by period, lane and customer.</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A19.2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AR &amp; cash-flow tab</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Receivables ageing and cash-flow projection from invoices.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A19.3</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Fleet utilisation tab</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Utilisation of trucks, trailers and drivers.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A19.4</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Customs compliance tab</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Filing status and compliance metrics.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A19.5</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AI forecast tab</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Gemini-generated forecast and narrative commentary.</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A20. Audit Trail &amp; Change History Radar</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A20.1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Audit log page</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Searchable log of all data changes with user, entity, before/after and timestamp.</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pStyle w:val="Heading3"/>
        <w:keepNext/>
        <w:spacing w:after="80" w:before="200"/>
      </w:pPr>
      <w:r>
        <w:rPr>
          <w:rFonts w:ascii="Calibri" w:cs="Calibri" w:eastAsia="Calibri" w:hAnsi="Calibri"/>
          <w:b/>
          <w:bCs/>
          <w:color w:val="555555"/>
          <w:sz w:val="22"/>
          <w:szCs w:val="22"/>
        </w:rPr>
        <w:t xml:space="preserve">A21. DispatchChat Messaging Application (drivers &amp; dispatch)</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2282"/>
        <w:gridCol w:w="5395"/>
        <w:gridCol w:w="1037"/>
      </w:tblGrid>
      <w:tr>
        <w:trPr>
          <w:tblHeader/>
        </w:trPr>
        <w:tc>
          <w:tcPr>
            <w:tcW w:type="dxa" w:w="934"/>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Ref</w:t>
            </w:r>
          </w:p>
        </w:tc>
        <w:tc>
          <w:tcPr>
            <w:tcW w:type="dxa" w:w="228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Feature</w:t>
            </w:r>
          </w:p>
        </w:tc>
        <w:tc>
          <w:tcPr>
            <w:tcW w:type="dxa" w:w="539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Description</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Accounts &amp; admin</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Sign-up / sign-in, profile update, admin user creation, password reset, role changes, deletion, mapping of chat users to Dispatch (Supabase) driver IDs, driver duty status.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A21.2</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One-to-one messaging</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Real-time text and media messages (Socket.io) with read receipts, typing indicators, reactions, edit, pin and delete.</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A21.3</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Group chats</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Create groups, manage members, rename/update, archive; per-driver load groups.</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A21.4</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Broadcast</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Send an announcement to all or selected drivers.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A21.5</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Voice &amp; video calls</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WebRTC calling with signalling (call, answer, ICE, reject, hang-up) and call overlay UI.</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A21.6</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Status / stories</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Post and view time-limited status updates.</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A21.7</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Load cards in chat</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Supabase webhook posts load and delivery cards into the driver’s group automatically when loads are assigned or change; drivers update status from the card.</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A21.8</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BOL / document upload from chat</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Drivers upload BOL and other documents in chat; files are stored (Cloudinary/Supabase) and written to the Dispatch documents table for the load.</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A21.9</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Translation</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Message translation endpoint; interface in English, French and Punjabi.</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A21.10</w:t>
            </w:r>
          </w:p>
        </w:tc>
        <w:tc>
          <w:tcPr>
            <w:tcW w:type="dxa" w:w="228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Offline &amp; notifications</w:t>
            </w:r>
          </w:p>
        </w:tc>
        <w:tc>
          <w:tcPr>
            <w:tcW w:type="dxa" w:w="539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Offline message queue, local and push notifications, network-state handling, light/dark theme.</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r>
        <w:trPr>
          <w:cantSplit/>
        </w:trPr>
        <w:tc>
          <w:tcPr>
            <w:tcW w:type="dxa" w:w="934"/>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A21.11</w:t>
            </w:r>
          </w:p>
        </w:tc>
        <w:tc>
          <w:tcPr>
            <w:tcW w:type="dxa" w:w="228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Mobile packaging</w:t>
            </w:r>
          </w:p>
        </w:tc>
        <w:tc>
          <w:tcPr>
            <w:tcW w:type="dxa" w:w="539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Capacitor Android project (com.fleethub.chatapp) with camera, filesystem, preferences, network and push plugins; iOS configuration present.</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r>
    </w:tbl>
    <w:p>
      <w:pPr>
        <w:spacing w:after="120"/>
      </w:pPr>
    </w:p>
    <w:p>
      <w:pPr>
        <w:spacing w:after="120" w:line="276"/>
      </w:pPr>
      <w:r>
        <w:rPr>
          <w:rFonts w:ascii="Calibri" w:cs="Calibri" w:eastAsia="Calibri" w:hAnsi="Calibri"/>
          <w:b/>
          <w:bCs/>
          <w:sz w:val="22"/>
          <w:szCs w:val="22"/>
        </w:rPr>
        <w:t xml:space="preserve">Out of scope </w:t>
      </w:r>
      <w:r>
        <w:rPr>
          <w:rFonts w:ascii="Calibri" w:cs="Calibri" w:eastAsia="Calibri" w:hAnsi="Calibri"/>
          <w:sz w:val="22"/>
          <w:szCs w:val="22"/>
        </w:rPr>
        <w:t xml:space="preserve">(for clarity): third-party service fees; hardware; ELD certification; Apple App Store publication; accounting-system (e.g. QuickBooks) integration; SMS gateway; and any feature not listed above.</w:t>
      </w:r>
    </w:p>
    <w:p>
      <w:r>
        <w:br w:type="page"/>
      </w:r>
    </w:p>
    <w:p>
      <w:pPr>
        <w:pStyle w:val="Heading1"/>
        <w:keepNext/>
        <w:spacing w:after="160" w:before="360"/>
      </w:pPr>
      <w:r>
        <w:rPr>
          <w:rFonts w:ascii="Calibri" w:cs="Calibri" w:eastAsia="Calibri" w:hAnsi="Calibri"/>
          <w:b/>
          <w:bCs/>
          <w:color w:val="1F3A5F"/>
          <w:sz w:val="28"/>
          <w:szCs w:val="28"/>
        </w:rPr>
        <w:t xml:space="preserve">Schedule B — Project Status, Remaining Work and Timeline</w:t>
      </w:r>
    </w:p>
    <w:p>
      <w:pPr>
        <w:pStyle w:val="Heading2"/>
        <w:keepNext/>
        <w:spacing w:after="120" w:before="240"/>
      </w:pPr>
      <w:r>
        <w:rPr>
          <w:rFonts w:ascii="Calibri" w:cs="Calibri" w:eastAsia="Calibri" w:hAnsi="Calibri"/>
          <w:b/>
          <w:bCs/>
          <w:color w:val="1F3A5F"/>
          <w:sz w:val="24"/>
          <w:szCs w:val="24"/>
        </w:rPr>
        <w:t xml:space="preserve">B1. Phase status at the Effective Date</w:t>
      </w:r>
    </w:p>
    <w:tbl>
      <w:tblPr>
        <w:tblW w:type="dxa" w:w="964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8"/>
        <w:gridCol w:w="3453"/>
        <w:gridCol w:w="1422"/>
        <w:gridCol w:w="1016"/>
        <w:gridCol w:w="3250"/>
      </w:tblGrid>
      <w:tr>
        <w:trPr>
          <w:tblHeader/>
        </w:trPr>
        <w:tc>
          <w:tcPr>
            <w:tcW w:type="dxa" w:w="508"/>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w:t>
            </w:r>
          </w:p>
        </w:tc>
        <w:tc>
          <w:tcPr>
            <w:tcW w:type="dxa" w:w="3453"/>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Phase / module group</w:t>
            </w:r>
          </w:p>
        </w:tc>
        <w:tc>
          <w:tcPr>
            <w:tcW w:type="dxa" w:w="142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Status</w:t>
            </w:r>
          </w:p>
        </w:tc>
        <w:tc>
          <w:tcPr>
            <w:tcW w:type="dxa" w:w="1016"/>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 done</w:t>
            </w:r>
          </w:p>
        </w:tc>
        <w:tc>
          <w:tcPr>
            <w:tcW w:type="dxa" w:w="3250"/>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Remaining work</w:t>
            </w:r>
          </w:p>
        </w:tc>
      </w:tr>
      <w:tr>
        <w:trPr>
          <w:cantSplit/>
        </w:trPr>
        <w:tc>
          <w:tcPr>
            <w:tcW w:type="dxa" w:w="50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1</w:t>
            </w:r>
          </w:p>
        </w:tc>
        <w:tc>
          <w:tcPr>
            <w:tcW w:type="dxa" w:w="3453"/>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Phase 1 — Platform foundation, security, database, deployment pipeline, Live Dispatch core (Schedule A1–A3)</w:t>
            </w:r>
          </w:p>
        </w:tc>
        <w:tc>
          <w:tcPr>
            <w:tcW w:type="dxa" w:w="142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c>
          <w:tcPr>
            <w:tcW w:type="dxa" w:w="101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100%</w:t>
            </w:r>
          </w:p>
        </w:tc>
        <w:tc>
          <w:tcPr>
            <w:tcW w:type="dxa" w:w="3250"/>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None</w:t>
            </w:r>
          </w:p>
        </w:tc>
      </w:tr>
      <w:tr>
        <w:trPr>
          <w:cantSplit/>
        </w:trPr>
        <w:tc>
          <w:tcPr>
            <w:tcW w:type="dxa" w:w="50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2</w:t>
            </w:r>
          </w:p>
        </w:tc>
        <w:tc>
          <w:tcPr>
            <w:tcW w:type="dxa" w:w="3453"/>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Phase 2 — Operations modules: Driver App, HR &amp; Fleet, Safety, Warehouse, Customs, Customer Portal, Tracking, ETA/Weather, Samsara, Detention, PC*MILER, Maintenance, Invoicing, Settlements, Analytics, Audit (Schedule A4–A20)</w:t>
            </w:r>
          </w:p>
        </w:tc>
        <w:tc>
          <w:tcPr>
            <w:tcW w:type="dxa" w:w="142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Complete</w:t>
            </w:r>
          </w:p>
        </w:tc>
        <w:tc>
          <w:tcPr>
            <w:tcW w:type="dxa" w:w="101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100%</w:t>
            </w:r>
          </w:p>
        </w:tc>
        <w:tc>
          <w:tcPr>
            <w:tcW w:type="dxa" w:w="3250"/>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None</w:t>
            </w:r>
          </w:p>
        </w:tc>
      </w:tr>
      <w:tr>
        <w:trPr>
          <w:cantSplit/>
        </w:trPr>
        <w:tc>
          <w:tcPr>
            <w:tcW w:type="dxa" w:w="50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3</w:t>
            </w:r>
          </w:p>
        </w:tc>
        <w:tc>
          <w:tcPr>
            <w:tcW w:type="dxa" w:w="3453"/>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Phase 3 — DispatchChat messaging app and Dispatch ↔ Chat integration (Schedule A21); items marked “Verify” in Schedule A</w:t>
            </w:r>
          </w:p>
        </w:tc>
        <w:tc>
          <w:tcPr>
            <w:tcW w:type="dxa" w:w="142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 progress</w:t>
            </w:r>
          </w:p>
        </w:tc>
        <w:tc>
          <w:tcPr>
            <w:tcW w:type="dxa" w:w="101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highlight w:val="yellow"/>
                <w:highlightCs w:val="yellow"/>
              </w:rPr>
              <w:t xml:space="preserve">[FILL]%</w:t>
            </w:r>
          </w:p>
        </w:tc>
        <w:tc>
          <w:tcPr>
            <w:tcW w:type="dxa" w:w="3250"/>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Final UI/logic adjustments; live-data verification of Verify items</w:t>
            </w:r>
          </w:p>
        </w:tc>
      </w:tr>
      <w:tr>
        <w:trPr>
          <w:cantSplit/>
        </w:trPr>
        <w:tc>
          <w:tcPr>
            <w:tcW w:type="dxa" w:w="50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4</w:t>
            </w:r>
          </w:p>
        </w:tc>
        <w:tc>
          <w:tcPr>
            <w:tcW w:type="dxa" w:w="3453"/>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Phase 4 — Production environment under Client accounts, data migration, Android device builds</w:t>
            </w:r>
          </w:p>
        </w:tc>
        <w:tc>
          <w:tcPr>
            <w:tcW w:type="dxa" w:w="142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 progress</w:t>
            </w:r>
          </w:p>
        </w:tc>
        <w:tc>
          <w:tcPr>
            <w:tcW w:type="dxa" w:w="101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highlight w:val="yellow"/>
                <w:highlightCs w:val="yellow"/>
              </w:rPr>
              <w:t xml:space="preserve">[FILL]%</w:t>
            </w:r>
          </w:p>
        </w:tc>
        <w:tc>
          <w:tcPr>
            <w:tcW w:type="dxa" w:w="3250"/>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Integration testing; account transfer (Schedule D)</w:t>
            </w:r>
          </w:p>
        </w:tc>
      </w:tr>
      <w:tr>
        <w:trPr>
          <w:cantSplit/>
        </w:trPr>
        <w:tc>
          <w:tcPr>
            <w:tcW w:type="dxa" w:w="50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5</w:t>
            </w:r>
          </w:p>
        </w:tc>
        <w:tc>
          <w:tcPr>
            <w:tcW w:type="dxa" w:w="3453"/>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Testing phase — staging stabilisation and UAT</w:t>
            </w:r>
          </w:p>
        </w:tc>
        <w:tc>
          <w:tcPr>
            <w:tcW w:type="dxa" w:w="142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In progress</w:t>
            </w:r>
          </w:p>
        </w:tc>
        <w:tc>
          <w:tcPr>
            <w:tcW w:type="dxa" w:w="101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50%</w:t>
            </w:r>
          </w:p>
        </w:tc>
        <w:tc>
          <w:tcPr>
            <w:tcW w:type="dxa" w:w="3250"/>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Final UAT in Week 1</w:t>
            </w:r>
          </w:p>
        </w:tc>
      </w:tr>
      <w:tr>
        <w:trPr>
          <w:cantSplit/>
        </w:trPr>
        <w:tc>
          <w:tcPr>
            <w:tcW w:type="dxa" w:w="50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6</w:t>
            </w:r>
          </w:p>
        </w:tc>
        <w:tc>
          <w:tcPr>
            <w:tcW w:type="dxa" w:w="3453"/>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Handover and paperwork — documentation, code transfer, SBOM, runbooks</w:t>
            </w:r>
          </w:p>
        </w:tc>
        <w:tc>
          <w:tcPr>
            <w:tcW w:type="dxa" w:w="142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Not started</w:t>
            </w:r>
          </w:p>
        </w:tc>
        <w:tc>
          <w:tcPr>
            <w:tcW w:type="dxa" w:w="101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0%</w:t>
            </w:r>
          </w:p>
        </w:tc>
        <w:tc>
          <w:tcPr>
            <w:tcW w:type="dxa" w:w="3250"/>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Documentation and code transfer in Week 3</w:t>
            </w:r>
          </w:p>
        </w:tc>
      </w:tr>
    </w:tbl>
    <w:p>
      <w:pPr>
        <w:spacing w:after="120"/>
      </w:pPr>
    </w:p>
    <w:p>
      <w:pPr>
        <w:pStyle w:val="Heading2"/>
        <w:keepNext/>
        <w:spacing w:after="120" w:before="240"/>
      </w:pPr>
      <w:r>
        <w:rPr>
          <w:rFonts w:ascii="Calibri" w:cs="Calibri" w:eastAsia="Calibri" w:hAnsi="Calibri"/>
          <w:b/>
          <w:bCs/>
          <w:color w:val="1F3A5F"/>
          <w:sz w:val="24"/>
          <w:szCs w:val="24"/>
        </w:rPr>
        <w:t xml:space="preserve">B2. Remaining timeline (three weeks from the Effective Date)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6"/>
        <w:gridCol w:w="1809"/>
        <w:gridCol w:w="4221"/>
        <w:gridCol w:w="2412"/>
      </w:tblGrid>
      <w:tr>
        <w:trPr>
          <w:tblHeader/>
        </w:trPr>
        <w:tc>
          <w:tcPr>
            <w:tcW w:type="dxa" w:w="1206"/>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Week</w:t>
            </w:r>
          </w:p>
        </w:tc>
        <w:tc>
          <w:tcPr>
            <w:tcW w:type="dxa" w:w="1809"/>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Dates</w:t>
            </w:r>
          </w:p>
        </w:tc>
        <w:tc>
          <w:tcPr>
            <w:tcW w:type="dxa" w:w="4221"/>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Activities</w:t>
            </w:r>
          </w:p>
        </w:tc>
        <w:tc>
          <w:tcPr>
            <w:tcW w:type="dxa" w:w="241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Exit criterion</w:t>
            </w:r>
          </w:p>
        </w:tc>
      </w:tr>
      <w:tr>
        <w:trPr>
          <w:cantSplit/>
        </w:trPr>
        <w:tc>
          <w:tcPr>
            <w:tcW w:type="dxa" w:w="120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Week 1</w:t>
            </w:r>
          </w:p>
        </w:tc>
        <w:tc>
          <w:tcPr>
            <w:tcW w:type="dxa" w:w="180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2 – 9 Sep 2026</w:t>
            </w:r>
          </w:p>
        </w:tc>
        <w:tc>
          <w:tcPr>
            <w:tcW w:type="dxa" w:w="422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Repository transfer (clause 11); staging stabilisation; close all Schedule A “Verify” items; Client UAT against Schedule E; Developers fix Critical/Major Defects; performance test (E3).</w:t>
            </w:r>
          </w:p>
        </w:tc>
        <w:tc>
          <w:tcPr>
            <w:tcW w:type="dxa" w:w="241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UAT sign-off → Milestone 3 Acceptance</w:t>
            </w:r>
          </w:p>
        </w:tc>
      </w:tr>
      <w:tr>
        <w:trPr>
          <w:cantSplit/>
        </w:trPr>
        <w:tc>
          <w:tcPr>
            <w:tcW w:type="dxa" w:w="120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Week 2</w:t>
            </w:r>
          </w:p>
        </w:tc>
        <w:tc>
          <w:tcPr>
            <w:tcW w:type="dxa" w:w="180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10 – 16 Sep 2026</w:t>
            </w:r>
          </w:p>
        </w:tc>
        <w:tc>
          <w:tcPr>
            <w:tcW w:type="dxa" w:w="422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Client accounts created (Schedule D); production deployment to Client-owned Vercel/Render/Supabase/MongoDB; data migration and backup verification; secret rotation; Android APK build for drivers; smoke test in production.</w:t>
            </w:r>
          </w:p>
        </w:tc>
        <w:tc>
          <w:tcPr>
            <w:tcW w:type="dxa" w:w="241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Production live for users → Milestone 4 Acceptance (Go-Live)</w:t>
            </w:r>
          </w:p>
        </w:tc>
      </w:tr>
      <w:tr>
        <w:trPr>
          <w:cantSplit/>
        </w:trPr>
        <w:tc>
          <w:tcPr>
            <w:tcW w:type="dxa" w:w="120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Week 3</w:t>
            </w:r>
          </w:p>
        </w:tc>
        <w:tc>
          <w:tcPr>
            <w:tcW w:type="dxa" w:w="180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17 – 23 Sep 2026</w:t>
            </w:r>
          </w:p>
        </w:tc>
        <w:tc>
          <w:tcPr>
            <w:tcW w:type="dxa" w:w="422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Post-launch monitoring and hot-fixes; agreed minor feature additions (clause 14.2); Documentation (Schedule F); SBOM (Schedule G); recorded walkthroughs; reproducible-build check; deletion confirmations.</w:t>
            </w:r>
          </w:p>
        </w:tc>
        <w:tc>
          <w:tcPr>
            <w:tcW w:type="dxa" w:w="241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Handover Completion → Final Milestone</w:t>
            </w:r>
          </w:p>
        </w:tc>
      </w:tr>
    </w:tbl>
    <w:p>
      <w:pPr>
        <w:spacing w:after="120"/>
      </w:pPr>
    </w:p>
    <w:p>
      <w:pPr>
        <w:spacing w:after="120" w:line="276"/>
      </w:pPr>
      <w:r>
        <w:rPr>
          <w:rFonts w:ascii="Calibri" w:cs="Calibri" w:eastAsia="Calibri" w:hAnsi="Calibri"/>
          <w:sz w:val="22"/>
          <w:szCs w:val="22"/>
        </w:rPr>
        <w:t xml:space="preserve">This schedule assumes UAT feedback is delivered within five Business Days of each delivery (clause 6.1(c)). Client delay shifts subsequent dates day-for-day (clause 6.2). Developer delay does not shift payment obligations for Milestones already Accepted.</w:t>
      </w:r>
    </w:p>
    <w:p>
      <w:r>
        <w:br w:type="page"/>
      </w:r>
    </w:p>
    <w:p>
      <w:pPr>
        <w:pStyle w:val="Heading1"/>
        <w:keepNext/>
        <w:spacing w:after="160" w:before="360"/>
      </w:pPr>
      <w:r>
        <w:rPr>
          <w:rFonts w:ascii="Calibri" w:cs="Calibri" w:eastAsia="Calibri" w:hAnsi="Calibri"/>
          <w:b/>
          <w:bCs/>
          <w:color w:val="1F3A5F"/>
          <w:sz w:val="28"/>
          <w:szCs w:val="28"/>
        </w:rPr>
        <w:t xml:space="preserve">Schedule C — Fees and Payment Milestones</w:t>
      </w:r>
    </w:p>
    <w:p>
      <w:pPr>
        <w:spacing w:after="120" w:line="276"/>
      </w:pPr>
      <w:r>
        <w:rPr>
          <w:rFonts w:ascii="Calibri" w:cs="Calibri" w:eastAsia="Calibri" w:hAnsi="Calibri"/>
          <w:sz w:val="22"/>
          <w:szCs w:val="22"/>
        </w:rPr>
        <w:t xml:space="preserve">Total fixed fee for the build phase: </w:t>
      </w:r>
      <w:r>
        <w:rPr>
          <w:rFonts w:ascii="Calibri" w:cs="Calibri" w:eastAsia="Calibri" w:hAnsi="Calibri"/>
          <w:b/>
          <w:bCs/>
          <w:sz w:val="22"/>
          <w:szCs w:val="22"/>
          <w:highlight w:val="yellow"/>
          <w:highlightCs w:val="yellow"/>
        </w:rPr>
        <w:t xml:space="preserve">CAD [____________]</w:t>
      </w:r>
      <w:r>
        <w:rPr>
          <w:rFonts w:ascii="Calibri" w:cs="Calibri" w:eastAsia="Calibri" w:hAnsi="Calibri"/>
          <w:sz w:val="22"/>
          <w:szCs w:val="22"/>
        </w:rPr>
        <w:t xml:space="preserve"> (the Fees). All percentages below are percentages of the Fees.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0"/>
        <w:gridCol w:w="3320"/>
        <w:gridCol w:w="1037"/>
        <w:gridCol w:w="1556"/>
        <w:gridCol w:w="2905"/>
      </w:tblGrid>
      <w:tr>
        <w:trPr>
          <w:tblHeader/>
        </w:trPr>
        <w:tc>
          <w:tcPr>
            <w:tcW w:type="dxa" w:w="830"/>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Milestone</w:t>
            </w:r>
          </w:p>
        </w:tc>
        <w:tc>
          <w:tcPr>
            <w:tcW w:type="dxa" w:w="3320"/>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Deliverable / trigger</w:t>
            </w:r>
          </w:p>
        </w:tc>
        <w:tc>
          <w:tcPr>
            <w:tcW w:type="dxa" w:w="103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 of Fees</w:t>
            </w:r>
          </w:p>
        </w:tc>
        <w:tc>
          <w:tcPr>
            <w:tcW w:type="dxa" w:w="1556"/>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Amount (CAD)</w:t>
            </w:r>
          </w:p>
        </w:tc>
        <w:tc>
          <w:tcPr>
            <w:tcW w:type="dxa" w:w="290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Payment status / due</w:t>
            </w:r>
          </w:p>
        </w:tc>
      </w:tr>
      <w:tr>
        <w:trPr>
          <w:cantSplit/>
        </w:trPr>
        <w:tc>
          <w:tcPr>
            <w:tcW w:type="dxa" w:w="830"/>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M1</w:t>
            </w:r>
          </w:p>
        </w:tc>
        <w:tc>
          <w:tcPr>
            <w:tcW w:type="dxa" w:w="3320"/>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Phase 1 — Platform foundation and Live Dispatch core delivered</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w:t>
            </w:r>
          </w:p>
        </w:tc>
        <w:tc>
          <w:tcPr>
            <w:tcW w:type="dxa" w:w="155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w:t>
            </w:r>
          </w:p>
        </w:tc>
        <w:tc>
          <w:tcPr>
            <w:tcW w:type="dxa" w:w="290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Paid prior to Effective Date</w:t>
            </w:r>
          </w:p>
        </w:tc>
      </w:tr>
      <w:tr>
        <w:trPr>
          <w:cantSplit/>
        </w:trPr>
        <w:tc>
          <w:tcPr>
            <w:tcW w:type="dxa" w:w="830"/>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M2</w:t>
            </w:r>
          </w:p>
        </w:tc>
        <w:tc>
          <w:tcPr>
            <w:tcW w:type="dxa" w:w="3320"/>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Phase 2 — Operations modules delivered (through module 2.12)</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w:t>
            </w:r>
          </w:p>
        </w:tc>
        <w:tc>
          <w:tcPr>
            <w:tcW w:type="dxa" w:w="155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w:t>
            </w:r>
          </w:p>
        </w:tc>
        <w:tc>
          <w:tcPr>
            <w:tcW w:type="dxa" w:w="290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Paid prior to Effective Date</w:t>
            </w:r>
          </w:p>
        </w:tc>
      </w:tr>
      <w:tr>
        <w:trPr>
          <w:cantSplit/>
        </w:trPr>
        <w:tc>
          <w:tcPr>
            <w:tcW w:type="dxa" w:w="830"/>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
            </w:r>
          </w:p>
        </w:tc>
        <w:tc>
          <w:tcPr>
            <w:tcW w:type="dxa" w:w="3320"/>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Sub-total paid to date</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30%</w:t>
            </w:r>
          </w:p>
        </w:tc>
        <w:tc>
          <w:tcPr>
            <w:tcW w:type="dxa" w:w="155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w:t>
            </w:r>
          </w:p>
        </w:tc>
        <w:tc>
          <w:tcPr>
            <w:tcW w:type="dxa" w:w="290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w:t>
            </w:r>
          </w:p>
        </w:tc>
      </w:tr>
      <w:tr>
        <w:trPr>
          <w:cantSplit/>
        </w:trPr>
        <w:tc>
          <w:tcPr>
            <w:tcW w:type="dxa" w:w="830"/>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M3</w:t>
            </w:r>
          </w:p>
        </w:tc>
        <w:tc>
          <w:tcPr>
            <w:tcW w:type="dxa" w:w="3320"/>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Phase 3 (formerly “Module 2.7” milestone) — staging stabilised, all Schedule A items closed, UAT sign-off obtained (end of Week 1)</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25%</w:t>
            </w:r>
          </w:p>
        </w:tc>
        <w:tc>
          <w:tcPr>
            <w:tcW w:type="dxa" w:w="155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w:t>
            </w:r>
          </w:p>
        </w:tc>
        <w:tc>
          <w:tcPr>
            <w:tcW w:type="dxa" w:w="290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10 Business Days after Acceptance</w:t>
            </w:r>
          </w:p>
        </w:tc>
      </w:tr>
      <w:tr>
        <w:trPr>
          <w:cantSplit/>
        </w:trPr>
        <w:tc>
          <w:tcPr>
            <w:tcW w:type="dxa" w:w="830"/>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M4</w:t>
            </w:r>
          </w:p>
        </w:tc>
        <w:tc>
          <w:tcPr>
            <w:tcW w:type="dxa" w:w="3320"/>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Phase 4 (formerly “Module 2.12” milestone) — production Go-Live under Client-owned accounts with migrated data (end of Week 2)</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25%</w:t>
            </w:r>
          </w:p>
        </w:tc>
        <w:tc>
          <w:tcPr>
            <w:tcW w:type="dxa" w:w="155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w:t>
            </w:r>
          </w:p>
        </w:tc>
        <w:tc>
          <w:tcPr>
            <w:tcW w:type="dxa" w:w="290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10 Business Days after Acceptance</w:t>
            </w:r>
          </w:p>
        </w:tc>
      </w:tr>
      <w:tr>
        <w:trPr>
          <w:cantSplit/>
        </w:trPr>
        <w:tc>
          <w:tcPr>
            <w:tcW w:type="dxa" w:w="830"/>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M5</w:t>
            </w:r>
          </w:p>
        </w:tc>
        <w:tc>
          <w:tcPr>
            <w:tcW w:type="dxa" w:w="3320"/>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Phases 5 &amp; 6 — Handover Completion: all Schedule D transfers, Schedule F documentation and Schedule G SBOM delivered and confirmed (end of Week 3)</w:t>
            </w:r>
          </w:p>
        </w:tc>
        <w:tc>
          <w:tcPr>
            <w:tcW w:type="dxa" w:w="103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20%</w:t>
            </w:r>
          </w:p>
        </w:tc>
        <w:tc>
          <w:tcPr>
            <w:tcW w:type="dxa" w:w="155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w:t>
            </w:r>
          </w:p>
        </w:tc>
        <w:tc>
          <w:tcPr>
            <w:tcW w:type="dxa" w:w="290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10 Business Days after Handover Completion</w:t>
            </w:r>
          </w:p>
        </w:tc>
      </w:tr>
      <w:tr>
        <w:trPr>
          <w:cantSplit/>
        </w:trPr>
        <w:tc>
          <w:tcPr>
            <w:tcW w:type="dxa" w:w="830"/>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
            </w:r>
          </w:p>
        </w:tc>
        <w:tc>
          <w:tcPr>
            <w:tcW w:type="dxa" w:w="3320"/>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Total</w:t>
            </w:r>
          </w:p>
        </w:tc>
        <w:tc>
          <w:tcPr>
            <w:tcW w:type="dxa" w:w="103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100%</w:t>
            </w:r>
          </w:p>
        </w:tc>
        <w:tc>
          <w:tcPr>
            <w:tcW w:type="dxa" w:w="155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w:t>
            </w:r>
          </w:p>
        </w:tc>
        <w:tc>
          <w:tcPr>
            <w:tcW w:type="dxa" w:w="290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
            </w:r>
          </w:p>
        </w:tc>
      </w:tr>
    </w:tbl>
    <w:p>
      <w:pPr>
        <w:spacing w:after="120"/>
      </w:pPr>
    </w:p>
    <w:p>
      <w:pPr>
        <w:spacing w:after="120" w:line="276"/>
      </w:pPr>
      <w:r>
        <w:rPr>
          <w:rFonts w:ascii="Calibri" w:cs="Calibri" w:eastAsia="Calibri" w:hAnsi="Calibri"/>
          <w:b/>
          <w:bCs/>
          <w:sz w:val="22"/>
          <w:szCs w:val="22"/>
        </w:rPr>
        <w:t xml:space="preserve">Invoicing: </w:t>
      </w:r>
      <w:r>
        <w:rPr>
          <w:rFonts w:ascii="Calibri" w:cs="Calibri" w:eastAsia="Calibri" w:hAnsi="Calibri"/>
          <w:sz w:val="22"/>
          <w:szCs w:val="22"/>
        </w:rPr>
        <w:t xml:space="preserve">one joint invoice per Milestone addressed to Nishan Transport, stating the Milestone reference, amount, and the Developers’ bank details. Bank details are verified by telephone before the first payment (clause 8.5) and will not be changed by email.</w:t>
      </w:r>
    </w:p>
    <w:p>
      <w:pPr>
        <w:spacing w:after="120" w:line="276"/>
      </w:pPr>
      <w:r>
        <w:rPr>
          <w:rFonts w:ascii="Calibri" w:cs="Calibri" w:eastAsia="Calibri" w:hAnsi="Calibri"/>
          <w:b/>
          <w:bCs/>
          <w:sz w:val="22"/>
          <w:szCs w:val="22"/>
        </w:rPr>
        <w:t xml:space="preserve">Employment separation: </w:t>
      </w:r>
      <w:r>
        <w:rPr>
          <w:rFonts w:ascii="Calibri" w:cs="Calibri" w:eastAsia="Calibri" w:hAnsi="Calibri"/>
          <w:sz w:val="22"/>
          <w:szCs w:val="22"/>
        </w:rPr>
        <w:t xml:space="preserve">Milestone M5 is a build-phase payment and is independent of any salary or benefits under the Employment Agreements (clause 8.6).</w:t>
      </w:r>
    </w:p>
    <w:p>
      <w:r>
        <w:br w:type="page"/>
      </w:r>
    </w:p>
    <w:p>
      <w:pPr>
        <w:pStyle w:val="Heading1"/>
        <w:keepNext/>
        <w:spacing w:after="160" w:before="360"/>
      </w:pPr>
      <w:r>
        <w:rPr>
          <w:rFonts w:ascii="Calibri" w:cs="Calibri" w:eastAsia="Calibri" w:hAnsi="Calibri"/>
          <w:b/>
          <w:bCs/>
          <w:color w:val="1F3A5F"/>
          <w:sz w:val="28"/>
          <w:szCs w:val="28"/>
        </w:rPr>
        <w:t xml:space="preserve">Schedule D — Accounts, Services and Infrastructure Transfer Register</w:t>
      </w:r>
    </w:p>
    <w:p>
      <w:pPr>
        <w:spacing w:after="120" w:line="276"/>
      </w:pPr>
      <w:r>
        <w:rPr>
          <w:rFonts w:ascii="Calibri" w:cs="Calibri" w:eastAsia="Calibri" w:hAnsi="Calibri"/>
          <w:sz w:val="22"/>
          <w:szCs w:val="22"/>
        </w:rPr>
        <w:t xml:space="preserve">Every account below must be owned and billed in Nishan Transport’s name before Go-Live, and all credentials regenerated immediately after transfer (clause 12.2). Rows marked † were listed by the Developers in their response of 2 September 2026 but are not referenced in the current repository; the Developers shall confirm at UAT whether each is in use, and if not, the row shall be struck.</w:t>
      </w:r>
    </w:p>
    <w:tbl>
      <w:tblPr>
        <w:tblW w:type="dxa" w:w="96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3015"/>
        <w:gridCol w:w="1709"/>
        <w:gridCol w:w="1307"/>
        <w:gridCol w:w="2111"/>
      </w:tblGrid>
      <w:tr>
        <w:trPr>
          <w:tblHeader/>
        </w:trPr>
        <w:tc>
          <w:tcPr>
            <w:tcW w:type="dxa" w:w="1508"/>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Service</w:t>
            </w:r>
          </w:p>
        </w:tc>
        <w:tc>
          <w:tcPr>
            <w:tcW w:type="dxa" w:w="3015"/>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Purpose in the Platform</w:t>
            </w:r>
          </w:p>
        </w:tc>
        <w:tc>
          <w:tcPr>
            <w:tcW w:type="dxa" w:w="1709"/>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Currently held by</w:t>
            </w:r>
          </w:p>
        </w:tc>
        <w:tc>
          <w:tcPr>
            <w:tcW w:type="dxa" w:w="130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Transfer by</w:t>
            </w:r>
          </w:p>
        </w:tc>
        <w:tc>
          <w:tcPr>
            <w:tcW w:type="dxa" w:w="2111"/>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Method / notes</w:t>
            </w:r>
          </w:p>
        </w:tc>
      </w:tr>
      <w:tr>
        <w:trPr>
          <w:cantSplit/>
        </w:trPr>
        <w:tc>
          <w:tcPr>
            <w:tcW w:type="dxa" w:w="150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GitHub</w:t>
            </w:r>
          </w:p>
        </w:tc>
        <w:tc>
          <w:tcPr>
            <w:tcW w:type="dxa" w:w="301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Source code repository Shubb3006/DispatchChat</w:t>
            </w:r>
          </w:p>
        </w:tc>
        <w:tc>
          <w:tcPr>
            <w:tcW w:type="dxa" w:w="170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Shubham Bansal</w:t>
            </w:r>
          </w:p>
        </w:tc>
        <w:tc>
          <w:tcPr>
            <w:tcW w:type="dxa" w:w="130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Effective Date + 3 BD</w:t>
            </w:r>
          </w:p>
        </w:tc>
        <w:tc>
          <w:tcPr>
            <w:tcW w:type="dxa" w:w="211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Transfer repo to Client GitHub organisation; preserve history and branches</w:t>
            </w:r>
          </w:p>
        </w:tc>
      </w:tr>
      <w:tr>
        <w:trPr>
          <w:cantSplit/>
        </w:trPr>
        <w:tc>
          <w:tcPr>
            <w:tcW w:type="dxa" w:w="150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Vercel</w:t>
            </w:r>
          </w:p>
        </w:tc>
        <w:tc>
          <w:tcPr>
            <w:tcW w:type="dxa" w:w="301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Dispatch front-end hosting (auto-deploy from main)</w:t>
            </w:r>
          </w:p>
        </w:tc>
        <w:tc>
          <w:tcPr>
            <w:tcW w:type="dxa" w:w="170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Developers</w:t>
            </w:r>
          </w:p>
        </w:tc>
        <w:tc>
          <w:tcPr>
            <w:tcW w:type="dxa" w:w="130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Go-Live</w:t>
            </w:r>
          </w:p>
        </w:tc>
        <w:tc>
          <w:tcPr>
            <w:tcW w:type="dxa" w:w="211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Create Client team; re-import repo; set env vars; move custom domain</w:t>
            </w:r>
          </w:p>
        </w:tc>
      </w:tr>
      <w:tr>
        <w:trPr>
          <w:cantSplit/>
        </w:trPr>
        <w:tc>
          <w:tcPr>
            <w:tcW w:type="dxa" w:w="150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Render</w:t>
            </w:r>
          </w:p>
        </w:tc>
        <w:tc>
          <w:tcPr>
            <w:tcW w:type="dxa" w:w="301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Dispatch API hosting (ozack-dispatch-backend), cron/geofence worker</w:t>
            </w:r>
          </w:p>
        </w:tc>
        <w:tc>
          <w:tcPr>
            <w:tcW w:type="dxa" w:w="170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Developers</w:t>
            </w:r>
          </w:p>
        </w:tc>
        <w:tc>
          <w:tcPr>
            <w:tcW w:type="dxa" w:w="130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Go-Live</w:t>
            </w:r>
          </w:p>
        </w:tc>
        <w:tc>
          <w:tcPr>
            <w:tcW w:type="dxa" w:w="211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Create Client account; new web service on paid plan; set all env vars</w:t>
            </w:r>
          </w:p>
        </w:tc>
      </w:tr>
      <w:tr>
        <w:trPr>
          <w:cantSplit/>
        </w:trPr>
        <w:tc>
          <w:tcPr>
            <w:tcW w:type="dxa" w:w="150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Supabase</w:t>
            </w:r>
          </w:p>
        </w:tc>
        <w:tc>
          <w:tcPr>
            <w:tcW w:type="dxa" w:w="301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PostgreSQL database (PgBouncer), Storage buckets for documents, webhooks to Chat</w:t>
            </w:r>
          </w:p>
        </w:tc>
        <w:tc>
          <w:tcPr>
            <w:tcW w:type="dxa" w:w="170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Developers</w:t>
            </w:r>
          </w:p>
        </w:tc>
        <w:tc>
          <w:tcPr>
            <w:tcW w:type="dxa" w:w="130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Go-Live</w:t>
            </w:r>
          </w:p>
        </w:tc>
        <w:tc>
          <w:tcPr>
            <w:tcW w:type="dxa" w:w="211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Transfer project to Client organisation or dump/restore; rotate DB password and service keys</w:t>
            </w:r>
          </w:p>
        </w:tc>
      </w:tr>
      <w:tr>
        <w:trPr>
          <w:cantSplit/>
        </w:trPr>
        <w:tc>
          <w:tcPr>
            <w:tcW w:type="dxa" w:w="150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MongoDB Atlas</w:t>
            </w:r>
          </w:p>
        </w:tc>
        <w:tc>
          <w:tcPr>
            <w:tcW w:type="dxa" w:w="301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DispatchChat messaging database</w:t>
            </w:r>
          </w:p>
        </w:tc>
        <w:tc>
          <w:tcPr>
            <w:tcW w:type="dxa" w:w="170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Developers</w:t>
            </w:r>
          </w:p>
        </w:tc>
        <w:tc>
          <w:tcPr>
            <w:tcW w:type="dxa" w:w="130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Go-Live</w:t>
            </w:r>
          </w:p>
        </w:tc>
        <w:tc>
          <w:tcPr>
            <w:tcW w:type="dxa" w:w="211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Transfer project or export/import; rotate credentials</w:t>
            </w:r>
          </w:p>
        </w:tc>
      </w:tr>
      <w:tr>
        <w:trPr>
          <w:cantSplit/>
        </w:trPr>
        <w:tc>
          <w:tcPr>
            <w:tcW w:type="dxa" w:w="150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Cloudinary</w:t>
            </w:r>
          </w:p>
        </w:tc>
        <w:tc>
          <w:tcPr>
            <w:tcW w:type="dxa" w:w="301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Chat media (images, documents) storage</w:t>
            </w:r>
          </w:p>
        </w:tc>
        <w:tc>
          <w:tcPr>
            <w:tcW w:type="dxa" w:w="170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Developers</w:t>
            </w:r>
          </w:p>
        </w:tc>
        <w:tc>
          <w:tcPr>
            <w:tcW w:type="dxa" w:w="130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Go-Live</w:t>
            </w:r>
          </w:p>
        </w:tc>
        <w:tc>
          <w:tcPr>
            <w:tcW w:type="dxa" w:w="211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New Client account; migrate assets; rotate keys</w:t>
            </w:r>
          </w:p>
        </w:tc>
      </w:tr>
      <w:tr>
        <w:trPr>
          <w:cantSplit/>
        </w:trPr>
        <w:tc>
          <w:tcPr>
            <w:tcW w:type="dxa" w:w="150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Google Cloud / Gemini API</w:t>
            </w:r>
          </w:p>
        </w:tc>
        <w:tc>
          <w:tcPr>
            <w:tcW w:type="dxa" w:w="301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AI tender parsing, driver matcher, forecasts</w:t>
            </w:r>
          </w:p>
        </w:tc>
        <w:tc>
          <w:tcPr>
            <w:tcW w:type="dxa" w:w="170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Developers</w:t>
            </w:r>
          </w:p>
        </w:tc>
        <w:tc>
          <w:tcPr>
            <w:tcW w:type="dxa" w:w="130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Go-Live</w:t>
            </w:r>
          </w:p>
        </w:tc>
        <w:tc>
          <w:tcPr>
            <w:tcW w:type="dxa" w:w="211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Client Google Cloud project; new GEMINI_API_KEY with billing</w:t>
            </w:r>
          </w:p>
        </w:tc>
      </w:tr>
      <w:tr>
        <w:trPr>
          <w:cantSplit/>
        </w:trPr>
        <w:tc>
          <w:tcPr>
            <w:tcW w:type="dxa" w:w="150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Samsara</w:t>
            </w:r>
          </w:p>
        </w:tc>
        <w:tc>
          <w:tcPr>
            <w:tcW w:type="dxa" w:w="301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Telematics, fleet map, geofence, DTC</w:t>
            </w:r>
          </w:p>
        </w:tc>
        <w:tc>
          <w:tcPr>
            <w:tcW w:type="dxa" w:w="170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Nishan Transport (fleet account)</w:t>
            </w:r>
          </w:p>
        </w:tc>
        <w:tc>
          <w:tcPr>
            <w:tcW w:type="dxa" w:w="130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Confirm</w:t>
            </w:r>
          </w:p>
        </w:tc>
        <w:tc>
          <w:tcPr>
            <w:tcW w:type="dxa" w:w="211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Issue new SAMSARA_API_TOKEN from Client’s Samsara org; revoke tokens held by Developers</w:t>
            </w:r>
          </w:p>
        </w:tc>
      </w:tr>
      <w:tr>
        <w:trPr>
          <w:cantSplit/>
        </w:trPr>
        <w:tc>
          <w:tcPr>
            <w:tcW w:type="dxa" w:w="150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BorderConnect</w:t>
            </w:r>
          </w:p>
        </w:tc>
        <w:tc>
          <w:tcPr>
            <w:tcW w:type="dxa" w:w="301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ACE/ACI e-manifest filing</w:t>
            </w:r>
          </w:p>
        </w:tc>
        <w:tc>
          <w:tcPr>
            <w:tcW w:type="dxa" w:w="170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Nishan Transport (customs account)</w:t>
            </w:r>
          </w:p>
        </w:tc>
        <w:tc>
          <w:tcPr>
            <w:tcW w:type="dxa" w:w="130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Confirm</w:t>
            </w:r>
          </w:p>
        </w:tc>
        <w:tc>
          <w:tcPr>
            <w:tcW w:type="dxa" w:w="211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Rotate API key; confirm account ownership</w:t>
            </w:r>
          </w:p>
        </w:tc>
      </w:tr>
      <w:tr>
        <w:trPr>
          <w:cantSplit/>
        </w:trPr>
        <w:tc>
          <w:tcPr>
            <w:tcW w:type="dxa" w:w="150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PC*MILER / Trimble</w:t>
            </w:r>
          </w:p>
        </w:tc>
        <w:tc>
          <w:tcPr>
            <w:tcW w:type="dxa" w:w="301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Truck routing, mileage, tolls</w:t>
            </w:r>
          </w:p>
        </w:tc>
        <w:tc>
          <w:tcPr>
            <w:tcW w:type="dxa" w:w="170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w:t>
            </w:r>
          </w:p>
        </w:tc>
        <w:tc>
          <w:tcPr>
            <w:tcW w:type="dxa" w:w="130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Go-Live</w:t>
            </w:r>
          </w:p>
        </w:tc>
        <w:tc>
          <w:tcPr>
            <w:tcW w:type="dxa" w:w="211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Licence in Client name; rotate key</w:t>
            </w:r>
          </w:p>
        </w:tc>
      </w:tr>
      <w:tr>
        <w:trPr>
          <w:cantSplit/>
        </w:trPr>
        <w:tc>
          <w:tcPr>
            <w:tcW w:type="dxa" w:w="150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Gmail / Google Workspace mailbox</w:t>
            </w:r>
          </w:p>
        </w:tc>
        <w:tc>
          <w:tcPr>
            <w:tcW w:type="dxa" w:w="301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IMAP intake of load confirmations; SMTP notifications</w:t>
            </w:r>
          </w:p>
        </w:tc>
        <w:tc>
          <w:tcPr>
            <w:tcW w:type="dxa" w:w="170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w:t>
            </w:r>
          </w:p>
        </w:tc>
        <w:tc>
          <w:tcPr>
            <w:tcW w:type="dxa" w:w="130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Go-Live</w:t>
            </w:r>
          </w:p>
        </w:tc>
        <w:tc>
          <w:tcPr>
            <w:tcW w:type="dxa" w:w="211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Use Client-owned mailbox with app password; rotate</w:t>
            </w:r>
          </w:p>
        </w:tc>
      </w:tr>
      <w:tr>
        <w:trPr>
          <w:cantSplit/>
        </w:trPr>
        <w:tc>
          <w:tcPr>
            <w:tcW w:type="dxa" w:w="150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Google Play Console</w:t>
            </w:r>
          </w:p>
        </w:tc>
        <w:tc>
          <w:tcPr>
            <w:tcW w:type="dxa" w:w="301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Publishing Nishan Driver and DispatchChat Android apps</w:t>
            </w:r>
          </w:p>
        </w:tc>
        <w:tc>
          <w:tcPr>
            <w:tcW w:type="dxa" w:w="170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w:t>
            </w:r>
          </w:p>
        </w:tc>
        <w:tc>
          <w:tcPr>
            <w:tcW w:type="dxa" w:w="130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Go-Live</w:t>
            </w:r>
          </w:p>
        </w:tc>
        <w:tc>
          <w:tcPr>
            <w:tcW w:type="dxa" w:w="211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Client developer account; upload signing keys / Play App Signing</w:t>
            </w:r>
          </w:p>
        </w:tc>
      </w:tr>
      <w:tr>
        <w:trPr>
          <w:cantSplit/>
        </w:trPr>
        <w:tc>
          <w:tcPr>
            <w:tcW w:type="dxa" w:w="150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Domain / DNS</w:t>
            </w:r>
          </w:p>
        </w:tc>
        <w:tc>
          <w:tcPr>
            <w:tcW w:type="dxa" w:w="301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Production URLs for web app, API, portal and tracking links</w:t>
            </w:r>
          </w:p>
        </w:tc>
        <w:tc>
          <w:tcPr>
            <w:tcW w:type="dxa" w:w="170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w:t>
            </w:r>
          </w:p>
        </w:tc>
        <w:tc>
          <w:tcPr>
            <w:tcW w:type="dxa" w:w="130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Go-Live</w:t>
            </w:r>
          </w:p>
        </w:tc>
        <w:tc>
          <w:tcPr>
            <w:tcW w:type="dxa" w:w="211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Registrar account in Client name</w:t>
            </w:r>
          </w:p>
        </w:tc>
      </w:tr>
      <w:tr>
        <w:trPr>
          <w:cantSplit/>
        </w:trPr>
        <w:tc>
          <w:tcPr>
            <w:tcW w:type="dxa" w:w="150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AWS †</w:t>
            </w:r>
          </w:p>
        </w:tc>
        <w:tc>
          <w:tcPr>
            <w:tcW w:type="dxa" w:w="3015"/>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Cloud infrastructure / storage (per Developers’ response)</w:t>
            </w:r>
          </w:p>
        </w:tc>
        <w:tc>
          <w:tcPr>
            <w:tcW w:type="dxa" w:w="170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Developers</w:t>
            </w:r>
          </w:p>
        </w:tc>
        <w:tc>
          <w:tcPr>
            <w:tcW w:type="dxa" w:w="130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Go-Live</w:t>
            </w:r>
          </w:p>
        </w:tc>
        <w:tc>
          <w:tcPr>
            <w:tcW w:type="dxa" w:w="211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Confirm usage; transfer or strike</w:t>
            </w:r>
          </w:p>
        </w:tc>
      </w:tr>
      <w:tr>
        <w:trPr>
          <w:cantSplit/>
        </w:trPr>
        <w:tc>
          <w:tcPr>
            <w:tcW w:type="dxa" w:w="150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Make (make.com) †</w:t>
            </w:r>
          </w:p>
        </w:tc>
        <w:tc>
          <w:tcPr>
            <w:tcW w:type="dxa" w:w="3015"/>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Automations / integrations (per Developers’ response)</w:t>
            </w:r>
          </w:p>
        </w:tc>
        <w:tc>
          <w:tcPr>
            <w:tcW w:type="dxa" w:w="170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Developers</w:t>
            </w:r>
          </w:p>
        </w:tc>
        <w:tc>
          <w:tcPr>
            <w:tcW w:type="dxa" w:w="130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Go-Live</w:t>
            </w:r>
          </w:p>
        </w:tc>
        <w:tc>
          <w:tcPr>
            <w:tcW w:type="dxa" w:w="211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Confirm usage; export scenarios; transfer or strike</w:t>
            </w:r>
          </w:p>
        </w:tc>
      </w:tr>
    </w:tbl>
    <w:p>
      <w:pPr>
        <w:spacing w:after="120"/>
      </w:pPr>
    </w:p>
    <w:p>
      <w:pPr>
        <w:spacing w:after="120" w:line="276"/>
      </w:pPr>
      <w:r>
        <w:rPr>
          <w:rFonts w:ascii="Calibri" w:cs="Calibri" w:eastAsia="Calibri" w:hAnsi="Calibri"/>
          <w:b/>
          <w:bCs/>
          <w:sz w:val="22"/>
          <w:szCs w:val="22"/>
        </w:rPr>
        <w:t xml:space="preserve">Secrets to rotate at Go-Live (minimum): </w:t>
      </w:r>
      <w:r>
        <w:rPr>
          <w:rFonts w:ascii="Calibri" w:cs="Calibri" w:eastAsia="Calibri" w:hAnsi="Calibri"/>
          <w:sz w:val="22"/>
          <w:szCs w:val="22"/>
        </w:rPr>
        <w:t xml:space="preserve">DATABASE_URL password, JWT_SECRET, MONGODB_URI, Supabase anon/service keys, Cloudinary API secret, GEMINI_API_KEY, SAMSARA_API_TOKEN, BorderConnect API key, PC*MILER key, SMTP/IMAP app password, webhook signing secrets, Android keystore.</w:t>
      </w:r>
    </w:p>
    <w:p>
      <w:r>
        <w:br w:type="page"/>
      </w:r>
    </w:p>
    <w:p>
      <w:pPr>
        <w:pStyle w:val="Heading1"/>
        <w:keepNext/>
        <w:spacing w:after="160" w:before="360"/>
      </w:pPr>
      <w:r>
        <w:rPr>
          <w:rFonts w:ascii="Calibri" w:cs="Calibri" w:eastAsia="Calibri" w:hAnsi="Calibri"/>
          <w:b/>
          <w:bCs/>
          <w:color w:val="1F3A5F"/>
          <w:sz w:val="28"/>
          <w:szCs w:val="28"/>
        </w:rPr>
        <w:t xml:space="preserve">Schedule E — Acceptance Criteria and Performance Tests</w:t>
      </w:r>
    </w:p>
    <w:p>
      <w:pPr>
        <w:pStyle w:val="Heading2"/>
        <w:keepNext/>
        <w:spacing w:after="120" w:before="240"/>
      </w:pPr>
      <w:r>
        <w:rPr>
          <w:rFonts w:ascii="Calibri" w:cs="Calibri" w:eastAsia="Calibri" w:hAnsi="Calibri"/>
          <w:b/>
          <w:bCs/>
          <w:color w:val="1F3A5F"/>
          <w:sz w:val="24"/>
          <w:szCs w:val="24"/>
        </w:rPr>
        <w:t xml:space="preserve">E1. Functional acceptance</w:t>
      </w:r>
    </w:p>
    <w:p>
      <w:pPr>
        <w:spacing w:after="120" w:line="276"/>
      </w:pPr>
      <w:r>
        <w:rPr>
          <w:rFonts w:ascii="Calibri" w:cs="Calibri" w:eastAsia="Calibri" w:hAnsi="Calibri"/>
          <w:sz w:val="22"/>
          <w:szCs w:val="22"/>
        </w:rPr>
        <w:t xml:space="preserve">Each feature in Schedule A shall be demonstrated on staging with realistic Client data. A feature passes when it performs the described function without Critical or Major Defects. The Client shall use the end-to-end scenarios below as the minimum UAT script:</w:t>
      </w:r>
    </w:p>
    <w:p>
      <w:pPr>
        <w:pStyle w:val="ListParagraph"/>
        <w:numPr>
          <w:ilvl w:val="0"/>
          <w:numId w:val="2"/>
        </w:numPr>
        <w:spacing w:after="60" w:line="264"/>
      </w:pPr>
      <w:r>
        <w:rPr>
          <w:rFonts w:ascii="Calibri" w:cs="Calibri" w:eastAsia="Calibri" w:hAnsi="Calibri"/>
          <w:sz w:val="22"/>
          <w:szCs w:val="22"/>
        </w:rPr>
        <w:t xml:space="preserve">Tender-to-cash: upload a tender PDF → AI-parsed load → assign driver via AI matcher → driver receives load card in DispatchChat → pickup and delivery confirmed in Driver App with POD upload → geofence stamps arrival/departure → detention calculated → invoice generated → driver settlement generated → figures appear in Executive Analytics.</w:t>
      </w:r>
    </w:p>
    <w:p>
      <w:pPr>
        <w:pStyle w:val="ListParagraph"/>
        <w:numPr>
          <w:ilvl w:val="0"/>
          <w:numId w:val="2"/>
        </w:numPr>
        <w:spacing w:after="60" w:line="264"/>
      </w:pPr>
      <w:r>
        <w:rPr>
          <w:rFonts w:ascii="Calibri" w:cs="Calibri" w:eastAsia="Calibri" w:hAnsi="Calibri"/>
          <w:sz w:val="22"/>
          <w:szCs w:val="22"/>
        </w:rPr>
        <w:t xml:space="preserve">Cross-border: create a load with PAPS/PARS and HTS codes → generate manifest → file to BorderConnect (test mode) → status lifecycle displayed → border wait shown on ETA radar.</w:t>
      </w:r>
    </w:p>
    <w:p>
      <w:pPr>
        <w:pStyle w:val="ListParagraph"/>
        <w:numPr>
          <w:ilvl w:val="0"/>
          <w:numId w:val="2"/>
        </w:numPr>
        <w:spacing w:after="60" w:line="264"/>
      </w:pPr>
      <w:r>
        <w:rPr>
          <w:rFonts w:ascii="Calibri" w:cs="Calibri" w:eastAsia="Calibri" w:hAnsi="Calibri"/>
          <w:sz w:val="22"/>
          <w:szCs w:val="22"/>
        </w:rPr>
        <w:t xml:space="preserve">Customer journey: customer logs into portal → submits rate request → dispatcher receives live alert and quotes → load created → customer receives tracking link → public tracking page shows live status and ETA.</w:t>
      </w:r>
    </w:p>
    <w:p>
      <w:pPr>
        <w:pStyle w:val="ListParagraph"/>
        <w:numPr>
          <w:ilvl w:val="0"/>
          <w:numId w:val="2"/>
        </w:numPr>
        <w:spacing w:after="60" w:line="264"/>
      </w:pPr>
      <w:r>
        <w:rPr>
          <w:rFonts w:ascii="Calibri" w:cs="Calibri" w:eastAsia="Calibri" w:hAnsi="Calibri"/>
          <w:sz w:val="22"/>
          <w:szCs w:val="22"/>
        </w:rPr>
        <w:t xml:space="preserve">Relay: split a load into two legs via Freight Force → Freight Force alert appears → second driver completes delivery → journey timeline shows full path → settlements created per leg.</w:t>
      </w:r>
    </w:p>
    <w:p>
      <w:pPr>
        <w:pStyle w:val="ListParagraph"/>
        <w:numPr>
          <w:ilvl w:val="0"/>
          <w:numId w:val="2"/>
        </w:numPr>
        <w:spacing w:after="60" w:line="264"/>
      </w:pPr>
      <w:r>
        <w:rPr>
          <w:rFonts w:ascii="Calibri" w:cs="Calibri" w:eastAsia="Calibri" w:hAnsi="Calibri"/>
          <w:sz w:val="22"/>
          <w:szCs w:val="22"/>
        </w:rPr>
        <w:t xml:space="preserve">Administration: create a user with limited modules → verify navigation and API authorisation are restricted → audit log records the change.</w:t>
      </w:r>
    </w:p>
    <w:p>
      <w:pPr>
        <w:pStyle w:val="ListParagraph"/>
        <w:numPr>
          <w:ilvl w:val="0"/>
          <w:numId w:val="2"/>
        </w:numPr>
        <w:spacing w:after="60" w:line="264"/>
      </w:pPr>
      <w:r>
        <w:rPr>
          <w:rFonts w:ascii="Calibri" w:cs="Calibri" w:eastAsia="Calibri" w:hAnsi="Calibri"/>
          <w:sz w:val="22"/>
          <w:szCs w:val="22"/>
        </w:rPr>
        <w:t xml:space="preserve">Messaging: group chat, broadcast, reaction/edit/pin, voice call between two devices, offline message queued and delivered on reconnect, Punjabi/French interface.</w:t>
      </w:r>
    </w:p>
    <w:p>
      <w:pPr>
        <w:pStyle w:val="Heading2"/>
        <w:keepNext/>
        <w:spacing w:after="120" w:before="240"/>
      </w:pPr>
      <w:r>
        <w:rPr>
          <w:rFonts w:ascii="Calibri" w:cs="Calibri" w:eastAsia="Calibri" w:hAnsi="Calibri"/>
          <w:b/>
          <w:bCs/>
          <w:color w:val="1F3A5F"/>
          <w:sz w:val="24"/>
          <w:szCs w:val="24"/>
        </w:rPr>
        <w:t xml:space="preserve">E2. Performance targets (measured on production-equivalent staging)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8"/>
        <w:gridCol w:w="2412"/>
        <w:gridCol w:w="3618"/>
      </w:tblGrid>
      <w:tr>
        <w:trPr>
          <w:tblHeader/>
        </w:trPr>
        <w:tc>
          <w:tcPr>
            <w:tcW w:type="dxa" w:w="3618"/>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Metric</w:t>
            </w:r>
          </w:p>
        </w:tc>
        <w:tc>
          <w:tcPr>
            <w:tcW w:type="dxa" w:w="2412"/>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Target</w:t>
            </w:r>
          </w:p>
        </w:tc>
        <w:tc>
          <w:tcPr>
            <w:tcW w:type="dxa" w:w="3618"/>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Measurement</w:t>
            </w:r>
          </w:p>
        </w:tc>
      </w:tr>
      <w:tr>
        <w:trPr>
          <w:cantSplit/>
        </w:trPr>
        <w:tc>
          <w:tcPr>
            <w:tcW w:type="dxa" w:w="361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Page load — typical screens (dashboard, load board, kanban, driver app)</w:t>
            </w:r>
          </w:p>
        </w:tc>
        <w:tc>
          <w:tcPr>
            <w:tcW w:type="dxa" w:w="241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2.0 seconds</w:t>
            </w:r>
          </w:p>
        </w:tc>
        <w:tc>
          <w:tcPr>
            <w:tcW w:type="dxa" w:w="361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Browser DevTools / Lighthouse, 5 runs, median, broadband connection</w:t>
            </w:r>
          </w:p>
        </w:tc>
      </w:tr>
      <w:tr>
        <w:trPr>
          <w:cantSplit/>
        </w:trPr>
        <w:tc>
          <w:tcPr>
            <w:tcW w:type="dxa" w:w="361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API response — 95th percentile across list and detail endpoints</w:t>
            </w:r>
          </w:p>
        </w:tc>
        <w:tc>
          <w:tcPr>
            <w:tcW w:type="dxa" w:w="241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500 ms</w:t>
            </w:r>
          </w:p>
        </w:tc>
        <w:tc>
          <w:tcPr>
            <w:tcW w:type="dxa" w:w="361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Load-test tool (k6 or equivalent) under E3 conditions</w:t>
            </w:r>
          </w:p>
        </w:tc>
      </w:tr>
      <w:tr>
        <w:trPr>
          <w:cantSplit/>
        </w:trPr>
        <w:tc>
          <w:tcPr>
            <w:tcW w:type="dxa" w:w="361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Live position update latency (Samsara → map)</w:t>
            </w:r>
          </w:p>
        </w:tc>
        <w:tc>
          <w:tcPr>
            <w:tcW w:type="dxa" w:w="2412"/>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1 polling interval (3 min)</w:t>
            </w:r>
          </w:p>
        </w:tc>
        <w:tc>
          <w:tcPr>
            <w:tcW w:type="dxa" w:w="361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Observed</w:t>
            </w:r>
          </w:p>
        </w:tc>
      </w:tr>
      <w:tr>
        <w:trPr>
          <w:cantSplit/>
        </w:trPr>
        <w:tc>
          <w:tcPr>
            <w:tcW w:type="dxa" w:w="361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Chat message delivery (online recipients)</w:t>
            </w:r>
          </w:p>
        </w:tc>
        <w:tc>
          <w:tcPr>
            <w:tcW w:type="dxa" w:w="2412"/>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 2 seconds</w:t>
            </w:r>
          </w:p>
        </w:tc>
        <w:tc>
          <w:tcPr>
            <w:tcW w:type="dxa" w:w="361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sz w:val="19"/>
                <w:szCs w:val="19"/>
              </w:rPr>
              <w:t xml:space="preserve">Observed across two devices</w:t>
            </w:r>
          </w:p>
        </w:tc>
      </w:tr>
    </w:tbl>
    <w:p>
      <w:pPr>
        <w:pStyle w:val="Heading2"/>
        <w:keepNext/>
        <w:spacing w:after="120" w:before="240"/>
      </w:pPr>
      <w:r>
        <w:rPr>
          <w:rFonts w:ascii="Calibri" w:cs="Calibri" w:eastAsia="Calibri" w:hAnsi="Calibri"/>
          <w:b/>
          <w:bCs/>
          <w:color w:val="1F3A5F"/>
          <w:sz w:val="24"/>
          <w:szCs w:val="24"/>
        </w:rPr>
        <w:t xml:space="preserve">E3. Stress / volume test</w:t>
      </w:r>
    </w:p>
    <w:p>
      <w:pPr>
        <w:spacing w:after="120" w:line="276"/>
      </w:pPr>
      <w:r>
        <w:rPr>
          <w:rFonts w:ascii="Calibri" w:cs="Calibri" w:eastAsia="Calibri" w:hAnsi="Calibri"/>
          <w:sz w:val="22"/>
          <w:szCs w:val="22"/>
        </w:rPr>
        <w:t xml:space="preserve">The Platform must sustain a volume equivalent to 1,000 orders (loads) per day. The acceptance test simulates peak hour: </w:t>
      </w:r>
      <w:r>
        <w:rPr>
          <w:rFonts w:ascii="Calibri" w:cs="Calibri" w:eastAsia="Calibri" w:hAnsi="Calibri"/>
          <w:b/>
          <w:bCs/>
          <w:sz w:val="22"/>
          <w:szCs w:val="22"/>
          <w:highlight w:val="yellow"/>
          <w:highlightCs w:val="yellow"/>
        </w:rPr>
        <w:t xml:space="preserve">[200]</w:t>
      </w:r>
      <w:r>
        <w:rPr>
          <w:rFonts w:ascii="Calibri" w:cs="Calibri" w:eastAsia="Calibri" w:hAnsi="Calibri"/>
          <w:sz w:val="22"/>
          <w:szCs w:val="22"/>
        </w:rPr>
        <w:t xml:space="preserve"> loads created over a 60-minute window with </w:t>
      </w:r>
      <w:r>
        <w:rPr>
          <w:rFonts w:ascii="Calibri" w:cs="Calibri" w:eastAsia="Calibri" w:hAnsi="Calibri"/>
          <w:b/>
          <w:bCs/>
          <w:sz w:val="22"/>
          <w:szCs w:val="22"/>
          <w:highlight w:val="yellow"/>
          <w:highlightCs w:val="yellow"/>
        </w:rPr>
        <w:t xml:space="preserve">[10]</w:t>
      </w:r>
      <w:r>
        <w:rPr>
          <w:rFonts w:ascii="Calibri" w:cs="Calibri" w:eastAsia="Calibri" w:hAnsi="Calibri"/>
          <w:sz w:val="22"/>
          <w:szCs w:val="22"/>
        </w:rPr>
        <w:t xml:space="preserve"> concurrent users performing mixed operations (create/edit loads, status updates, driver position posts, document uploads, portal queries).</w:t>
      </w:r>
    </w:p>
    <w:p>
      <w:pPr>
        <w:spacing w:after="120" w:line="276"/>
      </w:pPr>
      <w:r>
        <w:rPr>
          <w:rFonts w:ascii="Calibri" w:cs="Calibri" w:eastAsia="Calibri" w:hAnsi="Calibri"/>
          <w:b/>
          <w:bCs/>
          <w:sz w:val="22"/>
          <w:szCs w:val="22"/>
        </w:rPr>
        <w:t xml:space="preserve">Pass criteria: </w:t>
      </w:r>
    </w:p>
    <w:p>
      <w:pPr>
        <w:pStyle w:val="ListParagraph"/>
        <w:numPr>
          <w:ilvl w:val="0"/>
          <w:numId w:val="2"/>
        </w:numPr>
        <w:spacing w:after="60" w:line="264"/>
      </w:pPr>
      <w:r>
        <w:rPr>
          <w:rFonts w:ascii="Calibri" w:cs="Calibri" w:eastAsia="Calibri" w:hAnsi="Calibri"/>
          <w:sz w:val="22"/>
          <w:szCs w:val="22"/>
        </w:rPr>
        <w:t xml:space="preserve">Load creation success rate ≥ 99.9% with zero data loss.</w:t>
      </w:r>
    </w:p>
    <w:p>
      <w:pPr>
        <w:pStyle w:val="ListParagraph"/>
        <w:numPr>
          <w:ilvl w:val="0"/>
          <w:numId w:val="2"/>
        </w:numPr>
        <w:spacing w:after="60" w:line="264"/>
      </w:pPr>
      <w:r>
        <w:rPr>
          <w:rFonts w:ascii="Calibri" w:cs="Calibri" w:eastAsia="Calibri" w:hAnsi="Calibri"/>
          <w:sz w:val="22"/>
          <w:szCs w:val="22"/>
        </w:rPr>
        <w:t xml:space="preserve">HTTP 5xx error rate &lt; 1% of requests.</w:t>
      </w:r>
    </w:p>
    <w:p>
      <w:pPr>
        <w:pStyle w:val="ListParagraph"/>
        <w:numPr>
          <w:ilvl w:val="0"/>
          <w:numId w:val="2"/>
        </w:numPr>
        <w:spacing w:after="60" w:line="264"/>
      </w:pPr>
      <w:r>
        <w:rPr>
          <w:rFonts w:ascii="Calibri" w:cs="Calibri" w:eastAsia="Calibri" w:hAnsi="Calibri"/>
          <w:sz w:val="22"/>
          <w:szCs w:val="22"/>
        </w:rPr>
        <w:t xml:space="preserve">Zero data corruption and zero duplicate loads under concurrent operations.</w:t>
      </w:r>
    </w:p>
    <w:p>
      <w:pPr>
        <w:pStyle w:val="ListParagraph"/>
        <w:numPr>
          <w:ilvl w:val="0"/>
          <w:numId w:val="2"/>
        </w:numPr>
        <w:spacing w:after="60" w:line="264"/>
      </w:pPr>
      <w:r>
        <w:rPr>
          <w:rFonts w:ascii="Calibri" w:cs="Calibri" w:eastAsia="Calibri" w:hAnsi="Calibri"/>
          <w:sz w:val="22"/>
          <w:szCs w:val="22"/>
        </w:rPr>
        <w:t xml:space="preserve">95th-percentile API response within E2 target during the test.</w:t>
      </w:r>
    </w:p>
    <w:p>
      <w:pPr>
        <w:pStyle w:val="ListParagraph"/>
        <w:numPr>
          <w:ilvl w:val="0"/>
          <w:numId w:val="2"/>
        </w:numPr>
        <w:spacing w:after="60" w:line="264"/>
      </w:pPr>
      <w:r>
        <w:rPr>
          <w:rFonts w:ascii="Calibri" w:cs="Calibri" w:eastAsia="Calibri" w:hAnsi="Calibri"/>
          <w:sz w:val="22"/>
          <w:szCs w:val="22"/>
        </w:rPr>
        <w:t xml:space="preserve">No unrecovered database connection-pool exhaustion.</w:t>
      </w:r>
    </w:p>
    <w:p>
      <w:pPr>
        <w:pStyle w:val="Heading2"/>
        <w:keepNext/>
        <w:spacing w:after="120" w:before="240"/>
      </w:pPr>
      <w:r>
        <w:rPr>
          <w:rFonts w:ascii="Calibri" w:cs="Calibri" w:eastAsia="Calibri" w:hAnsi="Calibri"/>
          <w:b/>
          <w:bCs/>
          <w:color w:val="1F3A5F"/>
          <w:sz w:val="24"/>
          <w:szCs w:val="24"/>
        </w:rPr>
        <w:t xml:space="preserve">E4. Security acceptance</w:t>
      </w:r>
    </w:p>
    <w:p>
      <w:pPr>
        <w:pStyle w:val="ListParagraph"/>
        <w:numPr>
          <w:ilvl w:val="0"/>
          <w:numId w:val="2"/>
        </w:numPr>
        <w:spacing w:after="60" w:line="264"/>
      </w:pPr>
      <w:r>
        <w:rPr>
          <w:rFonts w:ascii="Calibri" w:cs="Calibri" w:eastAsia="Calibri" w:hAnsi="Calibri"/>
          <w:sz w:val="22"/>
          <w:szCs w:val="22"/>
        </w:rPr>
        <w:t xml:space="preserve">No secrets in repository or client bundle (automated scan).</w:t>
      </w:r>
    </w:p>
    <w:p>
      <w:pPr>
        <w:pStyle w:val="ListParagraph"/>
        <w:numPr>
          <w:ilvl w:val="0"/>
          <w:numId w:val="2"/>
        </w:numPr>
        <w:spacing w:after="60" w:line="264"/>
      </w:pPr>
      <w:r>
        <w:rPr>
          <w:rFonts w:ascii="Calibri" w:cs="Calibri" w:eastAsia="Calibri" w:hAnsi="Calibri"/>
          <w:sz w:val="22"/>
          <w:szCs w:val="22"/>
        </w:rPr>
        <w:t xml:space="preserve">All protected API routes reject requests without a valid JWT and enforce role checks (sampled).</w:t>
      </w:r>
    </w:p>
    <w:p>
      <w:pPr>
        <w:pStyle w:val="ListParagraph"/>
        <w:numPr>
          <w:ilvl w:val="0"/>
          <w:numId w:val="2"/>
        </w:numPr>
        <w:spacing w:after="60" w:line="264"/>
      </w:pPr>
      <w:r>
        <w:rPr>
          <w:rFonts w:ascii="Calibri" w:cs="Calibri" w:eastAsia="Calibri" w:hAnsi="Calibri"/>
          <w:sz w:val="22"/>
          <w:szCs w:val="22"/>
        </w:rPr>
        <w:t xml:space="preserve">Public tracking, portal and webhook endpoints reject invalid tokens/signatures.</w:t>
      </w:r>
    </w:p>
    <w:p>
      <w:pPr>
        <w:pStyle w:val="ListParagraph"/>
        <w:numPr>
          <w:ilvl w:val="0"/>
          <w:numId w:val="2"/>
        </w:numPr>
        <w:spacing w:after="60" w:line="264"/>
      </w:pPr>
      <w:r>
        <w:rPr>
          <w:rFonts w:ascii="Calibri" w:cs="Calibri" w:eastAsia="Calibri" w:hAnsi="Calibri"/>
          <w:sz w:val="22"/>
          <w:szCs w:val="22"/>
        </w:rPr>
        <w:t xml:space="preserve">HTTPS enforced; database TLS enabled; CORS restricted to Client domains.</w:t>
      </w:r>
    </w:p>
    <w:p>
      <w:r>
        <w:br w:type="page"/>
      </w:r>
    </w:p>
    <w:p>
      <w:pPr>
        <w:pStyle w:val="Heading1"/>
        <w:keepNext/>
        <w:spacing w:after="160" w:before="360"/>
      </w:pPr>
      <w:r>
        <w:rPr>
          <w:rFonts w:ascii="Calibri" w:cs="Calibri" w:eastAsia="Calibri" w:hAnsi="Calibri"/>
          <w:b/>
          <w:bCs/>
          <w:color w:val="1F3A5F"/>
          <w:sz w:val="28"/>
          <w:szCs w:val="28"/>
        </w:rPr>
        <w:t xml:space="preserve">Schedule F — Documentation and Handover Deliverables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5283"/>
        <w:gridCol w:w="1838"/>
      </w:tblGrid>
      <w:tr>
        <w:trPr>
          <w:tblHeader/>
        </w:trPr>
        <w:tc>
          <w:tcPr>
            <w:tcW w:type="dxa" w:w="252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Deliverable</w:t>
            </w:r>
          </w:p>
        </w:tc>
        <w:tc>
          <w:tcPr>
            <w:tcW w:type="dxa" w:w="5283"/>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Content</w:t>
            </w:r>
          </w:p>
        </w:tc>
        <w:tc>
          <w:tcPr>
            <w:tcW w:type="dxa" w:w="1838"/>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Format / location</w:t>
            </w:r>
          </w:p>
        </w:tc>
      </w:tr>
      <w:tr>
        <w:trPr>
          <w:cantSplit/>
        </w:trPr>
        <w:tc>
          <w:tcPr>
            <w:tcW w:type="dxa" w:w="252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System architecture overview</w:t>
            </w:r>
          </w:p>
        </w:tc>
        <w:tc>
          <w:tcPr>
            <w:tcW w:type="dxa" w:w="5283"/>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Components, data flow, environments, external integrations (Samsara, Gemini, BorderConnect, PC*MILER, CBP/CBSA, NWS, Gmail, Cloudinary), Dispatch ↔ Chat webhook integration.</w:t>
            </w:r>
          </w:p>
        </w:tc>
        <w:tc>
          <w:tcPr>
            <w:tcW w:type="dxa" w:w="183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Markdown + diagram in /docs</w:t>
            </w:r>
          </w:p>
        </w:tc>
      </w:tr>
      <w:tr>
        <w:trPr>
          <w:cantSplit/>
        </w:trPr>
        <w:tc>
          <w:tcPr>
            <w:tcW w:type="dxa" w:w="252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Database schema documentation</w:t>
            </w:r>
          </w:p>
        </w:tc>
        <w:tc>
          <w:tcPr>
            <w:tcW w:type="dxa" w:w="5283"/>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Every PostgreSQL table and MongoDB collection, relationships, key constraints, migration order and how to add migrations.</w:t>
            </w:r>
          </w:p>
        </w:tc>
        <w:tc>
          <w:tcPr>
            <w:tcW w:type="dxa" w:w="183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Markdown + ER diagram</w:t>
            </w:r>
          </w:p>
        </w:tc>
      </w:tr>
      <w:tr>
        <w:trPr>
          <w:cantSplit/>
        </w:trPr>
        <w:tc>
          <w:tcPr>
            <w:tcW w:type="dxa" w:w="252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API reference</w:t>
            </w:r>
          </w:p>
        </w:tc>
        <w:tc>
          <w:tcPr>
            <w:tcW w:type="dxa" w:w="5283"/>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All ~174 Dispatch endpoints and all Chat endpoints/socket events: method, path, auth/role, request/response, errors.</w:t>
            </w:r>
          </w:p>
        </w:tc>
        <w:tc>
          <w:tcPr>
            <w:tcW w:type="dxa" w:w="183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Markdown or OpenAPI</w:t>
            </w:r>
          </w:p>
        </w:tc>
      </w:tr>
      <w:tr>
        <w:trPr>
          <w:cantSplit/>
        </w:trPr>
        <w:tc>
          <w:tcPr>
            <w:tcW w:type="dxa" w:w="252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Build &amp; deployment runbook</w:t>
            </w:r>
          </w:p>
        </w:tc>
        <w:tc>
          <w:tcPr>
            <w:tcW w:type="dxa" w:w="5283"/>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Local setup (ports 5555/5173), environment variable template (secrets excluded), staging and production deploy on Vercel/Render, Android build and signing for both apps, rollback procedure.</w:t>
            </w:r>
          </w:p>
        </w:tc>
        <w:tc>
          <w:tcPr>
            <w:tcW w:type="dxa" w:w="183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Markdown</w:t>
            </w:r>
          </w:p>
        </w:tc>
      </w:tr>
      <w:tr>
        <w:trPr>
          <w:cantSplit/>
        </w:trPr>
        <w:tc>
          <w:tcPr>
            <w:tcW w:type="dxa" w:w="252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Operations runbook</w:t>
            </w:r>
          </w:p>
        </w:tc>
        <w:tc>
          <w:tcPr>
            <w:tcW w:type="dxa" w:w="5283"/>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Backups and restore (Postgres, MongoDB, storage), secret rotation, worker monitoring (geofence, automation), log locations, common failure modes and fixes, Render/Supabase pool tuning.</w:t>
            </w:r>
          </w:p>
        </w:tc>
        <w:tc>
          <w:tcPr>
            <w:tcW w:type="dxa" w:w="183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Markdown</w:t>
            </w:r>
          </w:p>
        </w:tc>
      </w:tr>
      <w:tr>
        <w:trPr>
          <w:cantSplit/>
        </w:trPr>
        <w:tc>
          <w:tcPr>
            <w:tcW w:type="dxa" w:w="252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Security notes</w:t>
            </w:r>
          </w:p>
        </w:tc>
        <w:tc>
          <w:tcPr>
            <w:tcW w:type="dxa" w:w="5283"/>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Known limitations, recommended hardening, historic secrets to rotate (clause 11.3).</w:t>
            </w:r>
          </w:p>
        </w:tc>
        <w:tc>
          <w:tcPr>
            <w:tcW w:type="dxa" w:w="183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Markdown</w:t>
            </w:r>
          </w:p>
        </w:tc>
      </w:tr>
      <w:tr>
        <w:trPr>
          <w:cantSplit/>
        </w:trPr>
        <w:tc>
          <w:tcPr>
            <w:tcW w:type="dxa" w:w="252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Software bill of materials (SBOM)</w:t>
            </w:r>
          </w:p>
        </w:tc>
        <w:tc>
          <w:tcPr>
            <w:tcW w:type="dxa" w:w="5283"/>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All third-party components with version and licence for all four packages (Schedule G).</w:t>
            </w:r>
          </w:p>
        </w:tc>
        <w:tc>
          <w:tcPr>
            <w:tcW w:type="dxa" w:w="183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CycloneDX/SPDX JSON + Markdown</w:t>
            </w:r>
          </w:p>
        </w:tc>
      </w:tr>
      <w:tr>
        <w:trPr>
          <w:cantSplit/>
        </w:trPr>
        <w:tc>
          <w:tcPr>
            <w:tcW w:type="dxa" w:w="252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Data export &amp; backups</w:t>
            </w:r>
          </w:p>
        </w:tc>
        <w:tc>
          <w:tcPr>
            <w:tcW w:type="dxa" w:w="5283"/>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Verified full export of production PostgreSQL, MongoDB and file storage as at Go-Live.</w:t>
            </w:r>
          </w:p>
        </w:tc>
        <w:tc>
          <w:tcPr>
            <w:tcW w:type="dxa" w:w="183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Encrypted archive to Client storage</w:t>
            </w:r>
          </w:p>
        </w:tc>
      </w:tr>
      <w:tr>
        <w:trPr>
          <w:cantSplit/>
        </w:trPr>
        <w:tc>
          <w:tcPr>
            <w:tcW w:type="dxa" w:w="252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Recorded walkthroughs</w:t>
            </w:r>
          </w:p>
        </w:tc>
        <w:tc>
          <w:tcPr>
            <w:tcW w:type="dxa" w:w="5283"/>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Two sessions (operations; architecture &amp; codebase) ≥ 60 min each.</w:t>
            </w:r>
          </w:p>
        </w:tc>
        <w:tc>
          <w:tcPr>
            <w:tcW w:type="dxa" w:w="183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Video in Client store</w:t>
            </w:r>
          </w:p>
        </w:tc>
      </w:tr>
      <w:tr>
        <w:trPr>
          <w:cantSplit/>
        </w:trPr>
        <w:tc>
          <w:tcPr>
            <w:tcW w:type="dxa" w:w="252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Access &amp; credential register</w:t>
            </w:r>
          </w:p>
        </w:tc>
        <w:tc>
          <w:tcPr>
            <w:tcW w:type="dxa" w:w="5283"/>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List of every account, who has access, and confirmation of Developer credential revocation and data deletion (clauses 12.2, 18.3).</w:t>
            </w:r>
          </w:p>
        </w:tc>
        <w:tc>
          <w:tcPr>
            <w:tcW w:type="dxa" w:w="183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Signed statement</w:t>
            </w:r>
          </w:p>
        </w:tc>
      </w:tr>
    </w:tbl>
    <w:p>
      <w:r>
        <w:br w:type="page"/>
      </w:r>
    </w:p>
    <w:p>
      <w:pPr>
        <w:pStyle w:val="Heading1"/>
        <w:keepNext/>
        <w:spacing w:after="160" w:before="360"/>
      </w:pPr>
      <w:r>
        <w:rPr>
          <w:rFonts w:ascii="Calibri" w:cs="Calibri" w:eastAsia="Calibri" w:hAnsi="Calibri"/>
          <w:b/>
          <w:bCs/>
          <w:color w:val="1F3A5F"/>
          <w:sz w:val="28"/>
          <w:szCs w:val="28"/>
        </w:rPr>
        <w:t xml:space="preserve">Schedule G — Third-Party Components, Licences and AI Tooling Declaration</w:t>
      </w:r>
    </w:p>
    <w:p>
      <w:pPr>
        <w:pStyle w:val="Heading2"/>
        <w:keepNext/>
        <w:spacing w:after="120" w:before="240"/>
      </w:pPr>
      <w:r>
        <w:rPr>
          <w:rFonts w:ascii="Calibri" w:cs="Calibri" w:eastAsia="Calibri" w:hAnsi="Calibri"/>
          <w:b/>
          <w:bCs/>
          <w:color w:val="1F3A5F"/>
          <w:sz w:val="24"/>
          <w:szCs w:val="24"/>
        </w:rPr>
        <w:t xml:space="preserve">G1. Principal open-source components (full SBOM to follow at Handover)</w:t>
      </w:r>
    </w:p>
    <w:tbl>
      <w:tblPr>
        <w:tblW w:type="dxa" w:w="964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8"/>
        <w:gridCol w:w="4039"/>
        <w:gridCol w:w="1571"/>
        <w:gridCol w:w="1571"/>
      </w:tblGrid>
      <w:tr>
        <w:trPr>
          <w:tblHeader/>
        </w:trPr>
        <w:tc>
          <w:tcPr>
            <w:tcW w:type="dxa" w:w="2468"/>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Component</w:t>
            </w:r>
          </w:p>
        </w:tc>
        <w:tc>
          <w:tcPr>
            <w:tcW w:type="dxa" w:w="4039"/>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Use</w:t>
            </w:r>
          </w:p>
        </w:tc>
        <w:tc>
          <w:tcPr>
            <w:tcW w:type="dxa" w:w="1571"/>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Licence</w:t>
            </w:r>
          </w:p>
        </w:tc>
        <w:tc>
          <w:tcPr>
            <w:tcW w:type="dxa" w:w="1571"/>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Package</w:t>
            </w:r>
          </w:p>
        </w:tc>
      </w:tr>
      <w:tr>
        <w:trPr>
          <w:cantSplit/>
        </w:trPr>
        <w:tc>
          <w:tcPr>
            <w:tcW w:type="dxa" w:w="246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React, React Router, Vite</w:t>
            </w:r>
          </w:p>
        </w:tc>
        <w:tc>
          <w:tcPr>
            <w:tcW w:type="dxa" w:w="403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Front-end framework, routing, bundling</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MIT</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Dispatch FE, Chat FE</w:t>
            </w:r>
          </w:p>
        </w:tc>
      </w:tr>
      <w:tr>
        <w:trPr>
          <w:cantSplit/>
        </w:trPr>
        <w:tc>
          <w:tcPr>
            <w:tcW w:type="dxa" w:w="246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Tailwind CSS, DaisyUI</w:t>
            </w:r>
          </w:p>
        </w:tc>
        <w:tc>
          <w:tcPr>
            <w:tcW w:type="dxa" w:w="403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Styling</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MIT</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Dispatch FE, Chat FE</w:t>
            </w:r>
          </w:p>
        </w:tc>
      </w:tr>
      <w:tr>
        <w:trPr>
          <w:cantSplit/>
        </w:trPr>
        <w:tc>
          <w:tcPr>
            <w:tcW w:type="dxa" w:w="246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Zustand</w:t>
            </w:r>
          </w:p>
        </w:tc>
        <w:tc>
          <w:tcPr>
            <w:tcW w:type="dxa" w:w="403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State management</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MIT</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Dispatch FE, Chat FE</w:t>
            </w:r>
          </w:p>
        </w:tc>
      </w:tr>
      <w:tr>
        <w:trPr>
          <w:cantSplit/>
        </w:trPr>
        <w:tc>
          <w:tcPr>
            <w:tcW w:type="dxa" w:w="246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Leaflet</w:t>
            </w:r>
          </w:p>
        </w:tc>
        <w:tc>
          <w:tcPr>
            <w:tcW w:type="dxa" w:w="403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Maps</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BSD-2-Clause</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Dispatch FE</w:t>
            </w:r>
          </w:p>
        </w:tc>
      </w:tr>
      <w:tr>
        <w:trPr>
          <w:cantSplit/>
        </w:trPr>
        <w:tc>
          <w:tcPr>
            <w:tcW w:type="dxa" w:w="246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Capacitor (core, cli, android, ios, geolocation, camera, filesystem, network, preferences, push/local notifications)</w:t>
            </w:r>
          </w:p>
        </w:tc>
        <w:tc>
          <w:tcPr>
            <w:tcW w:type="dxa" w:w="403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Native mobile packaging</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MIT</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Dispatch FE, Chat FE</w:t>
            </w:r>
          </w:p>
        </w:tc>
      </w:tr>
      <w:tr>
        <w:trPr>
          <w:cantSplit/>
        </w:trPr>
        <w:tc>
          <w:tcPr>
            <w:tcW w:type="dxa" w:w="246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Express, cors, cookie-parser, multer</w:t>
            </w:r>
          </w:p>
        </w:tc>
        <w:tc>
          <w:tcPr>
            <w:tcW w:type="dxa" w:w="403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HTTP API framework and middleware</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MIT</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Dispatch BE, Chat BE</w:t>
            </w:r>
          </w:p>
        </w:tc>
      </w:tr>
      <w:tr>
        <w:trPr>
          <w:cantSplit/>
        </w:trPr>
        <w:tc>
          <w:tcPr>
            <w:tcW w:type="dxa" w:w="246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pg</w:t>
            </w:r>
          </w:p>
        </w:tc>
        <w:tc>
          <w:tcPr>
            <w:tcW w:type="dxa" w:w="403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PostgreSQL driver</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MIT</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Dispatch BE</w:t>
            </w:r>
          </w:p>
        </w:tc>
      </w:tr>
      <w:tr>
        <w:trPr>
          <w:cantSplit/>
        </w:trPr>
        <w:tc>
          <w:tcPr>
            <w:tcW w:type="dxa" w:w="246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Mongoose</w:t>
            </w:r>
          </w:p>
        </w:tc>
        <w:tc>
          <w:tcPr>
            <w:tcW w:type="dxa" w:w="403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MongoDB ODM</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MIT</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Chat BE</w:t>
            </w:r>
          </w:p>
        </w:tc>
      </w:tr>
      <w:tr>
        <w:trPr>
          <w:cantSplit/>
        </w:trPr>
        <w:tc>
          <w:tcPr>
            <w:tcW w:type="dxa" w:w="246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Socket.io, ws</w:t>
            </w:r>
          </w:p>
        </w:tc>
        <w:tc>
          <w:tcPr>
            <w:tcW w:type="dxa" w:w="403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Real-time messaging / WebSocket</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MIT</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Chat BE, Dispatch BE</w:t>
            </w:r>
          </w:p>
        </w:tc>
      </w:tr>
      <w:tr>
        <w:trPr>
          <w:cantSplit/>
        </w:trPr>
        <w:tc>
          <w:tcPr>
            <w:tcW w:type="dxa" w:w="246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jsonwebtoken, bcrypt</w:t>
            </w:r>
          </w:p>
        </w:tc>
        <w:tc>
          <w:tcPr>
            <w:tcW w:type="dxa" w:w="403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Authentication</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MIT</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Both BE</w:t>
            </w:r>
          </w:p>
        </w:tc>
      </w:tr>
      <w:tr>
        <w:trPr>
          <w:cantSplit/>
        </w:trPr>
        <w:tc>
          <w:tcPr>
            <w:tcW w:type="dxa" w:w="246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node-cron</w:t>
            </w:r>
          </w:p>
        </w:tc>
        <w:tc>
          <w:tcPr>
            <w:tcW w:type="dxa" w:w="403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Scheduled workers</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ISC</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Dispatch BE</w:t>
            </w:r>
          </w:p>
        </w:tc>
      </w:tr>
      <w:tr>
        <w:trPr>
          <w:cantSplit/>
        </w:trPr>
        <w:tc>
          <w:tcPr>
            <w:tcW w:type="dxa" w:w="246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nodemailer, imapflow, mailparser</w:t>
            </w:r>
          </w:p>
        </w:tc>
        <w:tc>
          <w:tcPr>
            <w:tcW w:type="dxa" w:w="403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Email send / Gmail intake</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MIT</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Dispatch BE</w:t>
            </w:r>
          </w:p>
        </w:tc>
      </w:tr>
      <w:tr>
        <w:trPr>
          <w:cantSplit/>
        </w:trPr>
        <w:tc>
          <w:tcPr>
            <w:tcW w:type="dxa" w:w="246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@google/genai</w:t>
            </w:r>
          </w:p>
        </w:tc>
        <w:tc>
          <w:tcPr>
            <w:tcW w:type="dxa" w:w="403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Gemini API client</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Apache-2.0</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Dispatch BE</w:t>
            </w:r>
          </w:p>
        </w:tc>
      </w:tr>
      <w:tr>
        <w:trPr>
          <w:cantSplit/>
        </w:trPr>
        <w:tc>
          <w:tcPr>
            <w:tcW w:type="dxa" w:w="246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@supabase/supabase-js</w:t>
            </w:r>
          </w:p>
        </w:tc>
        <w:tc>
          <w:tcPr>
            <w:tcW w:type="dxa" w:w="403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Supabase client</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MIT</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Both BE</w:t>
            </w:r>
          </w:p>
        </w:tc>
      </w:tr>
      <w:tr>
        <w:trPr>
          <w:cantSplit/>
        </w:trPr>
        <w:tc>
          <w:tcPr>
            <w:tcW w:type="dxa" w:w="246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cloudinary</w:t>
            </w:r>
          </w:p>
        </w:tc>
        <w:tc>
          <w:tcPr>
            <w:tcW w:type="dxa" w:w="403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Media storage client</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MIT</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Chat BE</w:t>
            </w:r>
          </w:p>
        </w:tc>
      </w:tr>
      <w:tr>
        <w:trPr>
          <w:cantSplit/>
        </w:trPr>
        <w:tc>
          <w:tcPr>
            <w:tcW w:type="dxa" w:w="246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axios, dotenv, react-hot-toast, concurrently</w:t>
            </w:r>
          </w:p>
        </w:tc>
        <w:tc>
          <w:tcPr>
            <w:tcW w:type="dxa" w:w="4039"/>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Utilities</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MIT</w:t>
            </w:r>
          </w:p>
        </w:tc>
        <w:tc>
          <w:tcPr>
            <w:tcW w:type="dxa" w:w="1571"/>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Various</w:t>
            </w:r>
          </w:p>
        </w:tc>
      </w:tr>
      <w:tr>
        <w:trPr>
          <w:cantSplit/>
        </w:trPr>
        <w:tc>
          <w:tcPr>
            <w:tcW w:type="dxa" w:w="246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OpenStreetMap / Nominatim data</w:t>
            </w:r>
          </w:p>
        </w:tc>
        <w:tc>
          <w:tcPr>
            <w:tcW w:type="dxa" w:w="4039"/>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Geocoding</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ODbL (attribution &amp; usage policy)</w:t>
            </w:r>
          </w:p>
        </w:tc>
        <w:tc>
          <w:tcPr>
            <w:tcW w:type="dxa" w:w="1571"/>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Dispatch BE</w:t>
            </w:r>
          </w:p>
        </w:tc>
      </w:tr>
    </w:tbl>
    <w:p>
      <w:pPr>
        <w:spacing w:after="120" w:line="276"/>
      </w:pPr>
      <w:r>
        <w:rPr>
          <w:rFonts w:ascii="Calibri" w:cs="Calibri" w:eastAsia="Calibri" w:hAnsi="Calibri"/>
          <w:color w:val="555555"/>
          <w:sz w:val="20"/>
          <w:szCs w:val="20"/>
        </w:rPr>
        <w:t xml:space="preserve">The Developers warrant no GPL/AGPL-licensed component is included. Commercial API services (Samsara, Gemini, BorderConnect, PC*MILER) are governed by the Client’s own subscription terms.</w:t>
      </w:r>
    </w:p>
    <w:p>
      <w:pPr>
        <w:pStyle w:val="Heading2"/>
        <w:keepNext/>
        <w:spacing w:after="120" w:before="240"/>
      </w:pPr>
      <w:r>
        <w:rPr>
          <w:rFonts w:ascii="Calibri" w:cs="Calibri" w:eastAsia="Calibri" w:hAnsi="Calibri"/>
          <w:b/>
          <w:bCs/>
          <w:color w:val="1F3A5F"/>
          <w:sz w:val="24"/>
          <w:szCs w:val="24"/>
        </w:rPr>
        <w:t xml:space="preserve">G2. AI coding assistants used</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8"/>
        <w:gridCol w:w="2067"/>
        <w:gridCol w:w="2527"/>
        <w:gridCol w:w="3216"/>
      </w:tblGrid>
      <w:tr>
        <w:trPr>
          <w:tblHeader/>
        </w:trPr>
        <w:tc>
          <w:tcPr>
            <w:tcW w:type="dxa" w:w="1838"/>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Tool</w:t>
            </w:r>
          </w:p>
        </w:tc>
        <w:tc>
          <w:tcPr>
            <w:tcW w:type="dxa" w:w="206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Plan / tier</w:t>
            </w:r>
          </w:p>
        </w:tc>
        <w:tc>
          <w:tcPr>
            <w:tcW w:type="dxa" w:w="2527"/>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Vendor claims rights in output?</w:t>
            </w:r>
          </w:p>
        </w:tc>
        <w:tc>
          <w:tcPr>
            <w:tcW w:type="dxa" w:w="3216"/>
            <w:tcBorders>
              <w:top w:val="single" w:color="B7C1CE" w:sz="4"/>
              <w:left w:val="single" w:color="B7C1CE" w:sz="4"/>
              <w:bottom w:val="single" w:color="B7C1CE" w:sz="4"/>
              <w:right w:val="single" w:color="B7C1CE" w:sz="4"/>
            </w:tcBorders>
            <w:shd w:fill="1F3A5F"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Trains on submitted code?</w:t>
            </w:r>
          </w:p>
        </w:tc>
      </w:tr>
      <w:tr>
        <w:trPr>
          <w:cantSplit/>
        </w:trPr>
        <w:tc>
          <w:tcPr>
            <w:tcW w:type="dxa" w:w="183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Google Gemini</w:t>
            </w:r>
          </w:p>
        </w:tc>
        <w:tc>
          <w:tcPr>
            <w:tcW w:type="dxa" w:w="206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 Free / Advanced]</w:t>
            </w:r>
          </w:p>
        </w:tc>
        <w:tc>
          <w:tcPr>
            <w:tcW w:type="dxa" w:w="252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No</w:t>
            </w:r>
          </w:p>
        </w:tc>
        <w:tc>
          <w:tcPr>
            <w:tcW w:type="dxa" w:w="321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 Yes on Free / No on Advanced]</w:t>
            </w:r>
          </w:p>
        </w:tc>
      </w:tr>
      <w:tr>
        <w:trPr>
          <w:cantSplit/>
        </w:trPr>
        <w:tc>
          <w:tcPr>
            <w:tcW w:type="dxa" w:w="1838"/>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Anthropic Claude</w:t>
            </w:r>
          </w:p>
        </w:tc>
        <w:tc>
          <w:tcPr>
            <w:tcW w:type="dxa" w:w="206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 Free / Pro]</w:t>
            </w:r>
          </w:p>
        </w:tc>
        <w:tc>
          <w:tcPr>
            <w:tcW w:type="dxa" w:w="2527"/>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No</w:t>
            </w:r>
          </w:p>
        </w:tc>
        <w:tc>
          <w:tcPr>
            <w:tcW w:type="dxa" w:w="3216"/>
            <w:tcBorders>
              <w:top w:val="single" w:color="B7C1CE" w:sz="4"/>
              <w:left w:val="single" w:color="B7C1CE" w:sz="4"/>
              <w:bottom w:val="single" w:color="B7C1CE" w:sz="4"/>
              <w:right w:val="single" w:color="B7C1CE" w:sz="4"/>
            </w:tcBorders>
            <w:shd w:fill="EEF2F7" w:color="auto" w:val="clear"/>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 Yes on Free / No on Pro]</w:t>
            </w:r>
          </w:p>
        </w:tc>
      </w:tr>
      <w:tr>
        <w:trPr>
          <w:cantSplit/>
        </w:trPr>
        <w:tc>
          <w:tcPr>
            <w:tcW w:type="dxa" w:w="1838"/>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bCs/>
                <w:sz w:val="19"/>
                <w:szCs w:val="19"/>
              </w:rPr>
              <w:t xml:space="preserve">GitHub Copilot</w:t>
            </w:r>
          </w:p>
        </w:tc>
        <w:tc>
          <w:tcPr>
            <w:tcW w:type="dxa" w:w="206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 Individual / Business]</w:t>
            </w:r>
          </w:p>
        </w:tc>
        <w:tc>
          <w:tcPr>
            <w:tcW w:type="dxa" w:w="2527"/>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rPr>
              <w:t xml:space="preserve">No</w:t>
            </w:r>
          </w:p>
        </w:tc>
        <w:tc>
          <w:tcPr>
            <w:tcW w:type="dxa" w:w="3216"/>
            <w:tcBorders>
              <w:top w:val="single" w:color="B7C1CE" w:sz="4"/>
              <w:left w:val="single" w:color="B7C1CE" w:sz="4"/>
              <w:bottom w:val="single" w:color="B7C1CE" w:sz="4"/>
              <w:right w:val="single" w:color="B7C1CE" w:sz="4"/>
            </w:tcBorders>
            <w:tcMar>
              <w:top w:type="dxa" w:w="60"/>
              <w:left w:type="dxa" w:w="100"/>
              <w:bottom w:type="dxa" w:w="60"/>
              <w:right w:type="dxa" w:w="100"/>
            </w:tcMar>
            <w:vAlign w:val="top"/>
          </w:tcPr>
          <w:p>
            <w:pPr>
              <w:spacing w:after="40" w:line="252"/>
            </w:pPr>
            <w:r>
              <w:rPr>
                <w:rFonts w:ascii="Calibri" w:cs="Calibri" w:eastAsia="Calibri" w:hAnsi="Calibri"/>
                <w:b w:val="false"/>
                <w:bCs w:val="false"/>
                <w:sz w:val="19"/>
                <w:szCs w:val="19"/>
                <w:highlight w:val="yellow"/>
                <w:highlightCs w:val="yellow"/>
              </w:rPr>
              <w:t xml:space="preserve">[FILL: Yes on Individual / No on Business]</w:t>
            </w:r>
          </w:p>
        </w:tc>
      </w:tr>
    </w:tbl>
    <w:p>
      <w:pPr>
        <w:spacing w:after="120" w:line="276"/>
      </w:pPr>
      <w:r>
        <w:rPr>
          <w:rFonts w:ascii="Calibri" w:cs="Calibri" w:eastAsia="Calibri" w:hAnsi="Calibri"/>
          <w:sz w:val="22"/>
          <w:szCs w:val="22"/>
        </w:rPr>
        <w:t xml:space="preserve">The Developers confirm that all AI-assisted output was reviewed, tested and modified by them before inclusion, that no Client Data or credentials were submitted to these tools, and that per the vendors’ terms no vendor asserts ownership of the output (clause 10.3).</w:t>
      </w:r>
    </w:p>
    <w:p>
      <w:pPr>
        <w:spacing w:after="300"/>
      </w:pPr>
    </w:p>
    <w:p>
      <w:pPr>
        <w:jc w:val="center"/>
      </w:pPr>
      <w:r>
        <w:rPr>
          <w:rFonts w:ascii="Calibri" w:cs="Calibri" w:eastAsia="Calibri" w:hAnsi="Calibri"/>
          <w:i/>
          <w:iCs/>
          <w:color w:val="555555"/>
          <w:sz w:val="22"/>
          <w:szCs w:val="22"/>
        </w:rPr>
        <w:t xml:space="preserve">— End of Memorandum of Understanding —</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r>
      <w:rPr>
        <w:rFonts w:ascii="Calibri" w:cs="Calibri" w:eastAsia="Calibri" w:hAnsi="Calibri"/>
        <w:color w:val="555555"/>
        <w:sz w:val="16"/>
        <w:szCs w:val="16"/>
      </w:rPr>
      <w:t xml:space="preserve">      Initials: Client ______   NS ______   SB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4" w:space="2"/>
      </w:pBdr>
      <w:jc w:val="right"/>
    </w:pPr>
    <w:r>
      <w:rPr>
        <w:rFonts w:ascii="Calibri" w:cs="Calibri" w:eastAsia="Calibri" w:hAnsi="Calibri"/>
        <w:color w:val="555555"/>
        <w:sz w:val="16"/>
        <w:szCs w:val="16"/>
      </w:rPr>
      <w:t xml:space="preserve">MOU — Nishan Transport / N. Singh &amp; S. Bansal — DispatchChat Platform    </w:t>
    </w:r>
    <w:r>
      <w:rPr>
        <w:rFonts w:ascii="Calibri" w:cs="Calibri" w:eastAsia="Calibri" w:hAnsi="Calibri"/>
        <w:b/>
        <w:bCs/>
        <w:color w:val="555555"/>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 — DispatchChat Platform Build, IP Assignment and Handover</dc:title>
  <dc:creator>Nishan Transport</dc:creator>
  <cp:lastModifiedBy>Un-named</cp:lastModifiedBy>
  <cp:revision>1</cp:revision>
  <dcterms:created xsi:type="dcterms:W3CDTF">2026-09-02T10:07:00.050Z</dcterms:created>
  <dcterms:modified xsi:type="dcterms:W3CDTF">2026-09-02T10:07:00.050Z</dcterms:modified>
</cp:coreProperties>
</file>

<file path=docProps/custom.xml><?xml version="1.0" encoding="utf-8"?>
<Properties xmlns="http://schemas.openxmlformats.org/officeDocument/2006/custom-properties" xmlns:vt="http://schemas.openxmlformats.org/officeDocument/2006/docPropsVTypes"/>
</file>