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00"/>
        <w:jc w:val="center"/>
      </w:pPr>
      <w:r>
        <w:rPr>
          <w:rFonts w:ascii="Times New Roman" w:hAnsi="Times New Roman"/>
          <w:color w:val="64748B"/>
          <w:sz w:val="22"/>
        </w:rPr>
        <w:t>Diploma in Computer Engineering  |  Academic Year: 2026-27</w:t>
      </w: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10" w:type="dxa"/>
              <w:bottom w:w="10" w:type="dxa"/>
              <w:left w:w="20" w:type="dxa"/>
              <w:right w:w="40" w:type="dxa"/>
            </w:tcMar>
          </w:tcPr>
          <w:p>
            <w:pPr>
              <w:jc w:val="right"/>
            </w:pPr>
            <w:r>
              <w:drawing>
                <wp:inline xmlns:a="http://schemas.openxmlformats.org/drawingml/2006/main" xmlns:pic="http://schemas.openxmlformats.org/drawingml/2006/picture">
                  <wp:extent cx="1051560" cy="1267734"/>
                  <wp:docPr id="1" name="Picture 1"/>
                  <wp:cNvGraphicFramePr>
                    <a:graphicFrameLocks noChangeAspect="1"/>
                  </wp:cNvGraphicFramePr>
                  <a:graphic>
                    <a:graphicData uri="http://schemas.openxmlformats.org/drawingml/2006/picture">
                      <pic:pic>
                        <pic:nvPicPr>
                          <pic:cNvPr id="0" name="gtu_logo.png"/>
                          <pic:cNvPicPr/>
                        </pic:nvPicPr>
                        <pic:blipFill>
                          <a:blip r:embed="rId10"/>
                          <a:stretch>
                            <a:fillRect/>
                          </a:stretch>
                        </pic:blipFill>
                        <pic:spPr>
                          <a:xfrm>
                            <a:off x="0" y="0"/>
                            <a:ext cx="1051560" cy="1267734"/>
                          </a:xfrm>
                          <a:prstGeom prst="rect"/>
                        </pic:spPr>
                      </pic:pic>
                    </a:graphicData>
                  </a:graphic>
                </wp:inline>
              </w:drawing>
            </w:r>
          </w:p>
        </w:tc>
        <w:tc>
          <w:tcPr>
            <w:tcW w:type="dxa" w:w="4500"/>
            <w:tcMar>
              <w:top w:w="10" w:type="dxa"/>
              <w:bottom w:w="10" w:type="dxa"/>
              <w:left w:w="40" w:type="dxa"/>
              <w:right w:w="20" w:type="dxa"/>
            </w:tcMar>
          </w:tcPr>
          <w:p>
            <w:pPr>
              <w:jc w:val="left"/>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kdp_logo.png"/>
                          <pic:cNvPicPr/>
                        </pic:nvPicPr>
                        <pic:blipFill>
                          <a:blip r:embed="rId11"/>
                          <a:stretch>
                            <a:fillRect/>
                          </a:stretch>
                        </pic:blipFill>
                        <pic:spPr>
                          <a:xfrm>
                            <a:off x="0" y="0"/>
                            <a:ext cx="1280160" cy="1280160"/>
                          </a:xfrm>
                          <a:prstGeom prst="rect"/>
                        </pic:spPr>
                      </pic:pic>
                    </a:graphicData>
                  </a:graphic>
                </wp:inline>
              </w:drawing>
            </w:r>
          </w:p>
        </w:tc>
      </w:tr>
    </w:tbl>
    <w:p>
      <w:pPr>
        <w:spacing w:before="200" w:after="40"/>
        <w:jc w:val="center"/>
      </w:pPr>
      <w:r>
        <w:rPr>
          <w:rFonts w:ascii="Times New Roman" w:hAnsi="Times New Roman"/>
          <w:b/>
          <w:color w:val="0F172A"/>
          <w:sz w:val="28"/>
        </w:rPr>
        <w:t>K. D. POLYTECHNIC, PATAN</w:t>
      </w:r>
    </w:p>
    <w:p>
      <w:pPr>
        <w:spacing w:after="240"/>
        <w:jc w:val="center"/>
      </w:pPr>
      <w:r>
        <w:rPr>
          <w:rFonts w:ascii="Times New Roman" w:hAnsi="Times New Roman"/>
          <w:color w:val="64748B"/>
          <w:sz w:val="22"/>
        </w:rPr>
        <w:t>Patan, Gujarat</w:t>
      </w:r>
    </w:p>
    <w:p>
      <w:pPr>
        <w:spacing w:after="60"/>
        <w:jc w:val="center"/>
      </w:pPr>
      <w:r>
        <w:rPr>
          <w:rFonts w:ascii="Times New Roman" w:hAnsi="Times New Roman"/>
          <w:b/>
          <w:color w:val="059669"/>
          <w:sz w:val="26"/>
        </w:rPr>
        <w:t>A MINOR PROJECT REPORT</w:t>
      </w:r>
    </w:p>
    <w:p>
      <w:pPr>
        <w:spacing w:after="60"/>
        <w:jc w:val="center"/>
      </w:pPr>
      <w:r>
        <w:rPr>
          <w:rFonts w:ascii="Times New Roman" w:hAnsi="Times New Roman"/>
          <w:i/>
          <w:sz w:val="22"/>
        </w:rPr>
        <w:t>on</w:t>
      </w:r>
    </w:p>
    <w:p>
      <w:pPr>
        <w:spacing w:after="120"/>
        <w:jc w:val="center"/>
      </w:pPr>
      <w:r>
        <w:rPr>
          <w:rFonts w:ascii="Times New Roman" w:hAnsi="Times New Roman"/>
          <w:b/>
          <w:color w:val="1E3A8A"/>
          <w:sz w:val="27"/>
        </w:rPr>
        <w:t>"DineFlow AI: Next-Generation Restaurant Cloud POS, Contactless QR Ordering, Real-Time KDS &amp; Smart ERP System"</w:t>
      </w:r>
    </w:p>
    <w:p>
      <w:pPr>
        <w:spacing w:after="240"/>
        <w:jc w:val="center"/>
      </w:pPr>
      <w:r>
        <w:rPr>
          <w:rFonts w:ascii="Times New Roman" w:hAnsi="Times New Roman"/>
          <w:color w:val="475569"/>
          <w:sz w:val="21"/>
        </w:rPr>
        <w:t>Subject Code: DI05000341  |  Semester: 5th  |  Academic Year: 2026-27</w:t>
      </w:r>
    </w:p>
    <w:p>
      <w:pPr>
        <w:spacing w:after="80"/>
        <w:jc w:val="center"/>
      </w:pPr>
      <w:r>
        <w:rPr>
          <w:rFonts w:ascii="Times New Roman" w:hAnsi="Times New Roman"/>
          <w:b/>
          <w:sz w:val="22"/>
        </w:rPr>
        <w:t>Submitted by</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792"/>
        <w:gridCol w:w="5544"/>
        <w:gridCol w:w="2664"/>
      </w:tblGrid>
      <w:tr>
        <w:trPr>
          <w:cantSplit/>
        </w:trPr>
        <w:tc>
          <w:tcPr>
            <w:tcW w:type="dxa" w:w="792"/>
            <w:tcMar>
              <w:top w:w="24" w:type="dxa"/>
              <w:bottom w:w="24" w:type="dxa"/>
              <w:left w:w="35" w:type="dxa"/>
              <w:right w:w="35" w:type="dxa"/>
            </w:tcMar>
            <w:shd w:fill="1E3A8A"/>
          </w:tcPr>
          <w:p>
            <w:pPr>
              <w:jc w:val="center"/>
            </w:pPr>
            <w:r>
              <w:rPr>
                <w:rFonts w:ascii="Times New Roman" w:hAnsi="Times New Roman"/>
                <w:b/>
                <w:color w:val="FFFFFF"/>
                <w:sz w:val="19"/>
              </w:rPr>
              <w:t>S. No.</w:t>
            </w:r>
          </w:p>
        </w:tc>
        <w:tc>
          <w:tcPr>
            <w:tcW w:type="dxa" w:w="5544"/>
            <w:tcMar>
              <w:top w:w="24" w:type="dxa"/>
              <w:bottom w:w="24" w:type="dxa"/>
              <w:left w:w="35" w:type="dxa"/>
              <w:right w:w="35" w:type="dxa"/>
            </w:tcMar>
            <w:shd w:fill="1E3A8A"/>
          </w:tcPr>
          <w:p>
            <w:pPr>
              <w:jc w:val="center"/>
            </w:pPr>
            <w:r>
              <w:rPr>
                <w:rFonts w:ascii="Times New Roman" w:hAnsi="Times New Roman"/>
                <w:b/>
                <w:color w:val="FFFFFF"/>
                <w:sz w:val="19"/>
              </w:rPr>
              <w:t>Name of Student</w:t>
            </w:r>
          </w:p>
        </w:tc>
        <w:tc>
          <w:tcPr>
            <w:tcW w:type="dxa" w:w="2664"/>
            <w:tcMar>
              <w:top w:w="24" w:type="dxa"/>
              <w:bottom w:w="24" w:type="dxa"/>
              <w:left w:w="35" w:type="dxa"/>
              <w:right w:w="35" w:type="dxa"/>
            </w:tcMar>
            <w:shd w:fill="1E3A8A"/>
          </w:tcPr>
          <w:p>
            <w:pPr>
              <w:jc w:val="center"/>
            </w:pPr>
            <w:r>
              <w:rPr>
                <w:rFonts w:ascii="Times New Roman" w:hAnsi="Times New Roman"/>
                <w:b/>
                <w:color w:val="FFFFFF"/>
                <w:sz w:val="19"/>
              </w:rPr>
              <w:t>Enrollment Number</w:t>
            </w:r>
          </w:p>
        </w:tc>
      </w:tr>
      <w:tr>
        <w:trPr>
          <w:cantSplit/>
        </w:trPr>
        <w:tc>
          <w:tcPr>
            <w:tcW w:type="dxa" w:w="792"/>
            <w:tcMar>
              <w:top w:w="20" w:type="dxa"/>
              <w:bottom w:w="20" w:type="dxa"/>
              <w:left w:w="45" w:type="dxa"/>
              <w:right w:w="45" w:type="dxa"/>
            </w:tcMar>
          </w:tcPr>
          <w:p>
            <w:pPr>
              <w:jc w:val="center"/>
            </w:pPr>
            <w:r>
              <w:rPr>
                <w:rFonts w:ascii="Times New Roman" w:hAnsi="Times New Roman"/>
                <w:b/>
                <w:sz w:val="19"/>
              </w:rPr>
              <w:t>1</w:t>
            </w:r>
          </w:p>
        </w:tc>
        <w:tc>
          <w:tcPr>
            <w:tcW w:type="dxa" w:w="5544"/>
            <w:tcMar>
              <w:top w:w="20" w:type="dxa"/>
              <w:bottom w:w="20" w:type="dxa"/>
              <w:left w:w="45" w:type="dxa"/>
              <w:right w:w="45" w:type="dxa"/>
            </w:tcMar>
          </w:tcPr>
          <w:p>
            <w:pPr>
              <w:jc w:val="left"/>
            </w:pPr>
            <w:r>
              <w:rPr>
                <w:rFonts w:ascii="Times New Roman" w:hAnsi="Times New Roman"/>
                <w:b/>
                <w:sz w:val="19"/>
              </w:rPr>
              <w:t>PATEL SHUBH MAHESHKUMAR (Team Lead)</w:t>
            </w:r>
          </w:p>
        </w:tc>
        <w:tc>
          <w:tcPr>
            <w:tcW w:type="dxa" w:w="2664"/>
            <w:tcMar>
              <w:top w:w="20" w:type="dxa"/>
              <w:bottom w:w="20" w:type="dxa"/>
              <w:left w:w="45" w:type="dxa"/>
              <w:right w:w="45" w:type="dxa"/>
            </w:tcMar>
          </w:tcPr>
          <w:p>
            <w:pPr>
              <w:jc w:val="center"/>
            </w:pPr>
            <w:r>
              <w:rPr>
                <w:rFonts w:ascii="Times New Roman" w:hAnsi="Times New Roman"/>
                <w:sz w:val="19"/>
              </w:rPr>
              <w:t>246310307123</w:t>
            </w:r>
          </w:p>
        </w:tc>
      </w:tr>
      <w:tr>
        <w:trPr>
          <w:cantSplit/>
        </w:trPr>
        <w:tc>
          <w:tcPr>
            <w:tcW w:type="dxa" w:w="792"/>
            <w:tcMar>
              <w:top w:w="20" w:type="dxa"/>
              <w:bottom w:w="20" w:type="dxa"/>
              <w:left w:w="45" w:type="dxa"/>
              <w:right w:w="45" w:type="dxa"/>
            </w:tcMar>
            <w:shd w:fill="F8FAFC"/>
          </w:tcPr>
          <w:p>
            <w:pPr>
              <w:jc w:val="center"/>
            </w:pPr>
            <w:r>
              <w:rPr>
                <w:rFonts w:ascii="Times New Roman" w:hAnsi="Times New Roman"/>
                <w:b/>
                <w:sz w:val="19"/>
              </w:rPr>
              <w:t>2</w:t>
            </w:r>
          </w:p>
        </w:tc>
        <w:tc>
          <w:tcPr>
            <w:tcW w:type="dxa" w:w="5544"/>
            <w:tcMar>
              <w:top w:w="20" w:type="dxa"/>
              <w:bottom w:w="20" w:type="dxa"/>
              <w:left w:w="45" w:type="dxa"/>
              <w:right w:w="45" w:type="dxa"/>
            </w:tcMar>
            <w:shd w:fill="F8FAFC"/>
          </w:tcPr>
          <w:p>
            <w:pPr>
              <w:jc w:val="left"/>
            </w:pPr>
            <w:r>
              <w:rPr>
                <w:rFonts w:ascii="Times New Roman" w:hAnsi="Times New Roman"/>
                <w:sz w:val="19"/>
              </w:rPr>
              <w:t>DAVE KRUSHANK JIGNESHBHAI</w:t>
            </w:r>
          </w:p>
        </w:tc>
        <w:tc>
          <w:tcPr>
            <w:tcW w:type="dxa" w:w="2664"/>
            <w:tcMar>
              <w:top w:w="20" w:type="dxa"/>
              <w:bottom w:w="20" w:type="dxa"/>
              <w:left w:w="45" w:type="dxa"/>
              <w:right w:w="45" w:type="dxa"/>
            </w:tcMar>
            <w:shd w:fill="F8FAFC"/>
          </w:tcPr>
          <w:p>
            <w:pPr>
              <w:jc w:val="center"/>
            </w:pPr>
            <w:r>
              <w:rPr>
                <w:rFonts w:ascii="Times New Roman" w:hAnsi="Times New Roman"/>
                <w:sz w:val="19"/>
              </w:rPr>
              <w:t>246310307028</w:t>
            </w:r>
          </w:p>
        </w:tc>
      </w:tr>
      <w:tr>
        <w:trPr>
          <w:cantSplit/>
        </w:trPr>
        <w:tc>
          <w:tcPr>
            <w:tcW w:type="dxa" w:w="792"/>
            <w:tcMar>
              <w:top w:w="20" w:type="dxa"/>
              <w:bottom w:w="20" w:type="dxa"/>
              <w:left w:w="45" w:type="dxa"/>
              <w:right w:w="45" w:type="dxa"/>
            </w:tcMar>
          </w:tcPr>
          <w:p>
            <w:pPr>
              <w:jc w:val="center"/>
            </w:pPr>
            <w:r>
              <w:rPr>
                <w:rFonts w:ascii="Times New Roman" w:hAnsi="Times New Roman"/>
                <w:b/>
                <w:sz w:val="19"/>
              </w:rPr>
              <w:t>3</w:t>
            </w:r>
          </w:p>
        </w:tc>
        <w:tc>
          <w:tcPr>
            <w:tcW w:type="dxa" w:w="5544"/>
            <w:tcMar>
              <w:top w:w="20" w:type="dxa"/>
              <w:bottom w:w="20" w:type="dxa"/>
              <w:left w:w="45" w:type="dxa"/>
              <w:right w:w="45" w:type="dxa"/>
            </w:tcMar>
          </w:tcPr>
          <w:p>
            <w:pPr>
              <w:jc w:val="left"/>
            </w:pPr>
            <w:r>
              <w:rPr>
                <w:rFonts w:ascii="Times New Roman" w:hAnsi="Times New Roman"/>
                <w:sz w:val="19"/>
              </w:rPr>
              <w:t>PATEL FIYANS BABUBHAI</w:t>
            </w:r>
          </w:p>
        </w:tc>
        <w:tc>
          <w:tcPr>
            <w:tcW w:type="dxa" w:w="2664"/>
            <w:tcMar>
              <w:top w:w="20" w:type="dxa"/>
              <w:bottom w:w="20" w:type="dxa"/>
              <w:left w:w="45" w:type="dxa"/>
              <w:right w:w="45" w:type="dxa"/>
            </w:tcMar>
          </w:tcPr>
          <w:p>
            <w:pPr>
              <w:jc w:val="center"/>
            </w:pPr>
            <w:r>
              <w:rPr>
                <w:rFonts w:ascii="Times New Roman" w:hAnsi="Times New Roman"/>
                <w:sz w:val="19"/>
              </w:rPr>
              <w:t>246310307090</w:t>
            </w:r>
          </w:p>
        </w:tc>
      </w:tr>
      <w:tr>
        <w:trPr>
          <w:cantSplit/>
        </w:trPr>
        <w:tc>
          <w:tcPr>
            <w:tcW w:type="dxa" w:w="792"/>
            <w:tcMar>
              <w:top w:w="20" w:type="dxa"/>
              <w:bottom w:w="20" w:type="dxa"/>
              <w:left w:w="45" w:type="dxa"/>
              <w:right w:w="45" w:type="dxa"/>
            </w:tcMar>
            <w:shd w:fill="F8FAFC"/>
          </w:tcPr>
          <w:p>
            <w:pPr>
              <w:jc w:val="center"/>
            </w:pPr>
            <w:r>
              <w:rPr>
                <w:rFonts w:ascii="Times New Roman" w:hAnsi="Times New Roman"/>
                <w:b/>
                <w:sz w:val="19"/>
              </w:rPr>
              <w:t>4</w:t>
            </w:r>
          </w:p>
        </w:tc>
        <w:tc>
          <w:tcPr>
            <w:tcW w:type="dxa" w:w="5544"/>
            <w:tcMar>
              <w:top w:w="20" w:type="dxa"/>
              <w:bottom w:w="20" w:type="dxa"/>
              <w:left w:w="45" w:type="dxa"/>
              <w:right w:w="45" w:type="dxa"/>
            </w:tcMar>
            <w:shd w:fill="F8FAFC"/>
          </w:tcPr>
          <w:p>
            <w:pPr>
              <w:jc w:val="left"/>
            </w:pPr>
            <w:r>
              <w:rPr>
                <w:rFonts w:ascii="Times New Roman" w:hAnsi="Times New Roman"/>
                <w:sz w:val="19"/>
              </w:rPr>
              <w:t>PRAJAPATI VEER HEMENDRAKUMAR</w:t>
            </w:r>
          </w:p>
        </w:tc>
        <w:tc>
          <w:tcPr>
            <w:tcW w:type="dxa" w:w="2664"/>
            <w:tcMar>
              <w:top w:w="20" w:type="dxa"/>
              <w:bottom w:w="20" w:type="dxa"/>
              <w:left w:w="45" w:type="dxa"/>
              <w:right w:w="45" w:type="dxa"/>
            </w:tcMar>
            <w:shd w:fill="F8FAFC"/>
          </w:tcPr>
          <w:p>
            <w:pPr>
              <w:jc w:val="center"/>
            </w:pPr>
            <w:r>
              <w:rPr>
                <w:rFonts w:ascii="Times New Roman" w:hAnsi="Times New Roman"/>
                <w:sz w:val="19"/>
              </w:rPr>
              <w:t>246310307147</w:t>
            </w:r>
          </w:p>
        </w:tc>
      </w:tr>
    </w:tbl>
    <w:p>
      <w:pPr>
        <w:spacing w:before="240" w:after="40"/>
        <w:jc w:val="center"/>
      </w:pPr>
      <w:r>
        <w:rPr>
          <w:rFonts w:ascii="Times New Roman" w:hAnsi="Times New Roman"/>
          <w:sz w:val="22"/>
        </w:rPr>
        <w:t>Under the guidance of</w:t>
      </w:r>
    </w:p>
    <w:p>
      <w:pPr>
        <w:spacing w:after="40"/>
        <w:jc w:val="center"/>
      </w:pPr>
      <w:r>
        <w:rPr>
          <w:rFonts w:ascii="Times New Roman" w:hAnsi="Times New Roman"/>
          <w:b/>
          <w:color w:val="0F172A"/>
          <w:sz w:val="24"/>
        </w:rPr>
        <w:t>Prof. Yagnesh Patel, Lecturer</w:t>
      </w:r>
    </w:p>
    <w:p>
      <w:pPr>
        <w:spacing w:after="0"/>
        <w:jc w:val="center"/>
      </w:pPr>
      <w:r>
        <w:rPr>
          <w:rFonts w:ascii="Times New Roman" w:hAnsi="Times New Roman"/>
          <w:color w:val="475569"/>
          <w:sz w:val="21"/>
        </w:rPr>
        <w:t>Department of Computer Engineering, K. D. Polytechnic, Patan</w:t>
      </w:r>
    </w:p>
    <w:p>
      <w:pPr>
        <w:sectPr>
          <w:footerReference w:type="default" r:id="rId9"/>
          <w:pgSz w:w="11909" w:h="16834"/>
          <w:pgMar w:top="1440" w:right="1253" w:bottom="1440" w:left="1656" w:header="720" w:footer="720" w:gutter="0"/>
          <w:cols w:space="720"/>
          <w:docGrid w:linePitch="360"/>
        </w:sectPr>
      </w:pPr>
    </w:p>
    <w:p>
      <w:pPr>
        <w:spacing w:before="280" w:after="120"/>
        <w:jc w:val="center"/>
      </w:pPr>
      <w:r>
        <w:rPr>
          <w:rFonts w:ascii="Times New Roman" w:hAnsi="Times New Roman"/>
          <w:b/>
          <w:color w:val="1E3A8A"/>
          <w:sz w:val="30"/>
        </w:rPr>
        <w:t>CERTIFICATE</w:t>
      </w:r>
    </w:p>
    <w:p>
      <w:pPr>
        <w:spacing w:line="300" w:lineRule="auto" w:after="200"/>
        <w:jc w:val="both"/>
      </w:pPr>
      <w:r>
        <w:rPr>
          <w:rFonts w:ascii="Times New Roman" w:hAnsi="Times New Roman"/>
          <w:sz w:val="23"/>
        </w:rPr>
        <w:t>This is to certify that the Minor Project entitled 'DineFlow AI: Next-Generation Restaurant Cloud POS, Contactless QR Ordering, Real-Time KDS &amp; Smart ERP System' (Course Code: DI05000341) is a bonafide work carried out by PATEL SHUBH MAHESHKUMAR (Enrolment No: 246310307123), DAVE KRUSHANK JIGNESHBHAI (Enrolment No: 246310307028), PATEL FIYANS BABUBHAI (Enrolment No: 246310307090), and PRAJAPATI VEER HEMENDRAKUMAR (Enrolment No: 246310307147) under my supervision and guidance, in partial fulfillment of the requirements for the award of Diploma in Computer Engineering from Gujarat Technological University (GTU), Ahmedabad, during the 5th academic semester, Year 2026-27.</w:t>
      </w:r>
    </w:p>
    <w:p>
      <w:pPr>
        <w:spacing w:line="300" w:lineRule="auto" w:after="720"/>
        <w:jc w:val="both"/>
      </w:pPr>
      <w:r>
        <w:rPr>
          <w:rFonts w:ascii="Times New Roman" w:hAnsi="Times New Roman"/>
          <w:sz w:val="23"/>
        </w:rPr>
        <w:t>To the best of my knowledge and technical review, this work embodies original implementation, engineering design, and empirical testing in full compliance with the GTU diploma project curriculum standards.</w:t>
      </w:r>
    </w:p>
    <w:tbl>
      <w:tblPr>
        <w:tblW w:type="auto" w:w="0"/>
        <w:jc w:val="center"/>
        <w:tblLayout w:type="fixed"/>
        <w:tblLook w:firstColumn="1" w:firstRow="1" w:lastColumn="0" w:lastRow="0" w:noHBand="0" w:noVBand="1" w:val="04A0"/>
      </w:tblPr>
      <w:tblGrid>
        <w:gridCol w:w="2995"/>
        <w:gridCol w:w="2995"/>
        <w:gridCol w:w="2995"/>
      </w:tblGrid>
      <w:tr>
        <w:trPr>
          <w:cantSplit/>
        </w:trPr>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Prof. Yagnesh Patel</w:t>
              <w:br/>
            </w:r>
            <w:r>
              <w:rPr>
                <w:rFonts w:ascii="Times New Roman" w:hAnsi="Times New Roman"/>
                <w:color w:val="475569"/>
                <w:sz w:val="19"/>
              </w:rPr>
              <w:t>Internal Project Guide</w:t>
              <w:br/>
              <w:t>Lecturer, Computer Engg.</w:t>
            </w:r>
          </w:p>
        </w:tc>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Dr. Chirag D. Patel</w:t>
              <w:br/>
            </w:r>
            <w:r>
              <w:rPr>
                <w:rFonts w:ascii="Times New Roman" w:hAnsi="Times New Roman"/>
                <w:color w:val="475569"/>
                <w:sz w:val="19"/>
              </w:rPr>
              <w:t>Head of Department</w:t>
              <w:br/>
              <w:t>Computer Engineering</w:t>
            </w:r>
          </w:p>
        </w:tc>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Shri H. C. Parmar</w:t>
              <w:br/>
            </w:r>
            <w:r>
              <w:rPr>
                <w:rFonts w:ascii="Times New Roman" w:hAnsi="Times New Roman"/>
                <w:color w:val="475569"/>
                <w:sz w:val="19"/>
              </w:rPr>
              <w:t>Principal</w:t>
              <w:br/>
              <w:t>K. D. Polytechnic, Patan</w:t>
            </w:r>
          </w:p>
        </w:tc>
      </w:tr>
    </w:tbl>
    <w:p>
      <w:r>
        <w:br w:type="page"/>
      </w:r>
    </w:p>
    <w:p>
      <w:pPr>
        <w:spacing w:before="280" w:after="120"/>
        <w:jc w:val="center"/>
      </w:pPr>
      <w:r>
        <w:rPr>
          <w:rFonts w:ascii="Times New Roman" w:hAnsi="Times New Roman"/>
          <w:b/>
          <w:color w:val="1E3A8A"/>
          <w:sz w:val="30"/>
        </w:rPr>
        <w:t>ACKNOWLEDGEMENT</w:t>
      </w:r>
    </w:p>
    <w:p>
      <w:pPr>
        <w:spacing w:line="283" w:lineRule="auto" w:after="80"/>
        <w:jc w:val="both"/>
      </w:pPr>
      <w:r>
        <w:rPr>
          <w:rFonts w:ascii="Times New Roman" w:hAnsi="Times New Roman"/>
          <w:color w:val="1F2937"/>
          <w:sz w:val="23"/>
        </w:rPr>
        <w:t>We express our deepest sense of gratitude and technical indebtedness to our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line="283" w:lineRule="auto" w:after="80"/>
        <w:jc w:val="both"/>
      </w:pPr>
      <w:r>
        <w:rPr>
          <w:rFonts w:ascii="Times New Roman" w:hAnsi="Times New Roman"/>
          <w:color w:val="1F2937"/>
          <w:sz w:val="23"/>
        </w:rPr>
        <w:t>We are profoundly grateful to Dr. Chirag D. Patel, Head of the Computer Engineering Department, for providing state-of-the-art computing laboratories, enterprise networking facilities, and an intellectually fostering academic ecosystem. We extend our sincere thanks to Shri H. C. Parmar, Principal of K. D. Polytechnic, Patan, for his visionary institutional leadership and support toward technical innovation and student entrepreneurship.</w:t>
      </w:r>
    </w:p>
    <w:p>
      <w:pPr>
        <w:spacing w:line="283" w:lineRule="auto" w:after="80"/>
        <w:jc w:val="both"/>
      </w:pPr>
      <w:r>
        <w:rPr>
          <w:rFonts w:ascii="Times New Roman" w:hAnsi="Times New Roman"/>
          <w:color w:val="1F2937"/>
          <w:sz w:val="23"/>
        </w:rPr>
        <w:t>Finally, we convey our heartfelt thanks to all faculty colleagues, technical laboratory assistants, fellow students, and our family members whose unwavering moral and logistical support made the successful realization of this engineering deliverable possible.</w:t>
      </w:r>
    </w:p>
    <w:p>
      <w:pPr>
        <w:spacing w:after="240"/>
      </w:pP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45" w:type="dxa"/>
              <w:bottom w:w="45" w:type="dxa"/>
              <w:left w:w="60" w:type="dxa"/>
              <w:right w:w="60" w:type="dxa"/>
            </w:tcMar>
          </w:tcPr>
          <w:p>
            <w:pPr>
              <w:spacing w:line="276" w:lineRule="auto" w:after="200"/>
              <w:jc w:val="center"/>
            </w:pPr>
            <w:r>
              <w:rPr>
                <w:rFonts w:ascii="Times New Roman" w:hAnsi="Times New Roman"/>
                <w:b/>
                <w:color w:val="475569"/>
                <w:sz w:val="20"/>
              </w:rPr>
              <w:t>____________________________________</w:t>
              <w:br/>
            </w:r>
            <w:r>
              <w:rPr>
                <w:rFonts w:ascii="Times New Roman" w:hAnsi="Times New Roman"/>
                <w:b/>
                <w:color w:val="0F172A"/>
                <w:sz w:val="21"/>
              </w:rPr>
              <w:t>PATEL SHUBH MAHESHKUMAR</w:t>
              <w:br/>
            </w:r>
            <w:r>
              <w:rPr>
                <w:rFonts w:ascii="Times New Roman" w:hAnsi="Times New Roman"/>
                <w:b/>
                <w:color w:val="1E3A8A"/>
                <w:sz w:val="19"/>
              </w:rPr>
              <w:t>Enrolment No: 246310307123</w:t>
              <w:br/>
            </w:r>
            <w:r>
              <w:rPr>
                <w:rFonts w:ascii="Times New Roman" w:hAnsi="Times New Roman"/>
                <w:i/>
                <w:color w:val="64748B"/>
                <w:sz w:val="18"/>
              </w:rPr>
              <w:t>(Team Lead &amp; Full Stack Architect)</w:t>
            </w:r>
          </w:p>
        </w:tc>
        <w:tc>
          <w:tcPr>
            <w:tcW w:type="dxa" w:w="4500"/>
            <w:tcMar>
              <w:top w:w="45" w:type="dxa"/>
              <w:bottom w:w="45" w:type="dxa"/>
              <w:left w:w="60" w:type="dxa"/>
              <w:right w:w="60" w:type="dxa"/>
            </w:tcMar>
          </w:tcPr>
          <w:p>
            <w:pPr>
              <w:spacing w:line="276" w:lineRule="auto" w:after="200"/>
              <w:jc w:val="center"/>
            </w:pPr>
            <w:r>
              <w:rPr>
                <w:rFonts w:ascii="Times New Roman" w:hAnsi="Times New Roman"/>
                <w:b/>
                <w:color w:val="475569"/>
                <w:sz w:val="20"/>
              </w:rPr>
              <w:t>____________________________________</w:t>
              <w:br/>
            </w:r>
            <w:r>
              <w:rPr>
                <w:rFonts w:ascii="Times New Roman" w:hAnsi="Times New Roman"/>
                <w:b/>
                <w:color w:val="0F172A"/>
                <w:sz w:val="21"/>
              </w:rPr>
              <w:t>DAVE KRUSHANK JIGNESHBHAI</w:t>
              <w:br/>
            </w:r>
            <w:r>
              <w:rPr>
                <w:rFonts w:ascii="Times New Roman" w:hAnsi="Times New Roman"/>
                <w:b/>
                <w:color w:val="1E3A8A"/>
                <w:sz w:val="19"/>
              </w:rPr>
              <w:t>Enrolment No: 246310307028</w:t>
              <w:br/>
            </w:r>
            <w:r>
              <w:rPr>
                <w:rFonts w:ascii="Times New Roman" w:hAnsi="Times New Roman"/>
                <w:i/>
                <w:color w:val="64748B"/>
                <w:sz w:val="18"/>
              </w:rPr>
              <w:t>(Backend &amp; Security Engineer)</w:t>
            </w:r>
          </w:p>
        </w:tc>
      </w:tr>
      <w:tr>
        <w:trPr>
          <w:cantSplit/>
        </w:trPr>
        <w:tc>
          <w:tcPr>
            <w:tcW w:type="dxa" w:w="4500"/>
            <w:tcMar>
              <w:top w:w="45" w:type="dxa"/>
              <w:bottom w:w="45" w:type="dxa"/>
              <w:left w:w="60" w:type="dxa"/>
              <w:right w:w="60" w:type="dxa"/>
            </w:tcMar>
          </w:tcPr>
          <w:p>
            <w:pPr>
              <w:spacing w:line="276" w:lineRule="auto" w:after="40"/>
              <w:jc w:val="center"/>
            </w:pPr>
            <w:r>
              <w:rPr>
                <w:rFonts w:ascii="Times New Roman" w:hAnsi="Times New Roman"/>
                <w:b/>
                <w:color w:val="475569"/>
                <w:sz w:val="20"/>
              </w:rPr>
              <w:t>____________________________________</w:t>
              <w:br/>
            </w:r>
            <w:r>
              <w:rPr>
                <w:rFonts w:ascii="Times New Roman" w:hAnsi="Times New Roman"/>
                <w:b/>
                <w:color w:val="0F172A"/>
                <w:sz w:val="21"/>
              </w:rPr>
              <w:t>PATEL FIYANS BABUBHAI</w:t>
              <w:br/>
            </w:r>
            <w:r>
              <w:rPr>
                <w:rFonts w:ascii="Times New Roman" w:hAnsi="Times New Roman"/>
                <w:b/>
                <w:color w:val="1E3A8A"/>
                <w:sz w:val="19"/>
              </w:rPr>
              <w:t>Enrolment No: 246310307090</w:t>
              <w:br/>
            </w:r>
            <w:r>
              <w:rPr>
                <w:rFonts w:ascii="Times New Roman" w:hAnsi="Times New Roman"/>
                <w:i/>
                <w:color w:val="64748B"/>
                <w:sz w:val="18"/>
              </w:rPr>
              <w:t>(Database &amp; ERP Analytics Engineer)</w:t>
            </w:r>
          </w:p>
        </w:tc>
        <w:tc>
          <w:tcPr>
            <w:tcW w:type="dxa" w:w="4500"/>
            <w:tcMar>
              <w:top w:w="45" w:type="dxa"/>
              <w:bottom w:w="45" w:type="dxa"/>
              <w:left w:w="60" w:type="dxa"/>
              <w:right w:w="60" w:type="dxa"/>
            </w:tcMar>
          </w:tcPr>
          <w:p>
            <w:pPr>
              <w:spacing w:line="276" w:lineRule="auto" w:after="40"/>
              <w:jc w:val="center"/>
            </w:pPr>
            <w:r>
              <w:rPr>
                <w:rFonts w:ascii="Times New Roman" w:hAnsi="Times New Roman"/>
                <w:b/>
                <w:color w:val="475569"/>
                <w:sz w:val="20"/>
              </w:rPr>
              <w:t>____________________________________</w:t>
              <w:br/>
            </w:r>
            <w:r>
              <w:rPr>
                <w:rFonts w:ascii="Times New Roman" w:hAnsi="Times New Roman"/>
                <w:b/>
                <w:color w:val="0F172A"/>
                <w:sz w:val="21"/>
              </w:rPr>
              <w:t>PRAJAPATI VEER HEMENDRAKUMAR</w:t>
              <w:br/>
            </w:r>
            <w:r>
              <w:rPr>
                <w:rFonts w:ascii="Times New Roman" w:hAnsi="Times New Roman"/>
                <w:b/>
                <w:color w:val="1E3A8A"/>
                <w:sz w:val="19"/>
              </w:rPr>
              <w:t>Enrolment No: 246310307147</w:t>
              <w:br/>
            </w:r>
            <w:r>
              <w:rPr>
                <w:rFonts w:ascii="Times New Roman" w:hAnsi="Times New Roman"/>
                <w:i/>
                <w:color w:val="64748B"/>
                <w:sz w:val="18"/>
              </w:rPr>
              <w:t>(Frontend &amp; Mobile App Engineer)</w:t>
            </w:r>
          </w:p>
        </w:tc>
      </w:tr>
    </w:tbl>
    <w:p>
      <w:pPr>
        <w:spacing w:before="160" w:after="0" w:line="276" w:lineRule="auto"/>
        <w:jc w:val="center"/>
      </w:pPr>
      <w:r>
        <w:rPr>
          <w:rFonts w:ascii="Times New Roman" w:hAnsi="Times New Roman"/>
          <w:b/>
          <w:color w:val="334155"/>
          <w:sz w:val="20"/>
        </w:rPr>
        <w:t>Department of Computer Engineering, K. D. Polytechnic, Patan</w:t>
        <w:br/>
        <w:t>Gujarat Technological University, Ahmedabad</w:t>
      </w:r>
    </w:p>
    <w:p>
      <w:r>
        <w:br w:type="page"/>
      </w:r>
    </w:p>
    <w:p>
      <w:pPr>
        <w:spacing w:before="280" w:after="120"/>
        <w:jc w:val="center"/>
      </w:pPr>
      <w:r>
        <w:rPr>
          <w:rFonts w:ascii="Times New Roman" w:hAnsi="Times New Roman"/>
          <w:b/>
          <w:color w:val="1E3A8A"/>
          <w:sz w:val="30"/>
        </w:rPr>
        <w:t>ABSTRACT</w:t>
      </w:r>
    </w:p>
    <w:p>
      <w:pPr>
        <w:spacing w:line="283" w:lineRule="auto" w:after="80"/>
        <w:jc w:val="both"/>
      </w:pPr>
      <w:r>
        <w:rPr>
          <w:rFonts w:ascii="Times New Roman" w:hAnsi="Times New Roman"/>
          <w:color w:val="1F2937"/>
          <w:sz w:val="23"/>
        </w:rPr>
        <w:t>The contemporary hospitality and restaurant sector in India operates under intense margin pressures, high staff turnover, and severe operational fragmentation. Traditional legacy point-of-sale (POS) systems impose exorbitant upfront capital expenditure (Rs. 25,000 to Rs.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line="283" w:lineRule="auto" w:after="80"/>
        <w:jc w:val="both"/>
      </w:pPr>
      <w:r>
        <w:rPr>
          <w:rFonts w:ascii="Times New Roman" w:hAnsi="Times New Roman"/>
          <w:color w:val="1F2937"/>
          <w:sz w:val="23"/>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line="283" w:lineRule="auto" w:after="80"/>
        <w:jc w:val="both"/>
      </w:pPr>
      <w:r>
        <w:rPr>
          <w:rFonts w:ascii="Times New Roman" w:hAnsi="Times New Roman"/>
          <w:color w:val="1F2937"/>
          <w:sz w:val="23"/>
        </w:rPr>
        <w:t>Rigorous empirical testing across 41 automated unit and integration suites demonstrated 100% test passage, a 78% reduction in order-to-kitchen turnaround time, 99.98% offline-to-cloud transactional reconciliation, and an operational cost footprint of less than Rs. 999/month. This project establishes a commercially viable, self-funded software-as-a-service model tailored for independent eateries and regional chains.</w:t>
      </w:r>
    </w:p>
    <w:p>
      <w:pPr>
        <w:spacing w:line="283" w:lineRule="auto" w:after="80"/>
        <w:jc w:val="both"/>
      </w:pPr>
      <w:r>
        <w:rPr>
          <w:rFonts w:ascii="Times New Roman" w:hAnsi="Times New Roman"/>
          <w:b/>
          <w:color w:val="0F172A"/>
          <w:sz w:val="23"/>
        </w:rPr>
        <w:t xml:space="preserve">Keywords: </w:t>
      </w:r>
      <w:r>
        <w:rPr>
          <w:rFonts w:ascii="Times New Roman" w:hAnsi="Times New Roman"/>
          <w:color w:val="1F2937"/>
          <w:sz w:val="23"/>
        </w:rPr>
        <w:t>Cloud POS, Contactless QR Ordering, Kitchen Display System (KDS), ESC/POS Binary Protocol, Offline SQLite Sync, Multi-Tenant SaaS, Bill of Materials.</w:t>
      </w:r>
    </w:p>
    <w:p>
      <w:r>
        <w:br w:type="page"/>
      </w:r>
    </w:p>
    <w:p>
      <w:pPr>
        <w:spacing w:before="280" w:after="120"/>
        <w:jc w:val="center"/>
      </w:pPr>
      <w:r>
        <w:rPr>
          <w:rFonts w:ascii="Times New Roman" w:hAnsi="Times New Roman"/>
          <w:b/>
          <w:color w:val="1E3A8A"/>
          <w:sz w:val="30"/>
        </w:rPr>
        <w:t>INDEX</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7560"/>
        <w:gridCol w:w="1440"/>
      </w:tblGrid>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CERTIFICATE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ACKNOWLEDGEMENT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ABSTRACT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iv</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FIGURES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TABLES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ABBREVIATIONS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1. INTRODUCTION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1.1 Background &amp; Industry Overview</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1.2 Problem Identification and Statement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1.3 Objectives and Measurable Targets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1.4 Scope and Curriculum Relevance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1.5 Organisation of the Report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2. LITERATURE REVIEW</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2.1 Survey of Existing Systems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2.2 Summary of Reviewed Literature &amp; Research Gap Analysis (Table 2.1)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3. SELECTION OF THE MOST APPROPRIATE SOLUTION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3.1 Comparison of Alternative Solutions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3.2 Justification of Selected Technical Architecture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3.3 Safety and Environmental Considerations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4. SYSTEM DESIGN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4.1 General Block Diagram and Architectural Layers (Figure 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4.2 Detailed Circuit / Mechanical / Process Diagram (Figure 2)</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4.3 Hardware Interfacing Specifications (Table 4.1)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4.4 Algorithm and Flowchart (Figure 3)</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4.5 Algorithm 4.1: Order Ingestion &amp; Routing</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4.6 Algorithm 4.2: Automated Recipe BOM Depletion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4.7 Algorithm 4.3: Fault-Tolerant Offline Sync &amp; Conflict Matrix (Table 4.2)</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5. IMPLEMENTATION AND WORK PLAN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5.1 15-Week Semester Work Plan (Table 5.1)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5.2 Task Distribution Among Members &amp; GitHub Contributions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5.3 Development of the Prototype / Model (Figure 4)</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6. TESTING, RESULTS AND MODIFICATIONS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6.1 Test Setup and Experimental Procedure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6.2 Quantitative Test Results (Table 6.1) &amp; Benchmark Graph (Figure 5)</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6.3 Modifications Made After Testing (Table 6.2 - GTU Competency 15)</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7. CONCLUSION AND FUTURE SCOPE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7.1 Project Conclusion &amp; Objectives Matrix (Table 7.1)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7.2 Technical Future Scope &amp; Expansion Roadmap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8. ENTREPRENEURSHIP, COMMERCIAL STARTUP VISION &amp; ROADMAP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8.1 Commercial Startup Vision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8.2 Revenue Model &amp; Pricing Strategy (Table 8.1)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8.3 Bootstrapped Growth &amp; Go-to-Market Strategy</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8.4 Intellectual Property Rights &amp; Collaborative Ownership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REFERENCES (APA 7th Edition)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APPENDIX A: PROGRAM CODE / DATASHEET EXTRACTS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13</w:t>
            </w:r>
          </w:p>
        </w:tc>
      </w:tr>
    </w:tbl>
    <w:p>
      <w:r>
        <w:br w:type="page"/>
      </w:r>
    </w:p>
    <w:p>
      <w:pPr>
        <w:spacing w:before="200" w:after="80"/>
      </w:pPr>
      <w:r>
        <w:rPr>
          <w:rFonts w:ascii="Times New Roman" w:hAnsi="Times New Roman"/>
          <w:b/>
          <w:color w:val="0F172A"/>
          <w:sz w:val="26"/>
        </w:rPr>
        <w:t>LIST OF FIGURES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584"/>
        <w:gridCol w:w="6264"/>
        <w:gridCol w:w="1152"/>
      </w:tblGrid>
      <w:tr>
        <w:trPr>
          <w:cantSplit/>
        </w:trPr>
        <w:tc>
          <w:tcPr>
            <w:tcW w:type="dxa" w:w="1584"/>
            <w:tcMar>
              <w:top w:w="25" w:type="dxa"/>
              <w:bottom w:w="25" w:type="dxa"/>
              <w:left w:w="40" w:type="dxa"/>
              <w:right w:w="40" w:type="dxa"/>
            </w:tcMar>
          </w:tcPr>
          <w:p>
            <w:pPr>
              <w:spacing w:after="0"/>
            </w:pPr>
            <w:r>
              <w:rPr>
                <w:rFonts w:ascii="Times New Roman" w:hAnsi="Times New Roman"/>
                <w:b/>
                <w:sz w:val="19"/>
              </w:rPr>
              <w:t>Figure 1</w:t>
            </w:r>
          </w:p>
        </w:tc>
        <w:tc>
          <w:tcPr>
            <w:tcW w:type="dxa" w:w="6263"/>
            <w:tcMar>
              <w:top w:w="25" w:type="dxa"/>
              <w:bottom w:w="25" w:type="dxa"/>
              <w:left w:w="40" w:type="dxa"/>
              <w:right w:w="40" w:type="dxa"/>
            </w:tcMar>
          </w:tcPr>
          <w:p>
            <w:pPr>
              <w:spacing w:after="0"/>
            </w:pPr>
            <w:r>
              <w:rPr>
                <w:rFonts w:ascii="Times New Roman" w:hAnsi="Times New Roman"/>
                <w:sz w:val="19"/>
              </w:rPr>
              <w:t>General System Block Diagram (Input, Processing, Storage, and Output Layers)</w:t>
            </w:r>
          </w:p>
        </w:tc>
        <w:tc>
          <w:tcPr>
            <w:tcW w:type="dxa" w:w="1152"/>
            <w:tcMar>
              <w:top w:w="25" w:type="dxa"/>
              <w:bottom w:w="25" w:type="dxa"/>
              <w:left w:w="40" w:type="dxa"/>
              <w:right w:w="40" w:type="dxa"/>
            </w:tcMar>
          </w:tcPr>
          <w:p>
            <w:pPr>
              <w:spacing w:after="0"/>
              <w:jc w:val="right"/>
            </w:pPr>
            <w:r>
              <w:rPr>
                <w:rFonts w:ascii="Times New Roman" w:hAnsi="Times New Roman"/>
                <w:b/>
                <w:sz w:val="19"/>
              </w:rPr>
              <w:t>4</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2</w:t>
            </w:r>
          </w:p>
        </w:tc>
        <w:tc>
          <w:tcPr>
            <w:tcW w:type="dxa" w:w="6263"/>
            <w:tcMar>
              <w:top w:w="25" w:type="dxa"/>
              <w:bottom w:w="25" w:type="dxa"/>
              <w:left w:w="40" w:type="dxa"/>
              <w:right w:w="40" w:type="dxa"/>
            </w:tcMar>
          </w:tcPr>
          <w:p>
            <w:pPr>
              <w:spacing w:after="0"/>
            </w:pPr>
            <w:r>
              <w:rPr>
                <w:rFonts w:ascii="Times New Roman" w:hAnsi="Times New Roman"/>
                <w:sz w:val="19"/>
              </w:rPr>
              <w:t>Detailed Process Flow and Hardware Wiring Circuit Diagram (ESC/POS &amp; Cash Drawer)</w:t>
            </w:r>
          </w:p>
        </w:tc>
        <w:tc>
          <w:tcPr>
            <w:tcW w:type="dxa" w:w="1152"/>
            <w:tcMar>
              <w:top w:w="25" w:type="dxa"/>
              <w:bottom w:w="25" w:type="dxa"/>
              <w:left w:w="40" w:type="dxa"/>
              <w:right w:w="40" w:type="dxa"/>
            </w:tcMar>
          </w:tcPr>
          <w:p>
            <w:pPr>
              <w:spacing w:after="0"/>
              <w:jc w:val="right"/>
            </w:pPr>
            <w:r>
              <w:rPr>
                <w:rFonts w:ascii="Times New Roman" w:hAnsi="Times New Roman"/>
                <w:b/>
                <w:sz w:val="19"/>
              </w:rPr>
              <w:t>5</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3</w:t>
            </w:r>
          </w:p>
        </w:tc>
        <w:tc>
          <w:tcPr>
            <w:tcW w:type="dxa" w:w="6263"/>
            <w:tcMar>
              <w:top w:w="25" w:type="dxa"/>
              <w:bottom w:w="25" w:type="dxa"/>
              <w:left w:w="40" w:type="dxa"/>
              <w:right w:w="40" w:type="dxa"/>
            </w:tcMar>
          </w:tcPr>
          <w:p>
            <w:pPr>
              <w:spacing w:after="0"/>
            </w:pPr>
            <w:r>
              <w:rPr>
                <w:rFonts w:ascii="Times New Roman" w:hAnsi="Times New Roman"/>
                <w:sz w:val="19"/>
              </w:rPr>
              <w:t>System Flowchart (Order Lifecycle, Stock Validation &amp; Offline Sync Logic)</w:t>
            </w:r>
          </w:p>
        </w:tc>
        <w:tc>
          <w:tcPr>
            <w:tcW w:type="dxa" w:w="1152"/>
            <w:tcMar>
              <w:top w:w="25" w:type="dxa"/>
              <w:bottom w:w="25" w:type="dxa"/>
              <w:left w:w="40" w:type="dxa"/>
              <w:right w:w="40" w:type="dxa"/>
            </w:tcMar>
          </w:tcPr>
          <w:p>
            <w:pPr>
              <w:spacing w:after="0"/>
              <w:jc w:val="right"/>
            </w:pPr>
            <w:r>
              <w:rPr>
                <w:rFonts w:ascii="Times New Roman" w:hAnsi="Times New Roman"/>
                <w:b/>
                <w:sz w:val="19"/>
              </w:rPr>
              <w:t>6</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4</w:t>
            </w:r>
          </w:p>
        </w:tc>
        <w:tc>
          <w:tcPr>
            <w:tcW w:type="dxa" w:w="6263"/>
            <w:tcMar>
              <w:top w:w="25" w:type="dxa"/>
              <w:bottom w:w="25" w:type="dxa"/>
              <w:left w:w="40" w:type="dxa"/>
              <w:right w:w="40" w:type="dxa"/>
            </w:tcMar>
          </w:tcPr>
          <w:p>
            <w:pPr>
              <w:spacing w:after="0"/>
            </w:pPr>
            <w:r>
              <w:rPr>
                <w:rFonts w:ascii="Times New Roman" w:hAnsi="Times New Roman"/>
                <w:sz w:val="19"/>
              </w:rPr>
              <w:t>Assembled Prototype / Model (Production Web POS Interface and 80mm ESC/POS Hardware)</w:t>
            </w:r>
          </w:p>
        </w:tc>
        <w:tc>
          <w:tcPr>
            <w:tcW w:type="dxa" w:w="1152"/>
            <w:tcMar>
              <w:top w:w="25" w:type="dxa"/>
              <w:bottom w:w="25" w:type="dxa"/>
              <w:left w:w="40" w:type="dxa"/>
              <w:right w:w="40" w:type="dxa"/>
            </w:tcMar>
          </w:tcPr>
          <w:p>
            <w:pPr>
              <w:spacing w:after="0"/>
              <w:jc w:val="right"/>
            </w:pPr>
            <w:r>
              <w:rPr>
                <w:rFonts w:ascii="Times New Roman" w:hAnsi="Times New Roman"/>
                <w:b/>
                <w:sz w:val="19"/>
              </w:rPr>
              <w:t>8</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5</w:t>
            </w:r>
          </w:p>
        </w:tc>
        <w:tc>
          <w:tcPr>
            <w:tcW w:type="dxa" w:w="6263"/>
            <w:tcMar>
              <w:top w:w="25" w:type="dxa"/>
              <w:bottom w:w="25" w:type="dxa"/>
              <w:left w:w="40" w:type="dxa"/>
              <w:right w:w="40" w:type="dxa"/>
            </w:tcMar>
          </w:tcPr>
          <w:p>
            <w:pPr>
              <w:spacing w:after="0"/>
            </w:pPr>
            <w:r>
              <w:rPr>
                <w:rFonts w:ascii="Times New Roman" w:hAnsi="Times New Roman"/>
                <w:sz w:val="19"/>
              </w:rPr>
              <w:t>System Performance Benchmark &amp; Stress Test Latency Distribution Graph</w:t>
            </w:r>
          </w:p>
        </w:tc>
        <w:tc>
          <w:tcPr>
            <w:tcW w:type="dxa" w:w="1152"/>
            <w:tcMar>
              <w:top w:w="25" w:type="dxa"/>
              <w:bottom w:w="25" w:type="dxa"/>
              <w:left w:w="40" w:type="dxa"/>
              <w:right w:w="40" w:type="dxa"/>
            </w:tcMar>
          </w:tcPr>
          <w:p>
            <w:pPr>
              <w:spacing w:after="0"/>
              <w:jc w:val="right"/>
            </w:pPr>
            <w:r>
              <w:rPr>
                <w:rFonts w:ascii="Times New Roman" w:hAnsi="Times New Roman"/>
                <w:b/>
                <w:sz w:val="19"/>
              </w:rPr>
              <w:t>9</w:t>
            </w:r>
          </w:p>
        </w:tc>
      </w:tr>
    </w:tbl>
    <w:p>
      <w:pPr>
        <w:spacing w:before="160" w:after="80"/>
      </w:pPr>
    </w:p>
    <w:p>
      <w:pPr>
        <w:spacing w:before="200" w:after="80"/>
      </w:pPr>
      <w:r>
        <w:rPr>
          <w:rFonts w:ascii="Times New Roman" w:hAnsi="Times New Roman"/>
          <w:b/>
          <w:color w:val="0F172A"/>
          <w:sz w:val="26"/>
        </w:rPr>
        <w:t>LIST OF TABLES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584"/>
        <w:gridCol w:w="6264"/>
        <w:gridCol w:w="1152"/>
      </w:tblGrid>
      <w:tr>
        <w:trPr>
          <w:cantSplit/>
        </w:trPr>
        <w:tc>
          <w:tcPr>
            <w:tcW w:type="dxa" w:w="1584"/>
            <w:tcMar>
              <w:top w:w="25" w:type="dxa"/>
              <w:bottom w:w="25" w:type="dxa"/>
              <w:left w:w="40" w:type="dxa"/>
              <w:right w:w="40" w:type="dxa"/>
            </w:tcMar>
          </w:tcPr>
          <w:p>
            <w:pPr>
              <w:spacing w:after="0"/>
            </w:pPr>
            <w:r>
              <w:rPr>
                <w:rFonts w:ascii="Times New Roman" w:hAnsi="Times New Roman"/>
                <w:b/>
                <w:sz w:val="19"/>
              </w:rPr>
              <w:t>Table 2.1</w:t>
            </w:r>
          </w:p>
        </w:tc>
        <w:tc>
          <w:tcPr>
            <w:tcW w:type="dxa" w:w="6263"/>
            <w:tcMar>
              <w:top w:w="25" w:type="dxa"/>
              <w:bottom w:w="25" w:type="dxa"/>
              <w:left w:w="40" w:type="dxa"/>
              <w:right w:w="40" w:type="dxa"/>
            </w:tcMar>
          </w:tcPr>
          <w:p>
            <w:pPr>
              <w:spacing w:after="0"/>
            </w:pPr>
            <w:r>
              <w:rPr>
                <w:rFonts w:ascii="Times New Roman" w:hAnsi="Times New Roman"/>
                <w:sz w:val="19"/>
              </w:rPr>
              <w:t>Comprehensive Literature Review &amp; Comparative Matrix of Restaurant POS Architectures</w:t>
            </w:r>
          </w:p>
        </w:tc>
        <w:tc>
          <w:tcPr>
            <w:tcW w:type="dxa" w:w="1152"/>
            <w:tcMar>
              <w:top w:w="25" w:type="dxa"/>
              <w:bottom w:w="25" w:type="dxa"/>
              <w:left w:w="40" w:type="dxa"/>
              <w:right w:w="40" w:type="dxa"/>
            </w:tcMar>
          </w:tcPr>
          <w:p>
            <w:pPr>
              <w:spacing w:after="0"/>
              <w:jc w:val="right"/>
            </w:pPr>
            <w:r>
              <w:rPr>
                <w:rFonts w:ascii="Times New Roman" w:hAnsi="Times New Roman"/>
                <w:b/>
                <w:sz w:val="19"/>
              </w:rPr>
              <w:t>2</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4.1</w:t>
            </w:r>
          </w:p>
        </w:tc>
        <w:tc>
          <w:tcPr>
            <w:tcW w:type="dxa" w:w="6263"/>
            <w:tcMar>
              <w:top w:w="25" w:type="dxa"/>
              <w:bottom w:w="25" w:type="dxa"/>
              <w:left w:w="40" w:type="dxa"/>
              <w:right w:w="40" w:type="dxa"/>
            </w:tcMar>
          </w:tcPr>
          <w:p>
            <w:pPr>
              <w:spacing w:after="0"/>
            </w:pPr>
            <w:r>
              <w:rPr>
                <w:rFonts w:ascii="Times New Roman" w:hAnsi="Times New Roman"/>
                <w:sz w:val="19"/>
              </w:rPr>
              <w:t>Hardware Interface, ESC/POS Pinout &amp; Solenoid Actuation Specifications</w:t>
            </w:r>
          </w:p>
        </w:tc>
        <w:tc>
          <w:tcPr>
            <w:tcW w:type="dxa" w:w="1152"/>
            <w:tcMar>
              <w:top w:w="25" w:type="dxa"/>
              <w:bottom w:w="25" w:type="dxa"/>
              <w:left w:w="40" w:type="dxa"/>
              <w:right w:w="40" w:type="dxa"/>
            </w:tcMar>
          </w:tcPr>
          <w:p>
            <w:pPr>
              <w:spacing w:after="0"/>
              <w:jc w:val="right"/>
            </w:pPr>
            <w:r>
              <w:rPr>
                <w:rFonts w:ascii="Times New Roman" w:hAnsi="Times New Roman"/>
                <w:b/>
                <w:sz w:val="19"/>
              </w:rPr>
              <w:t>5</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4.2</w:t>
            </w:r>
          </w:p>
        </w:tc>
        <w:tc>
          <w:tcPr>
            <w:tcW w:type="dxa" w:w="6263"/>
            <w:tcMar>
              <w:top w:w="25" w:type="dxa"/>
              <w:bottom w:w="25" w:type="dxa"/>
              <w:left w:w="40" w:type="dxa"/>
              <w:right w:w="40" w:type="dxa"/>
            </w:tcMar>
          </w:tcPr>
          <w:p>
            <w:pPr>
              <w:spacing w:after="0"/>
            </w:pPr>
            <w:r>
              <w:rPr>
                <w:rFonts w:ascii="Times New Roman" w:hAnsi="Times New Roman"/>
                <w:sz w:val="19"/>
              </w:rPr>
              <w:t>Offline Synchronization &amp; Data Conflict Resolution Decision Matrix</w:t>
            </w:r>
          </w:p>
        </w:tc>
        <w:tc>
          <w:tcPr>
            <w:tcW w:type="dxa" w:w="1152"/>
            <w:tcMar>
              <w:top w:w="25" w:type="dxa"/>
              <w:bottom w:w="25" w:type="dxa"/>
              <w:left w:w="40" w:type="dxa"/>
              <w:right w:w="40" w:type="dxa"/>
            </w:tcMar>
          </w:tcPr>
          <w:p>
            <w:pPr>
              <w:spacing w:after="0"/>
              <w:jc w:val="right"/>
            </w:pPr>
            <w:r>
              <w:rPr>
                <w:rFonts w:ascii="Times New Roman" w:hAnsi="Times New Roman"/>
                <w:b/>
                <w:sz w:val="19"/>
              </w:rPr>
              <w:t>7</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5.1</w:t>
            </w:r>
          </w:p>
        </w:tc>
        <w:tc>
          <w:tcPr>
            <w:tcW w:type="dxa" w:w="6263"/>
            <w:tcMar>
              <w:top w:w="25" w:type="dxa"/>
              <w:bottom w:w="25" w:type="dxa"/>
              <w:left w:w="40" w:type="dxa"/>
              <w:right w:w="40" w:type="dxa"/>
            </w:tcMar>
          </w:tcPr>
          <w:p>
            <w:pPr>
              <w:spacing w:after="0"/>
            </w:pPr>
            <w:r>
              <w:rPr>
                <w:rFonts w:ascii="Times New Roman" w:hAnsi="Times New Roman"/>
                <w:sz w:val="19"/>
              </w:rPr>
              <w:t>15-Week Academic Semester Work Plan &amp; Milestone Schedule</w:t>
            </w:r>
          </w:p>
        </w:tc>
        <w:tc>
          <w:tcPr>
            <w:tcW w:type="dxa" w:w="1152"/>
            <w:tcMar>
              <w:top w:w="25" w:type="dxa"/>
              <w:bottom w:w="25" w:type="dxa"/>
              <w:left w:w="40" w:type="dxa"/>
              <w:right w:w="40" w:type="dxa"/>
            </w:tcMar>
          </w:tcPr>
          <w:p>
            <w:pPr>
              <w:spacing w:after="0"/>
              <w:jc w:val="right"/>
            </w:pPr>
            <w:r>
              <w:rPr>
                <w:rFonts w:ascii="Times New Roman" w:hAnsi="Times New Roman"/>
                <w:b/>
                <w:sz w:val="19"/>
              </w:rPr>
              <w:t>8</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6.1</w:t>
            </w:r>
          </w:p>
        </w:tc>
        <w:tc>
          <w:tcPr>
            <w:tcW w:type="dxa" w:w="6263"/>
            <w:tcMar>
              <w:top w:w="25" w:type="dxa"/>
              <w:bottom w:w="25" w:type="dxa"/>
              <w:left w:w="40" w:type="dxa"/>
              <w:right w:w="40" w:type="dxa"/>
            </w:tcMar>
          </w:tcPr>
          <w:p>
            <w:pPr>
              <w:spacing w:after="0"/>
            </w:pPr>
            <w:r>
              <w:rPr>
                <w:rFonts w:ascii="Times New Roman" w:hAnsi="Times New Roman"/>
                <w:sz w:val="19"/>
              </w:rPr>
              <w:t>Quantitative System Testing Results and Empirical Verification Suite</w:t>
            </w:r>
          </w:p>
        </w:tc>
        <w:tc>
          <w:tcPr>
            <w:tcW w:type="dxa" w:w="1152"/>
            <w:tcMar>
              <w:top w:w="25" w:type="dxa"/>
              <w:bottom w:w="25" w:type="dxa"/>
              <w:left w:w="40" w:type="dxa"/>
              <w:right w:w="40" w:type="dxa"/>
            </w:tcMar>
          </w:tcPr>
          <w:p>
            <w:pPr>
              <w:spacing w:after="0"/>
              <w:jc w:val="right"/>
            </w:pPr>
            <w:r>
              <w:rPr>
                <w:rFonts w:ascii="Times New Roman" w:hAnsi="Times New Roman"/>
                <w:b/>
                <w:sz w:val="19"/>
              </w:rPr>
              <w:t>9</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6.2</w:t>
            </w:r>
          </w:p>
        </w:tc>
        <w:tc>
          <w:tcPr>
            <w:tcW w:type="dxa" w:w="6263"/>
            <w:tcMar>
              <w:top w:w="25" w:type="dxa"/>
              <w:bottom w:w="25" w:type="dxa"/>
              <w:left w:w="40" w:type="dxa"/>
              <w:right w:w="40" w:type="dxa"/>
            </w:tcMar>
          </w:tcPr>
          <w:p>
            <w:pPr>
              <w:spacing w:after="0"/>
            </w:pPr>
            <w:r>
              <w:rPr>
                <w:rFonts w:ascii="Times New Roman" w:hAnsi="Times New Roman"/>
                <w:sz w:val="19"/>
              </w:rPr>
              <w:t>Post-Testing Modifications and Problem Rectification (GTU Competency 15)</w:t>
            </w:r>
          </w:p>
        </w:tc>
        <w:tc>
          <w:tcPr>
            <w:tcW w:type="dxa" w:w="1152"/>
            <w:tcMar>
              <w:top w:w="25" w:type="dxa"/>
              <w:bottom w:w="25" w:type="dxa"/>
              <w:left w:w="40" w:type="dxa"/>
              <w:right w:w="40" w:type="dxa"/>
            </w:tcMar>
          </w:tcPr>
          <w:p>
            <w:pPr>
              <w:spacing w:after="0"/>
              <w:jc w:val="right"/>
            </w:pPr>
            <w:r>
              <w:rPr>
                <w:rFonts w:ascii="Times New Roman" w:hAnsi="Times New Roman"/>
                <w:b/>
                <w:sz w:val="19"/>
              </w:rPr>
              <w:t>9</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7.1</w:t>
            </w:r>
          </w:p>
        </w:tc>
        <w:tc>
          <w:tcPr>
            <w:tcW w:type="dxa" w:w="6263"/>
            <w:tcMar>
              <w:top w:w="25" w:type="dxa"/>
              <w:bottom w:w="25" w:type="dxa"/>
              <w:left w:w="40" w:type="dxa"/>
              <w:right w:w="40" w:type="dxa"/>
            </w:tcMar>
          </w:tcPr>
          <w:p>
            <w:pPr>
              <w:spacing w:after="0"/>
            </w:pPr>
            <w:r>
              <w:rPr>
                <w:rFonts w:ascii="Times New Roman" w:hAnsi="Times New Roman"/>
                <w:sz w:val="19"/>
              </w:rPr>
              <w:t>Project Measurable Objectives vs. Achieved Verification Matrix</w:t>
            </w:r>
          </w:p>
        </w:tc>
        <w:tc>
          <w:tcPr>
            <w:tcW w:type="dxa" w:w="1152"/>
            <w:tcMar>
              <w:top w:w="25" w:type="dxa"/>
              <w:bottom w:w="25" w:type="dxa"/>
              <w:left w:w="40" w:type="dxa"/>
              <w:right w:w="40" w:type="dxa"/>
            </w:tcMar>
          </w:tcPr>
          <w:p>
            <w:pPr>
              <w:spacing w:after="0"/>
              <w:jc w:val="right"/>
            </w:pPr>
            <w:r>
              <w:rPr>
                <w:rFonts w:ascii="Times New Roman" w:hAnsi="Times New Roman"/>
                <w:b/>
                <w:sz w:val="19"/>
              </w:rPr>
              <w:t>10</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8.1</w:t>
            </w:r>
          </w:p>
        </w:tc>
        <w:tc>
          <w:tcPr>
            <w:tcW w:type="dxa" w:w="6263"/>
            <w:tcMar>
              <w:top w:w="25" w:type="dxa"/>
              <w:bottom w:w="25" w:type="dxa"/>
              <w:left w:w="40" w:type="dxa"/>
              <w:right w:w="40" w:type="dxa"/>
            </w:tcMar>
          </w:tcPr>
          <w:p>
            <w:pPr>
              <w:spacing w:after="0"/>
            </w:pPr>
            <w:r>
              <w:rPr>
                <w:rFonts w:ascii="Times New Roman" w:hAnsi="Times New Roman"/>
                <w:sz w:val="19"/>
              </w:rPr>
              <w:t>DineFlow AI Commercial SaaS Tiered Subscription Pricing Model</w:t>
            </w:r>
          </w:p>
        </w:tc>
        <w:tc>
          <w:tcPr>
            <w:tcW w:type="dxa" w:w="1152"/>
            <w:tcMar>
              <w:top w:w="25" w:type="dxa"/>
              <w:bottom w:w="25" w:type="dxa"/>
              <w:left w:w="40" w:type="dxa"/>
              <w:right w:w="40" w:type="dxa"/>
            </w:tcMar>
          </w:tcPr>
          <w:p>
            <w:pPr>
              <w:spacing w:after="0"/>
              <w:jc w:val="right"/>
            </w:pPr>
            <w:r>
              <w:rPr>
                <w:rFonts w:ascii="Times New Roman" w:hAnsi="Times New Roman"/>
                <w:b/>
                <w:sz w:val="19"/>
              </w:rPr>
              <w:t>11</w:t>
            </w:r>
          </w:p>
        </w:tc>
      </w:tr>
    </w:tbl>
    <w:p>
      <w:r>
        <w:br w:type="page"/>
      </w:r>
    </w:p>
    <w:p>
      <w:pPr>
        <w:spacing w:before="200" w:after="80"/>
      </w:pPr>
      <w:r>
        <w:rPr>
          <w:rFonts w:ascii="Times New Roman" w:hAnsi="Times New Roman"/>
          <w:b/>
          <w:color w:val="0F172A"/>
          <w:sz w:val="26"/>
        </w:rPr>
        <w:t>LIST OF ABBREVIATIONS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872"/>
        <w:gridCol w:w="7128"/>
      </w:tblGrid>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ACID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Atomicity, Consistency, Isolation, Durability</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API</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Application Programming Interface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BOM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Bill of Materials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CGST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Central Goods and Services Tax</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CRUD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Create, Read, Update, Delete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CSS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Cascading Style Sheets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DBMS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Database Management System</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DOM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Document Object Model</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ERP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Enterprise Resource Planning</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ESC/POS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Epson Standard Code for Point of Sale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HTML</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Markup Language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HTTP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Transfer Protocol</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IDOR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Insecure Direct Object Reference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IPR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Intellectual Property Rights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JSON</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JavaScript Object Notation</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KDS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Kitchen Display System</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KOT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Kitchen Order Ticket</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LAN</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Local Area Network</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MVC</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Model-View-Controller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ORM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Object-Relational Mapping</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PHP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Preprocessor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POS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Point of Sale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PWA</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Progressive Web Application</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QR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Quick Response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REST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Representational State Transfer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SGST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State Goods and Services Tax</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SQL</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Structured Query Language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SSL/TLS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Secure Sockets Layer / Transport Layer Security</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UI/UX</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User Interface / User Experience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UUID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Universally Unique Identifier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VPS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Virtual Private Server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W3C</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World Wide Web Consortium</w:t>
            </w:r>
          </w:p>
        </w:tc>
      </w:tr>
    </w:tbl>
    <w:p>
      <w:pPr>
        <w:sectPr>
          <w:footerReference w:type="default" r:id="rId12"/>
          <w:pgSz w:w="11909" w:h="16834"/>
          <w:pgMar w:top="1440" w:right="1253" w:bottom="1440" w:left="1656" w:header="720" w:footer="720" w:gutter="0"/>
          <w:cols w:space="720"/>
          <w:docGrid w:linePitch="360"/>
          <w:pgNumType w:start="2" w:fmt="lowerRoman"/>
        </w:sectPr>
      </w:pPr>
    </w:p>
    <w:p>
      <w:pPr>
        <w:spacing w:before="280" w:after="120"/>
        <w:jc w:val="left"/>
      </w:pPr>
      <w:r>
        <w:rPr>
          <w:rFonts w:ascii="Times New Roman" w:hAnsi="Times New Roman"/>
          <w:b/>
          <w:color w:val="1E3A8A"/>
          <w:sz w:val="30"/>
        </w:rPr>
        <w:t>CHAPTER 1: INTRODUCTION</w:t>
      </w:r>
    </w:p>
    <w:p>
      <w:pPr>
        <w:spacing w:before="200" w:after="80"/>
      </w:pPr>
      <w:r>
        <w:rPr>
          <w:rFonts w:ascii="Times New Roman" w:hAnsi="Times New Roman"/>
          <w:b/>
          <w:color w:val="0F172A"/>
          <w:sz w:val="26"/>
        </w:rPr>
        <w:t>1.1 Background &amp; Industry Overview</w:t>
      </w:r>
    </w:p>
    <w:p>
      <w:pPr>
        <w:spacing w:line="283" w:lineRule="auto" w:after="70"/>
        <w:jc w:val="both"/>
      </w:pPr>
      <w:r>
        <w:rPr>
          <w:rFonts w:ascii="Times New Roman" w:hAnsi="Times New Roman"/>
          <w:color w:val="1F2937"/>
          <w:sz w:val="23"/>
        </w:rPr>
        <w:t>The food service, cafe, and hospitality industry across India and global markets is undergoing a decisive transition from error-prone manual paper-and-pen accounting toward automated, omnichannel computational workflows. In a conventional independent eatery, food outlet, or multi-cuisine dining establishment, customer order taking, kitchen ticket delivery, and bill computation are executed manually. Waiters write handwritten Kitchen Order Tickets (KOT), walk to the cooking area, and verbally relay modifications. This conventional paradigm causes notable delays, billing inaccuracies, communication failures during rush hours, and lack of real-time inventory visibility.</w:t>
      </w:r>
    </w:p>
    <w:p>
      <w:pPr>
        <w:spacing w:line="283" w:lineRule="auto" w:after="70"/>
        <w:jc w:val="both"/>
      </w:pPr>
      <w:r>
        <w:rPr>
          <w:rFonts w:ascii="Times New Roman" w:hAnsi="Times New Roman"/>
          <w:color w:val="1F2937"/>
          <w:sz w:val="23"/>
        </w:rPr>
        <w:t>Modern cloud point-of-sale architectures demonstrate how web technologies, mobile handhelds, and real-time data streaming eliminate these manual bottlenecks. By introducing digital touchscreens, contactless QR menus, and automated kitchen displays, restaurants reduce turnaround latency by up to 70%, eliminate table confusion, and maintain rigorous audit trails. However, prevailing commercial systems from international and enterprise vendors are prohibitively expensive, requiring dedicated hardware terminals and recurring subscription fees that small and medium food enterprises cannot sustainably bear.</w:t>
      </w:r>
    </w:p>
    <w:p>
      <w:pPr>
        <w:spacing w:before="200" w:after="80"/>
      </w:pPr>
      <w:r>
        <w:rPr>
          <w:rFonts w:ascii="Times New Roman" w:hAnsi="Times New Roman"/>
          <w:b/>
          <w:color w:val="0F172A"/>
          <w:sz w:val="26"/>
        </w:rPr>
        <w:t>1.2 Problem Identification and Statement</w:t>
      </w:r>
    </w:p>
    <w:p>
      <w:pPr>
        <w:spacing w:line="283" w:lineRule="auto" w:after="50"/>
        <w:jc w:val="both"/>
      </w:pPr>
      <w:r>
        <w:rPr>
          <w:rFonts w:ascii="Times New Roman" w:hAnsi="Times New Roman"/>
          <w:color w:val="1F2937"/>
          <w:sz w:val="23"/>
        </w:rPr>
        <w:t>Despite advancements in commercial restaurant software, small to medium Indian food operators face five critical challenges:</w:t>
      </w:r>
    </w:p>
    <w:p>
      <w:pPr>
        <w:pStyle w:val="ListBullet"/>
        <w:spacing w:line="276" w:lineRule="auto" w:after="60"/>
        <w:jc w:val="both"/>
      </w:pPr>
      <w:r>
        <w:rPr>
          <w:rFonts w:ascii="Times New Roman" w:hAnsi="Times New Roman"/>
          <w:color w:val="1F2937"/>
          <w:sz w:val="22"/>
        </w:rPr>
        <w:t>Exorbitant Hardware Lock-in: Proprietary POS systems mandate dedicated Windows-based touch terminals costing Rs. 25,000 to Rs. 50,000 per billing counter.</w:t>
      </w:r>
    </w:p>
    <w:p>
      <w:pPr>
        <w:pStyle w:val="ListBullet"/>
        <w:spacing w:line="276" w:lineRule="auto" w:after="60"/>
        <w:jc w:val="both"/>
      </w:pPr>
      <w:r>
        <w:rPr>
          <w:rFonts w:ascii="Times New Roman" w:hAnsi="Times New Roman"/>
          <w:color w:val="1F2937"/>
          <w:sz w:val="22"/>
        </w:rPr>
        <w:t>Manual KOT Communication Lag: Paper ticket physical transfer creates an 8 to 14-minute average latency between guest order placement and cooking initiation.</w:t>
      </w:r>
    </w:p>
    <w:p>
      <w:pPr>
        <w:pStyle w:val="ListBullet"/>
        <w:spacing w:line="276" w:lineRule="auto" w:after="60"/>
        <w:jc w:val="both"/>
      </w:pPr>
      <w:r>
        <w:rPr>
          <w:rFonts w:ascii="Times New Roman" w:hAnsi="Times New Roman"/>
          <w:color w:val="1F2937"/>
          <w:sz w:val="22"/>
        </w:rPr>
        <w:t>Lack of Inventory Depletion Linking: Orders placed are rarely linked dynamically to ingredient-level stocks, resulting in food waste and sudden stock-outs.</w:t>
      </w:r>
    </w:p>
    <w:p>
      <w:pPr>
        <w:pStyle w:val="ListBullet"/>
        <w:spacing w:line="276" w:lineRule="auto" w:after="60"/>
        <w:jc w:val="both"/>
      </w:pPr>
      <w:r>
        <w:rPr>
          <w:rFonts w:ascii="Times New Roman" w:hAnsi="Times New Roman"/>
          <w:color w:val="1F2937"/>
          <w:sz w:val="22"/>
        </w:rPr>
        <w:t>Network Fragility &amp; Offline Halts: Pure cloud systems crash during internet drops, preventing cashier billing and paralyzing operations.</w:t>
      </w:r>
    </w:p>
    <w:p>
      <w:pPr>
        <w:pStyle w:val="ListBullet"/>
        <w:spacing w:line="276" w:lineRule="auto" w:after="60"/>
        <w:jc w:val="both"/>
      </w:pPr>
      <w:r>
        <w:rPr>
          <w:rFonts w:ascii="Times New Roman" w:hAnsi="Times New Roman"/>
          <w:color w:val="1F2937"/>
          <w:sz w:val="22"/>
        </w:rPr>
        <w:t>Unaffordable Recurring Licensing: SaaS systems charging Rs. 2,000 to Rs. 5,000 monthly squeeze operating margins of local restaurants.</w:t>
      </w:r>
    </w:p>
    <w:p>
      <w:pPr>
        <w:spacing w:line="283" w:lineRule="auto" w:after="70"/>
        <w:jc w:val="both"/>
      </w:pPr>
      <w:r>
        <w:rPr>
          <w:rFonts w:ascii="Times New Roman" w:hAnsi="Times New Roman"/>
          <w:b/>
          <w:color w:val="0F172A"/>
          <w:sz w:val="23"/>
        </w:rPr>
        <w:t xml:space="preserve">Problem Statement: </w:t>
      </w:r>
      <w:r>
        <w:rPr>
          <w:rFonts w:ascii="Times New Roman" w:hAnsi="Times New Roman"/>
          <w:color w:val="1F2937"/>
          <w:sz w:val="23"/>
        </w:rPr>
        <w:t>Problem Statement: To design, implement, and empirically validate DineFlow AI-a multi-tenant, cloud-native restaurant management system providing browser-based POS billing, contactless table QR ordering, real-time KDS kitchen synchronization, and automated recipe-level BOM inventory tracking on commodity hardware at an operational cost below Rs. 999/month.</w:t>
      </w:r>
    </w:p>
    <w:p>
      <w:pPr>
        <w:spacing w:before="200" w:after="80"/>
      </w:pPr>
      <w:r>
        <w:rPr>
          <w:rFonts w:ascii="Times New Roman" w:hAnsi="Times New Roman"/>
          <w:b/>
          <w:color w:val="0F172A"/>
          <w:sz w:val="26"/>
        </w:rPr>
        <w:t>1.3 Objectives and Measurable Targets</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Hardware Freedom: Run the full cashier billing and table management interface on any web browser (Chrome, Edge, Safari) without proprietary hardware.</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Contactless QR Dining: Enable customers to scan dynamic table QR codes, browse categorized menus with modifier options, and submit orders in under 30 seconds.</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Sub-180ms Kitchen Dispatch: Transmit orders to the Kitchen Display System (KDS) via WebSockets and dispatch ESC/POS thermal receipts with sub-180ms latency.</w:t>
      </w:r>
    </w:p>
    <w:p>
      <w:pPr>
        <w:pStyle w:val="ListBullet"/>
        <w:spacing w:line="276" w:lineRule="auto" w:after="60"/>
        <w:jc w:val="both"/>
      </w:pPr>
      <w:r>
        <w:rPr>
          <w:rFonts w:ascii="Times New Roman" w:hAnsi="Times New Roman"/>
          <w:b/>
          <w:color w:val="0F172A"/>
          <w:sz w:val="22"/>
        </w:rPr>
        <w:t xml:space="preserve">4. </w:t>
      </w:r>
      <w:r>
        <w:rPr>
          <w:rFonts w:ascii="Times New Roman" w:hAnsi="Times New Roman"/>
          <w:color w:val="1F2937"/>
          <w:sz w:val="22"/>
        </w:rPr>
        <w:t>Automated Bill-of-Materials Depletion: Dynamically deduct raw ingredient quantities from database inventory upon order confirmation with ACID safety.</w:t>
      </w:r>
    </w:p>
    <w:p>
      <w:pPr>
        <w:pStyle w:val="ListBullet"/>
        <w:spacing w:line="276" w:lineRule="auto" w:after="60"/>
        <w:jc w:val="both"/>
      </w:pPr>
      <w:r>
        <w:rPr>
          <w:rFonts w:ascii="Times New Roman" w:hAnsi="Times New Roman"/>
          <w:b/>
          <w:color w:val="0F172A"/>
          <w:sz w:val="22"/>
        </w:rPr>
        <w:t xml:space="preserve">5. </w:t>
      </w:r>
      <w:r>
        <w:rPr>
          <w:rFonts w:ascii="Times New Roman" w:hAnsi="Times New Roman"/>
          <w:color w:val="1F2937"/>
          <w:sz w:val="22"/>
        </w:rPr>
        <w:t>Offline Continuity: Allow cashier terminals to record transactions locally during network outages and reconcile them automatically via delta sync.</w:t>
      </w:r>
    </w:p>
    <w:p>
      <w:pPr>
        <w:spacing w:before="200" w:after="80"/>
      </w:pPr>
      <w:r>
        <w:rPr>
          <w:rFonts w:ascii="Times New Roman" w:hAnsi="Times New Roman"/>
          <w:b/>
          <w:color w:val="0F172A"/>
          <w:sz w:val="26"/>
        </w:rPr>
        <w:t>1.4 Scope and Curriculum Relevance</w:t>
      </w:r>
    </w:p>
    <w:p>
      <w:pPr>
        <w:spacing w:line="283" w:lineRule="auto" w:after="70"/>
        <w:jc w:val="both"/>
      </w:pPr>
      <w:r>
        <w:rPr>
          <w:rFonts w:ascii="Times New Roman" w:hAnsi="Times New Roman"/>
          <w:color w:val="1F2937"/>
          <w:sz w:val="23"/>
        </w:rPr>
        <w:t>Scope: DineFlow AI encompasses full-stack software and hardware interfacing: a multi-tenant Laravel 11 / PHP 8.5 REST API backend, MySQL 8.0 relational database with 3NF schema, React Native customer mobile interface, Web POS cashier terminal, raw ESC/POS binary thermal printer communication, and 24V RJ11 cash drawer solenoid pulse control. The system was deployed on AWS EC2 Ubuntu 24.04 LTS with Nginx reverse proxy and Let's Encrypt SSL encryption.</w:t>
      </w:r>
    </w:p>
    <w:p>
      <w:pPr>
        <w:spacing w:line="283" w:lineRule="auto" w:after="70"/>
        <w:jc w:val="both"/>
      </w:pPr>
      <w:r>
        <w:rPr>
          <w:rFonts w:ascii="Times New Roman" w:hAnsi="Times New Roman"/>
          <w:color w:val="1F2937"/>
          <w:sz w:val="23"/>
        </w:rPr>
        <w:t>Curriculum Relevance: Developed for the GTU Diploma in Computer Engineering 5th Semester Minor Project (Course Code: DI05000341), the project aligns with core curricular competencies including Relational Database Management Systems, Advanced Web Programming, Software Engineering Methodologies, Network Protocols, and Systems Security.</w:t>
      </w:r>
    </w:p>
    <w:p>
      <w:pPr>
        <w:spacing w:before="200" w:after="80"/>
      </w:pPr>
      <w:r>
        <w:rPr>
          <w:rFonts w:ascii="Times New Roman" w:hAnsi="Times New Roman"/>
          <w:b/>
          <w:color w:val="0F172A"/>
          <w:sz w:val="26"/>
        </w:rPr>
        <w:t>1.5 Organisation of the Report</w:t>
      </w:r>
    </w:p>
    <w:p>
      <w:pPr>
        <w:spacing w:line="283" w:lineRule="auto" w:after="70"/>
        <w:jc w:val="both"/>
      </w:pPr>
      <w:r>
        <w:rPr>
          <w:rFonts w:ascii="Times New Roman" w:hAnsi="Times New Roman"/>
          <w:color w:val="1F2937"/>
          <w:sz w:val="23"/>
        </w:rPr>
        <w:t>This report is structured into eight chapters: Chapter 2 reviews literature and evaluates existing market solutions. Chapter 3 justifies the technical architecture and environmental considerations. Chapter 4 presents detailed block diagrams, process flow circuits, hardware pinouts, system flowcharts, and formal algorithms. Chapter 5 details the 15-week work plan, member task distribution, collaborative Git activity, and physical prototype photos. Chapter 6 provides quantitative testing data and post-testing modifications. Chapter 7 concludes the project, and Chapter 8 outlines the commercial startup vision.</w:t>
      </w:r>
    </w:p>
    <w:p>
      <w:r>
        <w:br w:type="page"/>
      </w:r>
    </w:p>
    <w:p>
      <w:pPr>
        <w:spacing w:before="280" w:after="120"/>
        <w:jc w:val="left"/>
      </w:pPr>
      <w:r>
        <w:rPr>
          <w:rFonts w:ascii="Times New Roman" w:hAnsi="Times New Roman"/>
          <w:b/>
          <w:color w:val="1E3A8A"/>
          <w:sz w:val="30"/>
        </w:rPr>
        <w:t>CHAPTER 2: LITERATURE REVIEW</w:t>
      </w:r>
    </w:p>
    <w:p>
      <w:pPr>
        <w:spacing w:before="200" w:after="80"/>
      </w:pPr>
      <w:r>
        <w:rPr>
          <w:rFonts w:ascii="Times New Roman" w:hAnsi="Times New Roman"/>
          <w:b/>
          <w:color w:val="0F172A"/>
          <w:sz w:val="26"/>
        </w:rPr>
        <w:t>2.1 Survey of Existing Systems</w:t>
      </w:r>
    </w:p>
    <w:p>
      <w:pPr>
        <w:spacing w:line="283" w:lineRule="auto" w:after="80"/>
        <w:jc w:val="both"/>
      </w:pPr>
      <w:r>
        <w:rPr>
          <w:rFonts w:ascii="Times New Roman" w:hAnsi="Times New Roman"/>
          <w:color w:val="1F2937"/>
          <w:sz w:val="23"/>
        </w:rPr>
        <w:t>A comprehensive investigation of commercial point-of-sale systems was conducted across three architectural categories: (1) Traditional Legacy On-Premise POS (e.g., Petpooja, ShawMan, Micros Symphony), (2) Cloud-First Modern POS (e.g., Toast POS, Square for Restaurants, Lightspeed), and (3) Contactless Mobile Ordering Platforms (e.g., Zomato Dine-in, DotPe). Legacy systems require dedicated terminal hardware, on-premise servers, and on-site technician visits. Cloud-first systems resolve server maintenance but enforce recurring subscription fees (Rs. 1,500 to Rs. 4,500/month per terminal) and struggle when broadband connectivity fluctuates in regional kitchens.</w:t>
      </w:r>
    </w:p>
    <w:p>
      <w:pPr>
        <w:spacing w:line="283" w:lineRule="auto" w:after="80"/>
        <w:jc w:val="both"/>
      </w:pPr>
      <w:r>
        <w:rPr>
          <w:rFonts w:ascii="Times New Roman" w:hAnsi="Times New Roman"/>
          <w:color w:val="1F2937"/>
          <w:sz w:val="23"/>
        </w:rPr>
        <w:t>Academic literature further emphasizes these operational bottlenecks. Tan et al. (2020) demonstrated that contactless QR ordering reduces front-of-house labor costs by 34% while increasing customer satisfaction. However, existing commercial systems treat QR ordering as an external aggregator bolt-on rather than an integrated internal ERP component, leading to data synchronization delays. Furthermore, research by Gupta and Sharma (2021) in Indian hospitality engineering revealed that 68% of food waste in medium eateries stems from a lack of dynamic Bill of Materials (BOM) inventory coupling.</w:t>
      </w:r>
    </w:p>
    <w:p>
      <w:pPr>
        <w:spacing w:before="200" w:after="80"/>
      </w:pPr>
      <w:r>
        <w:rPr>
          <w:rFonts w:ascii="Times New Roman" w:hAnsi="Times New Roman"/>
          <w:b/>
          <w:color w:val="0F172A"/>
          <w:sz w:val="26"/>
        </w:rPr>
        <w:t>2.2 Summary of Reviewed Literature &amp; Research Gap Analysis</w:t>
      </w:r>
    </w:p>
    <w:p>
      <w:pPr>
        <w:spacing w:line="283" w:lineRule="auto" w:after="80"/>
        <w:jc w:val="both"/>
      </w:pPr>
      <w:r>
        <w:rPr>
          <w:rFonts w:ascii="Times New Roman" w:hAnsi="Times New Roman"/>
          <w:color w:val="1F2937"/>
          <w:sz w:val="23"/>
        </w:rPr>
        <w:t>Table 2.1 presents a structured comparative analysis contrasting DineFlow AI against prevailing market architectures.</w:t>
      </w:r>
    </w:p>
    <w:p>
      <w:pPr>
        <w:spacing w:before="80" w:after="120"/>
        <w:jc w:val="center"/>
      </w:pPr>
      <w:r>
        <w:rPr>
          <w:rFonts w:ascii="Times New Roman" w:hAnsi="Times New Roman"/>
          <w:b/>
          <w:i/>
          <w:color w:val="1E3A8A"/>
          <w:sz w:val="20"/>
        </w:rPr>
        <w:t>Table 2.1: Comprehensive Literature Review &amp; Comparative Matrix of Restaurant POS Architectures</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2016"/>
        <w:gridCol w:w="2304"/>
        <w:gridCol w:w="2304"/>
        <w:gridCol w:w="2376"/>
      </w:tblGrid>
      <w:tr>
        <w:trPr>
          <w:cantSplit/>
        </w:trPr>
        <w:tc>
          <w:tcPr>
            <w:tcW w:type="dxa" w:w="2015"/>
            <w:tcMar>
              <w:top w:w="24" w:type="dxa"/>
              <w:bottom w:w="24" w:type="dxa"/>
              <w:left w:w="35" w:type="dxa"/>
              <w:right w:w="35" w:type="dxa"/>
            </w:tcMar>
            <w:shd w:fill="1E3A8A"/>
          </w:tcPr>
          <w:p>
            <w:pPr>
              <w:jc w:val="center"/>
            </w:pPr>
            <w:r>
              <w:rPr>
                <w:b/>
                <w:color w:val="FFFFFF"/>
                <w:sz w:val="17"/>
              </w:rPr>
              <w:t>Evaluation Dimension</w:t>
            </w:r>
          </w:p>
        </w:tc>
        <w:tc>
          <w:tcPr>
            <w:tcW w:type="dxa" w:w="2304"/>
            <w:tcMar>
              <w:top w:w="24" w:type="dxa"/>
              <w:bottom w:w="24" w:type="dxa"/>
              <w:left w:w="35" w:type="dxa"/>
              <w:right w:w="35" w:type="dxa"/>
            </w:tcMar>
            <w:shd w:fill="1E3A8A"/>
          </w:tcPr>
          <w:p>
            <w:pPr>
              <w:jc w:val="center"/>
            </w:pPr>
            <w:r>
              <w:rPr>
                <w:b/>
                <w:color w:val="FFFFFF"/>
                <w:sz w:val="17"/>
              </w:rPr>
              <w:t>Legacy On-Premise POS</w:t>
            </w:r>
          </w:p>
        </w:tc>
        <w:tc>
          <w:tcPr>
            <w:tcW w:type="dxa" w:w="2304"/>
            <w:tcMar>
              <w:top w:w="24" w:type="dxa"/>
              <w:bottom w:w="24" w:type="dxa"/>
              <w:left w:w="35" w:type="dxa"/>
              <w:right w:w="35" w:type="dxa"/>
            </w:tcMar>
            <w:shd w:fill="1E3A8A"/>
          </w:tcPr>
          <w:p>
            <w:pPr>
              <w:jc w:val="center"/>
            </w:pPr>
            <w:r>
              <w:rPr>
                <w:b/>
                <w:color w:val="FFFFFF"/>
                <w:sz w:val="17"/>
              </w:rPr>
              <w:t>Enterprise Cloud POS</w:t>
            </w:r>
          </w:p>
        </w:tc>
        <w:tc>
          <w:tcPr>
            <w:tcW w:type="dxa" w:w="2376"/>
            <w:tcMar>
              <w:top w:w="24" w:type="dxa"/>
              <w:bottom w:w="24" w:type="dxa"/>
              <w:left w:w="35" w:type="dxa"/>
              <w:right w:w="35" w:type="dxa"/>
            </w:tcMar>
            <w:shd w:fill="1E3A8A"/>
          </w:tcPr>
          <w:p>
            <w:pPr>
              <w:jc w:val="center"/>
            </w:pPr>
            <w:r>
              <w:rPr>
                <w:b/>
                <w:color w:val="FFFFFF"/>
                <w:sz w:val="17"/>
              </w:rPr>
              <w:t>DineFlow AI (This Project)</w:t>
            </w:r>
          </w:p>
        </w:tc>
      </w:tr>
      <w:tr>
        <w:trPr>
          <w:cantSplit/>
        </w:trPr>
        <w:tc>
          <w:tcPr>
            <w:tcW w:type="dxa" w:w="2015"/>
            <w:tcMar>
              <w:top w:w="24" w:type="dxa"/>
              <w:bottom w:w="24" w:type="dxa"/>
              <w:left w:w="35" w:type="dxa"/>
              <w:right w:w="35" w:type="dxa"/>
            </w:tcMar>
            <w:shd w:fill="F8FAFC"/>
          </w:tcPr>
          <w:p>
            <w:pPr>
              <w:jc w:val="center"/>
            </w:pPr>
            <w:r>
              <w:rPr>
                <w:sz w:val="16"/>
              </w:rPr>
              <w:t>Hardware Requirements</w:t>
            </w:r>
          </w:p>
        </w:tc>
        <w:tc>
          <w:tcPr>
            <w:tcW w:type="dxa" w:w="2304"/>
            <w:tcMar>
              <w:top w:w="24" w:type="dxa"/>
              <w:bottom w:w="24" w:type="dxa"/>
              <w:left w:w="35" w:type="dxa"/>
              <w:right w:w="35" w:type="dxa"/>
            </w:tcMar>
            <w:shd w:fill="F8FAFC"/>
          </w:tcPr>
          <w:p>
            <w:pPr>
              <w:jc w:val="left"/>
            </w:pPr>
            <w:r>
              <w:rPr>
                <w:sz w:val="16"/>
              </w:rPr>
              <w:t>Proprietary x86 Windows Terminals</w:t>
            </w:r>
          </w:p>
        </w:tc>
        <w:tc>
          <w:tcPr>
            <w:tcW w:type="dxa" w:w="2304"/>
            <w:tcMar>
              <w:top w:w="24" w:type="dxa"/>
              <w:bottom w:w="24" w:type="dxa"/>
              <w:left w:w="35" w:type="dxa"/>
              <w:right w:w="35" w:type="dxa"/>
            </w:tcMar>
            <w:shd w:fill="F8FAFC"/>
          </w:tcPr>
          <w:p>
            <w:pPr>
              <w:jc w:val="left"/>
            </w:pPr>
            <w:r>
              <w:rPr>
                <w:sz w:val="16"/>
              </w:rPr>
              <w:t>Vendor-Locked iPads / Android Terminals</w:t>
            </w:r>
          </w:p>
        </w:tc>
        <w:tc>
          <w:tcPr>
            <w:tcW w:type="dxa" w:w="2376"/>
            <w:tcMar>
              <w:top w:w="24" w:type="dxa"/>
              <w:bottom w:w="24" w:type="dxa"/>
              <w:left w:w="35" w:type="dxa"/>
              <w:right w:w="35" w:type="dxa"/>
            </w:tcMar>
            <w:shd w:fill="F8FAFC"/>
          </w:tcPr>
          <w:p>
            <w:pPr>
              <w:jc w:val="left"/>
            </w:pPr>
            <w:r>
              <w:rPr>
                <w:b/>
                <w:color w:val="0F172A"/>
                <w:sz w:val="16"/>
              </w:rPr>
              <w:t>Hardware-Agnostic (Any PC, Phone, Tablet)</w:t>
            </w:r>
          </w:p>
        </w:tc>
      </w:tr>
      <w:tr>
        <w:trPr>
          <w:cantSplit/>
        </w:trPr>
        <w:tc>
          <w:tcPr>
            <w:tcW w:type="dxa" w:w="2015"/>
            <w:tcMar>
              <w:top w:w="24" w:type="dxa"/>
              <w:bottom w:w="24" w:type="dxa"/>
              <w:left w:w="35" w:type="dxa"/>
              <w:right w:w="35" w:type="dxa"/>
            </w:tcMar>
          </w:tcPr>
          <w:p>
            <w:pPr>
              <w:jc w:val="center"/>
            </w:pPr>
            <w:r>
              <w:rPr>
                <w:sz w:val="16"/>
              </w:rPr>
              <w:t>Initial Hardware Capex</w:t>
            </w:r>
          </w:p>
        </w:tc>
        <w:tc>
          <w:tcPr>
            <w:tcW w:type="dxa" w:w="2304"/>
            <w:tcMar>
              <w:top w:w="24" w:type="dxa"/>
              <w:bottom w:w="24" w:type="dxa"/>
              <w:left w:w="35" w:type="dxa"/>
              <w:right w:w="35" w:type="dxa"/>
            </w:tcMar>
          </w:tcPr>
          <w:p>
            <w:pPr>
              <w:jc w:val="left"/>
            </w:pPr>
            <w:r>
              <w:rPr>
                <w:sz w:val="16"/>
              </w:rPr>
              <w:t>Rs. 25,000 - Rs. 50,000 per counter</w:t>
            </w:r>
          </w:p>
        </w:tc>
        <w:tc>
          <w:tcPr>
            <w:tcW w:type="dxa" w:w="2304"/>
            <w:tcMar>
              <w:top w:w="24" w:type="dxa"/>
              <w:bottom w:w="24" w:type="dxa"/>
              <w:left w:w="35" w:type="dxa"/>
              <w:right w:w="35" w:type="dxa"/>
            </w:tcMar>
          </w:tcPr>
          <w:p>
            <w:pPr>
              <w:jc w:val="left"/>
            </w:pPr>
            <w:r>
              <w:rPr>
                <w:sz w:val="16"/>
              </w:rPr>
              <w:t>Rs. 18,000 - Rs. 35,000 per tablet</w:t>
            </w:r>
          </w:p>
        </w:tc>
        <w:tc>
          <w:tcPr>
            <w:tcW w:type="dxa" w:w="2376"/>
            <w:tcMar>
              <w:top w:w="24" w:type="dxa"/>
              <w:bottom w:w="24" w:type="dxa"/>
              <w:left w:w="35" w:type="dxa"/>
              <w:right w:w="35" w:type="dxa"/>
            </w:tcMar>
          </w:tcPr>
          <w:p>
            <w:pPr>
              <w:jc w:val="left"/>
            </w:pPr>
            <w:r>
              <w:rPr>
                <w:b/>
                <w:color w:val="0F172A"/>
                <w:sz w:val="16"/>
              </w:rPr>
              <w:t>Rs. 0 (Utilizes existing consumer devices)</w:t>
            </w:r>
          </w:p>
        </w:tc>
      </w:tr>
      <w:tr>
        <w:trPr>
          <w:cantSplit/>
        </w:trPr>
        <w:tc>
          <w:tcPr>
            <w:tcW w:type="dxa" w:w="2015"/>
            <w:tcMar>
              <w:top w:w="24" w:type="dxa"/>
              <w:bottom w:w="24" w:type="dxa"/>
              <w:left w:w="35" w:type="dxa"/>
              <w:right w:w="35" w:type="dxa"/>
            </w:tcMar>
            <w:shd w:fill="F8FAFC"/>
          </w:tcPr>
          <w:p>
            <w:pPr>
              <w:jc w:val="center"/>
            </w:pPr>
            <w:r>
              <w:rPr>
                <w:sz w:val="16"/>
              </w:rPr>
              <w:t>Monthly Software Fee</w:t>
            </w:r>
          </w:p>
        </w:tc>
        <w:tc>
          <w:tcPr>
            <w:tcW w:type="dxa" w:w="2304"/>
            <w:tcMar>
              <w:top w:w="24" w:type="dxa"/>
              <w:bottom w:w="24" w:type="dxa"/>
              <w:left w:w="35" w:type="dxa"/>
              <w:right w:w="35" w:type="dxa"/>
            </w:tcMar>
            <w:shd w:fill="F8FAFC"/>
          </w:tcPr>
          <w:p>
            <w:pPr>
              <w:jc w:val="left"/>
            </w:pPr>
            <w:r>
              <w:rPr>
                <w:sz w:val="16"/>
              </w:rPr>
              <w:t>Rs. 800 - Rs. 1,500 / terminal</w:t>
            </w:r>
          </w:p>
        </w:tc>
        <w:tc>
          <w:tcPr>
            <w:tcW w:type="dxa" w:w="2304"/>
            <w:tcMar>
              <w:top w:w="24" w:type="dxa"/>
              <w:bottom w:w="24" w:type="dxa"/>
              <w:left w:w="35" w:type="dxa"/>
              <w:right w:w="35" w:type="dxa"/>
            </w:tcMar>
            <w:shd w:fill="F8FAFC"/>
          </w:tcPr>
          <w:p>
            <w:pPr>
              <w:jc w:val="left"/>
            </w:pPr>
            <w:r>
              <w:rPr>
                <w:sz w:val="16"/>
              </w:rPr>
              <w:t>Rs. 2,000 - Rs. 5,000 / month</w:t>
            </w:r>
          </w:p>
        </w:tc>
        <w:tc>
          <w:tcPr>
            <w:tcW w:type="dxa" w:w="2376"/>
            <w:tcMar>
              <w:top w:w="24" w:type="dxa"/>
              <w:bottom w:w="24" w:type="dxa"/>
              <w:left w:w="35" w:type="dxa"/>
              <w:right w:w="35" w:type="dxa"/>
            </w:tcMar>
            <w:shd w:fill="F8FAFC"/>
          </w:tcPr>
          <w:p>
            <w:pPr>
              <w:jc w:val="left"/>
            </w:pPr>
            <w:r>
              <w:rPr>
                <w:b/>
                <w:color w:val="0F172A"/>
                <w:sz w:val="16"/>
              </w:rPr>
              <w:t>Rs. 0 - Rs. 799 / month (Cost-effective)</w:t>
            </w:r>
          </w:p>
        </w:tc>
      </w:tr>
      <w:tr>
        <w:trPr>
          <w:cantSplit/>
        </w:trPr>
        <w:tc>
          <w:tcPr>
            <w:tcW w:type="dxa" w:w="2015"/>
            <w:tcMar>
              <w:top w:w="24" w:type="dxa"/>
              <w:bottom w:w="24" w:type="dxa"/>
              <w:left w:w="35" w:type="dxa"/>
              <w:right w:w="35" w:type="dxa"/>
            </w:tcMar>
          </w:tcPr>
          <w:p>
            <w:pPr>
              <w:jc w:val="center"/>
            </w:pPr>
            <w:r>
              <w:rPr>
                <w:sz w:val="16"/>
              </w:rPr>
              <w:t>KDS Order Dispatch Latency</w:t>
            </w:r>
          </w:p>
        </w:tc>
        <w:tc>
          <w:tcPr>
            <w:tcW w:type="dxa" w:w="2304"/>
            <w:tcMar>
              <w:top w:w="24" w:type="dxa"/>
              <w:bottom w:w="24" w:type="dxa"/>
              <w:left w:w="35" w:type="dxa"/>
              <w:right w:w="35" w:type="dxa"/>
            </w:tcMar>
          </w:tcPr>
          <w:p>
            <w:pPr>
              <w:jc w:val="left"/>
            </w:pPr>
            <w:r>
              <w:rPr>
                <w:sz w:val="16"/>
              </w:rPr>
              <w:t>Physical paper walking (8-14 min)</w:t>
            </w:r>
          </w:p>
        </w:tc>
        <w:tc>
          <w:tcPr>
            <w:tcW w:type="dxa" w:w="2304"/>
            <w:tcMar>
              <w:top w:w="24" w:type="dxa"/>
              <w:bottom w:w="24" w:type="dxa"/>
              <w:left w:w="35" w:type="dxa"/>
              <w:right w:w="35" w:type="dxa"/>
            </w:tcMar>
          </w:tcPr>
          <w:p>
            <w:pPr>
              <w:jc w:val="left"/>
            </w:pPr>
            <w:r>
              <w:rPr>
                <w:sz w:val="16"/>
              </w:rPr>
              <w:t>Cloud WebSocket (1.2s - 3.5s)</w:t>
            </w:r>
          </w:p>
        </w:tc>
        <w:tc>
          <w:tcPr>
            <w:tcW w:type="dxa" w:w="2376"/>
            <w:tcMar>
              <w:top w:w="24" w:type="dxa"/>
              <w:bottom w:w="24" w:type="dxa"/>
              <w:left w:w="35" w:type="dxa"/>
              <w:right w:w="35" w:type="dxa"/>
            </w:tcMar>
          </w:tcPr>
          <w:p>
            <w:pPr>
              <w:jc w:val="left"/>
            </w:pPr>
            <w:r>
              <w:rPr>
                <w:b/>
                <w:color w:val="0F172A"/>
                <w:sz w:val="16"/>
              </w:rPr>
              <w:t>Sub-180ms WebSocket / Real-Time Polling</w:t>
            </w:r>
          </w:p>
        </w:tc>
      </w:tr>
      <w:tr>
        <w:trPr>
          <w:cantSplit/>
        </w:trPr>
        <w:tc>
          <w:tcPr>
            <w:tcW w:type="dxa" w:w="2015"/>
            <w:tcMar>
              <w:top w:w="24" w:type="dxa"/>
              <w:bottom w:w="24" w:type="dxa"/>
              <w:left w:w="35" w:type="dxa"/>
              <w:right w:w="35" w:type="dxa"/>
            </w:tcMar>
            <w:shd w:fill="F8FAFC"/>
          </w:tcPr>
          <w:p>
            <w:pPr>
              <w:jc w:val="center"/>
            </w:pPr>
            <w:r>
              <w:rPr>
                <w:sz w:val="16"/>
              </w:rPr>
              <w:t>Recipe BOM Auto-Depletion</w:t>
            </w:r>
          </w:p>
        </w:tc>
        <w:tc>
          <w:tcPr>
            <w:tcW w:type="dxa" w:w="2304"/>
            <w:tcMar>
              <w:top w:w="24" w:type="dxa"/>
              <w:bottom w:w="24" w:type="dxa"/>
              <w:left w:w="35" w:type="dxa"/>
              <w:right w:w="35" w:type="dxa"/>
            </w:tcMar>
            <w:shd w:fill="F8FAFC"/>
          </w:tcPr>
          <w:p>
            <w:pPr>
              <w:jc w:val="left"/>
            </w:pPr>
            <w:r>
              <w:rPr>
                <w:sz w:val="16"/>
              </w:rPr>
              <w:t>Manual end-of-day stock entry</w:t>
            </w:r>
          </w:p>
        </w:tc>
        <w:tc>
          <w:tcPr>
            <w:tcW w:type="dxa" w:w="2304"/>
            <w:tcMar>
              <w:top w:w="24" w:type="dxa"/>
              <w:bottom w:w="24" w:type="dxa"/>
              <w:left w:w="35" w:type="dxa"/>
              <w:right w:w="35" w:type="dxa"/>
            </w:tcMar>
            <w:shd w:fill="F8FAFC"/>
          </w:tcPr>
          <w:p>
            <w:pPr>
              <w:jc w:val="left"/>
            </w:pPr>
            <w:r>
              <w:rPr>
                <w:sz w:val="16"/>
              </w:rPr>
              <w:t>Add-on module ($40-$80/mo fee)</w:t>
            </w:r>
          </w:p>
        </w:tc>
        <w:tc>
          <w:tcPr>
            <w:tcW w:type="dxa" w:w="2376"/>
            <w:tcMar>
              <w:top w:w="24" w:type="dxa"/>
              <w:bottom w:w="24" w:type="dxa"/>
              <w:left w:w="35" w:type="dxa"/>
              <w:right w:w="35" w:type="dxa"/>
            </w:tcMar>
            <w:shd w:fill="F8FAFC"/>
          </w:tcPr>
          <w:p>
            <w:pPr>
              <w:jc w:val="left"/>
            </w:pPr>
            <w:r>
              <w:rPr>
                <w:b/>
                <w:color w:val="0F172A"/>
                <w:sz w:val="16"/>
              </w:rPr>
              <w:t>Native ACID automated deduction on order</w:t>
            </w:r>
          </w:p>
        </w:tc>
      </w:tr>
      <w:tr>
        <w:trPr>
          <w:cantSplit/>
        </w:trPr>
        <w:tc>
          <w:tcPr>
            <w:tcW w:type="dxa" w:w="2015"/>
            <w:tcMar>
              <w:top w:w="24" w:type="dxa"/>
              <w:bottom w:w="24" w:type="dxa"/>
              <w:left w:w="35" w:type="dxa"/>
              <w:right w:w="35" w:type="dxa"/>
            </w:tcMar>
          </w:tcPr>
          <w:p>
            <w:pPr>
              <w:jc w:val="center"/>
            </w:pPr>
            <w:r>
              <w:rPr>
                <w:sz w:val="16"/>
              </w:rPr>
              <w:t>Offline Resilience</w:t>
            </w:r>
          </w:p>
        </w:tc>
        <w:tc>
          <w:tcPr>
            <w:tcW w:type="dxa" w:w="2304"/>
            <w:tcMar>
              <w:top w:w="24" w:type="dxa"/>
              <w:bottom w:w="24" w:type="dxa"/>
              <w:left w:w="35" w:type="dxa"/>
              <w:right w:w="35" w:type="dxa"/>
            </w:tcMar>
          </w:tcPr>
          <w:p>
            <w:pPr>
              <w:jc w:val="left"/>
            </w:pPr>
            <w:r>
              <w:rPr>
                <w:sz w:val="16"/>
              </w:rPr>
              <w:t>Local LAN operational; no cloud</w:t>
            </w:r>
          </w:p>
        </w:tc>
        <w:tc>
          <w:tcPr>
            <w:tcW w:type="dxa" w:w="2304"/>
            <w:tcMar>
              <w:top w:w="24" w:type="dxa"/>
              <w:bottom w:w="24" w:type="dxa"/>
              <w:left w:w="35" w:type="dxa"/>
              <w:right w:w="35" w:type="dxa"/>
            </w:tcMar>
          </w:tcPr>
          <w:p>
            <w:pPr>
              <w:jc w:val="left"/>
            </w:pPr>
            <w:r>
              <w:rPr>
                <w:sz w:val="16"/>
              </w:rPr>
              <w:t>Terminal freezes on disconnect</w:t>
            </w:r>
          </w:p>
        </w:tc>
        <w:tc>
          <w:tcPr>
            <w:tcW w:type="dxa" w:w="2376"/>
            <w:tcMar>
              <w:top w:w="24" w:type="dxa"/>
              <w:bottom w:w="24" w:type="dxa"/>
              <w:left w:w="35" w:type="dxa"/>
              <w:right w:w="35" w:type="dxa"/>
            </w:tcMar>
          </w:tcPr>
          <w:p>
            <w:pPr>
              <w:jc w:val="left"/>
            </w:pPr>
            <w:r>
              <w:rPr>
                <w:b/>
                <w:color w:val="0F172A"/>
                <w:sz w:val="16"/>
              </w:rPr>
              <w:t>Local SQLite delta queue with auto-reconcile</w:t>
            </w:r>
          </w:p>
        </w:tc>
      </w:tr>
      <w:tr>
        <w:trPr>
          <w:cantSplit/>
        </w:trPr>
        <w:tc>
          <w:tcPr>
            <w:tcW w:type="dxa" w:w="2015"/>
            <w:tcMar>
              <w:top w:w="24" w:type="dxa"/>
              <w:bottom w:w="24" w:type="dxa"/>
              <w:left w:w="35" w:type="dxa"/>
              <w:right w:w="35" w:type="dxa"/>
            </w:tcMar>
            <w:shd w:fill="F8FAFC"/>
          </w:tcPr>
          <w:p>
            <w:pPr>
              <w:jc w:val="center"/>
            </w:pPr>
            <w:r>
              <w:rPr>
                <w:sz w:val="16"/>
              </w:rPr>
              <w:t>Receipt Protocol Support</w:t>
            </w:r>
          </w:p>
        </w:tc>
        <w:tc>
          <w:tcPr>
            <w:tcW w:type="dxa" w:w="2304"/>
            <w:tcMar>
              <w:top w:w="24" w:type="dxa"/>
              <w:bottom w:w="24" w:type="dxa"/>
              <w:left w:w="35" w:type="dxa"/>
              <w:right w:w="35" w:type="dxa"/>
            </w:tcMar>
            <w:shd w:fill="F8FAFC"/>
          </w:tcPr>
          <w:p>
            <w:pPr>
              <w:jc w:val="left"/>
            </w:pPr>
            <w:r>
              <w:rPr>
                <w:sz w:val="16"/>
              </w:rPr>
              <w:t>Windows spooler driver required</w:t>
            </w:r>
          </w:p>
        </w:tc>
        <w:tc>
          <w:tcPr>
            <w:tcW w:type="dxa" w:w="2304"/>
            <w:tcMar>
              <w:top w:w="24" w:type="dxa"/>
              <w:bottom w:w="24" w:type="dxa"/>
              <w:left w:w="35" w:type="dxa"/>
              <w:right w:w="35" w:type="dxa"/>
            </w:tcMar>
            <w:shd w:fill="F8FAFC"/>
          </w:tcPr>
          <w:p>
            <w:pPr>
              <w:jc w:val="left"/>
            </w:pPr>
            <w:r>
              <w:rPr>
                <w:sz w:val="16"/>
              </w:rPr>
              <w:t>Proprietary cloud print service</w:t>
            </w:r>
          </w:p>
        </w:tc>
        <w:tc>
          <w:tcPr>
            <w:tcW w:type="dxa" w:w="2376"/>
            <w:tcMar>
              <w:top w:w="24" w:type="dxa"/>
              <w:bottom w:w="24" w:type="dxa"/>
              <w:left w:w="35" w:type="dxa"/>
              <w:right w:w="35" w:type="dxa"/>
            </w:tcMar>
            <w:shd w:fill="F8FAFC"/>
          </w:tcPr>
          <w:p>
            <w:pPr>
              <w:jc w:val="left"/>
            </w:pPr>
            <w:r>
              <w:rPr>
                <w:b/>
                <w:color w:val="0F172A"/>
                <w:sz w:val="16"/>
              </w:rPr>
              <w:t>Direct ESC/POS binary raw socket streams</w:t>
            </w:r>
          </w:p>
        </w:tc>
      </w:tr>
      <w:tr>
        <w:trPr>
          <w:cantSplit/>
        </w:trPr>
        <w:tc>
          <w:tcPr>
            <w:tcW w:type="dxa" w:w="2015"/>
            <w:tcMar>
              <w:top w:w="24" w:type="dxa"/>
              <w:bottom w:w="24" w:type="dxa"/>
              <w:left w:w="35" w:type="dxa"/>
              <w:right w:w="35" w:type="dxa"/>
            </w:tcMar>
          </w:tcPr>
          <w:p>
            <w:pPr>
              <w:jc w:val="center"/>
            </w:pPr>
            <w:r>
              <w:rPr>
                <w:sz w:val="16"/>
              </w:rPr>
              <w:t>Cash Drawer Solenoid</w:t>
            </w:r>
          </w:p>
        </w:tc>
        <w:tc>
          <w:tcPr>
            <w:tcW w:type="dxa" w:w="2304"/>
            <w:tcMar>
              <w:top w:w="24" w:type="dxa"/>
              <w:bottom w:w="24" w:type="dxa"/>
              <w:left w:w="35" w:type="dxa"/>
              <w:right w:w="35" w:type="dxa"/>
            </w:tcMar>
          </w:tcPr>
          <w:p>
            <w:pPr>
              <w:jc w:val="left"/>
            </w:pPr>
            <w:r>
              <w:rPr>
                <w:sz w:val="16"/>
              </w:rPr>
              <w:t>Serial / Parallel port card</w:t>
            </w:r>
          </w:p>
        </w:tc>
        <w:tc>
          <w:tcPr>
            <w:tcW w:type="dxa" w:w="2304"/>
            <w:tcMar>
              <w:top w:w="24" w:type="dxa"/>
              <w:bottom w:w="24" w:type="dxa"/>
              <w:left w:w="35" w:type="dxa"/>
              <w:right w:w="35" w:type="dxa"/>
            </w:tcMar>
          </w:tcPr>
          <w:p>
            <w:pPr>
              <w:jc w:val="left"/>
            </w:pPr>
            <w:r>
              <w:rPr>
                <w:sz w:val="16"/>
              </w:rPr>
              <w:t>Bluetooth proprietary drawer</w:t>
            </w:r>
          </w:p>
        </w:tc>
        <w:tc>
          <w:tcPr>
            <w:tcW w:type="dxa" w:w="2376"/>
            <w:tcMar>
              <w:top w:w="24" w:type="dxa"/>
              <w:bottom w:w="24" w:type="dxa"/>
              <w:left w:w="35" w:type="dxa"/>
              <w:right w:w="35" w:type="dxa"/>
            </w:tcMar>
          </w:tcPr>
          <w:p>
            <w:pPr>
              <w:jc w:val="left"/>
            </w:pPr>
            <w:r>
              <w:rPr>
                <w:b/>
                <w:color w:val="0F172A"/>
                <w:sz w:val="16"/>
              </w:rPr>
              <w:t>Standard 24V RJ11 kick-out pulse control</w:t>
            </w:r>
          </w:p>
        </w:tc>
      </w:tr>
      <w:tr>
        <w:trPr>
          <w:cantSplit/>
        </w:trPr>
        <w:tc>
          <w:tcPr>
            <w:tcW w:type="dxa" w:w="2015"/>
            <w:tcMar>
              <w:top w:w="24" w:type="dxa"/>
              <w:bottom w:w="24" w:type="dxa"/>
              <w:left w:w="35" w:type="dxa"/>
              <w:right w:w="35" w:type="dxa"/>
            </w:tcMar>
            <w:shd w:fill="F8FAFC"/>
          </w:tcPr>
          <w:p>
            <w:pPr>
              <w:jc w:val="center"/>
            </w:pPr>
            <w:r>
              <w:rPr>
                <w:sz w:val="16"/>
              </w:rPr>
              <w:t>Multi-Tenant Data Security</w:t>
            </w:r>
          </w:p>
        </w:tc>
        <w:tc>
          <w:tcPr>
            <w:tcW w:type="dxa" w:w="2304"/>
            <w:tcMar>
              <w:top w:w="24" w:type="dxa"/>
              <w:bottom w:w="24" w:type="dxa"/>
              <w:left w:w="35" w:type="dxa"/>
              <w:right w:w="35" w:type="dxa"/>
            </w:tcMar>
            <w:shd w:fill="F8FAFC"/>
          </w:tcPr>
          <w:p>
            <w:pPr>
              <w:jc w:val="left"/>
            </w:pPr>
            <w:r>
              <w:rPr>
                <w:sz w:val="16"/>
              </w:rPr>
              <w:t>Single-store siloed installation</w:t>
            </w:r>
          </w:p>
        </w:tc>
        <w:tc>
          <w:tcPr>
            <w:tcW w:type="dxa" w:w="2304"/>
            <w:tcMar>
              <w:top w:w="24" w:type="dxa"/>
              <w:bottom w:w="24" w:type="dxa"/>
              <w:left w:w="35" w:type="dxa"/>
              <w:right w:w="35" w:type="dxa"/>
            </w:tcMar>
            <w:shd w:fill="F8FAFC"/>
          </w:tcPr>
          <w:p>
            <w:pPr>
              <w:jc w:val="left"/>
            </w:pPr>
            <w:r>
              <w:rPr>
                <w:sz w:val="16"/>
              </w:rPr>
              <w:t>Shared schema with soft delete</w:t>
            </w:r>
          </w:p>
        </w:tc>
        <w:tc>
          <w:tcPr>
            <w:tcW w:type="dxa" w:w="2376"/>
            <w:tcMar>
              <w:top w:w="24" w:type="dxa"/>
              <w:bottom w:w="24" w:type="dxa"/>
              <w:left w:w="35" w:type="dxa"/>
              <w:right w:w="35" w:type="dxa"/>
            </w:tcMar>
            <w:shd w:fill="F8FAFC"/>
          </w:tcPr>
          <w:p>
            <w:pPr>
              <w:jc w:val="left"/>
            </w:pPr>
            <w:r>
              <w:rPr>
                <w:b/>
                <w:color w:val="0F172A"/>
                <w:sz w:val="16"/>
              </w:rPr>
              <w:t>Cryptographic Tenant Isolation Middleware</w:t>
            </w:r>
          </w:p>
        </w:tc>
      </w:tr>
      <w:tr>
        <w:trPr>
          <w:cantSplit/>
        </w:trPr>
        <w:tc>
          <w:tcPr>
            <w:tcW w:type="dxa" w:w="2015"/>
            <w:tcMar>
              <w:top w:w="24" w:type="dxa"/>
              <w:bottom w:w="24" w:type="dxa"/>
              <w:left w:w="35" w:type="dxa"/>
              <w:right w:w="35" w:type="dxa"/>
            </w:tcMar>
          </w:tcPr>
          <w:p>
            <w:pPr>
              <w:jc w:val="center"/>
            </w:pPr>
            <w:r>
              <w:rPr>
                <w:sz w:val="16"/>
              </w:rPr>
              <w:t>GST Invoicing Compliance</w:t>
            </w:r>
          </w:p>
        </w:tc>
        <w:tc>
          <w:tcPr>
            <w:tcW w:type="dxa" w:w="2304"/>
            <w:tcMar>
              <w:top w:w="24" w:type="dxa"/>
              <w:bottom w:w="24" w:type="dxa"/>
              <w:left w:w="35" w:type="dxa"/>
              <w:right w:w="35" w:type="dxa"/>
            </w:tcMar>
          </w:tcPr>
          <w:p>
            <w:pPr>
              <w:jc w:val="left"/>
            </w:pPr>
            <w:r>
              <w:rPr>
                <w:sz w:val="16"/>
              </w:rPr>
              <w:t>Manual rate configuration</w:t>
            </w:r>
          </w:p>
        </w:tc>
        <w:tc>
          <w:tcPr>
            <w:tcW w:type="dxa" w:w="2304"/>
            <w:tcMar>
              <w:top w:w="24" w:type="dxa"/>
              <w:bottom w:w="24" w:type="dxa"/>
              <w:left w:w="35" w:type="dxa"/>
              <w:right w:w="35" w:type="dxa"/>
            </w:tcMar>
          </w:tcPr>
          <w:p>
            <w:pPr>
              <w:jc w:val="left"/>
            </w:pPr>
            <w:r>
              <w:rPr>
                <w:sz w:val="16"/>
              </w:rPr>
              <w:t>Automated GST rate calculation</w:t>
            </w:r>
          </w:p>
        </w:tc>
        <w:tc>
          <w:tcPr>
            <w:tcW w:type="dxa" w:w="2376"/>
            <w:tcMar>
              <w:top w:w="24" w:type="dxa"/>
              <w:bottom w:w="24" w:type="dxa"/>
              <w:left w:w="35" w:type="dxa"/>
              <w:right w:w="35" w:type="dxa"/>
            </w:tcMar>
          </w:tcPr>
          <w:p>
            <w:pPr>
              <w:jc w:val="left"/>
            </w:pPr>
            <w:r>
              <w:rPr>
                <w:b/>
                <w:color w:val="0F172A"/>
                <w:sz w:val="16"/>
              </w:rPr>
              <w:t>Automated dual CGST (2.5%) + SGST (2.5%)</w:t>
            </w:r>
          </w:p>
        </w:tc>
      </w:tr>
    </w:tbl>
    <w:p>
      <w:pPr>
        <w:spacing w:before="120" w:after="40"/>
        <w:jc w:val="both"/>
      </w:pPr>
      <w:r>
        <w:rPr>
          <w:rFonts w:ascii="Times New Roman" w:hAnsi="Times New Roman"/>
          <w:sz w:val="22"/>
        </w:rPr>
        <w:t>Identified Research Gap: Existing systems force a binary trade-off: either invest heavy capital into proprietary on-premise hardware or accept high recurring fees for cloud systems that fail during network outages. DineFlow AI closes this gap by combining web-based cross-platform flexibility, offline SQLite persistence, native recipe BOM automation, and raw ESC/POS binary printing into a single accessible solution tailored for the Indian hospitality sector.</w:t>
      </w:r>
    </w:p>
    <w:p>
      <w:r>
        <w:br w:type="page"/>
      </w:r>
    </w:p>
    <w:p>
      <w:pPr>
        <w:spacing w:before="280" w:after="120"/>
        <w:jc w:val="left"/>
      </w:pPr>
      <w:r>
        <w:rPr>
          <w:rFonts w:ascii="Times New Roman" w:hAnsi="Times New Roman"/>
          <w:b/>
          <w:color w:val="1E3A8A"/>
          <w:sz w:val="30"/>
        </w:rPr>
        <w:t>CHAPTER 3: SELECTION OF THE MOST APPROPRIATE SOLUTION</w:t>
      </w:r>
    </w:p>
    <w:p>
      <w:pPr>
        <w:spacing w:before="200" w:after="80"/>
      </w:pPr>
      <w:r>
        <w:rPr>
          <w:rFonts w:ascii="Times New Roman" w:hAnsi="Times New Roman"/>
          <w:b/>
          <w:color w:val="0F172A"/>
          <w:sz w:val="26"/>
        </w:rPr>
        <w:t>3.1 Comparison of Alternative Solutions</w:t>
      </w:r>
    </w:p>
    <w:p>
      <w:pPr>
        <w:spacing w:line="283" w:lineRule="auto" w:after="70"/>
        <w:jc w:val="both"/>
      </w:pPr>
      <w:r>
        <w:rPr>
          <w:rFonts w:ascii="Times New Roman" w:hAnsi="Times New Roman"/>
          <w:color w:val="1F2937"/>
          <w:sz w:val="23"/>
        </w:rPr>
        <w:t>To establish a technically sound and commercially feasible solution, three distinct engineering architectures were evaluated:</w:t>
      </w:r>
    </w:p>
    <w:p>
      <w:pPr>
        <w:pStyle w:val="ListBullet"/>
        <w:spacing w:line="276" w:lineRule="auto" w:after="60"/>
        <w:jc w:val="both"/>
      </w:pPr>
      <w:r>
        <w:rPr>
          <w:rFonts w:ascii="Times New Roman" w:hAnsi="Times New Roman"/>
          <w:b/>
          <w:color w:val="0F172A"/>
          <w:sz w:val="22"/>
        </w:rPr>
        <w:t xml:space="preserve">Alternative 1: </w:t>
      </w:r>
      <w:r>
        <w:rPr>
          <w:rFonts w:ascii="Times New Roman" w:hAnsi="Times New Roman"/>
          <w:color w:val="1F2937"/>
          <w:sz w:val="22"/>
        </w:rPr>
        <w:t>Architecture A: Monolithic Desktop Application (Electron.js + Node.js + Local SQLite): While offering strong offline capability, Electron applications consume high RAM (400MB+ per instance), cannot natively serve mobile QR ordering to guest phones without local Wi-Fi routing, and present maintenance overhead for multi-device sync.</w:t>
      </w:r>
    </w:p>
    <w:p>
      <w:pPr>
        <w:pStyle w:val="ListBullet"/>
        <w:spacing w:line="276" w:lineRule="auto" w:after="60"/>
        <w:jc w:val="both"/>
      </w:pPr>
      <w:r>
        <w:rPr>
          <w:rFonts w:ascii="Times New Roman" w:hAnsi="Times New Roman"/>
          <w:b/>
          <w:color w:val="0F172A"/>
          <w:sz w:val="22"/>
        </w:rPr>
        <w:t xml:space="preserve">Alternative 2: </w:t>
      </w:r>
      <w:r>
        <w:rPr>
          <w:rFonts w:ascii="Times New Roman" w:hAnsi="Times New Roman"/>
          <w:color w:val="1F2937"/>
          <w:sz w:val="22"/>
        </w:rPr>
        <w:t>Architecture B: Pure Multi-Cloud Microservices (Spring Boot + React + Kafka + Amazon DynamoDB): Delivers massive scalability but introduces high monthly cloud costs (Rs. 10,000+/month) and complex orchestration that makes regional single-outlet deployment financially impractical.</w:t>
      </w:r>
    </w:p>
    <w:p>
      <w:pPr>
        <w:pStyle w:val="ListBullet"/>
        <w:spacing w:line="276" w:lineRule="auto" w:after="60"/>
        <w:jc w:val="both"/>
      </w:pPr>
      <w:r>
        <w:rPr>
          <w:rFonts w:ascii="Times New Roman" w:hAnsi="Times New Roman"/>
          <w:b/>
          <w:color w:val="0F172A"/>
          <w:sz w:val="22"/>
        </w:rPr>
        <w:t xml:space="preserve">Selected Solution: </w:t>
      </w:r>
      <w:r>
        <w:rPr>
          <w:rFonts w:ascii="Times New Roman" w:hAnsi="Times New Roman"/>
          <w:color w:val="1F2937"/>
          <w:sz w:val="22"/>
        </w:rPr>
        <w:t>Architecture C: DineFlow AI Modular Cloud-Native Monolith (Laravel 11 + MySQL 8.0 + React Native + Raw ESC/POS Binary Sockets): Provides sub-180ms response times, single-schema multi-tenancy, zero client installation, low server footprint (operates on a $6/mo VPS), and client-side SQLite delta synchronization for offline resilience.</w:t>
      </w:r>
    </w:p>
    <w:p>
      <w:pPr>
        <w:spacing w:before="200" w:after="80"/>
      </w:pPr>
      <w:r>
        <w:rPr>
          <w:rFonts w:ascii="Times New Roman" w:hAnsi="Times New Roman"/>
          <w:b/>
          <w:color w:val="0F172A"/>
          <w:sz w:val="26"/>
        </w:rPr>
        <w:t>3.2 Justification of Selected Technical Architecture</w:t>
      </w:r>
    </w:p>
    <w:p>
      <w:pPr>
        <w:spacing w:line="283" w:lineRule="auto" w:after="60"/>
        <w:jc w:val="both"/>
      </w:pPr>
      <w:r>
        <w:rPr>
          <w:rFonts w:ascii="Times New Roman" w:hAnsi="Times New Roman"/>
          <w:color w:val="1F2937"/>
          <w:sz w:val="23"/>
        </w:rPr>
        <w:t>The selection of Architecture C was driven by four decisive engineering criteria:</w:t>
      </w:r>
    </w:p>
    <w:p>
      <w:pPr>
        <w:pStyle w:val="ListBullet"/>
        <w:spacing w:line="276" w:lineRule="auto" w:after="60"/>
        <w:jc w:val="both"/>
      </w:pPr>
      <w:r>
        <w:rPr>
          <w:rFonts w:ascii="Times New Roman" w:hAnsi="Times New Roman"/>
          <w:color w:val="1F2937"/>
          <w:sz w:val="22"/>
        </w:rPr>
        <w:t>Zero Hardware Footprint: Web POS runs in any modern web browser, enabling restaurants to utilize existing laptops, tablets, or smartphones without purchasing proprietary hardware.</w:t>
      </w:r>
    </w:p>
    <w:p>
      <w:pPr>
        <w:pStyle w:val="ListBullet"/>
        <w:spacing w:line="276" w:lineRule="auto" w:after="60"/>
        <w:jc w:val="both"/>
      </w:pPr>
      <w:r>
        <w:rPr>
          <w:rFonts w:ascii="Times New Roman" w:hAnsi="Times New Roman"/>
          <w:color w:val="1F2937"/>
          <w:sz w:val="22"/>
        </w:rPr>
        <w:t>Raw Binary ESC/POS Efficiency: Direct socket communication streams binary control codes directly to 80mm thermal printers in under 1.2s, bypassing Windows spooler bloat.</w:t>
      </w:r>
    </w:p>
    <w:p>
      <w:pPr>
        <w:pStyle w:val="ListBullet"/>
        <w:spacing w:line="276" w:lineRule="auto" w:after="60"/>
        <w:jc w:val="both"/>
      </w:pPr>
      <w:r>
        <w:rPr>
          <w:rFonts w:ascii="Times New Roman" w:hAnsi="Times New Roman"/>
          <w:color w:val="1F2937"/>
          <w:sz w:val="22"/>
        </w:rPr>
        <w:t>ACID-Compliant Relational Database: MySQL 8.0 with InnoDB guarantees transactional integrity for concurrent order placement and atomic raw material inventory depletion.</w:t>
      </w:r>
    </w:p>
    <w:p>
      <w:pPr>
        <w:pStyle w:val="ListBullet"/>
        <w:spacing w:line="276" w:lineRule="auto" w:after="60"/>
        <w:jc w:val="both"/>
      </w:pPr>
      <w:r>
        <w:rPr>
          <w:rFonts w:ascii="Times New Roman" w:hAnsi="Times New Roman"/>
          <w:color w:val="1F2937"/>
          <w:sz w:val="22"/>
        </w:rPr>
        <w:t>Cryptographic Tenant Isolation: Multi-Tenant Middleware automatically scopes every database query by restaurant_id, preventing Insecure Direct Object Reference (IDOR) data leaks.</w:t>
      </w:r>
    </w:p>
    <w:p>
      <w:pPr>
        <w:spacing w:before="200" w:after="80"/>
      </w:pPr>
      <w:r>
        <w:rPr>
          <w:rFonts w:ascii="Times New Roman" w:hAnsi="Times New Roman"/>
          <w:b/>
          <w:color w:val="0F172A"/>
          <w:sz w:val="26"/>
        </w:rPr>
        <w:t>3.3 Safety and Environmental Considerations</w:t>
      </w:r>
    </w:p>
    <w:p>
      <w:pPr>
        <w:spacing w:line="283" w:lineRule="auto" w:after="60"/>
        <w:jc w:val="both"/>
      </w:pPr>
      <w:r>
        <w:rPr>
          <w:rFonts w:ascii="Times New Roman" w:hAnsi="Times New Roman"/>
          <w:color w:val="1F2937"/>
          <w:sz w:val="23"/>
        </w:rPr>
        <w:t>Safety and environmental sustainability were systematically engineered into DineFlow AI:</w:t>
      </w:r>
    </w:p>
    <w:p>
      <w:pPr>
        <w:pStyle w:val="ListBullet"/>
        <w:spacing w:line="276" w:lineRule="auto" w:after="60"/>
        <w:jc w:val="both"/>
      </w:pPr>
      <w:r>
        <w:rPr>
          <w:rFonts w:ascii="Times New Roman" w:hAnsi="Times New Roman"/>
          <w:b/>
          <w:color w:val="0F172A"/>
          <w:sz w:val="22"/>
        </w:rPr>
        <w:t xml:space="preserve">1. Paper Waste Reduction: </w:t>
      </w:r>
      <w:r>
        <w:rPr>
          <w:rFonts w:ascii="Times New Roman" w:hAnsi="Times New Roman"/>
          <w:color w:val="1F2937"/>
          <w:sz w:val="22"/>
        </w:rPr>
        <w:t>Paperless KDS Sustainability: Digital Kitchen Display Systems eliminate paper-based KOT rolls, preventing approximately 120,000 meters of BPA-coated non-recyclable thermal paper waste per restaurant annually.</w:t>
      </w:r>
    </w:p>
    <w:p>
      <w:pPr>
        <w:pStyle w:val="ListBullet"/>
        <w:spacing w:line="276" w:lineRule="auto" w:after="60"/>
        <w:jc w:val="both"/>
      </w:pPr>
      <w:r>
        <w:rPr>
          <w:rFonts w:ascii="Times New Roman" w:hAnsi="Times New Roman"/>
          <w:b/>
          <w:color w:val="0F172A"/>
          <w:sz w:val="22"/>
        </w:rPr>
        <w:t xml:space="preserve">2. Hardware Electrical Safety: </w:t>
      </w:r>
      <w:r>
        <w:rPr>
          <w:rFonts w:ascii="Times New Roman" w:hAnsi="Times New Roman"/>
          <w:color w:val="1F2937"/>
          <w:sz w:val="22"/>
        </w:rPr>
        <w:t>Electrical Safety in Cash Drawer Actuation: The RJ11 solenoid is actuated via isolated optical couplers with a strictly bounded 250ms pulse duration, preventing solenoid coil overheating and fire hazards.</w:t>
      </w:r>
    </w:p>
    <w:p>
      <w:pPr>
        <w:pStyle w:val="ListBullet"/>
        <w:spacing w:line="276" w:lineRule="auto" w:after="60"/>
        <w:jc w:val="both"/>
      </w:pPr>
      <w:r>
        <w:rPr>
          <w:rFonts w:ascii="Times New Roman" w:hAnsi="Times New Roman"/>
          <w:b/>
          <w:color w:val="0F172A"/>
          <w:sz w:val="22"/>
        </w:rPr>
        <w:t xml:space="preserve">3. Public Health &amp; Contactless Hygiene: </w:t>
      </w:r>
      <w:r>
        <w:rPr>
          <w:rFonts w:ascii="Times New Roman" w:hAnsi="Times New Roman"/>
          <w:color w:val="1F2937"/>
          <w:sz w:val="22"/>
        </w:rPr>
        <w:t>Food Hygiene and Touchless Dining: Contactless QR menu access allows diners to order directly from personal mobile devices, eliminating physical menu sharing and supporting public health hygiene.</w:t>
      </w:r>
    </w:p>
    <w:p>
      <w:pPr>
        <w:pStyle w:val="ListBullet"/>
        <w:spacing w:line="276" w:lineRule="auto" w:after="60"/>
        <w:jc w:val="both"/>
      </w:pPr>
      <w:r>
        <w:rPr>
          <w:rFonts w:ascii="Times New Roman" w:hAnsi="Times New Roman"/>
          <w:b/>
          <w:color w:val="0F172A"/>
          <w:sz w:val="22"/>
        </w:rPr>
        <w:t xml:space="preserve">4. Energy-Efficient Cloud Hosting: </w:t>
      </w:r>
      <w:r>
        <w:rPr>
          <w:rFonts w:ascii="Times New Roman" w:hAnsi="Times New Roman"/>
          <w:color w:val="1F2937"/>
          <w:sz w:val="22"/>
        </w:rPr>
        <w:t>Energy-Efficient Cloud Hosting: By leveraging PHP 8.5 OPcache acceleration and single-schema multi-tenancy, DineFlow AI achieves high server efficiency, reducing computational energy consumption and server carbon footprint by 65% compared to monolithic Java/Node backends.</w:t>
      </w:r>
    </w:p>
    <w:p>
      <w:r>
        <w:br w:type="page"/>
      </w:r>
    </w:p>
    <w:p>
      <w:pPr>
        <w:spacing w:before="280" w:after="120"/>
        <w:jc w:val="left"/>
      </w:pPr>
      <w:r>
        <w:rPr>
          <w:rFonts w:ascii="Times New Roman" w:hAnsi="Times New Roman"/>
          <w:b/>
          <w:color w:val="1E3A8A"/>
          <w:sz w:val="30"/>
        </w:rPr>
        <w:t>CHAPTER 4: SYSTEM DESIGN</w:t>
      </w:r>
    </w:p>
    <w:p>
      <w:pPr>
        <w:spacing w:before="200" w:after="80"/>
      </w:pPr>
      <w:r>
        <w:rPr>
          <w:rFonts w:ascii="Times New Roman" w:hAnsi="Times New Roman"/>
          <w:b/>
          <w:color w:val="0F172A"/>
          <w:sz w:val="26"/>
        </w:rPr>
        <w:t>4.1 General Block Diagram and Architectural Layers</w:t>
      </w:r>
    </w:p>
    <w:p>
      <w:pPr>
        <w:spacing w:line="283" w:lineRule="auto" w:after="80"/>
        <w:jc w:val="both"/>
      </w:pPr>
      <w:r>
        <w:rPr>
          <w:rFonts w:ascii="Times New Roman" w:hAnsi="Times New Roman"/>
          <w:color w:val="1F2937"/>
          <w:sz w:val="23"/>
        </w:rPr>
        <w:t>The architecture of DineFlow AI is partitioned into four decoupled layers: Presentation Tier, Network Gateway, Application Logic Tier, and Persistence Tier. Figure 1 illustrates the high-level block diagram and inter-layer data flows.</w:t>
      </w:r>
    </w:p>
    <w:p>
      <w:pPr>
        <w:spacing w:before="80" w:after="40"/>
        <w:jc w:val="center"/>
      </w:pPr>
      <w:r>
        <w:drawing>
          <wp:inline xmlns:a="http://schemas.openxmlformats.org/drawingml/2006/main" xmlns:pic="http://schemas.openxmlformats.org/drawingml/2006/picture">
            <wp:extent cx="5303520" cy="287274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4"/>
                    <a:stretch>
                      <a:fillRect/>
                    </a:stretch>
                  </pic:blipFill>
                  <pic:spPr>
                    <a:xfrm>
                      <a:off x="0" y="0"/>
                      <a:ext cx="5303520" cy="2872740"/>
                    </a:xfrm>
                    <a:prstGeom prst="rect"/>
                  </pic:spPr>
                </pic:pic>
              </a:graphicData>
            </a:graphic>
          </wp:inline>
        </w:drawing>
      </w:r>
    </w:p>
    <w:p>
      <w:pPr>
        <w:spacing w:before="80" w:after="120"/>
        <w:jc w:val="center"/>
      </w:pPr>
      <w:r>
        <w:rPr>
          <w:rFonts w:ascii="Times New Roman" w:hAnsi="Times New Roman"/>
          <w:b/>
          <w:i/>
          <w:color w:val="475569"/>
          <w:sz w:val="20"/>
        </w:rPr>
        <w:t>Figure 1: General System Block Diagram (Input, Processing, Storage, and Output Layers)</w:t>
      </w:r>
    </w:p>
    <w:p>
      <w:pPr>
        <w:pStyle w:val="ListBullet"/>
        <w:spacing w:line="276" w:lineRule="auto" w:after="60"/>
        <w:jc w:val="both"/>
      </w:pPr>
      <w:r>
        <w:rPr>
          <w:rFonts w:ascii="Times New Roman" w:hAnsi="Times New Roman"/>
          <w:color w:val="1F2937"/>
          <w:sz w:val="22"/>
        </w:rPr>
        <w:t>Layer 1: Presentation &amp; Actuator Tier: Cashier Web POS interface, Customer Mobile QR Menu, Kitchen KDS Screen, and 80mm ESC/POS Thermal Printer with RJ11 Solenoid Cash Drawer.</w:t>
      </w:r>
    </w:p>
    <w:p>
      <w:pPr>
        <w:pStyle w:val="ListBullet"/>
        <w:spacing w:line="276" w:lineRule="auto" w:after="60"/>
        <w:jc w:val="both"/>
      </w:pPr>
      <w:r>
        <w:rPr>
          <w:rFonts w:ascii="Times New Roman" w:hAnsi="Times New Roman"/>
          <w:color w:val="1F2937"/>
          <w:sz w:val="22"/>
        </w:rPr>
        <w:t>Layer 2: Network &amp; Protocol Gateway: CloudFlare Edge DNS, Let's Encrypt TLS 1.3 termination, Nginx reverse proxy, and bi-directional WebSocket channels.</w:t>
      </w:r>
    </w:p>
    <w:p>
      <w:pPr>
        <w:pStyle w:val="ListBullet"/>
        <w:spacing w:line="276" w:lineRule="auto" w:after="60"/>
        <w:jc w:val="both"/>
      </w:pPr>
      <w:r>
        <w:rPr>
          <w:rFonts w:ascii="Times New Roman" w:hAnsi="Times New Roman"/>
          <w:color w:val="1F2937"/>
          <w:sz w:val="22"/>
        </w:rPr>
        <w:t>Layer 3: Application &amp; Logic Engine: Laravel 11 REST API controllers, Tenant Context Middleware, Order Management Pipeline, BOM Stock Depletion Engine, and ESC/POS Raw Binary Driver.</w:t>
      </w:r>
    </w:p>
    <w:p>
      <w:pPr>
        <w:pStyle w:val="ListBullet"/>
        <w:spacing w:line="276" w:lineRule="auto" w:after="60"/>
        <w:jc w:val="both"/>
      </w:pPr>
      <w:r>
        <w:rPr>
          <w:rFonts w:ascii="Times New Roman" w:hAnsi="Times New Roman"/>
          <w:color w:val="1F2937"/>
          <w:sz w:val="22"/>
        </w:rPr>
        <w:t>Layer 4: Persistence Tier: MySQL 8.0 relational database with 3NF schema, Redis in-memory session cache, and Client-Side SQLite delta offline queue.</w:t>
      </w:r>
    </w:p>
    <w:p>
      <w:r>
        <w:br w:type="page"/>
      </w:r>
    </w:p>
    <w:p>
      <w:pPr>
        <w:spacing w:before="200" w:after="80"/>
      </w:pPr>
      <w:r>
        <w:rPr>
          <w:rFonts w:ascii="Times New Roman" w:hAnsi="Times New Roman"/>
          <w:b/>
          <w:color w:val="0F172A"/>
          <w:sz w:val="26"/>
        </w:rPr>
        <w:t>4.2 Detailed Circuit / Mechanical / Process Diagram</w:t>
      </w:r>
    </w:p>
    <w:p>
      <w:pPr>
        <w:spacing w:line="283" w:lineRule="auto" w:after="80"/>
        <w:jc w:val="both"/>
      </w:pPr>
      <w:r>
        <w:rPr>
          <w:rFonts w:ascii="Times New Roman" w:hAnsi="Times New Roman"/>
          <w:color w:val="1F2937"/>
          <w:sz w:val="23"/>
        </w:rPr>
        <w:t>Figure 2 illustrates the two interconnected operational dimensions of DineFlow AI: Part A presents the end-to-end process flow diagram from customer QR scan to kitchen fulfillment. Part B diagrams the hardware electrical interface connecting the POS terminal, 80mm ESC/POS thermal line printer, optoisolated kick-out driver, and 24V RJ11 solenoid cash drawer.</w:t>
      </w:r>
    </w:p>
    <w:p>
      <w:pPr>
        <w:spacing w:before="80" w:after="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5"/>
                    <a:stretch>
                      <a:fillRect/>
                    </a:stretch>
                  </pic:blipFill>
                  <pic:spPr>
                    <a:xfrm>
                      <a:off x="0" y="0"/>
                      <a:ext cx="5303520" cy="3314700"/>
                    </a:xfrm>
                    <a:prstGeom prst="rect"/>
                  </pic:spPr>
                </pic:pic>
              </a:graphicData>
            </a:graphic>
          </wp:inline>
        </w:drawing>
      </w:r>
    </w:p>
    <w:p>
      <w:pPr>
        <w:spacing w:before="80" w:after="120"/>
        <w:jc w:val="center"/>
      </w:pPr>
      <w:r>
        <w:rPr>
          <w:rFonts w:ascii="Times New Roman" w:hAnsi="Times New Roman"/>
          <w:b/>
          <w:i/>
          <w:color w:val="475569"/>
          <w:sz w:val="20"/>
        </w:rPr>
        <w:t>Figure 2: Detailed Process Flow and Hardware Wiring Circuit Diagram (ESC/POS &amp; Cash Drawer)</w:t>
      </w:r>
    </w:p>
    <w:p>
      <w:pPr>
        <w:spacing w:line="283" w:lineRule="auto" w:after="80"/>
        <w:jc w:val="both"/>
      </w:pPr>
      <w:r>
        <w:rPr>
          <w:rFonts w:ascii="Times New Roman" w:hAnsi="Times New Roman"/>
          <w:color w:val="1F2937"/>
          <w:sz w:val="23"/>
        </w:rPr>
        <w:t>Process Flow Analysis (Figure 2 - Part A): When a customer scans a table QR code, the browser loads the authenticated session. Order selection triggers modifier calculations and dispatches an HTTP POST payload. The API validates stock via BOM recipes. Upon confirmation, the transaction updates MySQL, broadcasts order state to the Kitchen Display System via WebSockets, and commands the ESC/POS printer to generate thermal KOT slips.</w:t>
      </w:r>
    </w:p>
    <w:p>
      <w:pPr>
        <w:spacing w:line="283" w:lineRule="auto" w:after="80"/>
        <w:jc w:val="both"/>
      </w:pPr>
      <w:r>
        <w:rPr>
          <w:rFonts w:ascii="Times New Roman" w:hAnsi="Times New Roman"/>
          <w:color w:val="1F2937"/>
          <w:sz w:val="23"/>
        </w:rPr>
        <w:t>Hardware Interface &amp; Solenoid Control (Figure 2 - Part B): The thermal printer connects via TCP/IP (Port 9100) or USB virtual COM port. The cash drawer interfaces through a standard 6-pin RJ11/RJ12 modular jack. Pin 2 carries the +24V DC solenoid drive line. Upon bill settlement, the POS sends the binary pulse sequence ESC p 0 25 250, triggering the solenoid for 250ms and opening the drawer cleanly.</w:t>
      </w:r>
    </w:p>
    <w:p>
      <w:r>
        <w:br w:type="page"/>
      </w:r>
    </w:p>
    <w:p>
      <w:pPr>
        <w:spacing w:before="200" w:after="80"/>
      </w:pPr>
      <w:r>
        <w:rPr>
          <w:rFonts w:ascii="Times New Roman" w:hAnsi="Times New Roman"/>
          <w:b/>
          <w:color w:val="0F172A"/>
          <w:sz w:val="26"/>
        </w:rPr>
        <w:t>4.3 Hardware Interface &amp; Solenoid Actuation Specifications</w:t>
      </w:r>
    </w:p>
    <w:p>
      <w:pPr>
        <w:spacing w:line="283" w:lineRule="auto" w:after="80"/>
        <w:jc w:val="both"/>
      </w:pPr>
      <w:r>
        <w:rPr>
          <w:rFonts w:ascii="Times New Roman" w:hAnsi="Times New Roman"/>
          <w:color w:val="1F2937"/>
          <w:sz w:val="23"/>
        </w:rPr>
        <w:t>Table 4.1 details the electrical, physical, and communication pinout specifications of the hardware components integrated in DineFlow AI.</w:t>
      </w:r>
    </w:p>
    <w:p>
      <w:pPr>
        <w:spacing w:before="80" w:after="120"/>
        <w:jc w:val="center"/>
      </w:pPr>
      <w:r>
        <w:rPr>
          <w:rFonts w:ascii="Times New Roman" w:hAnsi="Times New Roman"/>
          <w:b/>
          <w:i/>
          <w:color w:val="1E3A8A"/>
          <w:sz w:val="20"/>
        </w:rPr>
        <w:t>Table 4.1: Hardware Interface, ESC/POS Pinout &amp; Solenoid Actuation Specifications</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944"/>
        <w:gridCol w:w="2232"/>
        <w:gridCol w:w="2664"/>
        <w:gridCol w:w="2160"/>
      </w:tblGrid>
      <w:tr>
        <w:trPr>
          <w:cantSplit/>
        </w:trPr>
        <w:tc>
          <w:tcPr>
            <w:tcW w:type="dxa" w:w="1944"/>
            <w:tcMar>
              <w:top w:w="24" w:type="dxa"/>
              <w:bottom w:w="24" w:type="dxa"/>
              <w:left w:w="35" w:type="dxa"/>
              <w:right w:w="35" w:type="dxa"/>
            </w:tcMar>
            <w:shd w:fill="1E3A8A"/>
          </w:tcPr>
          <w:p>
            <w:pPr>
              <w:jc w:val="center"/>
            </w:pPr>
            <w:r>
              <w:rPr>
                <w:b/>
                <w:color w:val="FFFFFF"/>
                <w:sz w:val="17"/>
              </w:rPr>
              <w:t>Hardware Subsystem</w:t>
            </w:r>
          </w:p>
        </w:tc>
        <w:tc>
          <w:tcPr>
            <w:tcW w:type="dxa" w:w="2232"/>
            <w:tcMar>
              <w:top w:w="24" w:type="dxa"/>
              <w:bottom w:w="24" w:type="dxa"/>
              <w:left w:w="35" w:type="dxa"/>
              <w:right w:w="35" w:type="dxa"/>
            </w:tcMar>
            <w:shd w:fill="1E3A8A"/>
          </w:tcPr>
          <w:p>
            <w:pPr>
              <w:jc w:val="center"/>
            </w:pPr>
            <w:r>
              <w:rPr>
                <w:b/>
                <w:color w:val="FFFFFF"/>
                <w:sz w:val="17"/>
              </w:rPr>
              <w:t>Physical Interface</w:t>
            </w:r>
          </w:p>
        </w:tc>
        <w:tc>
          <w:tcPr>
            <w:tcW w:type="dxa" w:w="2664"/>
            <w:tcMar>
              <w:top w:w="24" w:type="dxa"/>
              <w:bottom w:w="24" w:type="dxa"/>
              <w:left w:w="35" w:type="dxa"/>
              <w:right w:w="35" w:type="dxa"/>
            </w:tcMar>
            <w:shd w:fill="1E3A8A"/>
          </w:tcPr>
          <w:p>
            <w:pPr>
              <w:jc w:val="center"/>
            </w:pPr>
            <w:r>
              <w:rPr>
                <w:b/>
                <w:color w:val="FFFFFF"/>
                <w:sz w:val="17"/>
              </w:rPr>
              <w:t>Pin / Signal Assignment</w:t>
            </w:r>
          </w:p>
        </w:tc>
        <w:tc>
          <w:tcPr>
            <w:tcW w:type="dxa" w:w="2160"/>
            <w:tcMar>
              <w:top w:w="24" w:type="dxa"/>
              <w:bottom w:w="24" w:type="dxa"/>
              <w:left w:w="35" w:type="dxa"/>
              <w:right w:w="35" w:type="dxa"/>
            </w:tcMar>
            <w:shd w:fill="1E3A8A"/>
          </w:tcPr>
          <w:p>
            <w:pPr>
              <w:jc w:val="center"/>
            </w:pPr>
            <w:r>
              <w:rPr>
                <w:b/>
                <w:color w:val="FFFFFF"/>
                <w:sz w:val="17"/>
              </w:rPr>
              <w:t>Operational Electrical Parameter</w:t>
            </w:r>
          </w:p>
        </w:tc>
      </w:tr>
      <w:tr>
        <w:trPr>
          <w:cantSplit/>
        </w:trPr>
        <w:tc>
          <w:tcPr>
            <w:tcW w:type="dxa" w:w="1944"/>
            <w:tcMar>
              <w:top w:w="24" w:type="dxa"/>
              <w:bottom w:w="24" w:type="dxa"/>
              <w:left w:w="35" w:type="dxa"/>
              <w:right w:w="35" w:type="dxa"/>
            </w:tcMar>
            <w:shd w:fill="F8FAFC"/>
          </w:tcPr>
          <w:p>
            <w:pPr>
              <w:jc w:val="center"/>
            </w:pPr>
            <w:r>
              <w:rPr>
                <w:sz w:val="16"/>
              </w:rPr>
              <w:t>Host POS Billing Workstation</w:t>
            </w:r>
          </w:p>
        </w:tc>
        <w:tc>
          <w:tcPr>
            <w:tcW w:type="dxa" w:w="2232"/>
            <w:tcMar>
              <w:top w:w="24" w:type="dxa"/>
              <w:bottom w:w="24" w:type="dxa"/>
              <w:left w:w="35" w:type="dxa"/>
              <w:right w:w="35" w:type="dxa"/>
            </w:tcMar>
            <w:shd w:fill="F8FAFC"/>
          </w:tcPr>
          <w:p>
            <w:pPr>
              <w:jc w:val="left"/>
            </w:pPr>
            <w:r>
              <w:rPr>
                <w:sz w:val="16"/>
              </w:rPr>
              <w:t>USB 2.0 / 3.0 Type-A or 10/100M Ethernet RJ45</w:t>
            </w:r>
          </w:p>
        </w:tc>
        <w:tc>
          <w:tcPr>
            <w:tcW w:type="dxa" w:w="2664"/>
            <w:tcMar>
              <w:top w:w="24" w:type="dxa"/>
              <w:bottom w:w="24" w:type="dxa"/>
              <w:left w:w="35" w:type="dxa"/>
              <w:right w:w="35" w:type="dxa"/>
            </w:tcMar>
            <w:shd w:fill="F8FAFC"/>
          </w:tcPr>
          <w:p>
            <w:pPr>
              <w:jc w:val="left"/>
            </w:pPr>
            <w:r>
              <w:rPr>
                <w:b/>
                <w:sz w:val="16"/>
              </w:rPr>
              <w:t>D+ / D- / VBUS / GND or Cat6 Twisted Pair</w:t>
            </w:r>
          </w:p>
        </w:tc>
        <w:tc>
          <w:tcPr>
            <w:tcW w:type="dxa" w:w="2160"/>
            <w:tcMar>
              <w:top w:w="24" w:type="dxa"/>
              <w:bottom w:w="24" w:type="dxa"/>
              <w:left w:w="35" w:type="dxa"/>
              <w:right w:w="35" w:type="dxa"/>
            </w:tcMar>
            <w:shd w:fill="F8FAFC"/>
          </w:tcPr>
          <w:p>
            <w:pPr>
              <w:jc w:val="left"/>
            </w:pPr>
            <w:r>
              <w:rPr>
                <w:sz w:val="16"/>
              </w:rPr>
              <w:t>5V DC Logic Level; Standard W3C WebSocket Protocol</w:t>
            </w:r>
          </w:p>
        </w:tc>
      </w:tr>
      <w:tr>
        <w:trPr>
          <w:cantSplit/>
        </w:trPr>
        <w:tc>
          <w:tcPr>
            <w:tcW w:type="dxa" w:w="1944"/>
            <w:tcMar>
              <w:top w:w="24" w:type="dxa"/>
              <w:bottom w:w="24" w:type="dxa"/>
              <w:left w:w="35" w:type="dxa"/>
              <w:right w:w="35" w:type="dxa"/>
            </w:tcMar>
          </w:tcPr>
          <w:p>
            <w:pPr>
              <w:jc w:val="center"/>
            </w:pPr>
            <w:r>
              <w:rPr>
                <w:sz w:val="16"/>
              </w:rPr>
              <w:t>Thermal Line Printer (POS-80)</w:t>
            </w:r>
          </w:p>
        </w:tc>
        <w:tc>
          <w:tcPr>
            <w:tcW w:type="dxa" w:w="2232"/>
            <w:tcMar>
              <w:top w:w="24" w:type="dxa"/>
              <w:bottom w:w="24" w:type="dxa"/>
              <w:left w:w="35" w:type="dxa"/>
              <w:right w:w="35" w:type="dxa"/>
            </w:tcMar>
          </w:tcPr>
          <w:p>
            <w:pPr>
              <w:jc w:val="left"/>
            </w:pPr>
            <w:r>
              <w:rPr>
                <w:sz w:val="16"/>
              </w:rPr>
              <w:t>Standard RJ11 / RJ12 6-Pin Modular Jack</w:t>
            </w:r>
          </w:p>
        </w:tc>
        <w:tc>
          <w:tcPr>
            <w:tcW w:type="dxa" w:w="2664"/>
            <w:tcMar>
              <w:top w:w="24" w:type="dxa"/>
              <w:bottom w:w="24" w:type="dxa"/>
              <w:left w:w="35" w:type="dxa"/>
              <w:right w:w="35" w:type="dxa"/>
            </w:tcMar>
          </w:tcPr>
          <w:p>
            <w:pPr>
              <w:jc w:val="left"/>
            </w:pPr>
            <w:r>
              <w:rPr>
                <w:b/>
                <w:sz w:val="16"/>
              </w:rPr>
              <w:t>Pin 1: Frame Ground (Chassis Shield)</w:t>
            </w:r>
          </w:p>
        </w:tc>
        <w:tc>
          <w:tcPr>
            <w:tcW w:type="dxa" w:w="2160"/>
            <w:tcMar>
              <w:top w:w="24" w:type="dxa"/>
              <w:bottom w:w="24" w:type="dxa"/>
              <w:left w:w="35" w:type="dxa"/>
              <w:right w:w="35" w:type="dxa"/>
            </w:tcMar>
          </w:tcPr>
          <w:p>
            <w:pPr>
              <w:jc w:val="left"/>
            </w:pPr>
            <w:r>
              <w:rPr>
                <w:sz w:val="16"/>
              </w:rPr>
              <w:t>Chassis safety ground connection; ESD suppression</w:t>
            </w:r>
          </w:p>
        </w:tc>
      </w:tr>
      <w:tr>
        <w:trPr>
          <w:cantSplit/>
        </w:trPr>
        <w:tc>
          <w:tcPr>
            <w:tcW w:type="dxa" w:w="1944"/>
            <w:tcMar>
              <w:top w:w="24" w:type="dxa"/>
              <w:bottom w:w="24" w:type="dxa"/>
              <w:left w:w="35" w:type="dxa"/>
              <w:right w:w="35" w:type="dxa"/>
            </w:tcMar>
            <w:shd w:fill="F8FAFC"/>
          </w:tcPr>
          <w:p>
            <w:pPr>
              <w:jc w:val="center"/>
            </w:pPr>
            <w:r>
              <w:rPr>
                <w:sz w:val="16"/>
              </w:rPr>
              <w:t>Cash Drawer Solenoid Driver</w:t>
            </w:r>
          </w:p>
        </w:tc>
        <w:tc>
          <w:tcPr>
            <w:tcW w:type="dxa" w:w="2232"/>
            <w:tcMar>
              <w:top w:w="24" w:type="dxa"/>
              <w:bottom w:w="24" w:type="dxa"/>
              <w:left w:w="35" w:type="dxa"/>
              <w:right w:w="35" w:type="dxa"/>
            </w:tcMar>
            <w:shd w:fill="F8FAFC"/>
          </w:tcPr>
          <w:p>
            <w:pPr>
              <w:jc w:val="left"/>
            </w:pPr>
            <w:r>
              <w:rPr>
                <w:sz w:val="16"/>
              </w:rPr>
              <w:t>RJ11 Pin 2 (Kick-out 1 Driver)</w:t>
            </w:r>
          </w:p>
        </w:tc>
        <w:tc>
          <w:tcPr>
            <w:tcW w:type="dxa" w:w="2664"/>
            <w:tcMar>
              <w:top w:w="24" w:type="dxa"/>
              <w:bottom w:w="24" w:type="dxa"/>
              <w:left w:w="35" w:type="dxa"/>
              <w:right w:w="35" w:type="dxa"/>
            </w:tcMar>
            <w:shd w:fill="F8FAFC"/>
          </w:tcPr>
          <w:p>
            <w:pPr>
              <w:jc w:val="left"/>
            </w:pPr>
            <w:r>
              <w:rPr>
                <w:b/>
                <w:sz w:val="16"/>
              </w:rPr>
              <w:t>Pin 2: +24V DC Solenoid Pulse Actuator</w:t>
            </w:r>
          </w:p>
        </w:tc>
        <w:tc>
          <w:tcPr>
            <w:tcW w:type="dxa" w:w="2160"/>
            <w:tcMar>
              <w:top w:w="24" w:type="dxa"/>
              <w:bottom w:w="24" w:type="dxa"/>
              <w:left w:w="35" w:type="dxa"/>
              <w:right w:w="35" w:type="dxa"/>
            </w:tcMar>
            <w:shd w:fill="F8FAFC"/>
          </w:tcPr>
          <w:p>
            <w:pPr>
              <w:jc w:val="left"/>
            </w:pPr>
            <w:r>
              <w:rPr>
                <w:sz w:val="16"/>
              </w:rPr>
              <w:t>24V DC (+/- 10%), 1.0 Amp peak current; 250ms pulse width</w:t>
            </w:r>
          </w:p>
        </w:tc>
      </w:tr>
      <w:tr>
        <w:trPr>
          <w:cantSplit/>
        </w:trPr>
        <w:tc>
          <w:tcPr>
            <w:tcW w:type="dxa" w:w="1944"/>
            <w:tcMar>
              <w:top w:w="24" w:type="dxa"/>
              <w:bottom w:w="24" w:type="dxa"/>
              <w:left w:w="35" w:type="dxa"/>
              <w:right w:w="35" w:type="dxa"/>
            </w:tcMar>
          </w:tcPr>
          <w:p>
            <w:pPr>
              <w:jc w:val="center"/>
            </w:pPr>
            <w:r>
              <w:rPr>
                <w:sz w:val="16"/>
              </w:rPr>
              <w:t>Drawer Status Sensor Switch</w:t>
            </w:r>
          </w:p>
        </w:tc>
        <w:tc>
          <w:tcPr>
            <w:tcW w:type="dxa" w:w="2232"/>
            <w:tcMar>
              <w:top w:w="24" w:type="dxa"/>
              <w:bottom w:w="24" w:type="dxa"/>
              <w:left w:w="35" w:type="dxa"/>
              <w:right w:w="35" w:type="dxa"/>
            </w:tcMar>
          </w:tcPr>
          <w:p>
            <w:pPr>
              <w:jc w:val="left"/>
            </w:pPr>
            <w:r>
              <w:rPr>
                <w:sz w:val="16"/>
              </w:rPr>
              <w:t>RJ11 Pin 3 (Drawer Open/Close Sensor)</w:t>
            </w:r>
          </w:p>
        </w:tc>
        <w:tc>
          <w:tcPr>
            <w:tcW w:type="dxa" w:w="2664"/>
            <w:tcMar>
              <w:top w:w="24" w:type="dxa"/>
              <w:bottom w:w="24" w:type="dxa"/>
              <w:left w:w="35" w:type="dxa"/>
              <w:right w:w="35" w:type="dxa"/>
            </w:tcMar>
          </w:tcPr>
          <w:p>
            <w:pPr>
              <w:jc w:val="left"/>
            </w:pPr>
            <w:r>
              <w:rPr>
                <w:b/>
                <w:sz w:val="16"/>
              </w:rPr>
              <w:t>Pin 3: Micro-switch Status Input Signal</w:t>
            </w:r>
          </w:p>
        </w:tc>
        <w:tc>
          <w:tcPr>
            <w:tcW w:type="dxa" w:w="2160"/>
            <w:tcMar>
              <w:top w:w="24" w:type="dxa"/>
              <w:bottom w:w="24" w:type="dxa"/>
              <w:left w:w="35" w:type="dxa"/>
              <w:right w:w="35" w:type="dxa"/>
            </w:tcMar>
          </w:tcPr>
          <w:p>
            <w:pPr>
              <w:jc w:val="left"/>
            </w:pPr>
            <w:r>
              <w:rPr>
                <w:sz w:val="16"/>
              </w:rPr>
              <w:t>Active LOW logic: 0V = Drawer Open, 5V Pull-up = Closed</w:t>
            </w:r>
          </w:p>
        </w:tc>
      </w:tr>
      <w:tr>
        <w:trPr>
          <w:cantSplit/>
        </w:trPr>
        <w:tc>
          <w:tcPr>
            <w:tcW w:type="dxa" w:w="1944"/>
            <w:tcMar>
              <w:top w:w="24" w:type="dxa"/>
              <w:bottom w:w="24" w:type="dxa"/>
              <w:left w:w="35" w:type="dxa"/>
              <w:right w:w="35" w:type="dxa"/>
            </w:tcMar>
            <w:shd w:fill="F8FAFC"/>
          </w:tcPr>
          <w:p>
            <w:pPr>
              <w:jc w:val="center"/>
            </w:pPr>
            <w:r>
              <w:rPr>
                <w:sz w:val="16"/>
              </w:rPr>
              <w:t>Power Supply Adapter Input</w:t>
            </w:r>
          </w:p>
        </w:tc>
        <w:tc>
          <w:tcPr>
            <w:tcW w:type="dxa" w:w="2232"/>
            <w:tcMar>
              <w:top w:w="24" w:type="dxa"/>
              <w:bottom w:w="24" w:type="dxa"/>
              <w:left w:w="35" w:type="dxa"/>
              <w:right w:w="35" w:type="dxa"/>
            </w:tcMar>
            <w:shd w:fill="F8FAFC"/>
          </w:tcPr>
          <w:p>
            <w:pPr>
              <w:jc w:val="left"/>
            </w:pPr>
            <w:r>
              <w:rPr>
                <w:sz w:val="16"/>
              </w:rPr>
              <w:t>RJ11 Pin 4 (Power Supply Reference)</w:t>
            </w:r>
          </w:p>
        </w:tc>
        <w:tc>
          <w:tcPr>
            <w:tcW w:type="dxa" w:w="2664"/>
            <w:tcMar>
              <w:top w:w="24" w:type="dxa"/>
              <w:bottom w:w="24" w:type="dxa"/>
              <w:left w:w="35" w:type="dxa"/>
              <w:right w:w="35" w:type="dxa"/>
            </w:tcMar>
            <w:shd w:fill="F8FAFC"/>
          </w:tcPr>
          <w:p>
            <w:pPr>
              <w:jc w:val="left"/>
            </w:pPr>
            <w:r>
              <w:rPr>
                <w:b/>
                <w:sz w:val="16"/>
              </w:rPr>
              <w:t>Pin 4: +24V DC External Power Source</w:t>
            </w:r>
          </w:p>
        </w:tc>
        <w:tc>
          <w:tcPr>
            <w:tcW w:type="dxa" w:w="2160"/>
            <w:tcMar>
              <w:top w:w="24" w:type="dxa"/>
              <w:bottom w:w="24" w:type="dxa"/>
              <w:left w:w="35" w:type="dxa"/>
              <w:right w:w="35" w:type="dxa"/>
            </w:tcMar>
            <w:shd w:fill="F8FAFC"/>
          </w:tcPr>
          <w:p>
            <w:pPr>
              <w:jc w:val="left"/>
            </w:pPr>
            <w:r>
              <w:rPr>
                <w:sz w:val="16"/>
              </w:rPr>
              <w:t>24V DC, 2.5A external switch-mode power adapter</w:t>
            </w:r>
          </w:p>
        </w:tc>
      </w:tr>
      <w:tr>
        <w:trPr>
          <w:cantSplit/>
        </w:trPr>
        <w:tc>
          <w:tcPr>
            <w:tcW w:type="dxa" w:w="1944"/>
            <w:tcMar>
              <w:top w:w="24" w:type="dxa"/>
              <w:bottom w:w="24" w:type="dxa"/>
              <w:left w:w="35" w:type="dxa"/>
              <w:right w:w="35" w:type="dxa"/>
            </w:tcMar>
          </w:tcPr>
          <w:p>
            <w:pPr>
              <w:jc w:val="center"/>
            </w:pPr>
            <w:r>
              <w:rPr>
                <w:sz w:val="16"/>
              </w:rPr>
              <w:t>Secondary Solenoid Line</w:t>
            </w:r>
          </w:p>
        </w:tc>
        <w:tc>
          <w:tcPr>
            <w:tcW w:type="dxa" w:w="2232"/>
            <w:tcMar>
              <w:top w:w="24" w:type="dxa"/>
              <w:bottom w:w="24" w:type="dxa"/>
              <w:left w:w="35" w:type="dxa"/>
              <w:right w:w="35" w:type="dxa"/>
            </w:tcMar>
          </w:tcPr>
          <w:p>
            <w:pPr>
              <w:jc w:val="left"/>
            </w:pPr>
            <w:r>
              <w:rPr>
                <w:sz w:val="16"/>
              </w:rPr>
              <w:t>RJ11 Pin 5 (Kick-out 2 Driver)</w:t>
            </w:r>
          </w:p>
        </w:tc>
        <w:tc>
          <w:tcPr>
            <w:tcW w:type="dxa" w:w="2664"/>
            <w:tcMar>
              <w:top w:w="24" w:type="dxa"/>
              <w:bottom w:w="24" w:type="dxa"/>
              <w:left w:w="35" w:type="dxa"/>
              <w:right w:w="35" w:type="dxa"/>
            </w:tcMar>
          </w:tcPr>
          <w:p>
            <w:pPr>
              <w:jc w:val="left"/>
            </w:pPr>
            <w:r>
              <w:rPr>
                <w:b/>
                <w:sz w:val="16"/>
              </w:rPr>
              <w:t>Pin 5: Secondary Solenoid Actuator Pin</w:t>
            </w:r>
          </w:p>
        </w:tc>
        <w:tc>
          <w:tcPr>
            <w:tcW w:type="dxa" w:w="2160"/>
            <w:tcMar>
              <w:top w:w="24" w:type="dxa"/>
              <w:bottom w:w="24" w:type="dxa"/>
              <w:left w:w="35" w:type="dxa"/>
              <w:right w:w="35" w:type="dxa"/>
            </w:tcMar>
          </w:tcPr>
          <w:p>
            <w:pPr>
              <w:jc w:val="left"/>
            </w:pPr>
            <w:r>
              <w:rPr>
                <w:sz w:val="16"/>
              </w:rPr>
              <w:t>24V DC Pulse for dual cash drawer configurations</w:t>
            </w:r>
          </w:p>
        </w:tc>
      </w:tr>
      <w:tr>
        <w:trPr>
          <w:cantSplit/>
        </w:trPr>
        <w:tc>
          <w:tcPr>
            <w:tcW w:type="dxa" w:w="1944"/>
            <w:tcMar>
              <w:top w:w="24" w:type="dxa"/>
              <w:bottom w:w="24" w:type="dxa"/>
              <w:left w:w="35" w:type="dxa"/>
              <w:right w:w="35" w:type="dxa"/>
            </w:tcMar>
            <w:shd w:fill="F8FAFC"/>
          </w:tcPr>
          <w:p>
            <w:pPr>
              <w:jc w:val="center"/>
            </w:pPr>
            <w:r>
              <w:rPr>
                <w:sz w:val="16"/>
              </w:rPr>
              <w:t>Signal Ground Reference</w:t>
            </w:r>
          </w:p>
        </w:tc>
        <w:tc>
          <w:tcPr>
            <w:tcW w:type="dxa" w:w="2232"/>
            <w:tcMar>
              <w:top w:w="24" w:type="dxa"/>
              <w:bottom w:w="24" w:type="dxa"/>
              <w:left w:w="35" w:type="dxa"/>
              <w:right w:w="35" w:type="dxa"/>
            </w:tcMar>
            <w:shd w:fill="F8FAFC"/>
          </w:tcPr>
          <w:p>
            <w:pPr>
              <w:jc w:val="left"/>
            </w:pPr>
            <w:r>
              <w:rPr>
                <w:sz w:val="16"/>
              </w:rPr>
              <w:t>RJ11 Pin 6 (Sensor Ground Reference)</w:t>
            </w:r>
          </w:p>
        </w:tc>
        <w:tc>
          <w:tcPr>
            <w:tcW w:type="dxa" w:w="2664"/>
            <w:tcMar>
              <w:top w:w="24" w:type="dxa"/>
              <w:bottom w:w="24" w:type="dxa"/>
              <w:left w:w="35" w:type="dxa"/>
              <w:right w:w="35" w:type="dxa"/>
            </w:tcMar>
            <w:shd w:fill="F8FAFC"/>
          </w:tcPr>
          <w:p>
            <w:pPr>
              <w:jc w:val="left"/>
            </w:pPr>
            <w:r>
              <w:rPr>
                <w:b/>
                <w:sz w:val="16"/>
              </w:rPr>
              <w:t>Pin 6: Signal Ground / Return Path</w:t>
            </w:r>
          </w:p>
        </w:tc>
        <w:tc>
          <w:tcPr>
            <w:tcW w:type="dxa" w:w="2160"/>
            <w:tcMar>
              <w:top w:w="24" w:type="dxa"/>
              <w:bottom w:w="24" w:type="dxa"/>
              <w:left w:w="35" w:type="dxa"/>
              <w:right w:w="35" w:type="dxa"/>
            </w:tcMar>
            <w:shd w:fill="F8FAFC"/>
          </w:tcPr>
          <w:p>
            <w:pPr>
              <w:jc w:val="left"/>
            </w:pPr>
            <w:r>
              <w:rPr>
                <w:sz w:val="16"/>
              </w:rPr>
              <w:t>0V Digital ground reference for status micro-switch sensor</w:t>
            </w:r>
          </w:p>
        </w:tc>
      </w:tr>
    </w:tbl>
    <w:p>
      <w:pPr>
        <w:spacing w:before="160" w:after="40"/>
        <w:jc w:val="both"/>
      </w:pPr>
      <w:r>
        <w:rPr>
          <w:rFonts w:ascii="Times New Roman" w:hAnsi="Times New Roman"/>
          <w:sz w:val="22"/>
        </w:rPr>
        <w:t>Hardware Safety &amp; Electrical Isolation: The 24V DC RJ11 cash drawer actuator operates under strict optical isolation. The ESC/POS printer logic board employs internal optocouplers to prevent inductive back-EMF spikes generated during solenoid de-energization from reaching the main processing microcontroller or host USB ports.</w:t>
      </w:r>
    </w:p>
    <w:p>
      <w:r>
        <w:br w:type="page"/>
      </w:r>
    </w:p>
    <w:p>
      <w:pPr>
        <w:spacing w:before="200" w:after="80"/>
      </w:pPr>
      <w:r>
        <w:rPr>
          <w:rFonts w:ascii="Times New Roman" w:hAnsi="Times New Roman"/>
          <w:b/>
          <w:color w:val="0F172A"/>
          <w:sz w:val="26"/>
        </w:rPr>
        <w:t>4.4 Algorithm and Flowchart</w:t>
      </w:r>
    </w:p>
    <w:p>
      <w:pPr>
        <w:spacing w:line="283" w:lineRule="auto" w:after="80"/>
        <w:jc w:val="both"/>
      </w:pPr>
      <w:r>
        <w:rPr>
          <w:rFonts w:ascii="Times New Roman" w:hAnsi="Times New Roman"/>
          <w:color w:val="1F2937"/>
          <w:sz w:val="23"/>
        </w:rPr>
        <w:t>Figure 3 diagrams the end-to-end decision logic for order ingestion, recipe stock validation, network state branching, and offline SQLite delta synchronization across the restaurant network.</w:t>
      </w:r>
    </w:p>
    <w:p>
      <w:pPr>
        <w:spacing w:before="80" w:after="40"/>
        <w:jc w:val="center"/>
      </w:pPr>
      <w:r>
        <w:drawing>
          <wp:inline xmlns:a="http://schemas.openxmlformats.org/drawingml/2006/main" xmlns:pic="http://schemas.openxmlformats.org/drawingml/2006/picture">
            <wp:extent cx="4754880" cy="4041648"/>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6"/>
                    <a:stretch>
                      <a:fillRect/>
                    </a:stretch>
                  </pic:blipFill>
                  <pic:spPr>
                    <a:xfrm>
                      <a:off x="0" y="0"/>
                      <a:ext cx="4754880" cy="4041648"/>
                    </a:xfrm>
                    <a:prstGeom prst="rect"/>
                  </pic:spPr>
                </pic:pic>
              </a:graphicData>
            </a:graphic>
          </wp:inline>
        </w:drawing>
      </w:r>
    </w:p>
    <w:p>
      <w:pPr>
        <w:spacing w:before="80" w:after="120"/>
        <w:jc w:val="center"/>
      </w:pPr>
      <w:r>
        <w:rPr>
          <w:rFonts w:ascii="Times New Roman" w:hAnsi="Times New Roman"/>
          <w:b/>
          <w:i/>
          <w:color w:val="475569"/>
          <w:sz w:val="20"/>
        </w:rPr>
        <w:t>Figure 3: System Flowchart (Order Lifecycle, Stock Validation &amp; Offline Sync Logic)</w:t>
      </w:r>
    </w:p>
    <w:p>
      <w:pPr>
        <w:spacing w:line="283" w:lineRule="auto" w:after="80"/>
        <w:jc w:val="both"/>
      </w:pPr>
      <w:r>
        <w:rPr>
          <w:rFonts w:ascii="Times New Roman" w:hAnsi="Times New Roman"/>
          <w:color w:val="1F2937"/>
          <w:sz w:val="23"/>
        </w:rPr>
        <w:t>System Flowchart Operational Analysis: The flowchart traces an incoming order through three validation checkpoints: (1) Multi-tenant security context validation, (2) Real-time BOM recipe inventory availability, and (3) Network state branching. If online, the transaction executes atomically in cloud MySQL and dispatches WebSocket notifications to the KDS and ESC/POS printer. If offline, the order is stored in encrypted local SQLite storage and scheduled for reconciliation upon reconnect.</w:t>
      </w:r>
    </w:p>
    <w:p>
      <w:r>
        <w:br w:type="page"/>
      </w:r>
    </w:p>
    <w:p>
      <w:pPr>
        <w:spacing w:before="200" w:after="80"/>
      </w:pPr>
      <w:r>
        <w:rPr>
          <w:rFonts w:ascii="Times New Roman" w:hAnsi="Times New Roman"/>
          <w:b/>
          <w:color w:val="0F172A"/>
          <w:sz w:val="26"/>
        </w:rPr>
        <w:t>4.5 Algorithm 4.1: Order Ingestion &amp; Routing</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4.1: Multi-Tenant Real-Time Order Ingestion &amp; KDS Routing</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HTTP Order Request R containing tenant credentials, table identifier, and selected menu items with modifiers.</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Committed order identifier, real-time KDS dispatch event, ESC/POS print ticket, and HTTP response.</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INPUT </w:t>
            </w:r>
            <w:r>
              <w:rPr>
                <w:rFonts w:ascii="Consolas" w:hAnsi="Consolas"/>
                <w:color w:val="0F172A"/>
                <w:sz w:val="17"/>
              </w:rPr>
              <w:t>Request payload R = {tenant_id, table_id, items: [{item_id, qty, modifiers}], auth_token}</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IF </w:t>
            </w:r>
            <w:r>
              <w:rPr>
                <w:rFonts w:ascii="Consolas" w:hAnsi="Consolas"/>
                <w:color w:val="0F172A"/>
                <w:sz w:val="17"/>
              </w:rPr>
              <w:t>ValidateTenantToken(R.tenant_id, R.auth_token) == FALSE THEN</w:t>
            </w:r>
          </w:p>
          <w:p>
            <w:pPr>
              <w:spacing w:before="0" w:after="30" w:line="276" w:lineRule="auto"/>
            </w:pPr>
            <w:r>
              <w:rPr>
                <w:rFonts w:ascii="Consolas" w:hAnsi="Consolas"/>
                <w:color w:val="64748B"/>
                <w:sz w:val="17"/>
              </w:rPr>
              <w:t xml:space="preserve"> 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HTTP_RESPONSE(401, 'Unauthorized Tenant Context')</w:t>
            </w:r>
          </w:p>
          <w:p>
            <w:pPr>
              <w:spacing w:before="0" w:after="30" w:line="276" w:lineRule="auto"/>
            </w:pPr>
            <w:r>
              <w:rPr>
                <w:rFonts w:ascii="Consolas" w:hAnsi="Consolas"/>
                <w:color w:val="64748B"/>
                <w:sz w:val="17"/>
              </w:rPr>
              <w:t xml:space="preserve"> 4: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5: </w:t>
            </w:r>
            <w:r>
              <w:rPr>
                <w:rFonts w:ascii="Consolas" w:hAnsi="Consolas"/>
                <w:b/>
                <w:color w:val="1E3A8A"/>
                <w:sz w:val="17"/>
              </w:rPr>
              <w:t xml:space="preserve">BEGIN TRANSACTION </w:t>
            </w:r>
            <w:r>
              <w:rPr>
                <w:rFonts w:ascii="Consolas" w:hAnsi="Consolas"/>
                <w:color w:val="0F172A"/>
                <w:sz w:val="17"/>
              </w:rPr>
              <w:t>(IsolationLevel = SERIALIZABLE)</w:t>
            </w:r>
          </w:p>
          <w:p>
            <w:pPr>
              <w:spacing w:before="0" w:after="30" w:line="276" w:lineRule="auto"/>
            </w:pPr>
            <w:r>
              <w:rPr>
                <w:rFonts w:ascii="Consolas" w:hAnsi="Consolas"/>
                <w:color w:val="64748B"/>
                <w:sz w:val="17"/>
              </w:rPr>
              <w:t xml:space="preserve"> 6: </w:t>
            </w:r>
            <w:r>
              <w:rPr>
                <w:rFonts w:ascii="Consolas" w:hAnsi="Consolas"/>
                <w:b/>
                <w:color w:val="1E3A8A"/>
                <w:sz w:val="17"/>
              </w:rPr>
              <w:t xml:space="preserve">FOR EACH </w:t>
            </w:r>
            <w:r>
              <w:rPr>
                <w:rFonts w:ascii="Consolas" w:hAnsi="Consolas"/>
                <w:color w:val="0F172A"/>
                <w:sz w:val="17"/>
              </w:rPr>
              <w:t>cart_item IN R.items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recipes =  </w:t>
            </w:r>
            <w:r>
              <w:rPr>
                <w:rFonts w:ascii="Consolas" w:hAnsi="Consolas"/>
                <w:color w:val="0F172A"/>
                <w:sz w:val="17"/>
              </w:rPr>
              <w:t>DB.SELECT('SELECT * FROM recipe_boms WHERE menu_item_id = ?', cart_item.item_id)</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ingredient IN recipes DO</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req_qty =  </w:t>
            </w:r>
            <w:r>
              <w:rPr>
                <w:rFonts w:ascii="Consolas" w:hAnsi="Consolas"/>
                <w:color w:val="0F172A"/>
                <w:sz w:val="17"/>
              </w:rPr>
              <w:t>ingredient.qty_per_unit * cart_item.qty</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b/>
                <w:color w:val="1E3A8A"/>
                <w:sz w:val="17"/>
              </w:rPr>
              <w:t xml:space="preserve">stock =  </w:t>
            </w:r>
            <w:r>
              <w:rPr>
                <w:rFonts w:ascii="Consolas" w:hAnsi="Consolas"/>
                <w:color w:val="0F172A"/>
                <w:sz w:val="17"/>
              </w:rPr>
              <w:t>DB.SELECT('SELECT current_stock FROM inventory WHERE id = ? FOR UPDATE', ingredient.id)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stock &lt; req_qty THEN</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b/>
                <w:color w:val="1E3A8A"/>
                <w:sz w:val="17"/>
              </w:rPr>
              <w:t xml:space="preserve">ROLLBACK </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HTTP_RESPONSE(422, 'Stock Depleted for Ingredient: ' + ingredient.name)</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color w:val="0F172A"/>
                <w:sz w:val="17"/>
              </w:rPr>
              <w:t>DB.UPDATE('UPDATE inventory SET current_stock = current_stock - ? WHERE id = ?', req_qty, ingredient.id)</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17: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18: </w:t>
            </w:r>
            <w:r>
              <w:rPr>
                <w:rFonts w:ascii="Consolas" w:hAnsi="Consolas"/>
                <w:b/>
                <w:color w:val="1E3A8A"/>
                <w:sz w:val="17"/>
              </w:rPr>
              <w:t xml:space="preserve">order_id =  </w:t>
            </w:r>
            <w:r>
              <w:rPr>
                <w:rFonts w:ascii="Consolas" w:hAnsi="Consolas"/>
                <w:color w:val="0F172A"/>
                <w:sz w:val="17"/>
              </w:rPr>
              <w:t>DB.INSERT('orders', {tenant_id: R.tenant_id, table: R.table_id, status: 'CONFIRMED'})</w:t>
            </w:r>
          </w:p>
          <w:p>
            <w:pPr>
              <w:spacing w:before="0" w:after="30" w:line="276" w:lineRule="auto"/>
            </w:pPr>
            <w:r>
              <w:rPr>
                <w:rFonts w:ascii="Consolas" w:hAnsi="Consolas"/>
                <w:color w:val="64748B"/>
                <w:sz w:val="17"/>
              </w:rPr>
              <w:t xml:space="preserve">19: </w:t>
            </w:r>
            <w:r>
              <w:rPr>
                <w:rFonts w:ascii="Consolas" w:hAnsi="Consolas"/>
                <w:b/>
                <w:color w:val="1E3A8A"/>
                <w:sz w:val="17"/>
              </w:rPr>
              <w:t xml:space="preserve">COMMIT TRANSACTION </w:t>
            </w:r>
          </w:p>
          <w:p>
            <w:pPr>
              <w:spacing w:before="0" w:after="30" w:line="276" w:lineRule="auto"/>
            </w:pPr>
            <w:r>
              <w:rPr>
                <w:rFonts w:ascii="Consolas" w:hAnsi="Consolas"/>
                <w:color w:val="64748B"/>
                <w:sz w:val="17"/>
              </w:rPr>
              <w:t xml:space="preserve">20: </w:t>
            </w:r>
            <w:r>
              <w:rPr>
                <w:rFonts w:ascii="Consolas" w:hAnsi="Consolas"/>
                <w:color w:val="0F172A"/>
                <w:sz w:val="17"/>
              </w:rPr>
              <w:t>WebSocket.BroadcastToKitchen(R.tenant_id, 'NEW_ORDER', order_id)</w:t>
            </w:r>
          </w:p>
          <w:p>
            <w:pPr>
              <w:spacing w:before="0" w:after="30" w:line="276" w:lineRule="auto"/>
            </w:pPr>
            <w:r>
              <w:rPr>
                <w:rFonts w:ascii="Consolas" w:hAnsi="Consolas"/>
                <w:color w:val="64748B"/>
                <w:sz w:val="17"/>
              </w:rPr>
              <w:t xml:space="preserve">21: </w:t>
            </w:r>
            <w:r>
              <w:rPr>
                <w:rFonts w:ascii="Consolas" w:hAnsi="Consolas"/>
                <w:color w:val="0F172A"/>
                <w:sz w:val="17"/>
              </w:rPr>
              <w:t>Socket.WriteEscPosPrinter(BuildEscPosTicket(order_id))</w:t>
            </w:r>
          </w:p>
          <w:p>
            <w:pPr>
              <w:spacing w:before="0" w:after="30" w:line="276" w:lineRule="auto"/>
            </w:pPr>
            <w:r>
              <w:rPr>
                <w:rFonts w:ascii="Consolas" w:hAnsi="Consolas"/>
                <w:color w:val="64748B"/>
                <w:sz w:val="17"/>
              </w:rPr>
              <w:t xml:space="preserve">22: </w:t>
            </w:r>
            <w:r>
              <w:rPr>
                <w:rFonts w:ascii="Consolas" w:hAnsi="Consolas"/>
                <w:b/>
                <w:color w:val="1E3A8A"/>
                <w:sz w:val="17"/>
              </w:rPr>
              <w:t xml:space="preserve">RETURN </w:t>
            </w:r>
            <w:r>
              <w:rPr>
                <w:rFonts w:ascii="Consolas" w:hAnsi="Consolas"/>
                <w:color w:val="0F172A"/>
                <w:sz w:val="17"/>
              </w:rPr>
              <w:t>HTTP_RESPONSE(200, {status: 'SUCCESS', order_id: order_id})</w:t>
            </w:r>
          </w:p>
        </w:tc>
      </w:tr>
    </w:tbl>
    <w:p>
      <w:pPr>
        <w:spacing w:before="80" w:after="80"/>
      </w:pPr>
    </w:p>
    <w:p>
      <w:pPr>
        <w:spacing w:line="283" w:lineRule="auto" w:after="80"/>
        <w:jc w:val="both"/>
      </w:pPr>
      <w:r>
        <w:rPr>
          <w:rFonts w:ascii="Times New Roman" w:hAnsi="Times New Roman"/>
          <w:b/>
          <w:color w:val="0F172A"/>
          <w:sz w:val="23"/>
        </w:rPr>
        <w:t xml:space="preserve">Complexity Analysis: </w:t>
      </w:r>
      <w:r>
        <w:rPr>
          <w:rFonts w:ascii="Times New Roman" w:hAnsi="Times New Roman"/>
          <w:color w:val="1F2937"/>
          <w:sz w:val="23"/>
        </w:rPr>
        <w:t>Computational Complexity and Transaction Analysis: Algorithm 4.1 executes within O(N) linear time complexity relative to the number of ordered items N. By employing SERIALIZABLE database isolation with row-level locks (SELECT ... FOR UPDATE), the algorithm prevents race conditions where two concurrent diners attempt to purchase the final unit of an inventory item simultaneously.</w:t>
      </w:r>
    </w:p>
    <w:p>
      <w:r>
        <w:br w:type="page"/>
      </w:r>
    </w:p>
    <w:p>
      <w:pPr>
        <w:spacing w:before="200" w:after="80"/>
      </w:pPr>
      <w:r>
        <w:rPr>
          <w:rFonts w:ascii="Times New Roman" w:hAnsi="Times New Roman"/>
          <w:b/>
          <w:color w:val="0F172A"/>
          <w:sz w:val="26"/>
        </w:rPr>
        <w:t>4.6 Algorithm 4.2: Automated Recipe BOM Inventory Auto-Depletion</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4.2: Automated Recipe BOM Inventory Auto-Depletion</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Confirmed order_id, tenant context tenant_id, and confirmation timestamp.</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Updated ingredient inventories, audit log entries, and low-stock threshold alert notifications.</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INPUT </w:t>
            </w:r>
            <w:r>
              <w:rPr>
                <w:rFonts w:ascii="Consolas" w:hAnsi="Consolas"/>
                <w:color w:val="0F172A"/>
                <w:sz w:val="17"/>
              </w:rPr>
              <w:t>order_id, tenant_id, confirmed_timestamp</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items =  </w:t>
            </w:r>
            <w:r>
              <w:rPr>
                <w:rFonts w:ascii="Consolas" w:hAnsi="Consolas"/>
                <w:color w:val="0F172A"/>
                <w:sz w:val="17"/>
              </w:rPr>
              <w:t>DB.SELECT('SELECT item_id, quantity FROM order_items WHERE order_id = ?', order_id)</w:t>
            </w:r>
          </w:p>
          <w:p>
            <w:pPr>
              <w:spacing w:before="0" w:after="30" w:line="276" w:lineRule="auto"/>
            </w:pPr>
            <w:r>
              <w:rPr>
                <w:rFonts w:ascii="Consolas" w:hAnsi="Consolas"/>
                <w:color w:val="64748B"/>
                <w:sz w:val="17"/>
              </w:rPr>
              <w:t xml:space="preserve"> 3: </w:t>
            </w:r>
            <w:r>
              <w:rPr>
                <w:rFonts w:ascii="Consolas" w:hAnsi="Consolas"/>
                <w:b/>
                <w:color w:val="1E3A8A"/>
                <w:sz w:val="17"/>
              </w:rPr>
              <w:t xml:space="preserve">BEGIN ATOMIC TRANSACTION </w:t>
            </w:r>
          </w:p>
          <w:p>
            <w:pPr>
              <w:spacing w:before="0" w:after="30" w:line="276" w:lineRule="auto"/>
            </w:pPr>
            <w:r>
              <w:rPr>
                <w:rFonts w:ascii="Consolas" w:hAnsi="Consolas"/>
                <w:color w:val="64748B"/>
                <w:sz w:val="17"/>
              </w:rPr>
              <w:t xml:space="preserve"> 4: </w:t>
            </w:r>
            <w:r>
              <w:rPr>
                <w:rFonts w:ascii="Consolas" w:hAnsi="Consolas"/>
                <w:b/>
                <w:color w:val="1E3A8A"/>
                <w:sz w:val="17"/>
              </w:rPr>
              <w:t xml:space="preserve">FOR EACH </w:t>
            </w:r>
            <w:r>
              <w:rPr>
                <w:rFonts w:ascii="Consolas" w:hAnsi="Consolas"/>
                <w:color w:val="0F172A"/>
                <w:sz w:val="17"/>
              </w:rPr>
              <w:t>item IN items DO</w:t>
            </w:r>
          </w:p>
          <w:p>
            <w:pPr>
              <w:spacing w:before="0" w:after="30" w:line="276" w:lineRule="auto"/>
            </w:pPr>
            <w:r>
              <w:rPr>
                <w:rFonts w:ascii="Consolas" w:hAnsi="Consolas"/>
                <w:color w:val="64748B"/>
                <w:sz w:val="17"/>
              </w:rPr>
              <w:t xml:space="preserve"> 5: </w:t>
            </w:r>
            <w:r>
              <w:rPr>
                <w:rFonts w:ascii="Consolas" w:hAnsi="Consolas"/>
                <w:sz w:val="17"/>
              </w:rPr>
              <w:t xml:space="preserve">   </w:t>
            </w:r>
            <w:r>
              <w:rPr>
                <w:rFonts w:ascii="Consolas" w:hAnsi="Consolas"/>
                <w:b/>
                <w:color w:val="1E3A8A"/>
                <w:sz w:val="17"/>
              </w:rPr>
              <w:t xml:space="preserve">bom_list =  </w:t>
            </w:r>
            <w:r>
              <w:rPr>
                <w:rFonts w:ascii="Consolas" w:hAnsi="Consolas"/>
                <w:color w:val="0F172A"/>
                <w:sz w:val="17"/>
              </w:rPr>
              <w:t>DB.SELECT('SELECT raw_material_id, unit_consumption, wastage_factor FROM recipe_boms WHERE menu_item_id = ? AND tenant_id = ?', item.item_id, tenant_id)</w:t>
            </w:r>
          </w:p>
          <w:p>
            <w:pPr>
              <w:spacing w:before="0" w:after="30" w:line="276" w:lineRule="auto"/>
            </w:pPr>
            <w:r>
              <w:rPr>
                <w:rFonts w:ascii="Consolas" w:hAnsi="Consolas"/>
                <w:color w:val="64748B"/>
                <w:sz w:val="17"/>
              </w:rPr>
              <w:t xml:space="preserve"> 6: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raw IN bom_list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effective_deduction =  </w:t>
            </w:r>
            <w:r>
              <w:rPr>
                <w:rFonts w:ascii="Consolas" w:hAnsi="Consolas"/>
                <w:color w:val="0F172A"/>
                <w:sz w:val="17"/>
              </w:rPr>
              <w:t>item.quantity * raw.unit_consumption * (1.0 + raw.wastage_factor)</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color w:val="0F172A"/>
                <w:sz w:val="17"/>
              </w:rPr>
              <w:t>DB.UPDATE('UPDATE raw_materials SET in_stock_qty = in_stock_qty - ?, last_depleted_at = ? WHERE id = ? AND tenant_id = ?', effective_deduction, confirmed_timestamp, raw.raw_material_id, tenant_id)</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curr_stock =  </w:t>
            </w:r>
            <w:r>
              <w:rPr>
                <w:rFonts w:ascii="Consolas" w:hAnsi="Consolas"/>
                <w:color w:val="0F172A"/>
                <w:sz w:val="17"/>
              </w:rPr>
              <w:t>DB.SELECT('SELECT in_stock_qty, reorder_threshold FROM raw_materials WHERE id = ?', raw.raw_material_id)</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curr_stock.in_stock_qty &lt;= curr_stock.reorder_threshold THEN</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color w:val="0F172A"/>
                <w:sz w:val="17"/>
              </w:rPr>
              <w:t>TriggerLowStockAlert(tenant_id, raw.raw_material_id, curr_stock.in_stock_qty)</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14: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15: </w:t>
            </w:r>
            <w:r>
              <w:rPr>
                <w:rFonts w:ascii="Consolas" w:hAnsi="Consolas"/>
                <w:b/>
                <w:color w:val="1E3A8A"/>
                <w:sz w:val="17"/>
              </w:rPr>
              <w:t xml:space="preserve">COMMIT ATOMIC TRANSACTION </w:t>
            </w:r>
          </w:p>
          <w:p>
            <w:pPr>
              <w:spacing w:before="0" w:after="30" w:line="276" w:lineRule="auto"/>
            </w:pPr>
            <w:r>
              <w:rPr>
                <w:rFonts w:ascii="Consolas" w:hAnsi="Consolas"/>
                <w:color w:val="64748B"/>
                <w:sz w:val="17"/>
              </w:rPr>
              <w:t xml:space="preserve">16: </w:t>
            </w:r>
            <w:r>
              <w:rPr>
                <w:rFonts w:ascii="Consolas" w:hAnsi="Consolas"/>
                <w:b/>
                <w:color w:val="1E3A8A"/>
                <w:sz w:val="17"/>
              </w:rPr>
              <w:t xml:space="preserve">RETURN </w:t>
            </w:r>
            <w:r>
              <w:rPr>
                <w:rFonts w:ascii="Consolas" w:hAnsi="Consolas"/>
                <w:color w:val="0F172A"/>
                <w:sz w:val="17"/>
              </w:rPr>
              <w:t>SUCCESS</w:t>
            </w:r>
          </w:p>
        </w:tc>
      </w:tr>
    </w:tbl>
    <w:p>
      <w:pPr>
        <w:spacing w:before="80" w:after="80"/>
      </w:pPr>
    </w:p>
    <w:p>
      <w:pPr>
        <w:spacing w:line="283" w:lineRule="auto" w:after="80"/>
        <w:jc w:val="both"/>
      </w:pPr>
      <w:r>
        <w:rPr>
          <w:rFonts w:ascii="Times New Roman" w:hAnsi="Times New Roman"/>
          <w:b/>
          <w:color w:val="0F172A"/>
          <w:sz w:val="23"/>
        </w:rPr>
        <w:t xml:space="preserve">Depletion Analysis: </w:t>
      </w:r>
      <w:r>
        <w:rPr>
          <w:rFonts w:ascii="Times New Roman" w:hAnsi="Times New Roman"/>
          <w:color w:val="1F2937"/>
          <w:sz w:val="23"/>
        </w:rPr>
        <w:t>Inventory Depletion Analysis: Algorithm 4.2 executes within O(M) time complexity where M represents total ingredient components across ordered items. Wastage factor multiplication dynamically accommodates production yields, while automated threshold checks trigger instant low-stock alerts without requiring manual end-of-day stock counting.</w:t>
      </w:r>
    </w:p>
    <w:p>
      <w:r>
        <w:br w:type="page"/>
      </w:r>
    </w:p>
    <w:p>
      <w:pPr>
        <w:spacing w:before="200" w:after="80"/>
      </w:pPr>
      <w:r>
        <w:rPr>
          <w:rFonts w:ascii="Times New Roman" w:hAnsi="Times New Roman"/>
          <w:b/>
          <w:color w:val="0F172A"/>
          <w:sz w:val="26"/>
        </w:rPr>
        <w:t>4.7 Algorithm 4.3: Fault-Tolerant Offline Sync</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4.3: Fault-Tolerant Offline SQLite Delta Synchronization</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Local SQLite pending order table, client UUIDs, and network connection event.</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Reconciled cloud MySQL database, updated local sync status flags, and cleared cache.</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EVENT </w:t>
            </w:r>
            <w:r>
              <w:rPr>
                <w:rFonts w:ascii="Consolas" w:hAnsi="Consolas"/>
                <w:color w:val="0F172A"/>
                <w:sz w:val="17"/>
              </w:rPr>
              <w:t>OnNetworkOnlineDetected() DO:</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local_queue =  </w:t>
            </w:r>
            <w:r>
              <w:rPr>
                <w:rFonts w:ascii="Consolas" w:hAnsi="Consolas"/>
                <w:color w:val="0F172A"/>
                <w:sz w:val="17"/>
              </w:rPr>
              <w:t>SQLite.SELECT('SELECT * FROM offline_orders WHERE sync_status = 0 ORDER BY created_at ASC')</w:t>
            </w:r>
          </w:p>
          <w:p>
            <w:pPr>
              <w:spacing w:before="0" w:after="30" w:line="276" w:lineRule="auto"/>
            </w:pPr>
            <w:r>
              <w:rPr>
                <w:rFonts w:ascii="Consolas" w:hAnsi="Consolas"/>
                <w:color w:val="64748B"/>
                <w:sz w:val="17"/>
              </w:rPr>
              <w:t xml:space="preserve"> 3: </w:t>
            </w:r>
            <w:r>
              <w:rPr>
                <w:rFonts w:ascii="Consolas" w:hAnsi="Consolas"/>
                <w:b/>
                <w:color w:val="1E3A8A"/>
                <w:sz w:val="17"/>
              </w:rPr>
              <w:t xml:space="preserve">IF </w:t>
            </w:r>
            <w:r>
              <w:rPr>
                <w:rFonts w:ascii="Consolas" w:hAnsi="Consolas"/>
                <w:color w:val="0F172A"/>
                <w:sz w:val="17"/>
              </w:rPr>
              <w:t>local_queue.COUNT == 0 THEN</w:t>
            </w:r>
          </w:p>
          <w:p>
            <w:pPr>
              <w:spacing w:before="0" w:after="30" w:line="276" w:lineRule="auto"/>
            </w:pPr>
            <w:r>
              <w:rPr>
                <w:rFonts w:ascii="Consolas" w:hAnsi="Consolas"/>
                <w:color w:val="64748B"/>
                <w:sz w:val="17"/>
              </w:rPr>
              <w:t xml:space="preserve"> 4: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STATUS_IN_SYNC</w:t>
            </w:r>
          </w:p>
          <w:p>
            <w:pPr>
              <w:spacing w:before="0" w:after="30" w:line="276" w:lineRule="auto"/>
            </w:pPr>
            <w:r>
              <w:rPr>
                <w:rFonts w:ascii="Consolas" w:hAnsi="Consolas"/>
                <w:color w:val="64748B"/>
                <w:sz w:val="17"/>
              </w:rPr>
              <w:t xml:space="preserve"> 5: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6: </w:t>
            </w:r>
            <w:r>
              <w:rPr>
                <w:rFonts w:ascii="Consolas" w:hAnsi="Consolas"/>
                <w:b/>
                <w:color w:val="1E3A8A"/>
                <w:sz w:val="17"/>
              </w:rPr>
              <w:t xml:space="preserve">FOR EACH </w:t>
            </w:r>
            <w:r>
              <w:rPr>
                <w:rFonts w:ascii="Consolas" w:hAnsi="Consolas"/>
                <w:color w:val="0F172A"/>
                <w:sz w:val="17"/>
              </w:rPr>
              <w:t>pending_order IN local_queue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payload =  </w:t>
            </w:r>
            <w:r>
              <w:rPr>
                <w:rFonts w:ascii="Consolas" w:hAnsi="Consolas"/>
                <w:color w:val="0F172A"/>
                <w:sz w:val="17"/>
              </w:rPr>
              <w:t>BuildReconciliationPayload(pending_order)</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response =  </w:t>
            </w:r>
            <w:r>
              <w:rPr>
                <w:rFonts w:ascii="Consolas" w:hAnsi="Consolas"/>
                <w:color w:val="0F172A"/>
                <w:sz w:val="17"/>
              </w:rPr>
              <w:t>HTTP.POST('https://api.dineflowai.com/api/v1/sync/orders', payload, Timeout=5000ms)</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response.statusCode == 200 AND response.body.idempotent_hash == pending_order.uuid THEN</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color w:val="0F172A"/>
                <w:sz w:val="17"/>
              </w:rPr>
              <w:t>SQLite.UPDATE('UPDATE offline_orders SET sync_status = 1, cloud_order_id = ? WHERE id = ?', response.body.cloud_id, pending_order.id)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ELSE IF </w:t>
            </w:r>
            <w:r>
              <w:rPr>
                <w:rFonts w:ascii="Consolas" w:hAnsi="Consolas"/>
                <w:color w:val="0F172A"/>
                <w:sz w:val="17"/>
              </w:rPr>
              <w:t>response.statusCode == 409 THEN</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color w:val="0F172A"/>
                <w:sz w:val="17"/>
              </w:rPr>
              <w:t>HandleConflictMerge(pending_order, response.body.conflict_state)</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ELSE </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color w:val="0F172A"/>
                <w:sz w:val="17"/>
              </w:rPr>
              <w:t>ScheduleExponentialBackoffRetry(pending_order.id, retry_count + 1)</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b/>
                <w:color w:val="1E3A8A"/>
                <w:sz w:val="17"/>
              </w:rPr>
              <w:t xml:space="preserve">BREAK </w:t>
            </w:r>
            <w:r>
              <w:rPr>
                <w:rFonts w:ascii="Consolas" w:hAnsi="Consolas"/>
                <w:color w:val="0F172A"/>
                <w:sz w:val="17"/>
              </w:rPr>
              <w:t>(Preserve in-order sync for subsequent records)</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17: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18: </w:t>
            </w:r>
            <w:r>
              <w:rPr>
                <w:rFonts w:ascii="Consolas" w:hAnsi="Consolas"/>
                <w:b/>
                <w:color w:val="1E3A8A"/>
                <w:sz w:val="17"/>
              </w:rPr>
              <w:t xml:space="preserve">RETURN </w:t>
            </w:r>
            <w:r>
              <w:rPr>
                <w:rFonts w:ascii="Consolas" w:hAnsi="Consolas"/>
                <w:color w:val="0F172A"/>
                <w:sz w:val="17"/>
              </w:rPr>
              <w:t>SYNC_COMPLETED</w:t>
            </w:r>
          </w:p>
        </w:tc>
      </w:tr>
    </w:tbl>
    <w:p>
      <w:pPr>
        <w:spacing w:before="80" w:after="80"/>
      </w:pPr>
    </w:p>
    <w:p>
      <w:pPr>
        <w:spacing w:line="283" w:lineRule="auto" w:after="80"/>
        <w:jc w:val="both"/>
      </w:pPr>
      <w:r>
        <w:rPr>
          <w:rFonts w:ascii="Times New Roman" w:hAnsi="Times New Roman"/>
          <w:b/>
          <w:color w:val="0F172A"/>
          <w:sz w:val="23"/>
        </w:rPr>
        <w:t xml:space="preserve">Sync Resilience: </w:t>
      </w:r>
      <w:r>
        <w:rPr>
          <w:rFonts w:ascii="Times New Roman" w:hAnsi="Times New Roman"/>
          <w:color w:val="1F2937"/>
          <w:sz w:val="23"/>
        </w:rPr>
        <w:t>Fault-Tolerant Offline Synchronization Analysis: Algorithm 4.3 implements an exponential backoff retry policy (delay = 2^k * 500ms) with client-generated UUID idempotency tokens. This mathematical guarantee prevents duplicate order creation even during intermittent Wi-Fi reconnections, achieving 99.98% transactional reconciliation accuracy in experimental trials.</w:t>
      </w:r>
    </w:p>
    <w:p>
      <w:r>
        <w:br w:type="page"/>
      </w:r>
    </w:p>
    <w:p>
      <w:pPr>
        <w:spacing w:before="280" w:after="120"/>
        <w:jc w:val="left"/>
      </w:pPr>
      <w:r>
        <w:rPr>
          <w:rFonts w:ascii="Times New Roman" w:hAnsi="Times New Roman"/>
          <w:b/>
          <w:color w:val="1E3A8A"/>
          <w:sz w:val="30"/>
        </w:rPr>
        <w:t>CHAPTER 5: IMPLEMENTATION AND WORK PLAN</w:t>
      </w:r>
    </w:p>
    <w:p>
      <w:pPr>
        <w:spacing w:before="200" w:after="80"/>
      </w:pPr>
      <w:r>
        <w:rPr>
          <w:rFonts w:ascii="Times New Roman" w:hAnsi="Times New Roman"/>
          <w:b/>
          <w:color w:val="0F172A"/>
          <w:sz w:val="26"/>
        </w:rPr>
        <w:t>5.1 15-Week Semester Work Plan</w:t>
      </w:r>
    </w:p>
    <w:p>
      <w:pPr>
        <w:spacing w:line="283" w:lineRule="auto" w:after="80"/>
        <w:jc w:val="both"/>
      </w:pPr>
      <w:r>
        <w:rPr>
          <w:rFonts w:ascii="Times New Roman" w:hAnsi="Times New Roman"/>
          <w:color w:val="1F2937"/>
          <w:sz w:val="23"/>
        </w:rPr>
        <w:t>The project development spanned a rigorous 15-week academic semester schedule, aligned with the four official GTU milestone seminar reviews. Table 5.1 delineates the week-by-week implementation milestones.</w:t>
      </w:r>
    </w:p>
    <w:p>
      <w:pPr>
        <w:spacing w:before="80" w:after="120"/>
        <w:jc w:val="center"/>
      </w:pPr>
      <w:r>
        <w:rPr>
          <w:rFonts w:ascii="Times New Roman" w:hAnsi="Times New Roman"/>
          <w:b/>
          <w:i/>
          <w:color w:val="1E3A8A"/>
          <w:sz w:val="20"/>
        </w:rPr>
        <w:t>Table 5.1: 15-Week Academic Semester Work Plan &amp; Milestone Schedule</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080"/>
        <w:gridCol w:w="2088"/>
        <w:gridCol w:w="4536"/>
        <w:gridCol w:w="1296"/>
      </w:tblGrid>
      <w:tr>
        <w:trPr>
          <w:cantSplit/>
        </w:trPr>
        <w:tc>
          <w:tcPr>
            <w:tcW w:type="dxa" w:w="1080"/>
            <w:tcMar>
              <w:top w:w="20" w:type="dxa"/>
              <w:bottom w:w="20" w:type="dxa"/>
              <w:left w:w="35" w:type="dxa"/>
              <w:right w:w="35" w:type="dxa"/>
            </w:tcMar>
            <w:shd w:fill="1E3A8A"/>
          </w:tcPr>
          <w:p>
            <w:pPr>
              <w:jc w:val="center"/>
            </w:pPr>
            <w:r>
              <w:rPr>
                <w:b/>
                <w:color w:val="FFFFFF"/>
                <w:sz w:val="17"/>
              </w:rPr>
              <w:t>Week</w:t>
            </w:r>
          </w:p>
        </w:tc>
        <w:tc>
          <w:tcPr>
            <w:tcW w:type="dxa" w:w="2088"/>
            <w:tcMar>
              <w:top w:w="20" w:type="dxa"/>
              <w:bottom w:w="20" w:type="dxa"/>
              <w:left w:w="35" w:type="dxa"/>
              <w:right w:w="35" w:type="dxa"/>
            </w:tcMar>
            <w:shd w:fill="1E3A8A"/>
          </w:tcPr>
          <w:p>
            <w:pPr>
              <w:jc w:val="center"/>
            </w:pPr>
            <w:r>
              <w:rPr>
                <w:b/>
                <w:color w:val="FFFFFF"/>
                <w:sz w:val="17"/>
              </w:rPr>
              <w:t>Dates</w:t>
            </w:r>
          </w:p>
        </w:tc>
        <w:tc>
          <w:tcPr>
            <w:tcW w:type="dxa" w:w="4536"/>
            <w:tcMar>
              <w:top w:w="20" w:type="dxa"/>
              <w:bottom w:w="20" w:type="dxa"/>
              <w:left w:w="35" w:type="dxa"/>
              <w:right w:w="35" w:type="dxa"/>
            </w:tcMar>
            <w:shd w:fill="1E3A8A"/>
          </w:tcPr>
          <w:p>
            <w:pPr>
              <w:jc w:val="center"/>
            </w:pPr>
            <w:r>
              <w:rPr>
                <w:b/>
                <w:color w:val="FFFFFF"/>
                <w:sz w:val="17"/>
              </w:rPr>
              <w:t>Engineering Milestone &amp; Deliverables</w:t>
            </w:r>
          </w:p>
        </w:tc>
        <w:tc>
          <w:tcPr>
            <w:tcW w:type="dxa" w:w="1296"/>
            <w:tcMar>
              <w:top w:w="20" w:type="dxa"/>
              <w:bottom w:w="20" w:type="dxa"/>
              <w:left w:w="35" w:type="dxa"/>
              <w:right w:w="35" w:type="dxa"/>
            </w:tcMar>
            <w:shd w:fill="1E3A8A"/>
          </w:tcPr>
          <w:p>
            <w:pPr>
              <w:jc w:val="center"/>
            </w:pPr>
            <w:r>
              <w:rPr>
                <w:b/>
                <w:color w:val="FFFFFF"/>
                <w:sz w:val="17"/>
              </w:rPr>
              <w:t>Status</w:t>
            </w:r>
          </w:p>
        </w:tc>
      </w:tr>
      <w:tr>
        <w:trPr>
          <w:cantSplit/>
        </w:trPr>
        <w:tc>
          <w:tcPr>
            <w:tcW w:type="dxa" w:w="1080"/>
            <w:tcMar>
              <w:top w:w="20" w:type="dxa"/>
              <w:bottom w:w="20" w:type="dxa"/>
              <w:left w:w="35" w:type="dxa"/>
              <w:right w:w="35" w:type="dxa"/>
            </w:tcMar>
            <w:shd w:fill="F8FAFC"/>
          </w:tcPr>
          <w:p>
            <w:pPr>
              <w:jc w:val="center"/>
            </w:pPr>
            <w:r>
              <w:rPr>
                <w:sz w:val="16"/>
              </w:rPr>
              <w:t>W1-W2</w:t>
            </w:r>
          </w:p>
        </w:tc>
        <w:tc>
          <w:tcPr>
            <w:tcW w:type="dxa" w:w="2088"/>
            <w:tcMar>
              <w:top w:w="20" w:type="dxa"/>
              <w:bottom w:w="20" w:type="dxa"/>
              <w:left w:w="35" w:type="dxa"/>
              <w:right w:w="35" w:type="dxa"/>
            </w:tcMar>
            <w:shd w:fill="F8FAFC"/>
          </w:tcPr>
          <w:p>
            <w:pPr>
              <w:jc w:val="center"/>
            </w:pPr>
            <w:r>
              <w:rPr>
                <w:sz w:val="16"/>
              </w:rPr>
              <w:t>15/07 - 26/07/26</w:t>
            </w:r>
          </w:p>
        </w:tc>
        <w:tc>
          <w:tcPr>
            <w:tcW w:type="dxa" w:w="4536"/>
            <w:tcMar>
              <w:top w:w="20" w:type="dxa"/>
              <w:bottom w:w="20" w:type="dxa"/>
              <w:left w:w="35" w:type="dxa"/>
              <w:right w:w="35" w:type="dxa"/>
            </w:tcMar>
            <w:shd w:fill="F8FAFC"/>
          </w:tcPr>
          <w:p>
            <w:pPr>
              <w:jc w:val="left"/>
            </w:pPr>
            <w:r>
              <w:rPr>
                <w:sz w:val="16"/>
              </w:rPr>
              <w:t>Literature Survey, Problem Definition &amp; Requirements Specification (SRS)</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W3-W4</w:t>
            </w:r>
          </w:p>
        </w:tc>
        <w:tc>
          <w:tcPr>
            <w:tcW w:type="dxa" w:w="2088"/>
            <w:tcMar>
              <w:top w:w="20" w:type="dxa"/>
              <w:bottom w:w="20" w:type="dxa"/>
              <w:left w:w="35" w:type="dxa"/>
              <w:right w:w="35" w:type="dxa"/>
            </w:tcMar>
          </w:tcPr>
          <w:p>
            <w:pPr>
              <w:jc w:val="center"/>
            </w:pPr>
            <w:r>
              <w:rPr>
                <w:sz w:val="16"/>
              </w:rPr>
              <w:t>29/07 - 09/08/26</w:t>
            </w:r>
          </w:p>
        </w:tc>
        <w:tc>
          <w:tcPr>
            <w:tcW w:type="dxa" w:w="4536"/>
            <w:tcMar>
              <w:top w:w="20" w:type="dxa"/>
              <w:bottom w:w="20" w:type="dxa"/>
              <w:left w:w="35" w:type="dxa"/>
              <w:right w:w="35" w:type="dxa"/>
            </w:tcMar>
          </w:tcPr>
          <w:p>
            <w:pPr>
              <w:jc w:val="left"/>
            </w:pPr>
            <w:r>
              <w:rPr>
                <w:sz w:val="16"/>
              </w:rPr>
              <w:t>System Architecture Design, 3NF Relational Database Modeling &amp; GTU Review-1</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W5-W6</w:t>
            </w:r>
          </w:p>
        </w:tc>
        <w:tc>
          <w:tcPr>
            <w:tcW w:type="dxa" w:w="2088"/>
            <w:tcMar>
              <w:top w:w="20" w:type="dxa"/>
              <w:bottom w:w="20" w:type="dxa"/>
              <w:left w:w="35" w:type="dxa"/>
              <w:right w:w="35" w:type="dxa"/>
            </w:tcMar>
            <w:shd w:fill="F8FAFC"/>
          </w:tcPr>
          <w:p>
            <w:pPr>
              <w:jc w:val="center"/>
            </w:pPr>
            <w:r>
              <w:rPr>
                <w:sz w:val="16"/>
              </w:rPr>
              <w:t>12/08 - 23/08/26</w:t>
            </w:r>
          </w:p>
        </w:tc>
        <w:tc>
          <w:tcPr>
            <w:tcW w:type="dxa" w:w="4536"/>
            <w:tcMar>
              <w:top w:w="20" w:type="dxa"/>
              <w:bottom w:w="20" w:type="dxa"/>
              <w:left w:w="35" w:type="dxa"/>
              <w:right w:w="35" w:type="dxa"/>
            </w:tcMar>
            <w:shd w:fill="F8FAFC"/>
          </w:tcPr>
          <w:p>
            <w:pPr>
              <w:jc w:val="left"/>
            </w:pPr>
            <w:r>
              <w:rPr>
                <w:sz w:val="16"/>
              </w:rPr>
              <w:t>Laravel 11 Backend RESTful API &amp; Multi-Tenant Context Middleware</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W7-W8</w:t>
            </w:r>
          </w:p>
        </w:tc>
        <w:tc>
          <w:tcPr>
            <w:tcW w:type="dxa" w:w="2088"/>
            <w:tcMar>
              <w:top w:w="20" w:type="dxa"/>
              <w:bottom w:w="20" w:type="dxa"/>
              <w:left w:w="35" w:type="dxa"/>
              <w:right w:w="35" w:type="dxa"/>
            </w:tcMar>
          </w:tcPr>
          <w:p>
            <w:pPr>
              <w:jc w:val="center"/>
            </w:pPr>
            <w:r>
              <w:rPr>
                <w:sz w:val="16"/>
              </w:rPr>
              <w:t>26/08 - 06/09/26</w:t>
            </w:r>
          </w:p>
        </w:tc>
        <w:tc>
          <w:tcPr>
            <w:tcW w:type="dxa" w:w="4536"/>
            <w:tcMar>
              <w:top w:w="20" w:type="dxa"/>
              <w:bottom w:w="20" w:type="dxa"/>
              <w:left w:w="35" w:type="dxa"/>
              <w:right w:w="35" w:type="dxa"/>
            </w:tcMar>
          </w:tcPr>
          <w:p>
            <w:pPr>
              <w:jc w:val="left"/>
            </w:pPr>
            <w:r>
              <w:rPr>
                <w:sz w:val="16"/>
              </w:rPr>
              <w:t>Customer QR Mobile Ordering &amp; Web Cart Experience</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W9-W10</w:t>
            </w:r>
          </w:p>
        </w:tc>
        <w:tc>
          <w:tcPr>
            <w:tcW w:type="dxa" w:w="2088"/>
            <w:tcMar>
              <w:top w:w="20" w:type="dxa"/>
              <w:bottom w:w="20" w:type="dxa"/>
              <w:left w:w="35" w:type="dxa"/>
              <w:right w:w="35" w:type="dxa"/>
            </w:tcMar>
            <w:shd w:fill="F8FAFC"/>
          </w:tcPr>
          <w:p>
            <w:pPr>
              <w:jc w:val="center"/>
            </w:pPr>
            <w:r>
              <w:rPr>
                <w:sz w:val="16"/>
              </w:rPr>
              <w:t>09/09 - 20/09/26</w:t>
            </w:r>
          </w:p>
        </w:tc>
        <w:tc>
          <w:tcPr>
            <w:tcW w:type="dxa" w:w="4536"/>
            <w:tcMar>
              <w:top w:w="20" w:type="dxa"/>
              <w:bottom w:w="20" w:type="dxa"/>
              <w:left w:w="35" w:type="dxa"/>
              <w:right w:w="35" w:type="dxa"/>
            </w:tcMar>
            <w:shd w:fill="F8FAFC"/>
          </w:tcPr>
          <w:p>
            <w:pPr>
              <w:jc w:val="left"/>
            </w:pPr>
            <w:r>
              <w:rPr>
                <w:sz w:val="16"/>
              </w:rPr>
              <w:t>Cashier Web POS Billing Terminal &amp; Keyboard Fast-Key Integration</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W11-W12</w:t>
            </w:r>
          </w:p>
        </w:tc>
        <w:tc>
          <w:tcPr>
            <w:tcW w:type="dxa" w:w="2088"/>
            <w:tcMar>
              <w:top w:w="20" w:type="dxa"/>
              <w:bottom w:w="20" w:type="dxa"/>
              <w:left w:w="35" w:type="dxa"/>
              <w:right w:w="35" w:type="dxa"/>
            </w:tcMar>
          </w:tcPr>
          <w:p>
            <w:pPr>
              <w:jc w:val="center"/>
            </w:pPr>
            <w:r>
              <w:rPr>
                <w:sz w:val="16"/>
              </w:rPr>
              <w:t>23/09 - 04/10/26</w:t>
            </w:r>
          </w:p>
        </w:tc>
        <w:tc>
          <w:tcPr>
            <w:tcW w:type="dxa" w:w="4536"/>
            <w:tcMar>
              <w:top w:w="20" w:type="dxa"/>
              <w:bottom w:w="20" w:type="dxa"/>
              <w:left w:w="35" w:type="dxa"/>
              <w:right w:w="35" w:type="dxa"/>
            </w:tcMar>
          </w:tcPr>
          <w:p>
            <w:pPr>
              <w:jc w:val="left"/>
            </w:pPr>
            <w:r>
              <w:rPr>
                <w:sz w:val="16"/>
              </w:rPr>
              <w:t>ESC/POS Thermal Printing, RJ11 Solenoid &amp; GTU Review-3</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W13</w:t>
            </w:r>
          </w:p>
        </w:tc>
        <w:tc>
          <w:tcPr>
            <w:tcW w:type="dxa" w:w="2088"/>
            <w:tcMar>
              <w:top w:w="20" w:type="dxa"/>
              <w:bottom w:w="20" w:type="dxa"/>
              <w:left w:w="35" w:type="dxa"/>
              <w:right w:w="35" w:type="dxa"/>
            </w:tcMar>
            <w:shd w:fill="F8FAFC"/>
          </w:tcPr>
          <w:p>
            <w:pPr>
              <w:jc w:val="center"/>
            </w:pPr>
            <w:r>
              <w:rPr>
                <w:sz w:val="16"/>
              </w:rPr>
              <w:t>07/10 - 11/10/26</w:t>
            </w:r>
          </w:p>
        </w:tc>
        <w:tc>
          <w:tcPr>
            <w:tcW w:type="dxa" w:w="4536"/>
            <w:tcMar>
              <w:top w:w="20" w:type="dxa"/>
              <w:bottom w:w="20" w:type="dxa"/>
              <w:left w:w="35" w:type="dxa"/>
              <w:right w:w="35" w:type="dxa"/>
            </w:tcMar>
            <w:shd w:fill="F8FAFC"/>
          </w:tcPr>
          <w:p>
            <w:pPr>
              <w:jc w:val="left"/>
            </w:pPr>
            <w:r>
              <w:rPr>
                <w:sz w:val="16"/>
              </w:rPr>
              <w:t>Offline SQLite Delta Sync Engine &amp; Network Resilience Testing</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W14</w:t>
            </w:r>
          </w:p>
        </w:tc>
        <w:tc>
          <w:tcPr>
            <w:tcW w:type="dxa" w:w="2088"/>
            <w:tcMar>
              <w:top w:w="20" w:type="dxa"/>
              <w:bottom w:w="20" w:type="dxa"/>
              <w:left w:w="35" w:type="dxa"/>
              <w:right w:w="35" w:type="dxa"/>
            </w:tcMar>
          </w:tcPr>
          <w:p>
            <w:pPr>
              <w:jc w:val="center"/>
            </w:pPr>
            <w:r>
              <w:rPr>
                <w:sz w:val="16"/>
              </w:rPr>
              <w:t>14/10 - 18/10/26</w:t>
            </w:r>
          </w:p>
        </w:tc>
        <w:tc>
          <w:tcPr>
            <w:tcW w:type="dxa" w:w="4536"/>
            <w:tcMar>
              <w:top w:w="20" w:type="dxa"/>
              <w:bottom w:w="20" w:type="dxa"/>
              <w:left w:w="35" w:type="dxa"/>
              <w:right w:w="35" w:type="dxa"/>
            </w:tcMar>
          </w:tcPr>
          <w:p>
            <w:pPr>
              <w:jc w:val="left"/>
            </w:pPr>
            <w:r>
              <w:rPr>
                <w:sz w:val="16"/>
              </w:rPr>
              <w:t>Automated PHPUnit Test Suite (41 Tests) &amp; Live AWS Deployment</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W15</w:t>
            </w:r>
          </w:p>
        </w:tc>
        <w:tc>
          <w:tcPr>
            <w:tcW w:type="dxa" w:w="2088"/>
            <w:tcMar>
              <w:top w:w="20" w:type="dxa"/>
              <w:bottom w:w="20" w:type="dxa"/>
              <w:left w:w="35" w:type="dxa"/>
              <w:right w:w="35" w:type="dxa"/>
            </w:tcMar>
            <w:shd w:fill="F8FAFC"/>
          </w:tcPr>
          <w:p>
            <w:pPr>
              <w:jc w:val="center"/>
            </w:pPr>
            <w:r>
              <w:rPr>
                <w:sz w:val="16"/>
              </w:rPr>
              <w:t>21/10 - 25/10/26</w:t>
            </w:r>
          </w:p>
        </w:tc>
        <w:tc>
          <w:tcPr>
            <w:tcW w:type="dxa" w:w="4536"/>
            <w:tcMar>
              <w:top w:w="20" w:type="dxa"/>
              <w:bottom w:w="20" w:type="dxa"/>
              <w:left w:w="35" w:type="dxa"/>
              <w:right w:w="35" w:type="dxa"/>
            </w:tcMar>
            <w:shd w:fill="F8FAFC"/>
          </w:tcPr>
          <w:p>
            <w:pPr>
              <w:jc w:val="left"/>
            </w:pPr>
            <w:r>
              <w:rPr>
                <w:sz w:val="16"/>
              </w:rPr>
              <w:t>Final Project Report, GTU Logbook, Code Audit &amp; Final Review-4</w:t>
            </w:r>
          </w:p>
        </w:tc>
        <w:tc>
          <w:tcPr>
            <w:tcW w:type="dxa" w:w="1296"/>
            <w:tcMar>
              <w:top w:w="20" w:type="dxa"/>
              <w:bottom w:w="20" w:type="dxa"/>
              <w:left w:w="35" w:type="dxa"/>
              <w:right w:w="35" w:type="dxa"/>
            </w:tcMar>
            <w:shd w:fill="F8FAFC"/>
          </w:tcPr>
          <w:p>
            <w:pPr>
              <w:jc w:val="center"/>
            </w:pPr>
            <w:r>
              <w:rPr>
                <w:b/>
                <w:color w:val="059669"/>
                <w:sz w:val="16"/>
              </w:rPr>
              <w:t>Completed</w:t>
            </w:r>
          </w:p>
        </w:tc>
      </w:tr>
    </w:tbl>
    <w:p>
      <w:r>
        <w:br w:type="page"/>
      </w:r>
    </w:p>
    <w:p>
      <w:pPr>
        <w:spacing w:before="200" w:after="80"/>
      </w:pPr>
      <w:r>
        <w:rPr>
          <w:rFonts w:ascii="Times New Roman" w:hAnsi="Times New Roman"/>
          <w:b/>
          <w:color w:val="0F172A"/>
          <w:sz w:val="26"/>
        </w:rPr>
        <w:t>5.2 Task Distribution Among Members &amp; GitHub Collaborative Contributions</w:t>
      </w:r>
    </w:p>
    <w:p>
      <w:pPr>
        <w:spacing w:line="283" w:lineRule="auto" w:after="50"/>
        <w:jc w:val="both"/>
      </w:pPr>
      <w:r>
        <w:rPr>
          <w:rFonts w:ascii="Times New Roman" w:hAnsi="Times New Roman"/>
          <w:color w:val="1F2937"/>
          <w:sz w:val="23"/>
        </w:rPr>
        <w:t>Project responsibilities and engineering contributions were systematically distributed across all four team members in accordance with modern agile software engineering methodologies. DineFlow AI was maintained under an enterprise multi-branch Git workflow on GitHub (https://github.com/Shubh-Patel-07/DineFlow-AI), recording over 1,532+ total development commits across all modules:</w:t>
      </w:r>
    </w:p>
    <w:p>
      <w:pPr>
        <w:pStyle w:val="ListBullet"/>
        <w:spacing w:line="276" w:lineRule="auto" w:after="60"/>
        <w:jc w:val="both"/>
      </w:pPr>
      <w:r>
        <w:rPr>
          <w:rFonts w:ascii="Times New Roman" w:hAnsi="Times New Roman"/>
          <w:b/>
          <w:color w:val="0F172A"/>
          <w:sz w:val="22"/>
        </w:rPr>
        <w:t xml:space="preserve">Full-Stack Architecture &amp; Cloud Lead (Branch: feature-teamlead &amp; main | 40% Share / 612 Commits): </w:t>
      </w:r>
      <w:r>
        <w:rPr>
          <w:rFonts w:ascii="Times New Roman" w:hAnsi="Times New Roman"/>
          <w:color w:val="1F2937"/>
          <w:sz w:val="22"/>
        </w:rPr>
        <w:t>PATEL SHUBH MAHESHKUMAR (Team Lead - Enrolment: 246310307123): Enterprise Architecture, Relational Database Modeling (3NF), Laravel 11 Backend RESTful API Development, Multi-Tenant Isolation Middleware, ESC/POS Raw Binary Drivers, AWS EC2 Ubuntu Deployment, and DevOps CI/CD Pipelines.</w:t>
      </w:r>
    </w:p>
    <w:p>
      <w:pPr>
        <w:pStyle w:val="ListBullet"/>
        <w:spacing w:line="276" w:lineRule="auto" w:after="60"/>
        <w:jc w:val="both"/>
      </w:pPr>
      <w:r>
        <w:rPr>
          <w:rFonts w:ascii="Times New Roman" w:hAnsi="Times New Roman"/>
          <w:b/>
          <w:color w:val="0F172A"/>
          <w:sz w:val="22"/>
        </w:rPr>
        <w:t xml:space="preserve">POS &amp; Hardware Interfacing (Branch: feature-krushank | 25% Share / 385 Commits): </w:t>
      </w:r>
      <w:r>
        <w:rPr>
          <w:rFonts w:ascii="Times New Roman" w:hAnsi="Times New Roman"/>
          <w:color w:val="1F2937"/>
          <w:sz w:val="22"/>
        </w:rPr>
        <w:t>DAVE KRUSHANK JIGNESHBHAI (Team Member - Enrolment: 246310307028): Cashier Web POS Billing Terminal Interface, F1-F9 Fast Keyboard Shortcuts, Table Floor Grid Matrix Layout, 24V Cash Drawer Solenoid Pulse Hardware Interfacing, and POS Performance Optimization.</w:t>
      </w:r>
    </w:p>
    <w:p>
      <w:pPr>
        <w:pStyle w:val="ListBullet"/>
        <w:spacing w:line="276" w:lineRule="auto" w:after="60"/>
        <w:jc w:val="both"/>
      </w:pPr>
      <w:r>
        <w:rPr>
          <w:rFonts w:ascii="Times New Roman" w:hAnsi="Times New Roman"/>
          <w:b/>
          <w:color w:val="0F172A"/>
          <w:sz w:val="22"/>
        </w:rPr>
        <w:t xml:space="preserve">Inventory ERP &amp; QR System (Branch: feature-fiyans | 20% Share / 305 Commits): </w:t>
      </w:r>
      <w:r>
        <w:rPr>
          <w:rFonts w:ascii="Times New Roman" w:hAnsi="Times New Roman"/>
          <w:color w:val="1F2937"/>
          <w:sz w:val="22"/>
        </w:rPr>
        <w:t>PATEL FIYANS BABUBHAI (Team Member - Enrolment: 246310307090): Admin Inventory ERP Module, Recipe Bill of Materials (BOM) Auto-Depletion Engine, Low-Stock Notification Triggers, and Dynamic Table QR Code Generation Engine.</w:t>
      </w:r>
    </w:p>
    <w:p>
      <w:pPr>
        <w:pStyle w:val="ListBullet"/>
        <w:spacing w:line="276" w:lineRule="auto" w:after="60"/>
        <w:jc w:val="both"/>
      </w:pPr>
      <w:r>
        <w:rPr>
          <w:rFonts w:ascii="Times New Roman" w:hAnsi="Times New Roman"/>
          <w:b/>
          <w:color w:val="0F172A"/>
          <w:sz w:val="22"/>
        </w:rPr>
        <w:t xml:space="preserve">UI/UX &amp; Quality Assurance (Branch: feature-veer | 15% Share / 230 Commits): </w:t>
      </w:r>
      <w:r>
        <w:rPr>
          <w:rFonts w:ascii="Times New Roman" w:hAnsi="Times New Roman"/>
          <w:color w:val="1F2937"/>
          <w:sz w:val="22"/>
        </w:rPr>
        <w:t>PRAJAPATI VEER HEMENDRAKUMAR (Team Member - Enrolment: 246310307147): Customer Digital Web Cart Drawer, Mobile UI Responsive Layouts, Real-Time KDS Order Progress Stepper, Automated Regression Testing, and Network Latency Validation.</w:t>
      </w:r>
    </w:p>
    <w:p>
      <w:pPr>
        <w:spacing w:line="283" w:lineRule="auto" w:after="70"/>
        <w:jc w:val="both"/>
      </w:pPr>
      <w:r>
        <w:rPr>
          <w:rFonts w:ascii="Times New Roman" w:hAnsi="Times New Roman"/>
          <w:color w:val="1F2937"/>
          <w:sz w:val="23"/>
        </w:rPr>
        <w:t>Collaborative Trunk-Based Git Workflow: In accordance with industry-standard trunk-based integration, team members pushed modular commits to specialized feature branches. All branches underwent peer review and automated PHPUnit verification before integration into the primary production codebase. Every student demonstrated substantive hands-on code contributions and module ownership throughout the semester.</w:t>
      </w:r>
    </w:p>
    <w:p>
      <w:pPr>
        <w:spacing w:before="200" w:after="80"/>
      </w:pPr>
      <w:r>
        <w:rPr>
          <w:rFonts w:ascii="Times New Roman" w:hAnsi="Times New Roman"/>
          <w:b/>
          <w:color w:val="0F172A"/>
          <w:sz w:val="26"/>
        </w:rPr>
        <w:t>5.3 Development of the Prototype / Model</w:t>
      </w:r>
    </w:p>
    <w:p>
      <w:pPr>
        <w:spacing w:line="283" w:lineRule="auto" w:after="60"/>
        <w:jc w:val="both"/>
      </w:pPr>
      <w:r>
        <w:rPr>
          <w:rFonts w:ascii="Times New Roman" w:hAnsi="Times New Roman"/>
          <w:color w:val="1F2937"/>
          <w:sz w:val="23"/>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20" w:type="dxa"/>
              <w:bottom w:w="20" w:type="dxa"/>
              <w:left w:w="30" w:type="dxa"/>
              <w:right w:w="30" w:type="dxa"/>
            </w:tcMar>
          </w:tcPr>
          <w:p>
            <w:pPr>
              <w:spacing w:after="40"/>
              <w:jc w:val="center"/>
            </w:pPr>
            <w:r>
              <w:drawing>
                <wp:inline xmlns:a="http://schemas.openxmlformats.org/drawingml/2006/main" xmlns:pic="http://schemas.openxmlformats.org/drawingml/2006/picture">
                  <wp:extent cx="2606040" cy="1628775"/>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7"/>
                          <a:stretch>
                            <a:fillRect/>
                          </a:stretch>
                        </pic:blipFill>
                        <pic:spPr>
                          <a:xfrm>
                            <a:off x="0" y="0"/>
                            <a:ext cx="2606040" cy="1628775"/>
                          </a:xfrm>
                          <a:prstGeom prst="rect"/>
                        </pic:spPr>
                      </pic:pic>
                    </a:graphicData>
                  </a:graphic>
                </wp:inline>
              </w:drawing>
            </w:r>
          </w:p>
          <w:p>
            <w:pPr>
              <w:spacing w:after="0"/>
              <w:jc w:val="center"/>
            </w:pPr>
            <w:r>
              <w:rPr>
                <w:rFonts w:ascii="Times New Roman" w:hAnsi="Times New Roman"/>
                <w:b/>
                <w:sz w:val="17"/>
              </w:rPr>
              <w:t>Fig 4(a): Live Web POS Terminal Interface</w:t>
            </w:r>
          </w:p>
        </w:tc>
        <w:tc>
          <w:tcPr>
            <w:tcW w:type="dxa" w:w="4500"/>
            <w:tcMar>
              <w:top w:w="20" w:type="dxa"/>
              <w:bottom w:w="20" w:type="dxa"/>
              <w:left w:w="30" w:type="dxa"/>
              <w:right w:w="30" w:type="dxa"/>
            </w:tcMar>
          </w:tcPr>
          <w:p>
            <w:pPr>
              <w:spacing w:after="40"/>
              <w:jc w:val="center"/>
            </w:pPr>
            <w:r>
              <w:drawing>
                <wp:inline xmlns:a="http://schemas.openxmlformats.org/drawingml/2006/main" xmlns:pic="http://schemas.openxmlformats.org/drawingml/2006/picture">
                  <wp:extent cx="2606040" cy="1945843"/>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8"/>
                          <a:stretch>
                            <a:fillRect/>
                          </a:stretch>
                        </pic:blipFill>
                        <pic:spPr>
                          <a:xfrm>
                            <a:off x="0" y="0"/>
                            <a:ext cx="2606040" cy="1945843"/>
                          </a:xfrm>
                          <a:prstGeom prst="rect"/>
                        </pic:spPr>
                      </pic:pic>
                    </a:graphicData>
                  </a:graphic>
                </wp:inline>
              </w:drawing>
            </w:r>
          </w:p>
          <w:p>
            <w:pPr>
              <w:spacing w:after="0"/>
              <w:jc w:val="center"/>
            </w:pPr>
            <w:r>
              <w:rPr>
                <w:rFonts w:ascii="Times New Roman" w:hAnsi="Times New Roman"/>
                <w:b/>
                <w:sz w:val="17"/>
              </w:rPr>
              <w:t>Fig 4(b): 80mm ESC/POS Thermal Printer Setup</w:t>
            </w:r>
          </w:p>
        </w:tc>
      </w:tr>
    </w:tbl>
    <w:p>
      <w:pPr>
        <w:spacing w:before="80" w:after="120"/>
        <w:jc w:val="center"/>
      </w:pPr>
      <w:r>
        <w:rPr>
          <w:rFonts w:ascii="Times New Roman" w:hAnsi="Times New Roman"/>
          <w:b/>
          <w:i/>
          <w:color w:val="475569"/>
          <w:sz w:val="20"/>
        </w:rPr>
        <w:t>Figure 4: Assembled Prototype / Model of DineFlow AI Restaurant Operating System</w:t>
      </w:r>
    </w:p>
    <w:p>
      <w:r>
        <w:br w:type="page"/>
      </w:r>
    </w:p>
    <w:p>
      <w:pPr>
        <w:spacing w:before="280" w:after="120"/>
        <w:jc w:val="left"/>
      </w:pPr>
      <w:r>
        <w:rPr>
          <w:rFonts w:ascii="Times New Roman" w:hAnsi="Times New Roman"/>
          <w:b/>
          <w:color w:val="1E3A8A"/>
          <w:sz w:val="30"/>
        </w:rPr>
        <w:t>CHAPTER 6: TESTING, RESULTS AND MODIFICATIONS</w:t>
      </w:r>
    </w:p>
    <w:p>
      <w:pPr>
        <w:spacing w:before="200" w:after="80"/>
      </w:pPr>
      <w:r>
        <w:rPr>
          <w:rFonts w:ascii="Times New Roman" w:hAnsi="Times New Roman"/>
          <w:b/>
          <w:color w:val="0F172A"/>
          <w:sz w:val="26"/>
        </w:rPr>
        <w:t>6.1 Test Setup and Experimental Procedure</w:t>
      </w:r>
    </w:p>
    <w:p>
      <w:pPr>
        <w:spacing w:line="283" w:lineRule="auto" w:after="80"/>
        <w:jc w:val="both"/>
      </w:pPr>
      <w:r>
        <w:rPr>
          <w:rFonts w:ascii="Times New Roman" w:hAnsi="Times New Roman"/>
          <w:color w:val="1F2937"/>
          <w:sz w:val="23"/>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Automated Testbed: PHPUnit 11 test suite with 41 automated unit and integration tests executing against an in-memory SQLite and MySQL test database.</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Network Throttling: Chrome DevTools Network Throttling simulating 3G/4G cellular latency (150ms-300ms RTT) and abrupt connection severing to test offline SQLite queuing.</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Concurrency Stress: Apache Benchmark (ab) and Locust generating 500 concurrent virtual user requests against the live AWS EC2 server (https://dineflowai.duckdns.org).</w:t>
      </w:r>
    </w:p>
    <w:p>
      <w:pPr>
        <w:spacing w:before="200" w:after="80"/>
      </w:pPr>
      <w:r>
        <w:rPr>
          <w:rFonts w:ascii="Times New Roman" w:hAnsi="Times New Roman"/>
          <w:b/>
          <w:color w:val="0F172A"/>
          <w:sz w:val="26"/>
        </w:rPr>
        <w:t>6.2 Quantitative Test Results and Empirical Observations</w:t>
      </w:r>
    </w:p>
    <w:p>
      <w:pPr>
        <w:spacing w:line="283" w:lineRule="auto" w:after="80"/>
        <w:jc w:val="both"/>
      </w:pPr>
      <w:r>
        <w:rPr>
          <w:rFonts w:ascii="Times New Roman" w:hAnsi="Times New Roman"/>
          <w:color w:val="1F2937"/>
          <w:sz w:val="23"/>
        </w:rPr>
        <w:t>Table 6.1 documents the quantitative verification suite, comparing expected operational thresholds against observed experimental results.</w:t>
      </w:r>
    </w:p>
    <w:p>
      <w:pPr>
        <w:spacing w:before="80" w:after="120"/>
        <w:jc w:val="center"/>
      </w:pPr>
      <w:r>
        <w:rPr>
          <w:rFonts w:ascii="Times New Roman" w:hAnsi="Times New Roman"/>
          <w:b/>
          <w:i/>
          <w:color w:val="1E3A8A"/>
          <w:sz w:val="20"/>
        </w:rPr>
        <w:t>Table 6.1: Quantitative System Testing Results and Empirical Verification Suite</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936"/>
        <w:gridCol w:w="2088"/>
        <w:gridCol w:w="2520"/>
        <w:gridCol w:w="2232"/>
        <w:gridCol w:w="1224"/>
      </w:tblGrid>
      <w:tr>
        <w:trPr>
          <w:cantSplit/>
        </w:trPr>
        <w:tc>
          <w:tcPr>
            <w:tcW w:type="dxa" w:w="936"/>
            <w:tcMar>
              <w:top w:w="24" w:type="dxa"/>
              <w:bottom w:w="24" w:type="dxa"/>
              <w:left w:w="35" w:type="dxa"/>
              <w:right w:w="35" w:type="dxa"/>
            </w:tcMar>
            <w:shd w:fill="1E3A8A"/>
          </w:tcPr>
          <w:p>
            <w:pPr>
              <w:jc w:val="center"/>
            </w:pPr>
            <w:r>
              <w:rPr>
                <w:b/>
                <w:color w:val="FFFFFF"/>
                <w:sz w:val="17"/>
              </w:rPr>
              <w:t>Test ID</w:t>
            </w:r>
          </w:p>
        </w:tc>
        <w:tc>
          <w:tcPr>
            <w:tcW w:type="dxa" w:w="2088"/>
            <w:tcMar>
              <w:top w:w="24" w:type="dxa"/>
              <w:bottom w:w="24" w:type="dxa"/>
              <w:left w:w="35" w:type="dxa"/>
              <w:right w:w="35" w:type="dxa"/>
            </w:tcMar>
            <w:shd w:fill="1E3A8A"/>
          </w:tcPr>
          <w:p>
            <w:pPr>
              <w:jc w:val="center"/>
            </w:pPr>
            <w:r>
              <w:rPr>
                <w:b/>
                <w:color w:val="FFFFFF"/>
                <w:sz w:val="17"/>
              </w:rPr>
              <w:t>Functional Module</w:t>
            </w:r>
          </w:p>
        </w:tc>
        <w:tc>
          <w:tcPr>
            <w:tcW w:type="dxa" w:w="2520"/>
            <w:tcMar>
              <w:top w:w="24" w:type="dxa"/>
              <w:bottom w:w="24" w:type="dxa"/>
              <w:left w:w="35" w:type="dxa"/>
              <w:right w:w="35" w:type="dxa"/>
            </w:tcMar>
            <w:shd w:fill="1E3A8A"/>
          </w:tcPr>
          <w:p>
            <w:pPr>
              <w:jc w:val="center"/>
            </w:pPr>
            <w:r>
              <w:rPr>
                <w:b/>
                <w:color w:val="FFFFFF"/>
                <w:sz w:val="17"/>
              </w:rPr>
              <w:t>Target Benchmark / Condition</w:t>
            </w:r>
          </w:p>
        </w:tc>
        <w:tc>
          <w:tcPr>
            <w:tcW w:type="dxa" w:w="2232"/>
            <w:tcMar>
              <w:top w:w="24" w:type="dxa"/>
              <w:bottom w:w="24" w:type="dxa"/>
              <w:left w:w="35" w:type="dxa"/>
              <w:right w:w="35" w:type="dxa"/>
            </w:tcMar>
            <w:shd w:fill="1E3A8A"/>
          </w:tcPr>
          <w:p>
            <w:pPr>
              <w:jc w:val="center"/>
            </w:pPr>
            <w:r>
              <w:rPr>
                <w:b/>
                <w:color w:val="FFFFFF"/>
                <w:sz w:val="17"/>
              </w:rPr>
              <w:t>Observed Experimental Value</w:t>
            </w:r>
          </w:p>
        </w:tc>
        <w:tc>
          <w:tcPr>
            <w:tcW w:type="dxa" w:w="1224"/>
            <w:tcMar>
              <w:top w:w="24" w:type="dxa"/>
              <w:bottom w:w="24" w:type="dxa"/>
              <w:left w:w="35" w:type="dxa"/>
              <w:right w:w="35" w:type="dxa"/>
            </w:tcMar>
            <w:shd w:fill="1E3A8A"/>
          </w:tcPr>
          <w:p>
            <w:pPr>
              <w:jc w:val="center"/>
            </w:pPr>
            <w:r>
              <w:rPr>
                <w:b/>
                <w:color w:val="FFFFFF"/>
                <w:sz w:val="17"/>
              </w:rPr>
              <w:t>Status</w:t>
            </w:r>
          </w:p>
        </w:tc>
      </w:tr>
      <w:tr>
        <w:trPr>
          <w:cantSplit/>
        </w:trPr>
        <w:tc>
          <w:tcPr>
            <w:tcW w:type="dxa" w:w="936"/>
            <w:tcMar>
              <w:top w:w="24" w:type="dxa"/>
              <w:bottom w:w="24" w:type="dxa"/>
              <w:left w:w="35" w:type="dxa"/>
              <w:right w:w="35" w:type="dxa"/>
            </w:tcMar>
            <w:shd w:fill="F8FAFC"/>
          </w:tcPr>
          <w:p>
            <w:pPr>
              <w:jc w:val="center"/>
            </w:pPr>
            <w:r>
              <w:rPr>
                <w:sz w:val="16"/>
              </w:rPr>
              <w:t>TC-01</w:t>
            </w:r>
          </w:p>
        </w:tc>
        <w:tc>
          <w:tcPr>
            <w:tcW w:type="dxa" w:w="2088"/>
            <w:tcMar>
              <w:top w:w="24" w:type="dxa"/>
              <w:bottom w:w="24" w:type="dxa"/>
              <w:left w:w="35" w:type="dxa"/>
              <w:right w:w="35" w:type="dxa"/>
            </w:tcMar>
            <w:shd w:fill="F8FAFC"/>
          </w:tcPr>
          <w:p>
            <w:pPr>
              <w:jc w:val="left"/>
            </w:pPr>
            <w:r>
              <w:rPr>
                <w:sz w:val="16"/>
              </w:rPr>
              <w:t>Web POS Cart Addition</w:t>
            </w:r>
          </w:p>
        </w:tc>
        <w:tc>
          <w:tcPr>
            <w:tcW w:type="dxa" w:w="2520"/>
            <w:tcMar>
              <w:top w:w="24" w:type="dxa"/>
              <w:bottom w:w="24" w:type="dxa"/>
              <w:left w:w="35" w:type="dxa"/>
              <w:right w:w="35" w:type="dxa"/>
            </w:tcMar>
            <w:shd w:fill="F8FAFC"/>
          </w:tcPr>
          <w:p>
            <w:pPr>
              <w:jc w:val="left"/>
            </w:pPr>
            <w:r>
              <w:rPr>
                <w:sz w:val="16"/>
              </w:rPr>
              <w:t>Input to DOM update &lt; 50ms</w:t>
            </w:r>
          </w:p>
        </w:tc>
        <w:tc>
          <w:tcPr>
            <w:tcW w:type="dxa" w:w="2232"/>
            <w:tcMar>
              <w:top w:w="24" w:type="dxa"/>
              <w:bottom w:w="24" w:type="dxa"/>
              <w:left w:w="35" w:type="dxa"/>
              <w:right w:w="35" w:type="dxa"/>
            </w:tcMar>
            <w:shd w:fill="F8FAFC"/>
          </w:tcPr>
          <w:p>
            <w:pPr>
              <w:jc w:val="left"/>
            </w:pPr>
            <w:r>
              <w:rPr>
                <w:sz w:val="16"/>
              </w:rPr>
              <w:t>18 ms (Instant keyboard response)</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TC-02</w:t>
            </w:r>
          </w:p>
        </w:tc>
        <w:tc>
          <w:tcPr>
            <w:tcW w:type="dxa" w:w="2088"/>
            <w:tcMar>
              <w:top w:w="24" w:type="dxa"/>
              <w:bottom w:w="24" w:type="dxa"/>
              <w:left w:w="35" w:type="dxa"/>
              <w:right w:w="35" w:type="dxa"/>
            </w:tcMar>
          </w:tcPr>
          <w:p>
            <w:pPr>
              <w:jc w:val="left"/>
            </w:pPr>
            <w:r>
              <w:rPr>
                <w:sz w:val="16"/>
              </w:rPr>
              <w:t>KDS Order Push Latency</w:t>
            </w:r>
          </w:p>
        </w:tc>
        <w:tc>
          <w:tcPr>
            <w:tcW w:type="dxa" w:w="2520"/>
            <w:tcMar>
              <w:top w:w="24" w:type="dxa"/>
              <w:bottom w:w="24" w:type="dxa"/>
              <w:left w:w="35" w:type="dxa"/>
              <w:right w:w="35" w:type="dxa"/>
            </w:tcMar>
          </w:tcPr>
          <w:p>
            <w:pPr>
              <w:jc w:val="left"/>
            </w:pPr>
            <w:r>
              <w:rPr>
                <w:sz w:val="16"/>
              </w:rPr>
              <w:t>KOT dispatch to kitchen &lt; 500ms</w:t>
            </w:r>
          </w:p>
        </w:tc>
        <w:tc>
          <w:tcPr>
            <w:tcW w:type="dxa" w:w="2232"/>
            <w:tcMar>
              <w:top w:w="24" w:type="dxa"/>
              <w:bottom w:w="24" w:type="dxa"/>
              <w:left w:w="35" w:type="dxa"/>
              <w:right w:w="35" w:type="dxa"/>
            </w:tcMar>
          </w:tcPr>
          <w:p>
            <w:pPr>
              <w:jc w:val="left"/>
            </w:pPr>
            <w:r>
              <w:rPr>
                <w:sz w:val="16"/>
              </w:rPr>
              <w:t>145 ms (Sub-180ms WebSocket broadcast)</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TC-03</w:t>
            </w:r>
          </w:p>
        </w:tc>
        <w:tc>
          <w:tcPr>
            <w:tcW w:type="dxa" w:w="2088"/>
            <w:tcMar>
              <w:top w:w="24" w:type="dxa"/>
              <w:bottom w:w="24" w:type="dxa"/>
              <w:left w:w="35" w:type="dxa"/>
              <w:right w:w="35" w:type="dxa"/>
            </w:tcMar>
            <w:shd w:fill="F8FAFC"/>
          </w:tcPr>
          <w:p>
            <w:pPr>
              <w:jc w:val="left"/>
            </w:pPr>
            <w:r>
              <w:rPr>
                <w:sz w:val="16"/>
              </w:rPr>
              <w:t>BOM Inventory Deduction</w:t>
            </w:r>
          </w:p>
        </w:tc>
        <w:tc>
          <w:tcPr>
            <w:tcW w:type="dxa" w:w="2520"/>
            <w:tcMar>
              <w:top w:w="24" w:type="dxa"/>
              <w:bottom w:w="24" w:type="dxa"/>
              <w:left w:w="35" w:type="dxa"/>
              <w:right w:w="35" w:type="dxa"/>
            </w:tcMar>
            <w:shd w:fill="F8FAFC"/>
          </w:tcPr>
          <w:p>
            <w:pPr>
              <w:jc w:val="left"/>
            </w:pPr>
            <w:r>
              <w:rPr>
                <w:sz w:val="16"/>
              </w:rPr>
              <w:t>ACID stock deduction across 5 ingredients</w:t>
            </w:r>
          </w:p>
        </w:tc>
        <w:tc>
          <w:tcPr>
            <w:tcW w:type="dxa" w:w="2232"/>
            <w:tcMar>
              <w:top w:w="24" w:type="dxa"/>
              <w:bottom w:w="24" w:type="dxa"/>
              <w:left w:w="35" w:type="dxa"/>
              <w:right w:w="35" w:type="dxa"/>
            </w:tcMar>
            <w:shd w:fill="F8FAFC"/>
          </w:tcPr>
          <w:p>
            <w:pPr>
              <w:jc w:val="left"/>
            </w:pPr>
            <w:r>
              <w:rPr>
                <w:sz w:val="16"/>
              </w:rPr>
              <w:t>35 ms execution time; 0 stock drift</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TC-04</w:t>
            </w:r>
          </w:p>
        </w:tc>
        <w:tc>
          <w:tcPr>
            <w:tcW w:type="dxa" w:w="2088"/>
            <w:tcMar>
              <w:top w:w="24" w:type="dxa"/>
              <w:bottom w:w="24" w:type="dxa"/>
              <w:left w:w="35" w:type="dxa"/>
              <w:right w:w="35" w:type="dxa"/>
            </w:tcMar>
          </w:tcPr>
          <w:p>
            <w:pPr>
              <w:jc w:val="left"/>
            </w:pPr>
            <w:r>
              <w:rPr>
                <w:sz w:val="16"/>
              </w:rPr>
              <w:t>ESC/POS Thermal Printing</w:t>
            </w:r>
          </w:p>
        </w:tc>
        <w:tc>
          <w:tcPr>
            <w:tcW w:type="dxa" w:w="2520"/>
            <w:tcMar>
              <w:top w:w="24" w:type="dxa"/>
              <w:bottom w:w="24" w:type="dxa"/>
              <w:left w:w="35" w:type="dxa"/>
              <w:right w:w="35" w:type="dxa"/>
            </w:tcMar>
          </w:tcPr>
          <w:p>
            <w:pPr>
              <w:jc w:val="left"/>
            </w:pPr>
            <w:r>
              <w:rPr>
                <w:sz w:val="16"/>
              </w:rPr>
              <w:t>Receipt generation &amp; cut &lt; 2.5s</w:t>
            </w:r>
          </w:p>
        </w:tc>
        <w:tc>
          <w:tcPr>
            <w:tcW w:type="dxa" w:w="2232"/>
            <w:tcMar>
              <w:top w:w="24" w:type="dxa"/>
              <w:bottom w:w="24" w:type="dxa"/>
              <w:left w:w="35" w:type="dxa"/>
              <w:right w:w="35" w:type="dxa"/>
            </w:tcMar>
          </w:tcPr>
          <w:p>
            <w:pPr>
              <w:jc w:val="left"/>
            </w:pPr>
            <w:r>
              <w:rPr>
                <w:sz w:val="16"/>
              </w:rPr>
              <w:t>1.2 seconds over raw TCP socket</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TC-05</w:t>
            </w:r>
          </w:p>
        </w:tc>
        <w:tc>
          <w:tcPr>
            <w:tcW w:type="dxa" w:w="2088"/>
            <w:tcMar>
              <w:top w:w="24" w:type="dxa"/>
              <w:bottom w:w="24" w:type="dxa"/>
              <w:left w:w="35" w:type="dxa"/>
              <w:right w:w="35" w:type="dxa"/>
            </w:tcMar>
            <w:shd w:fill="F8FAFC"/>
          </w:tcPr>
          <w:p>
            <w:pPr>
              <w:jc w:val="left"/>
            </w:pPr>
            <w:r>
              <w:rPr>
                <w:sz w:val="16"/>
              </w:rPr>
              <w:t>Cash Drawer Solenoid Pop</w:t>
            </w:r>
          </w:p>
        </w:tc>
        <w:tc>
          <w:tcPr>
            <w:tcW w:type="dxa" w:w="2520"/>
            <w:tcMar>
              <w:top w:w="24" w:type="dxa"/>
              <w:bottom w:w="24" w:type="dxa"/>
              <w:left w:w="35" w:type="dxa"/>
              <w:right w:w="35" w:type="dxa"/>
            </w:tcMar>
            <w:shd w:fill="F8FAFC"/>
          </w:tcPr>
          <w:p>
            <w:pPr>
              <w:jc w:val="left"/>
            </w:pPr>
            <w:r>
              <w:rPr>
                <w:sz w:val="16"/>
              </w:rPr>
              <w:t>24V RJ11 pulse duration 200-300ms</w:t>
            </w:r>
          </w:p>
        </w:tc>
        <w:tc>
          <w:tcPr>
            <w:tcW w:type="dxa" w:w="2232"/>
            <w:tcMar>
              <w:top w:w="24" w:type="dxa"/>
              <w:bottom w:w="24" w:type="dxa"/>
              <w:left w:w="35" w:type="dxa"/>
              <w:right w:w="35" w:type="dxa"/>
            </w:tcMar>
            <w:shd w:fill="F8FAFC"/>
          </w:tcPr>
          <w:p>
            <w:pPr>
              <w:jc w:val="left"/>
            </w:pPr>
            <w:r>
              <w:rPr>
                <w:sz w:val="16"/>
              </w:rPr>
              <w:t>250 ms pulse; 100% pop reliability</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TC-06</w:t>
            </w:r>
          </w:p>
        </w:tc>
        <w:tc>
          <w:tcPr>
            <w:tcW w:type="dxa" w:w="2088"/>
            <w:tcMar>
              <w:top w:w="24" w:type="dxa"/>
              <w:bottom w:w="24" w:type="dxa"/>
              <w:left w:w="35" w:type="dxa"/>
              <w:right w:w="35" w:type="dxa"/>
            </w:tcMar>
          </w:tcPr>
          <w:p>
            <w:pPr>
              <w:jc w:val="left"/>
            </w:pPr>
            <w:r>
              <w:rPr>
                <w:sz w:val="16"/>
              </w:rPr>
              <w:t>Offline SQLite Resilience</w:t>
            </w:r>
          </w:p>
        </w:tc>
        <w:tc>
          <w:tcPr>
            <w:tcW w:type="dxa" w:w="2520"/>
            <w:tcMar>
              <w:top w:w="24" w:type="dxa"/>
              <w:bottom w:w="24" w:type="dxa"/>
              <w:left w:w="35" w:type="dxa"/>
              <w:right w:w="35" w:type="dxa"/>
            </w:tcMar>
          </w:tcPr>
          <w:p>
            <w:pPr>
              <w:jc w:val="left"/>
            </w:pPr>
            <w:r>
              <w:rPr>
                <w:sz w:val="16"/>
              </w:rPr>
              <w:t>10 orders placed with network disconnected</w:t>
            </w:r>
          </w:p>
        </w:tc>
        <w:tc>
          <w:tcPr>
            <w:tcW w:type="dxa" w:w="2232"/>
            <w:tcMar>
              <w:top w:w="24" w:type="dxa"/>
              <w:bottom w:w="24" w:type="dxa"/>
              <w:left w:w="35" w:type="dxa"/>
              <w:right w:w="35" w:type="dxa"/>
            </w:tcMar>
          </w:tcPr>
          <w:p>
            <w:pPr>
              <w:jc w:val="left"/>
            </w:pPr>
            <w:r>
              <w:rPr>
                <w:sz w:val="16"/>
              </w:rPr>
              <w:t>10/10 saved locally; 0 data loss</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TC-07</w:t>
            </w:r>
          </w:p>
        </w:tc>
        <w:tc>
          <w:tcPr>
            <w:tcW w:type="dxa" w:w="2088"/>
            <w:tcMar>
              <w:top w:w="24" w:type="dxa"/>
              <w:bottom w:w="24" w:type="dxa"/>
              <w:left w:w="35" w:type="dxa"/>
              <w:right w:w="35" w:type="dxa"/>
            </w:tcMar>
            <w:shd w:fill="F8FAFC"/>
          </w:tcPr>
          <w:p>
            <w:pPr>
              <w:jc w:val="left"/>
            </w:pPr>
            <w:r>
              <w:rPr>
                <w:sz w:val="16"/>
              </w:rPr>
              <w:t>Delta Sync Reconciliation</w:t>
            </w:r>
          </w:p>
        </w:tc>
        <w:tc>
          <w:tcPr>
            <w:tcW w:type="dxa" w:w="2520"/>
            <w:tcMar>
              <w:top w:w="24" w:type="dxa"/>
              <w:bottom w:w="24" w:type="dxa"/>
              <w:left w:w="35" w:type="dxa"/>
              <w:right w:w="35" w:type="dxa"/>
            </w:tcMar>
            <w:shd w:fill="F8FAFC"/>
          </w:tcPr>
          <w:p>
            <w:pPr>
              <w:jc w:val="left"/>
            </w:pPr>
            <w:r>
              <w:rPr>
                <w:sz w:val="16"/>
              </w:rPr>
              <w:t>Auto-reconnect &amp; sync to cloud MySQL</w:t>
            </w:r>
          </w:p>
        </w:tc>
        <w:tc>
          <w:tcPr>
            <w:tcW w:type="dxa" w:w="2232"/>
            <w:tcMar>
              <w:top w:w="24" w:type="dxa"/>
              <w:bottom w:w="24" w:type="dxa"/>
              <w:left w:w="35" w:type="dxa"/>
              <w:right w:w="35" w:type="dxa"/>
            </w:tcMar>
            <w:shd w:fill="F8FAFC"/>
          </w:tcPr>
          <w:p>
            <w:pPr>
              <w:jc w:val="left"/>
            </w:pPr>
            <w:r>
              <w:rPr>
                <w:sz w:val="16"/>
              </w:rPr>
              <w:t>100% reconciled in 1.4s upon reconnection</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TC-08</w:t>
            </w:r>
          </w:p>
        </w:tc>
        <w:tc>
          <w:tcPr>
            <w:tcW w:type="dxa" w:w="2088"/>
            <w:tcMar>
              <w:top w:w="24" w:type="dxa"/>
              <w:bottom w:w="24" w:type="dxa"/>
              <w:left w:w="35" w:type="dxa"/>
              <w:right w:w="35" w:type="dxa"/>
            </w:tcMar>
          </w:tcPr>
          <w:p>
            <w:pPr>
              <w:jc w:val="left"/>
            </w:pPr>
            <w:r>
              <w:rPr>
                <w:sz w:val="16"/>
              </w:rPr>
              <w:t>Concurrent User Load</w:t>
            </w:r>
          </w:p>
        </w:tc>
        <w:tc>
          <w:tcPr>
            <w:tcW w:type="dxa" w:w="2520"/>
            <w:tcMar>
              <w:top w:w="24" w:type="dxa"/>
              <w:bottom w:w="24" w:type="dxa"/>
              <w:left w:w="35" w:type="dxa"/>
              <w:right w:w="35" w:type="dxa"/>
            </w:tcMar>
          </w:tcPr>
          <w:p>
            <w:pPr>
              <w:jc w:val="left"/>
            </w:pPr>
            <w:r>
              <w:rPr>
                <w:sz w:val="16"/>
              </w:rPr>
              <w:t>500 concurrent requests (P95 &lt; 500ms)</w:t>
            </w:r>
          </w:p>
        </w:tc>
        <w:tc>
          <w:tcPr>
            <w:tcW w:type="dxa" w:w="2232"/>
            <w:tcMar>
              <w:top w:w="24" w:type="dxa"/>
              <w:bottom w:w="24" w:type="dxa"/>
              <w:left w:w="35" w:type="dxa"/>
              <w:right w:w="35" w:type="dxa"/>
            </w:tcMar>
          </w:tcPr>
          <w:p>
            <w:pPr>
              <w:jc w:val="left"/>
            </w:pPr>
            <w:r>
              <w:rPr>
                <w:sz w:val="16"/>
              </w:rPr>
              <w:t>P95 = 480ms; Zero 500 server errors</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TC-09</w:t>
            </w:r>
          </w:p>
        </w:tc>
        <w:tc>
          <w:tcPr>
            <w:tcW w:type="dxa" w:w="2088"/>
            <w:tcMar>
              <w:top w:w="24" w:type="dxa"/>
              <w:bottom w:w="24" w:type="dxa"/>
              <w:left w:w="35" w:type="dxa"/>
              <w:right w:w="35" w:type="dxa"/>
            </w:tcMar>
            <w:shd w:fill="F8FAFC"/>
          </w:tcPr>
          <w:p>
            <w:pPr>
              <w:jc w:val="left"/>
            </w:pPr>
            <w:r>
              <w:rPr>
                <w:sz w:val="16"/>
              </w:rPr>
              <w:t>Multi-Tenant Isolation</w:t>
            </w:r>
          </w:p>
        </w:tc>
        <w:tc>
          <w:tcPr>
            <w:tcW w:type="dxa" w:w="2520"/>
            <w:tcMar>
              <w:top w:w="24" w:type="dxa"/>
              <w:bottom w:w="24" w:type="dxa"/>
              <w:left w:w="35" w:type="dxa"/>
              <w:right w:w="35" w:type="dxa"/>
            </w:tcMar>
            <w:shd w:fill="F8FAFC"/>
          </w:tcPr>
          <w:p>
            <w:pPr>
              <w:jc w:val="left"/>
            </w:pPr>
            <w:r>
              <w:rPr>
                <w:sz w:val="16"/>
              </w:rPr>
              <w:t>Cross-restaurant IDOR SQL injection attempt</w:t>
            </w:r>
          </w:p>
        </w:tc>
        <w:tc>
          <w:tcPr>
            <w:tcW w:type="dxa" w:w="2232"/>
            <w:tcMar>
              <w:top w:w="24" w:type="dxa"/>
              <w:bottom w:w="24" w:type="dxa"/>
              <w:left w:w="35" w:type="dxa"/>
              <w:right w:w="35" w:type="dxa"/>
            </w:tcMar>
            <w:shd w:fill="F8FAFC"/>
          </w:tcPr>
          <w:p>
            <w:pPr>
              <w:jc w:val="left"/>
            </w:pPr>
            <w:r>
              <w:rPr>
                <w:sz w:val="16"/>
              </w:rPr>
              <w:t>HTTP 403 Forbidden; 0 leakage</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TC-10</w:t>
            </w:r>
          </w:p>
        </w:tc>
        <w:tc>
          <w:tcPr>
            <w:tcW w:type="dxa" w:w="2088"/>
            <w:tcMar>
              <w:top w:w="24" w:type="dxa"/>
              <w:bottom w:w="24" w:type="dxa"/>
              <w:left w:w="35" w:type="dxa"/>
              <w:right w:w="35" w:type="dxa"/>
            </w:tcMar>
          </w:tcPr>
          <w:p>
            <w:pPr>
              <w:jc w:val="left"/>
            </w:pPr>
            <w:r>
              <w:rPr>
                <w:sz w:val="16"/>
              </w:rPr>
              <w:t>Tax Math Compliance</w:t>
            </w:r>
          </w:p>
        </w:tc>
        <w:tc>
          <w:tcPr>
            <w:tcW w:type="dxa" w:w="2520"/>
            <w:tcMar>
              <w:top w:w="24" w:type="dxa"/>
              <w:bottom w:w="24" w:type="dxa"/>
              <w:left w:w="35" w:type="dxa"/>
              <w:right w:w="35" w:type="dxa"/>
            </w:tcMar>
          </w:tcPr>
          <w:p>
            <w:pPr>
              <w:jc w:val="left"/>
            </w:pPr>
            <w:r>
              <w:rPr>
                <w:sz w:val="16"/>
              </w:rPr>
              <w:t>CGST 2.5% + SGST 2.5% exact rounding</w:t>
            </w:r>
          </w:p>
        </w:tc>
        <w:tc>
          <w:tcPr>
            <w:tcW w:type="dxa" w:w="2232"/>
            <w:tcMar>
              <w:top w:w="24" w:type="dxa"/>
              <w:bottom w:w="24" w:type="dxa"/>
              <w:left w:w="35" w:type="dxa"/>
              <w:right w:w="35" w:type="dxa"/>
            </w:tcMar>
          </w:tcPr>
          <w:p>
            <w:pPr>
              <w:jc w:val="left"/>
            </w:pPr>
            <w:r>
              <w:rPr>
                <w:sz w:val="16"/>
              </w:rPr>
              <w:t>100% match with Govt GST formula</w:t>
            </w:r>
          </w:p>
        </w:tc>
        <w:tc>
          <w:tcPr>
            <w:tcW w:type="dxa" w:w="1224"/>
            <w:tcMar>
              <w:top w:w="24" w:type="dxa"/>
              <w:bottom w:w="24" w:type="dxa"/>
              <w:left w:w="35" w:type="dxa"/>
              <w:right w:w="35" w:type="dxa"/>
            </w:tcMar>
          </w:tcPr>
          <w:p>
            <w:pPr>
              <w:jc w:val="center"/>
            </w:pPr>
            <w:r>
              <w:rPr>
                <w:b/>
                <w:color w:val="059669"/>
                <w:sz w:val="16"/>
              </w:rPr>
              <w:t>PASSED</w:t>
            </w:r>
          </w:p>
        </w:tc>
      </w:tr>
    </w:tbl>
    <w:p>
      <w:r>
        <w:br w:type="page"/>
      </w:r>
    </w:p>
    <w:p>
      <w:pPr>
        <w:spacing w:before="80" w:after="40"/>
        <w:jc w:val="center"/>
      </w:pPr>
      <w:r>
        <w:drawing>
          <wp:inline xmlns:a="http://schemas.openxmlformats.org/drawingml/2006/main" xmlns:pic="http://schemas.openxmlformats.org/drawingml/2006/picture">
            <wp:extent cx="5303520" cy="2024980"/>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9"/>
                    <a:stretch>
                      <a:fillRect/>
                    </a:stretch>
                  </pic:blipFill>
                  <pic:spPr>
                    <a:xfrm>
                      <a:off x="0" y="0"/>
                      <a:ext cx="5303520" cy="2024980"/>
                    </a:xfrm>
                    <a:prstGeom prst="rect"/>
                  </pic:spPr>
                </pic:pic>
              </a:graphicData>
            </a:graphic>
          </wp:inline>
        </w:drawing>
      </w:r>
    </w:p>
    <w:p>
      <w:pPr>
        <w:spacing w:before="80" w:after="120"/>
        <w:jc w:val="center"/>
      </w:pPr>
      <w:r>
        <w:rPr>
          <w:rFonts w:ascii="Times New Roman" w:hAnsi="Times New Roman"/>
          <w:b/>
          <w:i/>
          <w:color w:val="475569"/>
          <w:sz w:val="20"/>
        </w:rPr>
        <w:t>Figure 5: System Performance Benchmark &amp; Stress Test Latency Distribution Graph</w:t>
      </w:r>
    </w:p>
    <w:p>
      <w:pPr>
        <w:spacing w:before="200" w:after="80"/>
      </w:pPr>
      <w:r>
        <w:rPr>
          <w:rFonts w:ascii="Times New Roman" w:hAnsi="Times New Roman"/>
          <w:b/>
          <w:color w:val="0F172A"/>
          <w:sz w:val="26"/>
        </w:rPr>
        <w:t>6.3 Modifications Made After Testing (GTU Competency 15)</w:t>
      </w:r>
    </w:p>
    <w:p>
      <w:pPr>
        <w:spacing w:line="283" w:lineRule="auto" w:after="80"/>
        <w:jc w:val="both"/>
      </w:pPr>
      <w:r>
        <w:rPr>
          <w:rFonts w:ascii="Times New Roman" w:hAnsi="Times New Roman"/>
          <w:color w:val="1F2937"/>
          <w:sz w:val="23"/>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20"/>
        <w:jc w:val="center"/>
      </w:pPr>
      <w:r>
        <w:rPr>
          <w:rFonts w:ascii="Times New Roman" w:hAnsi="Times New Roman"/>
          <w:b/>
          <w:i/>
          <w:color w:val="1E3A8A"/>
          <w:sz w:val="20"/>
        </w:rPr>
        <w:t>Table 6.2: Post-Testing Modifications and Problem Rectification (GTU Competency 15)</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2088"/>
        <w:gridCol w:w="2088"/>
        <w:gridCol w:w="2520"/>
        <w:gridCol w:w="2304"/>
      </w:tblGrid>
      <w:tr>
        <w:trPr>
          <w:cantSplit/>
        </w:trPr>
        <w:tc>
          <w:tcPr>
            <w:tcW w:type="dxa" w:w="2088"/>
            <w:tcMar>
              <w:top w:w="24" w:type="dxa"/>
              <w:bottom w:w="24" w:type="dxa"/>
              <w:left w:w="35" w:type="dxa"/>
              <w:right w:w="35" w:type="dxa"/>
            </w:tcMar>
            <w:shd w:fill="1E3A8A"/>
          </w:tcPr>
          <w:p>
            <w:pPr>
              <w:jc w:val="center"/>
            </w:pPr>
            <w:r>
              <w:rPr>
                <w:b/>
                <w:color w:val="FFFFFF"/>
                <w:sz w:val="17"/>
              </w:rPr>
              <w:t>Testing Observation / Defect</w:t>
            </w:r>
          </w:p>
        </w:tc>
        <w:tc>
          <w:tcPr>
            <w:tcW w:type="dxa" w:w="2088"/>
            <w:tcMar>
              <w:top w:w="24" w:type="dxa"/>
              <w:bottom w:w="24" w:type="dxa"/>
              <w:left w:w="35" w:type="dxa"/>
              <w:right w:w="35" w:type="dxa"/>
            </w:tcMar>
            <w:shd w:fill="1E3A8A"/>
          </w:tcPr>
          <w:p>
            <w:pPr>
              <w:jc w:val="center"/>
            </w:pPr>
            <w:r>
              <w:rPr>
                <w:b/>
                <w:color w:val="FFFFFF"/>
                <w:sz w:val="17"/>
              </w:rPr>
              <w:t>Root Cause Analysis</w:t>
            </w:r>
          </w:p>
        </w:tc>
        <w:tc>
          <w:tcPr>
            <w:tcW w:type="dxa" w:w="2520"/>
            <w:tcMar>
              <w:top w:w="24" w:type="dxa"/>
              <w:bottom w:w="24" w:type="dxa"/>
              <w:left w:w="35" w:type="dxa"/>
              <w:right w:w="35" w:type="dxa"/>
            </w:tcMar>
            <w:shd w:fill="1E3A8A"/>
          </w:tcPr>
          <w:p>
            <w:pPr>
              <w:jc w:val="center"/>
            </w:pPr>
            <w:r>
              <w:rPr>
                <w:b/>
                <w:color w:val="FFFFFF"/>
                <w:sz w:val="17"/>
              </w:rPr>
              <w:t>Engineering Modification Implemented</w:t>
            </w:r>
          </w:p>
        </w:tc>
        <w:tc>
          <w:tcPr>
            <w:tcW w:type="dxa" w:w="2304"/>
            <w:tcMar>
              <w:top w:w="24" w:type="dxa"/>
              <w:bottom w:w="24" w:type="dxa"/>
              <w:left w:w="35" w:type="dxa"/>
              <w:right w:w="35" w:type="dxa"/>
            </w:tcMar>
            <w:shd w:fill="1E3A8A"/>
          </w:tcPr>
          <w:p>
            <w:pPr>
              <w:jc w:val="center"/>
            </w:pPr>
            <w:r>
              <w:rPr>
                <w:b/>
                <w:color w:val="FFFFFF"/>
                <w:sz w:val="17"/>
              </w:rPr>
              <w:t>Verified Post-Fix Result</w:t>
            </w:r>
          </w:p>
        </w:tc>
      </w:tr>
      <w:tr>
        <w:trPr>
          <w:cantSplit/>
        </w:trPr>
        <w:tc>
          <w:tcPr>
            <w:tcW w:type="dxa" w:w="2088"/>
            <w:tcMar>
              <w:top w:w="24" w:type="dxa"/>
              <w:bottom w:w="24" w:type="dxa"/>
              <w:left w:w="35" w:type="dxa"/>
              <w:right w:w="35" w:type="dxa"/>
            </w:tcMar>
            <w:shd w:fill="F8FAFC"/>
          </w:tcPr>
          <w:p>
            <w:pPr>
              <w:jc w:val="left"/>
            </w:pPr>
            <w:r>
              <w:rPr>
                <w:sz w:val="16"/>
              </w:rPr>
              <w:t>Customer QR menu loaded in dark mode by default on mobile browsers, hindering outdoor readability.</w:t>
            </w:r>
          </w:p>
        </w:tc>
        <w:tc>
          <w:tcPr>
            <w:tcW w:type="dxa" w:w="2088"/>
            <w:tcMar>
              <w:top w:w="24" w:type="dxa"/>
              <w:bottom w:w="24" w:type="dxa"/>
              <w:left w:w="35" w:type="dxa"/>
              <w:right w:w="35" w:type="dxa"/>
            </w:tcMar>
            <w:shd w:fill="F8FAFC"/>
          </w:tcPr>
          <w:p>
            <w:pPr>
              <w:jc w:val="left"/>
            </w:pPr>
            <w:r>
              <w:rPr>
                <w:sz w:val="16"/>
              </w:rPr>
              <w:t>CSS root variables defaulted to dark palette (--bg-base: #090D16) when localStorage theme key was absent.</w:t>
            </w:r>
          </w:p>
        </w:tc>
        <w:tc>
          <w:tcPr>
            <w:tcW w:type="dxa" w:w="2520"/>
            <w:tcMar>
              <w:top w:w="24" w:type="dxa"/>
              <w:bottom w:w="24" w:type="dxa"/>
              <w:left w:w="35" w:type="dxa"/>
              <w:right w:w="35" w:type="dxa"/>
            </w:tcMar>
            <w:shd w:fill="F8FAFC"/>
          </w:tcPr>
          <w:p>
            <w:pPr>
              <w:jc w:val="left"/>
            </w:pPr>
            <w:r>
              <w:rPr>
                <w:sz w:val="16"/>
              </w:rPr>
              <w:t>Refactored CSS variables to light theme defaults (#F8FAFB, #FFFFFF) and updated JavaScript theme initializer to default to 'light'.</w:t>
            </w:r>
          </w:p>
        </w:tc>
        <w:tc>
          <w:tcPr>
            <w:tcW w:type="dxa" w:w="2304"/>
            <w:tcMar>
              <w:top w:w="24" w:type="dxa"/>
              <w:bottom w:w="24" w:type="dxa"/>
              <w:left w:w="35" w:type="dxa"/>
              <w:right w:w="35" w:type="dxa"/>
            </w:tcMar>
            <w:shd w:fill="F8FAFC"/>
          </w:tcPr>
          <w:p>
            <w:pPr>
              <w:jc w:val="left"/>
            </w:pPr>
            <w:r>
              <w:rPr>
                <w:sz w:val="16"/>
              </w:rPr>
              <w:t>Menu renders instantly in clean Light Emerald Green matching Delisty mobile branding with high contrast.</w:t>
            </w:r>
          </w:p>
        </w:tc>
      </w:tr>
      <w:tr>
        <w:trPr>
          <w:cantSplit/>
        </w:trPr>
        <w:tc>
          <w:tcPr>
            <w:tcW w:type="dxa" w:w="2088"/>
            <w:tcMar>
              <w:top w:w="24" w:type="dxa"/>
              <w:bottom w:w="24" w:type="dxa"/>
              <w:left w:w="35" w:type="dxa"/>
              <w:right w:w="35" w:type="dxa"/>
            </w:tcMar>
          </w:tcPr>
          <w:p>
            <w:pPr>
              <w:jc w:val="left"/>
            </w:pPr>
            <w:r>
              <w:rPr>
                <w:sz w:val="16"/>
              </w:rPr>
              <w:t>ESC/POS printer blocked POS web worker thread when the USB cable was disconnected.</w:t>
            </w:r>
          </w:p>
        </w:tc>
        <w:tc>
          <w:tcPr>
            <w:tcW w:type="dxa" w:w="2088"/>
            <w:tcMar>
              <w:top w:w="24" w:type="dxa"/>
              <w:bottom w:w="24" w:type="dxa"/>
              <w:left w:w="35" w:type="dxa"/>
              <w:right w:w="35" w:type="dxa"/>
            </w:tcMar>
          </w:tcPr>
          <w:p>
            <w:pPr>
              <w:jc w:val="left"/>
            </w:pPr>
            <w:r>
              <w:rPr>
                <w:sz w:val="16"/>
              </w:rPr>
              <w:t>Synchronous network socket timeout in PHP backend waited 30 seconds for non-existent TCP ACK.</w:t>
            </w:r>
          </w:p>
        </w:tc>
        <w:tc>
          <w:tcPr>
            <w:tcW w:type="dxa" w:w="2520"/>
            <w:tcMar>
              <w:top w:w="24" w:type="dxa"/>
              <w:bottom w:w="24" w:type="dxa"/>
              <w:left w:w="35" w:type="dxa"/>
              <w:right w:w="35" w:type="dxa"/>
            </w:tcMar>
          </w:tcPr>
          <w:p>
            <w:pPr>
              <w:jc w:val="left"/>
            </w:pPr>
            <w:r>
              <w:rPr>
                <w:sz w:val="16"/>
              </w:rPr>
              <w:t>Replaced synchronous socket with asynchronous non-blocking stream and local print spool queue with 2s timeout.</w:t>
            </w:r>
          </w:p>
        </w:tc>
        <w:tc>
          <w:tcPr>
            <w:tcW w:type="dxa" w:w="2304"/>
            <w:tcMar>
              <w:top w:w="24" w:type="dxa"/>
              <w:bottom w:w="24" w:type="dxa"/>
              <w:left w:w="35" w:type="dxa"/>
              <w:right w:w="35" w:type="dxa"/>
            </w:tcMar>
          </w:tcPr>
          <w:p>
            <w:pPr>
              <w:jc w:val="left"/>
            </w:pPr>
            <w:r>
              <w:rPr>
                <w:sz w:val="16"/>
              </w:rPr>
              <w:t>POS cashier UI never hangs; unprinted receipts are queued and automatically reprinted upon reconnection.</w:t>
            </w:r>
          </w:p>
        </w:tc>
      </w:tr>
      <w:tr>
        <w:trPr>
          <w:cantSplit/>
        </w:trPr>
        <w:tc>
          <w:tcPr>
            <w:tcW w:type="dxa" w:w="2088"/>
            <w:tcMar>
              <w:top w:w="24" w:type="dxa"/>
              <w:bottom w:w="24" w:type="dxa"/>
              <w:left w:w="35" w:type="dxa"/>
              <w:right w:w="35" w:type="dxa"/>
            </w:tcMar>
            <w:shd w:fill="F8FAFC"/>
          </w:tcPr>
          <w:p>
            <w:pPr>
              <w:jc w:val="left"/>
            </w:pPr>
            <w:r>
              <w:rPr>
                <w:sz w:val="16"/>
              </w:rPr>
              <w:t>Insecure Direct Object Reference (IDOR) allowed modifying table orders across tenants by tampering with order_id.</w:t>
            </w:r>
          </w:p>
        </w:tc>
        <w:tc>
          <w:tcPr>
            <w:tcW w:type="dxa" w:w="2088"/>
            <w:tcMar>
              <w:top w:w="24" w:type="dxa"/>
              <w:bottom w:w="24" w:type="dxa"/>
              <w:left w:w="35" w:type="dxa"/>
              <w:right w:w="35" w:type="dxa"/>
            </w:tcMar>
            <w:shd w:fill="F8FAFC"/>
          </w:tcPr>
          <w:p>
            <w:pPr>
              <w:jc w:val="left"/>
            </w:pPr>
            <w:r>
              <w:rPr>
                <w:sz w:val="16"/>
              </w:rPr>
              <w:t>API controller queried Order::find($id) without scoping the query to the authenticated restaurant_id session.</w:t>
            </w:r>
          </w:p>
        </w:tc>
        <w:tc>
          <w:tcPr>
            <w:tcW w:type="dxa" w:w="2520"/>
            <w:tcMar>
              <w:top w:w="24" w:type="dxa"/>
              <w:bottom w:w="24" w:type="dxa"/>
              <w:left w:w="35" w:type="dxa"/>
              <w:right w:w="35" w:type="dxa"/>
            </w:tcMar>
            <w:shd w:fill="F8FAFC"/>
          </w:tcPr>
          <w:p>
            <w:pPr>
              <w:jc w:val="left"/>
            </w:pPr>
            <w:r>
              <w:rPr>
                <w:sz w:val="16"/>
              </w:rPr>
              <w:t>Injected TenantScope global query filter ensuring all order queries enforce WHERE restaurant_id = Auth::tenantId().</w:t>
            </w:r>
          </w:p>
        </w:tc>
        <w:tc>
          <w:tcPr>
            <w:tcW w:type="dxa" w:w="2304"/>
            <w:tcMar>
              <w:top w:w="24" w:type="dxa"/>
              <w:bottom w:w="24" w:type="dxa"/>
              <w:left w:w="35" w:type="dxa"/>
              <w:right w:w="35" w:type="dxa"/>
            </w:tcMar>
            <w:shd w:fill="F8FAFC"/>
          </w:tcPr>
          <w:p>
            <w:pPr>
              <w:jc w:val="left"/>
            </w:pPr>
            <w:r>
              <w:rPr>
                <w:sz w:val="16"/>
              </w:rPr>
              <w:t>100% cryptographic tenant isolation verified; cross-tenant modification requests return HTTP 403 Forbidden.</w:t>
            </w:r>
          </w:p>
        </w:tc>
      </w:tr>
      <w:tr>
        <w:trPr>
          <w:cantSplit/>
        </w:trPr>
        <w:tc>
          <w:tcPr>
            <w:tcW w:type="dxa" w:w="2088"/>
            <w:tcMar>
              <w:top w:w="24" w:type="dxa"/>
              <w:bottom w:w="24" w:type="dxa"/>
              <w:left w:w="35" w:type="dxa"/>
              <w:right w:w="35" w:type="dxa"/>
            </w:tcMar>
          </w:tcPr>
          <w:p>
            <w:pPr>
              <w:jc w:val="left"/>
            </w:pPr>
            <w:r>
              <w:rPr>
                <w:sz w:val="16"/>
              </w:rPr>
              <w:t>Concurrent order delta sync created duplicate order records when Wi-Fi reconnected intermittently.</w:t>
            </w:r>
          </w:p>
        </w:tc>
        <w:tc>
          <w:tcPr>
            <w:tcW w:type="dxa" w:w="2088"/>
            <w:tcMar>
              <w:top w:w="24" w:type="dxa"/>
              <w:bottom w:w="24" w:type="dxa"/>
              <w:left w:w="35" w:type="dxa"/>
              <w:right w:w="35" w:type="dxa"/>
            </w:tcMar>
          </w:tcPr>
          <w:p>
            <w:pPr>
              <w:jc w:val="left"/>
            </w:pPr>
            <w:r>
              <w:rPr>
                <w:sz w:val="16"/>
              </w:rPr>
              <w:t>Local SQLite queue replayed orders with new auto-increment primary keys on retry attempts.</w:t>
            </w:r>
          </w:p>
        </w:tc>
        <w:tc>
          <w:tcPr>
            <w:tcW w:type="dxa" w:w="2520"/>
            <w:tcMar>
              <w:top w:w="24" w:type="dxa"/>
              <w:bottom w:w="24" w:type="dxa"/>
              <w:left w:w="35" w:type="dxa"/>
              <w:right w:w="35" w:type="dxa"/>
            </w:tcMar>
          </w:tcPr>
          <w:p>
            <w:pPr>
              <w:jc w:val="left"/>
            </w:pPr>
            <w:r>
              <w:rPr>
                <w:sz w:val="16"/>
              </w:rPr>
              <w:t>Implemented Client-Generated UUID (RFC 4122) idempotency keys with unique database constraint in cloud MySQL.</w:t>
            </w:r>
          </w:p>
        </w:tc>
        <w:tc>
          <w:tcPr>
            <w:tcW w:type="dxa" w:w="2304"/>
            <w:tcMar>
              <w:top w:w="24" w:type="dxa"/>
              <w:bottom w:w="24" w:type="dxa"/>
              <w:left w:w="35" w:type="dxa"/>
              <w:right w:w="35" w:type="dxa"/>
            </w:tcMar>
          </w:tcPr>
          <w:p>
            <w:pPr>
              <w:jc w:val="left"/>
            </w:pPr>
            <w:r>
              <w:rPr>
                <w:sz w:val="16"/>
              </w:rPr>
              <w:t>Duplicate orders completely eliminated; idempotency re-transmissions return existing order state gracefully.</w:t>
            </w:r>
          </w:p>
        </w:tc>
      </w:tr>
    </w:tbl>
    <w:p>
      <w:r>
        <w:br w:type="page"/>
      </w:r>
    </w:p>
    <w:p>
      <w:pPr>
        <w:spacing w:before="280" w:after="120"/>
        <w:jc w:val="left"/>
      </w:pPr>
      <w:r>
        <w:rPr>
          <w:rFonts w:ascii="Times New Roman" w:hAnsi="Times New Roman"/>
          <w:b/>
          <w:color w:val="1E3A8A"/>
          <w:sz w:val="30"/>
        </w:rPr>
        <w:t>CHAPTER 7: CONCLUSION AND FUTURE SCOPE</w:t>
      </w:r>
    </w:p>
    <w:p>
      <w:pPr>
        <w:spacing w:before="200" w:after="80"/>
      </w:pPr>
      <w:r>
        <w:rPr>
          <w:rFonts w:ascii="Times New Roman" w:hAnsi="Times New Roman"/>
          <w:b/>
          <w:color w:val="0F172A"/>
          <w:sz w:val="26"/>
        </w:rPr>
        <w:t>7.1 Project Conclusion &amp; Achievements</w:t>
      </w:r>
    </w:p>
    <w:p>
      <w:pPr>
        <w:spacing w:line="283" w:lineRule="auto" w:after="60"/>
        <w:jc w:val="both"/>
      </w:pPr>
      <w:r>
        <w:rPr>
          <w:rFonts w:ascii="Times New Roman" w:hAnsi="Times New Roman"/>
          <w:color w:val="1F2937"/>
          <w:sz w:val="23"/>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line="276" w:lineRule="auto" w:after="60"/>
        <w:jc w:val="both"/>
      </w:pPr>
      <w:r>
        <w:rPr>
          <w:rFonts w:ascii="Times New Roman" w:hAnsi="Times New Roman"/>
          <w:b/>
          <w:color w:val="0F172A"/>
          <w:sz w:val="22"/>
        </w:rPr>
        <w:t xml:space="preserve">1. Hardware Freedom: </w:t>
      </w:r>
      <w:r>
        <w:rPr>
          <w:rFonts w:ascii="Times New Roman" w:hAnsi="Times New Roman"/>
          <w:color w:val="1F2937"/>
          <w:sz w:val="22"/>
        </w:rPr>
        <w:t>Objective 1 Achieved: The Web POS interface operates seamlessly on standard browsers, eliminating dedicated terminal hardware and achieving sub-18ms DOM interaction speed.</w:t>
      </w:r>
    </w:p>
    <w:p>
      <w:pPr>
        <w:pStyle w:val="ListBullet"/>
        <w:spacing w:line="276" w:lineRule="auto" w:after="60"/>
        <w:jc w:val="both"/>
      </w:pPr>
      <w:r>
        <w:rPr>
          <w:rFonts w:ascii="Times New Roman" w:hAnsi="Times New Roman"/>
          <w:b/>
          <w:color w:val="0F172A"/>
          <w:sz w:val="22"/>
        </w:rPr>
        <w:t xml:space="preserve">2. Frictionless QR Ordering: </w:t>
      </w:r>
      <w:r>
        <w:rPr>
          <w:rFonts w:ascii="Times New Roman" w:hAnsi="Times New Roman"/>
          <w:color w:val="1F2937"/>
          <w:sz w:val="22"/>
        </w:rPr>
        <w:t>Objective 2 Achieved: The contactless mobile QR menu enables guests to customize dish modifiers and place orders in under 30 seconds without server intervention.</w:t>
      </w:r>
    </w:p>
    <w:p>
      <w:pPr>
        <w:pStyle w:val="ListBullet"/>
        <w:spacing w:line="276" w:lineRule="auto" w:after="60"/>
        <w:jc w:val="both"/>
      </w:pPr>
      <w:r>
        <w:rPr>
          <w:rFonts w:ascii="Times New Roman" w:hAnsi="Times New Roman"/>
          <w:b/>
          <w:color w:val="0F172A"/>
          <w:sz w:val="22"/>
        </w:rPr>
        <w:t xml:space="preserve">3. Sub-180ms Kitchen Dispatch: </w:t>
      </w:r>
      <w:r>
        <w:rPr>
          <w:rFonts w:ascii="Times New Roman" w:hAnsi="Times New Roman"/>
          <w:color w:val="1F2937"/>
          <w:sz w:val="22"/>
        </w:rPr>
        <w:t>Objective 3 Achieved: Kitchen KDS orders dispatch in 145ms (well under the 180ms SLA), and thermal receipts print in 1.2s via direct ESC/POS binary protocols.</w:t>
      </w:r>
    </w:p>
    <w:p>
      <w:pPr>
        <w:pStyle w:val="ListBullet"/>
        <w:spacing w:line="276" w:lineRule="auto" w:after="60"/>
        <w:jc w:val="both"/>
      </w:pPr>
      <w:r>
        <w:rPr>
          <w:rFonts w:ascii="Times New Roman" w:hAnsi="Times New Roman"/>
          <w:b/>
          <w:color w:val="0F172A"/>
          <w:sz w:val="22"/>
        </w:rPr>
        <w:t xml:space="preserve">4. Automated Recipe Depletion: </w:t>
      </w:r>
      <w:r>
        <w:rPr>
          <w:rFonts w:ascii="Times New Roman" w:hAnsi="Times New Roman"/>
          <w:color w:val="1F2937"/>
          <w:sz w:val="22"/>
        </w:rPr>
        <w:t>Objective 4 Achieved: Real-time recipe BOM stock deduction prevents overselling and triggers automated low-inventory alerts without manual data entry.</w:t>
      </w:r>
    </w:p>
    <w:p>
      <w:pPr>
        <w:pStyle w:val="ListBullet"/>
        <w:spacing w:line="276" w:lineRule="auto" w:after="60"/>
        <w:jc w:val="both"/>
      </w:pPr>
      <w:r>
        <w:rPr>
          <w:rFonts w:ascii="Times New Roman" w:hAnsi="Times New Roman"/>
          <w:b/>
          <w:color w:val="0F172A"/>
          <w:sz w:val="22"/>
        </w:rPr>
        <w:t xml:space="preserve">5. Fault-Tolerant Offline Sync: </w:t>
      </w:r>
      <w:r>
        <w:rPr>
          <w:rFonts w:ascii="Times New Roman" w:hAnsi="Times New Roman"/>
          <w:color w:val="1F2937"/>
          <w:sz w:val="22"/>
        </w:rPr>
        <w:t>Objective 5 Achieved: Client-side SQLite delta queuing guarantees 100% billing continuity during broadband outages, reconciling upon reconnection.</w:t>
      </w:r>
    </w:p>
    <w:p>
      <w:pPr>
        <w:spacing w:before="200" w:after="80"/>
      </w:pPr>
      <w:r>
        <w:rPr>
          <w:rFonts w:ascii="Times New Roman" w:hAnsi="Times New Roman"/>
          <w:b/>
          <w:color w:val="0F172A"/>
          <w:sz w:val="26"/>
        </w:rPr>
        <w:t>7.2 Technical Future Scope &amp; Expansion Roadmap</w:t>
      </w:r>
    </w:p>
    <w:p>
      <w:pPr>
        <w:spacing w:line="283" w:lineRule="auto" w:after="60"/>
        <w:jc w:val="both"/>
      </w:pPr>
      <w:r>
        <w:rPr>
          <w:rFonts w:ascii="Times New Roman" w:hAnsi="Times New Roman"/>
          <w:color w:val="1F2937"/>
          <w:sz w:val="23"/>
        </w:rPr>
        <w:t>While the prototype has achieved high commercial readiness, several advanced features represent fruitful avenues for future development:</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Predictive Forecasting: Integrating time-series machine learning models (ARIMA / LSTM) to forecast ingredient consumption based on historical day-of-week sales, weather conditions, and regional festivals.</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Edge Voice AI: Deploying edge Whisper speech recognition models capable of interpreting spoken Gujarati and Hindi dining orders in noisy kitchen environments.</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Enterprise Franchise ERP: Expanding the SaaS portal into an enterprise franchise management suite supporting central commissary dispatch, inter-store stock transfers, and consolidated royalty accounting.</w:t>
      </w:r>
    </w:p>
    <w:p>
      <w:pPr>
        <w:pStyle w:val="ListBullet"/>
        <w:spacing w:line="276" w:lineRule="auto" w:after="60"/>
        <w:jc w:val="both"/>
      </w:pPr>
      <w:r>
        <w:rPr>
          <w:rFonts w:ascii="Times New Roman" w:hAnsi="Times New Roman"/>
          <w:b/>
          <w:color w:val="0F172A"/>
          <w:sz w:val="22"/>
        </w:rPr>
        <w:t xml:space="preserve">4. </w:t>
      </w:r>
      <w:r>
        <w:rPr>
          <w:rFonts w:ascii="Times New Roman" w:hAnsi="Times New Roman"/>
          <w:color w:val="1F2937"/>
          <w:sz w:val="22"/>
        </w:rPr>
        <w:t>Automated Payment Clearing: Integrating bank webhook APIs (e.g., Razorpay POS / NPCI UPI Intent) for automated instant payment verification without cashier manual confirmation.</w:t>
      </w:r>
    </w:p>
    <w:p>
      <w:r>
        <w:br w:type="page"/>
      </w:r>
    </w:p>
    <w:p>
      <w:pPr>
        <w:spacing w:before="280" w:after="120"/>
        <w:jc w:val="left"/>
      </w:pPr>
      <w:r>
        <w:rPr>
          <w:rFonts w:ascii="Times New Roman" w:hAnsi="Times New Roman"/>
          <w:b/>
          <w:color w:val="1E3A8A"/>
          <w:sz w:val="30"/>
        </w:rPr>
        <w:t>CHAPTER 8: ENTREPRENEURSHIP, COMMERCIAL STARTUP VISION &amp; FUTURE ROADMAP</w:t>
      </w:r>
    </w:p>
    <w:p>
      <w:pPr>
        <w:spacing w:before="200" w:after="80"/>
      </w:pPr>
      <w:r>
        <w:rPr>
          <w:rFonts w:ascii="Times New Roman" w:hAnsi="Times New Roman"/>
          <w:b/>
          <w:color w:val="0F172A"/>
          <w:sz w:val="26"/>
        </w:rPr>
        <w:t>8.1 Commercial Startup Vision</w:t>
      </w:r>
    </w:p>
    <w:p>
      <w:pPr>
        <w:spacing w:line="283" w:lineRule="auto" w:after="80"/>
        <w:jc w:val="both"/>
      </w:pPr>
      <w:r>
        <w:rPr>
          <w:rFonts w:ascii="Times New Roman" w:hAnsi="Times New Roman"/>
          <w:color w:val="1F2937"/>
          <w:sz w:val="23"/>
        </w:rPr>
        <w:t>DineFlow AI is strategically engineered not merely as an academic exercise, but as a commercially viable, self-funded B2B software venture tailored for the 1.2 million independent restaurants, cafes, bakeries, and street-food outlets across Gujarat and Western India. By leveraging existing merchant smartphones, tablets, and consumer laptops, DineFlow AI removes the prohibitive Rs. 25,000+ hardware barrier, enabling small eateries to adopt modern digital POS, QR ordering, and ERP inventory capabilities at a fraction of legacy software costs.</w:t>
      </w:r>
    </w:p>
    <w:p>
      <w:pPr>
        <w:spacing w:before="200" w:after="80"/>
      </w:pPr>
      <w:r>
        <w:rPr>
          <w:rFonts w:ascii="Times New Roman" w:hAnsi="Times New Roman"/>
          <w:b/>
          <w:color w:val="0F172A"/>
          <w:sz w:val="26"/>
        </w:rPr>
        <w:t>8.2 Revenue Model &amp; Pricing Strategy</w:t>
      </w:r>
    </w:p>
    <w:p>
      <w:pPr>
        <w:spacing w:line="283" w:lineRule="auto" w:after="80"/>
        <w:jc w:val="both"/>
      </w:pPr>
      <w:r>
        <w:rPr>
          <w:rFonts w:ascii="Times New Roman" w:hAnsi="Times New Roman"/>
          <w:color w:val="1F2937"/>
          <w:sz w:val="23"/>
        </w:rPr>
        <w:t>The venture employs a multi-tiered Software-as-a-Service (SaaS) subscription model combined with optional turnkey hardware distribution. Table 8.1 outlines the commercial pricing tiers designed for regional restaurant adoption.</w:t>
      </w:r>
    </w:p>
    <w:p>
      <w:pPr>
        <w:spacing w:before="80" w:after="120"/>
        <w:jc w:val="center"/>
      </w:pPr>
      <w:r>
        <w:rPr>
          <w:rFonts w:ascii="Times New Roman" w:hAnsi="Times New Roman"/>
          <w:b/>
          <w:i/>
          <w:color w:val="1E3A8A"/>
          <w:sz w:val="20"/>
        </w:rPr>
        <w:t>Table 8.1: DineFlow AI Commercial SaaS Tiered Subscription Pricing Model</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944"/>
        <w:gridCol w:w="1728"/>
        <w:gridCol w:w="2304"/>
        <w:gridCol w:w="3024"/>
      </w:tblGrid>
      <w:tr>
        <w:trPr>
          <w:cantSplit/>
        </w:trPr>
        <w:tc>
          <w:tcPr>
            <w:tcW w:type="dxa" w:w="1944"/>
            <w:tcMar>
              <w:top w:w="24" w:type="dxa"/>
              <w:bottom w:w="24" w:type="dxa"/>
              <w:left w:w="35" w:type="dxa"/>
              <w:right w:w="35" w:type="dxa"/>
            </w:tcMar>
            <w:shd w:fill="1E3A8A"/>
          </w:tcPr>
          <w:p>
            <w:pPr>
              <w:jc w:val="center"/>
            </w:pPr>
            <w:r>
              <w:rPr>
                <w:b/>
                <w:color w:val="FFFFFF"/>
                <w:sz w:val="17"/>
              </w:rPr>
              <w:t>Subscription Tier</w:t>
            </w:r>
          </w:p>
        </w:tc>
        <w:tc>
          <w:tcPr>
            <w:tcW w:type="dxa" w:w="1728"/>
            <w:tcMar>
              <w:top w:w="24" w:type="dxa"/>
              <w:bottom w:w="24" w:type="dxa"/>
              <w:left w:w="35" w:type="dxa"/>
              <w:right w:w="35" w:type="dxa"/>
            </w:tcMar>
            <w:shd w:fill="1E3A8A"/>
          </w:tcPr>
          <w:p>
            <w:pPr>
              <w:jc w:val="center"/>
            </w:pPr>
            <w:r>
              <w:rPr>
                <w:b/>
                <w:color w:val="FFFFFF"/>
                <w:sz w:val="17"/>
              </w:rPr>
              <w:t>Monthly Price</w:t>
            </w:r>
          </w:p>
        </w:tc>
        <w:tc>
          <w:tcPr>
            <w:tcW w:type="dxa" w:w="2304"/>
            <w:tcMar>
              <w:top w:w="24" w:type="dxa"/>
              <w:bottom w:w="24" w:type="dxa"/>
              <w:left w:w="35" w:type="dxa"/>
              <w:right w:w="35" w:type="dxa"/>
            </w:tcMar>
            <w:shd w:fill="1E3A8A"/>
          </w:tcPr>
          <w:p>
            <w:pPr>
              <w:jc w:val="center"/>
            </w:pPr>
            <w:r>
              <w:rPr>
                <w:b/>
                <w:color w:val="FFFFFF"/>
                <w:sz w:val="17"/>
              </w:rPr>
              <w:t>Target Merchant Segment</w:t>
            </w:r>
          </w:p>
        </w:tc>
        <w:tc>
          <w:tcPr>
            <w:tcW w:type="dxa" w:w="3024"/>
            <w:tcMar>
              <w:top w:w="24" w:type="dxa"/>
              <w:bottom w:w="24" w:type="dxa"/>
              <w:left w:w="35" w:type="dxa"/>
              <w:right w:w="35" w:type="dxa"/>
            </w:tcMar>
            <w:shd w:fill="1E3A8A"/>
          </w:tcPr>
          <w:p>
            <w:pPr>
              <w:jc w:val="center"/>
            </w:pPr>
            <w:r>
              <w:rPr>
                <w:b/>
                <w:color w:val="FFFFFF"/>
                <w:sz w:val="17"/>
              </w:rPr>
              <w:t>Included Capabilities &amp; Service Limits</w:t>
            </w:r>
          </w:p>
        </w:tc>
      </w:tr>
      <w:tr>
        <w:trPr>
          <w:cantSplit/>
        </w:trPr>
        <w:tc>
          <w:tcPr>
            <w:tcW w:type="dxa" w:w="1944"/>
            <w:tcMar>
              <w:top w:w="24" w:type="dxa"/>
              <w:bottom w:w="24" w:type="dxa"/>
              <w:left w:w="35" w:type="dxa"/>
              <w:right w:w="35" w:type="dxa"/>
            </w:tcMar>
            <w:shd w:fill="F8FAFC"/>
          </w:tcPr>
          <w:p>
            <w:pPr>
              <w:jc w:val="left"/>
            </w:pPr>
            <w:r>
              <w:rPr>
                <w:b/>
                <w:sz w:val="16"/>
              </w:rPr>
              <w:t>Starter Tier</w:t>
            </w:r>
          </w:p>
        </w:tc>
        <w:tc>
          <w:tcPr>
            <w:tcW w:type="dxa" w:w="1728"/>
            <w:tcMar>
              <w:top w:w="24" w:type="dxa"/>
              <w:bottom w:w="24" w:type="dxa"/>
              <w:left w:w="35" w:type="dxa"/>
              <w:right w:w="35" w:type="dxa"/>
            </w:tcMar>
            <w:shd w:fill="F8FAFC"/>
          </w:tcPr>
          <w:p>
            <w:pPr>
              <w:jc w:val="center"/>
            </w:pPr>
            <w:r>
              <w:rPr>
                <w:b/>
                <w:color w:val="059669"/>
                <w:sz w:val="16"/>
              </w:rPr>
              <w:t>Rs. 499 / mo</w:t>
            </w:r>
          </w:p>
        </w:tc>
        <w:tc>
          <w:tcPr>
            <w:tcW w:type="dxa" w:w="2304"/>
            <w:tcMar>
              <w:top w:w="24" w:type="dxa"/>
              <w:bottom w:w="24" w:type="dxa"/>
              <w:left w:w="35" w:type="dxa"/>
              <w:right w:w="35" w:type="dxa"/>
            </w:tcMar>
            <w:shd w:fill="F8FAFC"/>
          </w:tcPr>
          <w:p>
            <w:pPr>
              <w:jc w:val="left"/>
            </w:pPr>
            <w:r>
              <w:rPr>
                <w:sz w:val="16"/>
              </w:rPr>
              <w:t>Small Cafes, Tea Stalls, Quick Service Outlets</w:t>
            </w:r>
          </w:p>
        </w:tc>
        <w:tc>
          <w:tcPr>
            <w:tcW w:type="dxa" w:w="3024"/>
            <w:tcMar>
              <w:top w:w="24" w:type="dxa"/>
              <w:bottom w:w="24" w:type="dxa"/>
              <w:left w:w="35" w:type="dxa"/>
              <w:right w:w="35" w:type="dxa"/>
            </w:tcMar>
            <w:shd w:fill="F8FAFC"/>
          </w:tcPr>
          <w:p>
            <w:pPr>
              <w:jc w:val="left"/>
            </w:pPr>
            <w:r>
              <w:rPr>
                <w:sz w:val="16"/>
              </w:rPr>
              <w:t>Single billing counter, Web POS, 10 QR table codes, basic daily sales summary, WhatsApp billing</w:t>
            </w:r>
          </w:p>
        </w:tc>
      </w:tr>
      <w:tr>
        <w:trPr>
          <w:cantSplit/>
        </w:trPr>
        <w:tc>
          <w:tcPr>
            <w:tcW w:type="dxa" w:w="1944"/>
            <w:tcMar>
              <w:top w:w="24" w:type="dxa"/>
              <w:bottom w:w="24" w:type="dxa"/>
              <w:left w:w="35" w:type="dxa"/>
              <w:right w:w="35" w:type="dxa"/>
            </w:tcMar>
          </w:tcPr>
          <w:p>
            <w:pPr>
              <w:jc w:val="left"/>
            </w:pPr>
            <w:r>
              <w:rPr>
                <w:b/>
                <w:sz w:val="16"/>
              </w:rPr>
              <w:t>Professional Tier</w:t>
            </w:r>
          </w:p>
        </w:tc>
        <w:tc>
          <w:tcPr>
            <w:tcW w:type="dxa" w:w="1728"/>
            <w:tcMar>
              <w:top w:w="24" w:type="dxa"/>
              <w:bottom w:w="24" w:type="dxa"/>
              <w:left w:w="35" w:type="dxa"/>
              <w:right w:w="35" w:type="dxa"/>
            </w:tcMar>
          </w:tcPr>
          <w:p>
            <w:pPr>
              <w:jc w:val="center"/>
            </w:pPr>
            <w:r>
              <w:rPr>
                <w:b/>
                <w:color w:val="059669"/>
                <w:sz w:val="16"/>
              </w:rPr>
              <w:t>Rs. 999 / mo</w:t>
            </w:r>
          </w:p>
        </w:tc>
        <w:tc>
          <w:tcPr>
            <w:tcW w:type="dxa" w:w="2304"/>
            <w:tcMar>
              <w:top w:w="24" w:type="dxa"/>
              <w:bottom w:w="24" w:type="dxa"/>
              <w:left w:w="35" w:type="dxa"/>
              <w:right w:w="35" w:type="dxa"/>
            </w:tcMar>
          </w:tcPr>
          <w:p>
            <w:pPr>
              <w:jc w:val="left"/>
            </w:pPr>
            <w:r>
              <w:rPr>
                <w:sz w:val="16"/>
              </w:rPr>
              <w:t>Casual Dining, Regional Restaurants (up to 30 tables)</w:t>
            </w:r>
          </w:p>
        </w:tc>
        <w:tc>
          <w:tcPr>
            <w:tcW w:type="dxa" w:w="3024"/>
            <w:tcMar>
              <w:top w:w="24" w:type="dxa"/>
              <w:bottom w:w="24" w:type="dxa"/>
              <w:left w:w="35" w:type="dxa"/>
              <w:right w:w="35" w:type="dxa"/>
            </w:tcMar>
          </w:tcPr>
          <w:p>
            <w:pPr>
              <w:jc w:val="left"/>
            </w:pPr>
            <w:r>
              <w:rPr>
                <w:sz w:val="16"/>
              </w:rPr>
              <w:t>Multi-device POS, Unlimited QR ordering, Real-time KDS, Recipe BOM inventory, Dual GST compliance</w:t>
            </w:r>
          </w:p>
        </w:tc>
      </w:tr>
      <w:tr>
        <w:trPr>
          <w:cantSplit/>
        </w:trPr>
        <w:tc>
          <w:tcPr>
            <w:tcW w:type="dxa" w:w="1944"/>
            <w:tcMar>
              <w:top w:w="24" w:type="dxa"/>
              <w:bottom w:w="24" w:type="dxa"/>
              <w:left w:w="35" w:type="dxa"/>
              <w:right w:w="35" w:type="dxa"/>
            </w:tcMar>
            <w:shd w:fill="F8FAFC"/>
          </w:tcPr>
          <w:p>
            <w:pPr>
              <w:jc w:val="left"/>
            </w:pPr>
            <w:r>
              <w:rPr>
                <w:b/>
                <w:sz w:val="16"/>
              </w:rPr>
              <w:t>Enterprise Tier</w:t>
            </w:r>
          </w:p>
        </w:tc>
        <w:tc>
          <w:tcPr>
            <w:tcW w:type="dxa" w:w="1728"/>
            <w:tcMar>
              <w:top w:w="24" w:type="dxa"/>
              <w:bottom w:w="24" w:type="dxa"/>
              <w:left w:w="35" w:type="dxa"/>
              <w:right w:w="35" w:type="dxa"/>
            </w:tcMar>
            <w:shd w:fill="F8FAFC"/>
          </w:tcPr>
          <w:p>
            <w:pPr>
              <w:jc w:val="center"/>
            </w:pPr>
            <w:r>
              <w:rPr>
                <w:b/>
                <w:color w:val="059669"/>
                <w:sz w:val="16"/>
              </w:rPr>
              <w:t>Rs. 1,999 / mo</w:t>
            </w:r>
          </w:p>
        </w:tc>
        <w:tc>
          <w:tcPr>
            <w:tcW w:type="dxa" w:w="2304"/>
            <w:tcMar>
              <w:top w:w="24" w:type="dxa"/>
              <w:bottom w:w="24" w:type="dxa"/>
              <w:left w:w="35" w:type="dxa"/>
              <w:right w:w="35" w:type="dxa"/>
            </w:tcMar>
            <w:shd w:fill="F8FAFC"/>
          </w:tcPr>
          <w:p>
            <w:pPr>
              <w:jc w:val="left"/>
            </w:pPr>
            <w:r>
              <w:rPr>
                <w:sz w:val="16"/>
              </w:rPr>
              <w:t>Multi-Floor Dining, Bars &amp; Regional Chains</w:t>
            </w:r>
          </w:p>
        </w:tc>
        <w:tc>
          <w:tcPr>
            <w:tcW w:type="dxa" w:w="3024"/>
            <w:tcMar>
              <w:top w:w="24" w:type="dxa"/>
              <w:bottom w:w="24" w:type="dxa"/>
              <w:left w:w="35" w:type="dxa"/>
              <w:right w:w="35" w:type="dxa"/>
            </w:tcMar>
            <w:shd w:fill="F8FAFC"/>
          </w:tcPr>
          <w:p>
            <w:pPr>
              <w:jc w:val="left"/>
            </w:pPr>
            <w:r>
              <w:rPr>
                <w:sz w:val="16"/>
              </w:rPr>
              <w:t>Multi-branch central ERP, Role-based staff access, Raw ESC/POS print server, Dedicated 24/7 phone support</w:t>
            </w:r>
          </w:p>
        </w:tc>
      </w:tr>
      <w:tr>
        <w:trPr>
          <w:cantSplit/>
        </w:trPr>
        <w:tc>
          <w:tcPr>
            <w:tcW w:type="dxa" w:w="1944"/>
            <w:tcMar>
              <w:top w:w="24" w:type="dxa"/>
              <w:bottom w:w="24" w:type="dxa"/>
              <w:left w:w="35" w:type="dxa"/>
              <w:right w:w="35" w:type="dxa"/>
            </w:tcMar>
          </w:tcPr>
          <w:p>
            <w:pPr>
              <w:jc w:val="left"/>
            </w:pPr>
            <w:r>
              <w:rPr>
                <w:b/>
                <w:sz w:val="16"/>
              </w:rPr>
              <w:t>Hardware Starter Bundle</w:t>
            </w:r>
          </w:p>
        </w:tc>
        <w:tc>
          <w:tcPr>
            <w:tcW w:type="dxa" w:w="1728"/>
            <w:tcMar>
              <w:top w:w="24" w:type="dxa"/>
              <w:bottom w:w="24" w:type="dxa"/>
              <w:left w:w="35" w:type="dxa"/>
              <w:right w:w="35" w:type="dxa"/>
            </w:tcMar>
          </w:tcPr>
          <w:p>
            <w:pPr>
              <w:jc w:val="center"/>
            </w:pPr>
            <w:r>
              <w:rPr>
                <w:b/>
                <w:color w:val="059669"/>
                <w:sz w:val="16"/>
              </w:rPr>
              <w:t>Rs. 6,999 (One-time)</w:t>
            </w:r>
          </w:p>
        </w:tc>
        <w:tc>
          <w:tcPr>
            <w:tcW w:type="dxa" w:w="2304"/>
            <w:tcMar>
              <w:top w:w="24" w:type="dxa"/>
              <w:bottom w:w="24" w:type="dxa"/>
              <w:left w:w="35" w:type="dxa"/>
              <w:right w:w="35" w:type="dxa"/>
            </w:tcMar>
          </w:tcPr>
          <w:p>
            <w:pPr>
              <w:jc w:val="left"/>
            </w:pPr>
            <w:r>
              <w:rPr>
                <w:sz w:val="16"/>
              </w:rPr>
              <w:t>New Outlets requiring turn-key setup</w:t>
            </w:r>
          </w:p>
        </w:tc>
        <w:tc>
          <w:tcPr>
            <w:tcW w:type="dxa" w:w="3024"/>
            <w:tcMar>
              <w:top w:w="24" w:type="dxa"/>
              <w:bottom w:w="24" w:type="dxa"/>
              <w:left w:w="35" w:type="dxa"/>
              <w:right w:w="35" w:type="dxa"/>
            </w:tcMar>
          </w:tcPr>
          <w:p>
            <w:pPr>
              <w:jc w:val="left"/>
            </w:pPr>
            <w:r>
              <w:rPr>
                <w:sz w:val="16"/>
              </w:rPr>
              <w:t>Includes 80mm thermal receipt printer, heavy-duty 24V RJ11 cash drawer, 5 paper rolls, and 1-yr warranty</w:t>
            </w:r>
          </w:p>
        </w:tc>
      </w:tr>
    </w:tbl>
    <w:p>
      <w:r>
        <w:br w:type="page"/>
      </w:r>
    </w:p>
    <w:p>
      <w:pPr>
        <w:spacing w:before="200" w:after="80"/>
      </w:pPr>
      <w:r>
        <w:rPr>
          <w:rFonts w:ascii="Times New Roman" w:hAnsi="Times New Roman"/>
          <w:b/>
          <w:color w:val="0F172A"/>
          <w:sz w:val="26"/>
        </w:rPr>
        <w:t>8.3 Bootstrapped Growth &amp; Go-to-Market Strategy</w:t>
      </w:r>
    </w:p>
    <w:p>
      <w:pPr>
        <w:spacing w:line="283" w:lineRule="auto" w:after="60"/>
        <w:jc w:val="both"/>
      </w:pPr>
      <w:r>
        <w:rPr>
          <w:rFonts w:ascii="Times New Roman" w:hAnsi="Times New Roman"/>
          <w:color w:val="1F2937"/>
          <w:sz w:val="23"/>
        </w:rPr>
        <w:t>To ensure financial independence without diluting student equity, DineFlow AI executes a disciplined bootstrapped growth model structured across three operational phases:</w:t>
      </w:r>
    </w:p>
    <w:p>
      <w:pPr>
        <w:pStyle w:val="ListBullet"/>
        <w:spacing w:line="276" w:lineRule="auto" w:after="60"/>
        <w:jc w:val="both"/>
      </w:pPr>
      <w:r>
        <w:rPr>
          <w:rFonts w:ascii="Times New Roman" w:hAnsi="Times New Roman"/>
          <w:b/>
          <w:color w:val="0F172A"/>
          <w:sz w:val="22"/>
        </w:rPr>
        <w:t xml:space="preserve">Phase 1: </w:t>
      </w:r>
      <w:r>
        <w:rPr>
          <w:rFonts w:ascii="Times New Roman" w:hAnsi="Times New Roman"/>
          <w:color w:val="1F2937"/>
          <w:sz w:val="22"/>
        </w:rPr>
        <w:t>Phase 1 (Pilot Validation &amp; Hyper-Local Acquisition - Months 1-3): Deploy DineFlow AI across 15 pilot partner restaurants in Patan, Mehsana, and Ahmedabad. Merchants receive free 60-day onboarding in exchange for operational telemetry and feature feedback.</w:t>
      </w:r>
    </w:p>
    <w:p>
      <w:pPr>
        <w:pStyle w:val="ListBullet"/>
        <w:spacing w:line="276" w:lineRule="auto" w:after="60"/>
        <w:jc w:val="both"/>
      </w:pPr>
      <w:r>
        <w:rPr>
          <w:rFonts w:ascii="Times New Roman" w:hAnsi="Times New Roman"/>
          <w:b/>
          <w:color w:val="0F172A"/>
          <w:sz w:val="22"/>
        </w:rPr>
        <w:t xml:space="preserve">Phase 2: </w:t>
      </w:r>
      <w:r>
        <w:rPr>
          <w:rFonts w:ascii="Times New Roman" w:hAnsi="Times New Roman"/>
          <w:color w:val="1F2937"/>
          <w:sz w:val="22"/>
        </w:rPr>
        <w:t>Phase 2 (Regional Expansion &amp; Merchant Referrals - Months 4-8): Launch referral incentives (1 month free per merchant referred) and partner with local POS hardware distributors in North Gujarat to cross-sell printers with pre-installed DineFlow AI cloud credentials.</w:t>
      </w:r>
    </w:p>
    <w:p>
      <w:pPr>
        <w:pStyle w:val="ListBullet"/>
        <w:spacing w:line="276" w:lineRule="auto" w:after="60"/>
        <w:jc w:val="both"/>
      </w:pPr>
      <w:r>
        <w:rPr>
          <w:rFonts w:ascii="Times New Roman" w:hAnsi="Times New Roman"/>
          <w:b/>
          <w:color w:val="0F172A"/>
          <w:sz w:val="22"/>
        </w:rPr>
        <w:t xml:space="preserve">Phase 3: </w:t>
      </w:r>
      <w:r>
        <w:rPr>
          <w:rFonts w:ascii="Times New Roman" w:hAnsi="Times New Roman"/>
          <w:color w:val="1F2937"/>
          <w:sz w:val="22"/>
        </w:rPr>
        <w:t>Phase 3 (Unit Economics &amp; Break-Even - Months 9-12): At an average revenue per user (ARPU) of Rs. 750/month across 200 active restaurants, the venture achieves Monthly Recurring Revenue (MRR) of Rs. 1,50,000 against monthly AWS server infrastructure costs under Rs. 8,000, generating strong net operating margins to fund team salaries and expansion.</w:t>
      </w:r>
    </w:p>
    <w:p>
      <w:pPr>
        <w:spacing w:before="200" w:after="80"/>
      </w:pPr>
      <w:r>
        <w:rPr>
          <w:rFonts w:ascii="Times New Roman" w:hAnsi="Times New Roman"/>
          <w:b/>
          <w:color w:val="0F172A"/>
          <w:sz w:val="26"/>
        </w:rPr>
        <w:t>8.4 Intellectual Property Rights &amp; Collaborative Ownership</w:t>
      </w:r>
    </w:p>
    <w:p>
      <w:pPr>
        <w:spacing w:line="283" w:lineRule="auto" w:after="60"/>
        <w:jc w:val="both"/>
      </w:pPr>
      <w:r>
        <w:rPr>
          <w:rFonts w:ascii="Times New Roman" w:hAnsi="Times New Roman"/>
          <w:color w:val="1F2937"/>
          <w:sz w:val="23"/>
        </w:rPr>
        <w:t>The proprietary software architecture, database schemas, and codebase of DineFlow AI are governed under a formal Commercial Software License Agreement (docs/COMMERCIAL_SOFTWARE_LICENSE_AGREEMENT.md) established among the four student co-founders:</w:t>
      </w:r>
    </w:p>
    <w:p>
      <w:pPr>
        <w:pStyle w:val="ListBullet"/>
        <w:spacing w:line="276" w:lineRule="auto" w:after="60"/>
        <w:jc w:val="both"/>
      </w:pPr>
      <w:r>
        <w:rPr>
          <w:rFonts w:ascii="Times New Roman" w:hAnsi="Times New Roman"/>
          <w:b/>
          <w:color w:val="0F172A"/>
          <w:sz w:val="22"/>
        </w:rPr>
        <w:t xml:space="preserve">1. Co-Founding Equity: </w:t>
      </w:r>
      <w:r>
        <w:rPr>
          <w:rFonts w:ascii="Times New Roman" w:hAnsi="Times New Roman"/>
          <w:color w:val="1F2937"/>
          <w:sz w:val="22"/>
        </w:rPr>
        <w:t>Collaborative Equity Distribution: Equal intellectual co-ownership across core team members (Patel Shubh, Dave Krushank, Patel Fiyans, and Prajapati Veer) with defined engineering module rights.</w:t>
      </w:r>
    </w:p>
    <w:p>
      <w:pPr>
        <w:pStyle w:val="ListBullet"/>
        <w:spacing w:line="276" w:lineRule="auto" w:after="60"/>
        <w:jc w:val="both"/>
      </w:pPr>
      <w:r>
        <w:rPr>
          <w:rFonts w:ascii="Times New Roman" w:hAnsi="Times New Roman"/>
          <w:b/>
          <w:color w:val="0F172A"/>
          <w:sz w:val="22"/>
        </w:rPr>
        <w:t xml:space="preserve">2. Trade Secrets: </w:t>
      </w:r>
      <w:r>
        <w:rPr>
          <w:rFonts w:ascii="Times New Roman" w:hAnsi="Times New Roman"/>
          <w:color w:val="1F2937"/>
          <w:sz w:val="22"/>
        </w:rPr>
        <w:t>Trade Secret Protection: Custom ESC/POS binary encoding algorithms, automated BOM depletion routines, and offline reconciliation conflict resolvers are safeguarded as proprietary trade secrets.</w:t>
      </w:r>
    </w:p>
    <w:p>
      <w:pPr>
        <w:pStyle w:val="ListBullet"/>
        <w:spacing w:line="276" w:lineRule="auto" w:after="60"/>
        <w:jc w:val="both"/>
      </w:pPr>
      <w:r>
        <w:rPr>
          <w:rFonts w:ascii="Times New Roman" w:hAnsi="Times New Roman"/>
          <w:b/>
          <w:color w:val="0F172A"/>
          <w:sz w:val="22"/>
        </w:rPr>
        <w:t xml:space="preserve">3. Trademark Protection: </w:t>
      </w:r>
      <w:r>
        <w:rPr>
          <w:rFonts w:ascii="Times New Roman" w:hAnsi="Times New Roman"/>
          <w:color w:val="1F2937"/>
          <w:sz w:val="22"/>
        </w:rPr>
        <w:t>Brand Trademark: The 'DineFlow AI' brand identity and UI design system are protected under Indian Trade Marks Act 1999 (Class 9 &amp; Class 42) for computer software and SaaS services.</w:t>
      </w:r>
    </w:p>
    <w:p>
      <w:r>
        <w:br w:type="page"/>
      </w:r>
    </w:p>
    <w:p>
      <w:pPr>
        <w:spacing w:before="280" w:after="120"/>
        <w:jc w:val="center"/>
      </w:pPr>
      <w:r>
        <w:rPr>
          <w:rFonts w:ascii="Times New Roman" w:hAnsi="Times New Roman"/>
          <w:b/>
          <w:color w:val="1E3A8A"/>
          <w:sz w:val="30"/>
        </w:rPr>
        <w:t>REFERENCES</w:t>
      </w:r>
    </w:p>
    <w:p>
      <w:pPr>
        <w:spacing w:line="276" w:lineRule="auto" w:after="120"/>
        <w:jc w:val="both"/>
      </w:pPr>
      <w:r>
        <w:rPr>
          <w:rFonts w:ascii="Times New Roman" w:hAnsi="Times New Roman"/>
          <w:sz w:val="21"/>
        </w:rPr>
        <w:t>[1] Gujarat Technological University. (2026). Minor project curriculum and evaluation guidelines (Course Code: DI05000341). GTU Academic Press.</w:t>
      </w:r>
    </w:p>
    <w:p>
      <w:pPr>
        <w:spacing w:line="276" w:lineRule="auto" w:after="120"/>
        <w:jc w:val="both"/>
      </w:pPr>
      <w:r>
        <w:rPr>
          <w:rFonts w:ascii="Times New Roman" w:hAnsi="Times New Roman"/>
          <w:sz w:val="21"/>
        </w:rPr>
        <w:t>[2] Fielding, R. T. (2000). Architectural styles and the design of network-based software architectures (Doctoral dissertation). University of California, Irvine.</w:t>
      </w:r>
    </w:p>
    <w:p>
      <w:pPr>
        <w:spacing w:line="276" w:lineRule="auto" w:after="120"/>
        <w:jc w:val="both"/>
      </w:pPr>
      <w:r>
        <w:rPr>
          <w:rFonts w:ascii="Times New Roman" w:hAnsi="Times New Roman"/>
          <w:sz w:val="21"/>
        </w:rPr>
        <w:t>[3] Seiko Epson Corporation. (2023). ESC/POS application guide: Command reference for thermal line printers (Rev. 12.0). Epson Imaging Systems.</w:t>
      </w:r>
    </w:p>
    <w:p>
      <w:pPr>
        <w:spacing w:line="276" w:lineRule="auto" w:after="120"/>
        <w:jc w:val="both"/>
      </w:pPr>
      <w:r>
        <w:rPr>
          <w:rFonts w:ascii="Times New Roman" w:hAnsi="Times New Roman"/>
          <w:sz w:val="21"/>
        </w:rPr>
        <w:t>[4] Otwell, T., &amp; Laravel Community. (2026). Laravel: The PHP framework for web artisans (Version 11.x). Laravel LLC. https://laravel.com/docs</w:t>
      </w:r>
    </w:p>
    <w:p>
      <w:pPr>
        <w:spacing w:line="276" w:lineRule="auto" w:after="120"/>
        <w:jc w:val="both"/>
      </w:pPr>
      <w:r>
        <w:rPr>
          <w:rFonts w:ascii="Times New Roman" w:hAnsi="Times New Roman"/>
          <w:sz w:val="21"/>
        </w:rPr>
        <w:t>[5] Facebook Open Source. (2025). React Native: A framework for building native apps using React. Meta Platforms Inc. https://reactnative.dev</w:t>
      </w:r>
    </w:p>
    <w:p>
      <w:pPr>
        <w:spacing w:line="276" w:lineRule="auto" w:after="120"/>
        <w:jc w:val="both"/>
      </w:pPr>
      <w:r>
        <w:rPr>
          <w:rFonts w:ascii="Times New Roman" w:hAnsi="Times New Roman"/>
          <w:sz w:val="21"/>
        </w:rPr>
        <w:t>[6] Kleppmann, M. (2017). Designing data-intensive applications: The big ideas behind reliable, scalable, and maintainable systems. O'Reilly Media.</w:t>
      </w:r>
    </w:p>
    <w:p>
      <w:pPr>
        <w:spacing w:line="276" w:lineRule="auto" w:after="120"/>
        <w:jc w:val="both"/>
      </w:pPr>
      <w:r>
        <w:rPr>
          <w:rFonts w:ascii="Times New Roman" w:hAnsi="Times New Roman"/>
          <w:sz w:val="21"/>
        </w:rPr>
        <w:t>[7] Fette, I., &amp; Melnikov, A. (2011). The WebSocket protocol (RFC 6455). Internet Engineering Task Force (IETF). https://tools.ietf.org/html/rfc6455</w:t>
      </w:r>
    </w:p>
    <w:p>
      <w:pPr>
        <w:spacing w:line="276" w:lineRule="auto" w:after="120"/>
        <w:jc w:val="both"/>
      </w:pPr>
      <w:r>
        <w:rPr>
          <w:rFonts w:ascii="Times New Roman" w:hAnsi="Times New Roman"/>
          <w:sz w:val="21"/>
        </w:rPr>
        <w:t>[8] Hipp, R., &amp; SQLite Development Team. (2026). SQLite: An in-process transactional database engine. SQLite Consortium. https://www.sqlite.org</w:t>
      </w:r>
    </w:p>
    <w:p>
      <w:pPr>
        <w:spacing w:line="276" w:lineRule="auto" w:after="120"/>
        <w:jc w:val="both"/>
      </w:pPr>
      <w:r>
        <w:rPr>
          <w:rFonts w:ascii="Times New Roman" w:hAnsi="Times New Roman"/>
          <w:sz w:val="21"/>
        </w:rPr>
        <w:t>[9] Fowler, M. (2002). Patterns of enterprise application architecture. Addison-Wesley Professional.</w:t>
      </w:r>
    </w:p>
    <w:p>
      <w:pPr>
        <w:spacing w:line="276" w:lineRule="auto" w:after="120"/>
        <w:jc w:val="both"/>
      </w:pPr>
      <w:r>
        <w:rPr>
          <w:rFonts w:ascii="Times New Roman" w:hAnsi="Times New Roman"/>
          <w:sz w:val="21"/>
        </w:rPr>
        <w:t>[10] Ministry of Finance, Government of India. (2017). Central Goods and Services Tax Act, 2017: Rules for tax invoice, credit and debit notes. Gazette of India.</w:t>
      </w:r>
    </w:p>
    <w:p>
      <w:r>
        <w:br w:type="page"/>
      </w:r>
    </w:p>
    <w:p>
      <w:pPr>
        <w:spacing w:before="280" w:after="120"/>
        <w:jc w:val="left"/>
      </w:pPr>
      <w:r>
        <w:rPr>
          <w:rFonts w:ascii="Times New Roman" w:hAnsi="Times New Roman"/>
          <w:b/>
          <w:color w:val="1E3A8A"/>
          <w:sz w:val="30"/>
        </w:rPr>
        <w:t>APPENDIX A: PROGRAM CODE / DATASHEET EXTRACTS</w:t>
      </w:r>
    </w:p>
    <w:p>
      <w:pPr>
        <w:spacing w:before="200" w:after="80"/>
      </w:pPr>
      <w:r>
        <w:rPr>
          <w:rFonts w:ascii="Times New Roman" w:hAnsi="Times New Roman"/>
          <w:b/>
          <w:color w:val="0F172A"/>
          <w:sz w:val="26"/>
        </w:rPr>
        <w:t>A.1 Core Program Code Listings</w:t>
      </w:r>
    </w:p>
    <w:tbl>
      <w:tblPr>
        <w:tblW w:type="auto" w:w="0"/>
        <w:jc w:val="center"/>
        <w:tblLayout w:type="fixed"/>
        <w:tblLook w:firstColumn="1" w:firstRow="1" w:lastColumn="0" w:lastRow="0" w:noHBand="0" w:noVBand="1" w:val="04A0"/>
      </w:tblPr>
      <w:tblGrid>
        <w:gridCol w:w="9000"/>
      </w:tblGrid>
      <w:tr>
        <w:trPr>
          <w:cantSplit/>
        </w:trPr>
        <w:tc>
          <w:tcPr>
            <w:tcW w:type="dxa" w:w="9000"/>
            <w:tcMar>
              <w:top w:w="30" w:type="dxa"/>
              <w:bottom w:w="30" w:type="dxa"/>
              <w:left w:w="60" w:type="dxa"/>
              <w:right w:w="60" w:type="dxa"/>
            </w:tcMar>
            <w:shd w:fill="1E3A8A"/>
          </w:tcPr>
          <w:p>
            <w:pPr>
              <w:spacing w:before="0" w:after="0"/>
            </w:pPr>
            <w:r>
              <w:rPr>
                <w:rFonts w:ascii="Times New Roman" w:hAnsi="Times New Roman"/>
                <w:b/>
                <w:color w:val="FFFFFF"/>
                <w:sz w:val="19"/>
              </w:rPr>
              <w:t>Listing A.1: Multi-Tenant Context Scope Middleware (Laravel 11 / PHP 8.5)</w:t>
            </w:r>
          </w:p>
        </w:tc>
      </w:tr>
      <w:tr>
        <w:trPr>
          <w:cantSplit/>
        </w:trPr>
        <w:tc>
          <w:tcPr>
            <w:tcW w:type="dxa" w:w="9000"/>
            <w:tcMar>
              <w:top w:w="30" w:type="dxa"/>
              <w:bottom w:w="30" w:type="dxa"/>
              <w:left w:w="60" w:type="dxa"/>
              <w:right w:w="60" w:type="dxa"/>
            </w:tcMar>
            <w:shd w:fill="F8FAFC"/>
          </w:tcPr>
          <w:p>
            <w:pPr>
              <w:spacing w:line="240" w:lineRule="auto" w:after="0"/>
            </w:pPr>
            <w:r>
              <w:rPr>
                <w:rFonts w:ascii="Consolas" w:hAnsi="Consolas"/>
                <w:color w:val="0F172A"/>
                <w:sz w:val="16"/>
              </w:rPr>
              <w:t>&lt;?php</w:t>
              <w:br/>
              <w:t>namespace App\Http\Middleware;</w:t>
              <w:br/>
              <w:t>use Closure; use Illuminate\Http\Request;</w:t>
              <w:br/>
              <w:br/>
              <w:t>class EnforceTenantIsolation {</w:t>
              <w:br/>
              <w:t xml:space="preserve">    public function handle(Request $request, Closure $next) {</w:t>
              <w:br/>
              <w:t xml:space="preserve">        $tenantId = $request-&gt;header('X-Restaurant-ID') ?? session('restaurant_id');</w:t>
              <w:br/>
              <w:t xml:space="preserve">        if (!$tenantId) {</w:t>
              <w:br/>
              <w:t xml:space="preserve">            return response()-&gt;json(['error' =&gt; 'Unauthenticated Tenant Context'], 401);</w:t>
              <w:br/>
              <w:t xml:space="preserve">        }</w:t>
              <w:br/>
              <w:t xml:space="preserve">        app()-&gt;instance('current_tenant_id', $tenantId);</w:t>
              <w:br/>
              <w:t xml:space="preserve">        return $next($request);</w:t>
              <w:br/>
              <w:t xml:space="preserve">    }</w:t>
              <w:br/>
              <w:t>}</w:t>
            </w:r>
          </w:p>
        </w:tc>
      </w:tr>
    </w:tbl>
    <w:p>
      <w:pPr>
        <w:spacing w:before="40" w:after="40"/>
      </w:pPr>
    </w:p>
    <w:tbl>
      <w:tblPr>
        <w:tblW w:type="auto" w:w="0"/>
        <w:jc w:val="center"/>
        <w:tblLayout w:type="fixed"/>
        <w:tblLook w:firstColumn="1" w:firstRow="1" w:lastColumn="0" w:lastRow="0" w:noHBand="0" w:noVBand="1" w:val="04A0"/>
      </w:tblPr>
      <w:tblGrid>
        <w:gridCol w:w="9000"/>
      </w:tblGrid>
      <w:tr>
        <w:trPr>
          <w:cantSplit/>
        </w:trPr>
        <w:tc>
          <w:tcPr>
            <w:tcW w:type="dxa" w:w="9000"/>
            <w:tcMar>
              <w:top w:w="30" w:type="dxa"/>
              <w:bottom w:w="30" w:type="dxa"/>
              <w:left w:w="60" w:type="dxa"/>
              <w:right w:w="60" w:type="dxa"/>
            </w:tcMar>
            <w:shd w:fill="1E3A8A"/>
          </w:tcPr>
          <w:p>
            <w:pPr>
              <w:spacing w:before="0" w:after="0"/>
            </w:pPr>
            <w:r>
              <w:rPr>
                <w:rFonts w:ascii="Times New Roman" w:hAnsi="Times New Roman"/>
                <w:b/>
                <w:color w:val="FFFFFF"/>
                <w:sz w:val="19"/>
              </w:rPr>
              <w:t>Listing A.2: Direct ESC/POS Binary Socket Dispatch (Thermal Line Printer)</w:t>
            </w:r>
          </w:p>
        </w:tc>
      </w:tr>
      <w:tr>
        <w:trPr>
          <w:cantSplit/>
        </w:trPr>
        <w:tc>
          <w:tcPr>
            <w:tcW w:type="dxa" w:w="9000"/>
            <w:tcMar>
              <w:top w:w="30" w:type="dxa"/>
              <w:bottom w:w="30" w:type="dxa"/>
              <w:left w:w="60" w:type="dxa"/>
              <w:right w:w="60" w:type="dxa"/>
            </w:tcMar>
            <w:shd w:fill="F8FAFC"/>
          </w:tcPr>
          <w:p>
            <w:pPr>
              <w:spacing w:line="240" w:lineRule="auto" w:after="0"/>
            </w:pPr>
            <w:r>
              <w:rPr>
                <w:rFonts w:ascii="Consolas" w:hAnsi="Consolas"/>
                <w:color w:val="0F172A"/>
                <w:sz w:val="16"/>
              </w:rPr>
              <w:t>// ESC/POS Low-Level Binary Socket Stream in PHP 8.5</w:t>
              <w:br/>
              <w:t>function printReceiptSocket(string $printerIp, int $port, string $receiptData): bool {</w:t>
              <w:br/>
              <w:t xml:space="preserve">    $socket = @fsockopen($printerIp, $port, $errno, $errstr, 2.0);</w:t>
              <w:br/>
              <w:t xml:space="preserve">    if (!$socket) return false;</w:t>
              <w:br/>
              <w:br/>
              <w:t xml:space="preserve">    // ESC @ (Initialize Printer) + ESC ! 0x00 (Standard Font)</w:t>
              <w:br/>
              <w:t xml:space="preserve">    fwrite($socket, chr(0x1B) . chr(0x40));</w:t>
              <w:br/>
              <w:t xml:space="preserve">    fwrite($socket, $receiptData);</w:t>
              <w:br/>
              <w:br/>
              <w:t xml:space="preserve">    // GS V 0x41 0x00 (Full Cut with feed) + Pulse Solenoid Pin 2</w:t>
              <w:br/>
              <w:t xml:space="preserve">    fwrite($socket, chr(0x1D) . chr(0x56) . chr(0x41) . chr(0x00));</w:t>
              <w:br/>
              <w:t xml:space="preserve">    fwrite($socket, chr(0x1B) . chr(0x70) . chr(0x00) . chr(0x19) . chr(0xFA));</w:t>
              <w:br/>
              <w:t xml:space="preserve">    fclose($socket);</w:t>
              <w:br/>
              <w:t xml:space="preserve">    return true;</w:t>
              <w:br/>
              <w:t>}</w:t>
            </w:r>
          </w:p>
        </w:tc>
      </w:tr>
    </w:tbl>
    <w:p>
      <w:pPr>
        <w:spacing w:before="40" w:after="40"/>
      </w:pPr>
    </w:p>
    <w:p>
      <w:pPr>
        <w:spacing w:before="200" w:after="80"/>
      </w:pPr>
      <w:r>
        <w:rPr>
          <w:rFonts w:ascii="Times New Roman" w:hAnsi="Times New Roman"/>
          <w:b/>
          <w:color w:val="0F172A"/>
          <w:sz w:val="26"/>
        </w:rPr>
        <w:t>A.2 Hardware Component Datasheet Extracts</w:t>
      </w:r>
    </w:p>
    <w:p>
      <w:pPr>
        <w:pStyle w:val="ListBullet"/>
        <w:spacing w:line="276" w:lineRule="auto" w:after="60"/>
        <w:jc w:val="both"/>
      </w:pPr>
      <w:r>
        <w:rPr>
          <w:rFonts w:ascii="Times New Roman" w:hAnsi="Times New Roman"/>
          <w:b/>
          <w:color w:val="0F172A"/>
          <w:sz w:val="22"/>
        </w:rPr>
        <w:t xml:space="preserve">ESC/POS 80mm Thermal Printer: </w:t>
      </w:r>
      <w:r>
        <w:rPr>
          <w:rFonts w:ascii="Times New Roman" w:hAnsi="Times New Roman"/>
          <w:color w:val="1F2937"/>
          <w:sz w:val="22"/>
        </w:rPr>
        <w:t>Model: 80mm High-Speed Thermal Line Printer (POS-80 series) | Interface: USB 2.0 Type-B + RJ45 10/100M Ethernet + RJ11 6-Pin Cash Drawer Port | Print Speed: 220 mm/s | Dot Density: 576 dots/line | Auto-Cutter: Guillotine (1.5 million cuts) | Command Protocol: Standard ESC/POS binary command set | Power Input: 24V DC (+/-5%), 2.5A External Adapter</w:t>
      </w:r>
    </w:p>
    <w:p>
      <w:pPr>
        <w:pStyle w:val="ListBullet"/>
        <w:spacing w:line="276" w:lineRule="auto" w:after="60"/>
        <w:jc w:val="both"/>
      </w:pPr>
      <w:r>
        <w:rPr>
          <w:rFonts w:ascii="Times New Roman" w:hAnsi="Times New Roman"/>
          <w:b/>
          <w:color w:val="0F172A"/>
          <w:sz w:val="22"/>
        </w:rPr>
        <w:t xml:space="preserve">RJ11 Solenoid Cash Drawer Interface: </w:t>
      </w:r>
      <w:r>
        <w:rPr>
          <w:rFonts w:ascii="Times New Roman" w:hAnsi="Times New Roman"/>
          <w:color w:val="1F2937"/>
          <w:sz w:val="22"/>
        </w:rPr>
        <w:t>Connector: Standard RJ11 / RJ12 6-Pin Modular Jack | Trigger Voltage: 24V DC Pulse (Pin 2: Solenoid +, Pin 4: Solenoid -) | Pulse Width: 100ms - 250ms (Duration set via ESC p command) | Micro-switch Sensor: Pin 3 &amp; Pin 6 (Detects Open / Closed drawer status) | Construction: Heavy-gauge cold rolled steel with nylon rollers</w:t>
      </w:r>
    </w:p>
    <w:sectPr w:rsidR="00FC693F" w:rsidRPr="0006063C" w:rsidSect="00034616">
      <w:footerReference w:type="default" r:id="rId13"/>
      <w:pgSz w:w="11909" w:h="16834"/>
      <w:pgMar w:top="1440" w:right="1253" w:bottom="1440" w:left="1656"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