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Assumptions &amp; Bank Readiness Log</w:t>
      </w:r>
    </w:p>
    <w:p>
      <w:pPr>
        <w:jc w:val="center"/>
      </w:pPr>
      <w:r>
        <w:rPr>
          <w:i/>
        </w:rPr>
        <w:t>Credit Risk Portfolio Analytics | Synthetic-data prototype</w:t>
      </w:r>
    </w:p>
    <w:p>
      <w:pPr>
        <w:pStyle w:val="Heading1"/>
      </w:pPr>
      <w:r>
        <w:t>A. Assumptions, approximations and limitations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Assumption / issue</w:t>
            </w:r>
          </w:p>
        </w:tc>
        <w:tc>
          <w:tcPr>
            <w:tcW w:type="dxa" w:w="5184"/>
          </w:tcPr>
          <w:p>
            <w:r>
              <w:t>Current position / action</w:t>
            </w:r>
          </w:p>
        </w:tc>
      </w:tr>
      <w:tr>
        <w:tc>
          <w:tcPr>
            <w:tcW w:type="dxa" w:w="5184"/>
          </w:tcPr>
          <w:p>
            <w:r>
              <w:t>Data are synthetic</w:t>
            </w:r>
          </w:p>
        </w:tc>
        <w:tc>
          <w:tcPr>
            <w:tcW w:type="dxa" w:w="5184"/>
          </w:tcPr>
          <w:p>
            <w:r>
              <w:t>All dataset observations are synthetic. Results and patterns are illustrative and cannot be treated as bank portfolio findings.</w:t>
            </w:r>
          </w:p>
        </w:tc>
      </w:tr>
      <w:tr>
        <w:tc>
          <w:tcPr>
            <w:tcW w:type="dxa" w:w="5184"/>
          </w:tcPr>
          <w:p>
            <w:r>
              <w:t>Target / observation window</w:t>
            </w:r>
          </w:p>
        </w:tc>
        <w:tc>
          <w:tcPr>
            <w:tcW w:type="dxa" w:w="5184"/>
          </w:tcPr>
          <w:p>
            <w:r>
              <w:t>Default target definition, performance window, observation date and outcome maturity need confirmation. Current evaluation metrics are preliminary until this is locked down.</w:t>
            </w:r>
          </w:p>
        </w:tc>
      </w:tr>
      <w:tr>
        <w:tc>
          <w:tcPr>
            <w:tcW w:type="dxa" w:w="5184"/>
          </w:tcPr>
          <w:p>
            <w:r>
              <w:t>Possible temporal leakage</w:t>
            </w:r>
          </w:p>
        </w:tc>
        <w:tc>
          <w:tcPr>
            <w:tcW w:type="dxa" w:w="5184"/>
          </w:tcPr>
          <w:p>
            <w:r>
              <w:t>Repayment features covering months 1–3 may be post-origination. They must not be used for an origination-time model unless the intended prediction point is explicitly after those months.</w:t>
            </w:r>
          </w:p>
        </w:tc>
      </w:tr>
      <w:tr>
        <w:tc>
          <w:tcPr>
            <w:tcW w:type="dxa" w:w="5184"/>
          </w:tcPr>
          <w:p>
            <w:r>
              <w:t>Bureau dates</w:t>
            </w:r>
          </w:p>
        </w:tc>
        <w:tc>
          <w:tcPr>
            <w:tcW w:type="dxa" w:w="5184"/>
          </w:tcPr>
          <w:p>
            <w:r>
              <w:t>Bureau date fields have substantial missingness; chronology and whether each attribute was available at scoring time are not assured.</w:t>
            </w:r>
          </w:p>
        </w:tc>
      </w:tr>
      <w:tr>
        <w:tc>
          <w:tcPr>
            <w:tcW w:type="dxa" w:w="5184"/>
          </w:tcPr>
          <w:p>
            <w:r>
              <w:t>Missing data</w:t>
            </w:r>
          </w:p>
        </w:tc>
        <w:tc>
          <w:tcPr>
            <w:tcW w:type="dxa" w:w="5184"/>
          </w:tcPr>
          <w:p>
            <w:r>
              <w:t>Observed missingness includes bureau_credit.date_closed 48.93%, bureau_credit.days_past_due 3.00%, and 5% each for customers.years_employed, num_dependents, years_at_residence; loan_accounts.interest_rate_pct 2%. Treatment must be documented and stress-tested.</w:t>
            </w:r>
          </w:p>
        </w:tc>
      </w:tr>
      <w:tr>
        <w:tc>
          <w:tcPr>
            <w:tcW w:type="dxa" w:w="5184"/>
          </w:tcPr>
          <w:p>
            <w:r>
              <w:t>Preliminary model comparison</w:t>
            </w:r>
          </w:p>
        </w:tc>
        <w:tc>
          <w:tcPr>
            <w:tcW w:type="dxa" w:w="5184"/>
          </w:tcPr>
          <w:p>
            <w:r>
              <w:t>Reported preliminary metrics: Logistic Regression AUC 0.660, KS 0.2457, Gini 0.3199, Brier 0.2256; XGBoost AUC 0.655, KS 0.2453, Gini 0.3099, Brier 0.1291. These require validation on a leakage-safe, time-based holdout. The metrics may not be directly comparable unless evaluation rows, target and probability definitions match.</w:t>
            </w:r>
          </w:p>
        </w:tc>
      </w:tr>
      <w:tr>
        <w:tc>
          <w:tcPr>
            <w:tcW w:type="dxa" w:w="5184"/>
          </w:tcPr>
          <w:p>
            <w:r>
              <w:t>Threshold metrics</w:t>
            </w:r>
          </w:p>
        </w:tc>
        <w:tc>
          <w:tcPr>
            <w:tcW w:type="dxa" w:w="5184"/>
          </w:tcPr>
          <w:p>
            <w:r>
              <w:t>At the tested 0.5 threshold, Logistic Regression recall 57.72% and precision 24.64%; XGBoost recall 3.38% and precision 50%. Thresholds must be chosen against business costs and calibrated probabilities, not copied blindly.</w:t>
            </w:r>
          </w:p>
        </w:tc>
      </w:tr>
      <w:tr>
        <w:tc>
          <w:tcPr>
            <w:tcW w:type="dxa" w:w="5184"/>
          </w:tcPr>
          <w:p>
            <w:r>
              <w:t>Anomaly detection</w:t>
            </w:r>
          </w:p>
        </w:tc>
        <w:tc>
          <w:tcPr>
            <w:tcW w:type="dxa" w:w="5184"/>
          </w:tcPr>
          <w:p>
            <w:r>
              <w:t>Isolation Forest uses selected numeric origination/profile fields (loan amount, income, age, employment, dependents, residence, interest rate and tenure). It flags unusual profiles, not confirmed fraud, default or misconduct.</w:t>
            </w:r>
          </w:p>
        </w:tc>
      </w:tr>
      <w:tr>
        <w:tc>
          <w:tcPr>
            <w:tcW w:type="dxa" w:w="5184"/>
          </w:tcPr>
          <w:p>
            <w:r>
              <w:t>Anomaly contamination</w:t>
            </w:r>
          </w:p>
        </w:tc>
        <w:tc>
          <w:tcPr>
            <w:tcW w:type="dxa" w:w="5184"/>
          </w:tcPr>
          <w:p>
            <w:r>
              <w:t>The default contamination threshold of 3% is a tunable review-volume assumption, not an empirically established prevalence of bad accounts.</w:t>
            </w:r>
          </w:p>
        </w:tc>
      </w:tr>
      <w:tr>
        <w:tc>
          <w:tcPr>
            <w:tcW w:type="dxa" w:w="5184"/>
          </w:tcPr>
          <w:p>
            <w:r>
              <w:t>AI assistant</w:t>
            </w:r>
          </w:p>
        </w:tc>
        <w:tc>
          <w:tcPr>
            <w:tcW w:type="dxa" w:w="5184"/>
          </w:tcPr>
          <w:p>
            <w:r>
              <w:t>Ask the Portfolio uses local Ollama llama3.2:3b to explain allow-listed calculations. The application should remain the source of numerical truth; LLM prose can still be incomplete or misleading and needs user review.</w:t>
            </w:r>
          </w:p>
        </w:tc>
      </w:tr>
      <w:tr>
        <w:tc>
          <w:tcPr>
            <w:tcW w:type="dxa" w:w="5184"/>
          </w:tcPr>
          <w:p>
            <w:r>
              <w:t>Local deployment</w:t>
            </w:r>
          </w:p>
        </w:tc>
        <w:tc>
          <w:tcPr>
            <w:tcW w:type="dxa" w:w="5184"/>
          </w:tcPr>
          <w:p>
            <w:r>
              <w:t>Current Ollama endpoint is localhost:11434 and the dashboard is local Streamlit. A hosted deployment cannot reach a user's localhost; a secured model-serving architecture is needed.</w:t>
            </w:r>
          </w:p>
        </w:tc>
      </w:tr>
      <w:tr>
        <w:tc>
          <w:tcPr>
            <w:tcW w:type="dxa" w:w="5184"/>
          </w:tcPr>
          <w:p>
            <w:r>
              <w:t>Monitoring cadence</w:t>
            </w:r>
          </w:p>
        </w:tc>
        <w:tc>
          <w:tcPr>
            <w:tcW w:type="dxa" w:w="5184"/>
          </w:tcPr>
          <w:p>
            <w:r>
              <w:t>Monthly PSI/CSI and data-quality review and an initial quarterly retraining review are proposed starting points, not bank-approved policy. Retraining requires mature labels and revalidation.</w:t>
            </w:r>
          </w:p>
        </w:tc>
      </w:tr>
    </w:tbl>
    <w:p>
      <w:pPr>
        <w:pStyle w:val="Heading1"/>
      </w:pPr>
      <w:r>
        <w:t>B. What the bank's IT, data and risk teams must provide</w:t>
      </w:r>
    </w:p>
    <w:p>
      <w:pPr>
        <w:pStyle w:val="ListBullet"/>
      </w:pPr>
      <w:r>
        <w:rPr>
          <w:b/>
        </w:rPr>
        <w:t xml:space="preserve">Data &amp; ownership: </w:t>
      </w:r>
      <w:r>
        <w:t>Named data owners; data dictionary; source-system inventory; primary/foreign keys; refresh frequency; lineage; retention and permitted-use rules.</w:t>
      </w:r>
    </w:p>
    <w:p>
      <w:pPr>
        <w:pStyle w:val="ListBullet"/>
      </w:pPr>
      <w:r>
        <w:rPr>
          <w:b/>
        </w:rPr>
        <w:t xml:space="preserve">Target &amp; timing: </w:t>
      </w:r>
      <w:r>
        <w:t>Approved default/bad definition; performance horizon; observation and outcome dates; cure/restructure/write-off rules; label maturity and censoring treatment.</w:t>
      </w:r>
    </w:p>
    <w:p>
      <w:pPr>
        <w:pStyle w:val="ListBullet"/>
      </w:pPr>
      <w:r>
        <w:rPr>
          <w:b/>
        </w:rPr>
        <w:t xml:space="preserve">Scoring use case: </w:t>
      </w:r>
      <w:r>
        <w:t>Decision point (origination, early-life, collections or portfolio monitoring); population; score frequency; intended action; risk appetite and cost of false positives/negatives.</w:t>
      </w:r>
    </w:p>
    <w:p>
      <w:pPr>
        <w:pStyle w:val="ListBullet"/>
      </w:pPr>
      <w:r>
        <w:rPr>
          <w:b/>
        </w:rPr>
        <w:t xml:space="preserve">Data access &amp; integration: </w:t>
      </w:r>
      <w:r>
        <w:t>Approved secure connectivity to loan origination, core banking, servicing, bureau, payments and collections systems; batch/API contracts; service accounts and least-privilege access.</w:t>
      </w:r>
    </w:p>
    <w:p>
      <w:pPr>
        <w:pStyle w:val="ListBullet"/>
      </w:pPr>
      <w:r>
        <w:rPr>
          <w:b/>
        </w:rPr>
        <w:t xml:space="preserve">Security &amp; privacy: </w:t>
      </w:r>
      <w:r>
        <w:t>PII classification, masking/tokenization, encryption in transit/at rest, secrets management, RBAC/SSO, network controls, audit logs, retention and deletion policy.</w:t>
      </w:r>
    </w:p>
    <w:p>
      <w:pPr>
        <w:pStyle w:val="ListBullet"/>
      </w:pPr>
      <w:r>
        <w:rPr>
          <w:b/>
        </w:rPr>
        <w:t xml:space="preserve">Model risk &amp; compliance: </w:t>
      </w:r>
      <w:r>
        <w:t>Independent validation, benchmark/challenger policy, explainability requirements, fairness/proxy review, adverse-action rules if applicable, approvals and change control.</w:t>
      </w:r>
    </w:p>
    <w:p>
      <w:pPr>
        <w:pStyle w:val="ListBullet"/>
      </w:pPr>
      <w:r>
        <w:rPr>
          <w:b/>
        </w:rPr>
        <w:t xml:space="preserve">Operations: </w:t>
      </w:r>
      <w:r>
        <w:t>Deployment environment, CI/CD, monitoring stack, alert ownership, incident response, rollback, versioned datasets/models, availability targets and disaster recovery.</w:t>
      </w:r>
    </w:p>
    <w:p>
      <w:pPr>
        <w:pStyle w:val="ListBullet"/>
      </w:pPr>
      <w:r>
        <w:rPr>
          <w:b/>
        </w:rPr>
        <w:t xml:space="preserve">LLM governance: </w:t>
      </w:r>
      <w:r>
        <w:t>Approval for local or hosted LLM use, prompt/data retention controls, no sensitive data leakage, model inventory, logging policy, output evaluation and user disclaimers.</w:t>
      </w:r>
    </w:p>
    <w:p>
      <w:pPr>
        <w:pStyle w:val="ListBullet"/>
      </w:pPr>
      <w:r>
        <w:rPr>
          <w:b/>
        </w:rPr>
        <w:t xml:space="preserve">Thresholds &amp; response: </w:t>
      </w:r>
      <w:r>
        <w:t>Bank-approved PSI/CSI thresholds, performance tolerances, segment monitoring, escalation owners, retraining triggers and sign-off process.</w:t>
      </w:r>
    </w:p>
    <w:p>
      <w:pPr>
        <w:pStyle w:val="Heading1"/>
      </w:pPr>
      <w:r>
        <w:t>C. Go-live gate</w:t>
      </w:r>
    </w:p>
    <w:p>
      <w:r>
        <w:t>Do not use this prototype for live credit decisions until the bank confirms target and timing, removes leakage, validates results on representative out-of-time data, completes independent model-risk and compliance review, implements security/access controls, and approves monitoring, escalation, human oversight and rollback procedures.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3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