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48"/>
        </w:rPr>
        <w:t>Geo-Reconciliation (LandLens)</w:t>
      </w:r>
    </w:p>
    <w:p>
      <w:pPr>
        <w:spacing w:after="360"/>
        <w:jc w:val="center"/>
      </w:pPr>
      <w:r>
        <w:rPr>
          <w:rFonts w:ascii="Arial" w:hAnsi="Arial"/>
          <w:i/>
          <w:color w:val="556B82"/>
          <w:sz w:val="24"/>
        </w:rPr>
        <w:t>Comprehensive Technical Architecture, Reconciliation Algorithms &amp; SIH Judge Defense Guide</w:t>
      </w:r>
    </w:p>
    <w:p>
      <w:pPr>
        <w:spacing w:after="240"/>
      </w:pPr>
      <w:r>
        <w:rPr>
          <w:color w:val="008080"/>
        </w:rPr>
        <w:t>━━━━━━━━━━━━━━━━━━━━━━━━━━━━━━━━━━━━━━━━━━━━━━━━━━━━━━━━━━</w:t>
      </w:r>
    </w:p>
    <w:p>
      <w:pPr>
        <w:pStyle w:val="Heading1"/>
      </w:pPr>
      <w:r>
        <w:rPr>
          <w:rFonts w:ascii="Arial" w:hAnsi="Arial"/>
          <w:color w:val="1B365D"/>
        </w:rPr>
        <w:t>1. System Overview &amp; Core Architecture</w:t>
      </w:r>
    </w:p>
    <w:p>
      <w:r>
        <w:rPr>
          <w:b/>
        </w:rPr>
        <w:t xml:space="preserve">Geo-Reconciliation (LandLens) </w:t>
      </w:r>
      <w:r>
        <w:t>is an automated, scalable geospatial entity reconciliation engine and interactive web application. It ingests, normalizes, matches, merges, and verifies building footprints across disparate geospatial data sources (OpenStreetMap, Google Open Buildings, and user-uploaded datasets).</w:t>
      </w:r>
    </w:p>
    <w:p>
      <w:pPr>
        <w:pStyle w:val="Heading2"/>
      </w:pPr>
      <w:r>
        <w:t>1.1 End-to-End Pipeline Architecture</w:t>
      </w:r>
    </w:p>
    <w:p>
      <w:r>
        <w:t>The complete system executes in five discrete, auditable stages:</w:t>
      </w:r>
    </w:p>
    <w:p>
      <w:pPr>
        <w:pStyle w:val="ListBullet"/>
      </w:pPr>
      <w:r>
        <w:rPr>
          <w:b/>
        </w:rPr>
        <w:t xml:space="preserve">1. Multi-Source Ingestion: </w:t>
      </w:r>
      <w:r>
        <w:t>Pulls raw vector geometries from OpenStreetMap (via OSMnx), Google Open Buildings (via Earth Engine API), and custom user files (GeoJSON/Shapefile/KML).</w:t>
      </w:r>
    </w:p>
    <w:p>
      <w:pPr>
        <w:pStyle w:val="ListBullet"/>
      </w:pPr>
      <w:r>
        <w:rPr>
          <w:b/>
        </w:rPr>
        <w:t xml:space="preserve">2. Normalization &amp; Topology Cleaning: </w:t>
      </w:r>
      <w:r>
        <w:t>Harmonizes heterogeneous attributes, validates/repairs invalid geometries, and reprojects all coordinates from EPSG:4326 (degrees) into EPSG:32643 (metric UTM Zone 43N) before saving to PostGIS raw_features.</w:t>
      </w:r>
    </w:p>
    <w:p>
      <w:pPr>
        <w:pStyle w:val="ListBullet"/>
      </w:pPr>
      <w:r>
        <w:rPr>
          <w:b/>
        </w:rPr>
        <w:t xml:space="preserve">3. Spatial Matching &amp; Clustering: </w:t>
      </w:r>
      <w:r>
        <w:t>Uses STRtree spatial indexing to find candidates within a 15m radius, computes pairwise scores (IoU + Centroid Distance + Area/Type Attributes), and groups matching features across N sources using a collision-aware greedy Union-Find algorithm.</w:t>
      </w:r>
    </w:p>
    <w:p>
      <w:pPr>
        <w:pStyle w:val="ListBullet"/>
      </w:pPr>
      <w:r>
        <w:rPr>
          <w:b/>
        </w:rPr>
        <w:t xml:space="preserve">4. Conflict Resolution &amp; Confidence Scoring: </w:t>
      </w:r>
      <w:r>
        <w:t>Merges clustered geometries via topological unary_union, derives best-available attributes, and calculates an explainable composite confidence score. Items scoring &lt; 0.60 are flagged for human review.</w:t>
      </w:r>
    </w:p>
    <w:p>
      <w:pPr>
        <w:pStyle w:val="ListBullet"/>
      </w:pPr>
      <w:r>
        <w:rPr>
          <w:b/>
        </w:rPr>
        <w:t xml:space="preserve">5. PostGIS Persistence &amp; Frontend Serving: </w:t>
      </w:r>
      <w:r>
        <w:t>Stores resolved records in canonical_entities. FastAPI serves low-latency REST endpoints to the React + Leaflet LandLens web dashboard.</w:t>
      </w:r>
    </w:p>
    <w:p>
      <w:pPr>
        <w:pStyle w:val="Heading2"/>
      </w:pPr>
      <w:r>
        <w:t>1.2 Directory &amp; Codebase Structure</w:t>
      </w:r>
    </w:p>
    <w:p>
      <w:r>
        <w:t>The codebase is organized modularly into dedicated layers: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val="clear" w:color="auto" w:fill="1B365D"/>
          </w:tcPr>
          <w:p>
            <w:r>
              <w:rPr>
                <w:b/>
                <w:color w:val="FFFFFF"/>
              </w:rPr>
              <w:t>Directory / File</w:t>
            </w:r>
          </w:p>
        </w:tc>
        <w:tc>
          <w:tcPr>
            <w:tcW w:type="dxa" w:w="4680"/>
            <w:tcMar>
              <w:top w:w="80" w:type="dxa"/>
              <w:bottom w:w="80" w:type="dxa"/>
              <w:left w:w="100" w:type="dxa"/>
              <w:right w:w="100" w:type="dxa"/>
            </w:tcMar>
            <w:shd w:val="clear" w:color="auto" w:fill="1B365D"/>
          </w:tcPr>
          <w:p>
            <w:r>
              <w:rPr>
                <w:b/>
                <w:color w:val="FFFFFF"/>
              </w:rPr>
              <w:t>Primary Purpose &amp; Key Responsibilities</w:t>
            </w:r>
          </w:p>
        </w:tc>
      </w:tr>
      <w:tr>
        <w:tc>
          <w:tcPr>
            <w:tcW w:type="dxa" w:w="4680"/>
            <w:tcMar>
              <w:top w:w="80" w:type="dxa"/>
              <w:bottom w:w="80" w:type="dxa"/>
              <w:left w:w="100" w:type="dxa"/>
              <w:right w:w="100" w:type="dxa"/>
            </w:tcMar>
            <w:shd w:val="clear" w:color="auto" w:fill="F8FAFC"/>
          </w:tcPr>
          <w:p>
            <w:r>
              <w:rPr>
                <w:b/>
                <w:sz w:val="19"/>
              </w:rPr>
              <w:t>config.py</w:t>
            </w:r>
          </w:p>
        </w:tc>
        <w:tc>
          <w:tcPr>
            <w:tcW w:type="dxa" w:w="4680"/>
            <w:tcMar>
              <w:top w:w="80" w:type="dxa"/>
              <w:bottom w:w="80" w:type="dxa"/>
              <w:left w:w="100" w:type="dxa"/>
              <w:right w:w="100" w:type="dxa"/>
            </w:tcMar>
            <w:shd w:val="clear" w:color="auto" w:fill="F8FAFC"/>
          </w:tcPr>
          <w:p>
            <w:r>
              <w:rPr>
                <w:sz w:val="19"/>
              </w:rPr>
              <w:t>Central single source of truth: district bounding boxes, projected CRS (EPSG:32643), matching weights, confidence thresholds, and Supabase DSN.</w:t>
            </w:r>
          </w:p>
        </w:tc>
      </w:tr>
      <w:tr>
        <w:tc>
          <w:tcPr>
            <w:tcW w:type="dxa" w:w="4680"/>
            <w:tcMar>
              <w:top w:w="80" w:type="dxa"/>
              <w:bottom w:w="80" w:type="dxa"/>
              <w:left w:w="100" w:type="dxa"/>
              <w:right w:w="100" w:type="dxa"/>
            </w:tcMar>
          </w:tcPr>
          <w:p>
            <w:r>
              <w:rPr>
                <w:b/>
                <w:sz w:val="19"/>
              </w:rPr>
              <w:t>db/schema.sql &amp; connection.py</w:t>
            </w:r>
          </w:p>
        </w:tc>
        <w:tc>
          <w:tcPr>
            <w:tcW w:type="dxa" w:w="4680"/>
            <w:tcMar>
              <w:top w:w="80" w:type="dxa"/>
              <w:bottom w:w="80" w:type="dxa"/>
              <w:left w:w="100" w:type="dxa"/>
              <w:right w:w="100" w:type="dxa"/>
            </w:tcMar>
          </w:tcPr>
          <w:p>
            <w:r>
              <w:rPr>
                <w:sz w:val="19"/>
              </w:rPr>
              <w:t>PostGIS DDL creating raw_features, match_edges, canonical_entities, and pipeline_runs tables with spatial GiST indexes and psycopg connection pooler.</w:t>
            </w:r>
          </w:p>
        </w:tc>
      </w:tr>
      <w:tr>
        <w:tc>
          <w:tcPr>
            <w:tcW w:type="dxa" w:w="4680"/>
            <w:tcMar>
              <w:top w:w="80" w:type="dxa"/>
              <w:bottom w:w="80" w:type="dxa"/>
              <w:left w:w="100" w:type="dxa"/>
              <w:right w:w="100" w:type="dxa"/>
            </w:tcMar>
            <w:shd w:val="clear" w:color="auto" w:fill="F8FAFC"/>
          </w:tcPr>
          <w:p>
            <w:r>
              <w:rPr>
                <w:b/>
                <w:sz w:val="19"/>
              </w:rPr>
              <w:t>ingestion/</w:t>
            </w:r>
          </w:p>
        </w:tc>
        <w:tc>
          <w:tcPr>
            <w:tcW w:type="dxa" w:w="4680"/>
            <w:tcMar>
              <w:top w:w="80" w:type="dxa"/>
              <w:bottom w:w="80" w:type="dxa"/>
              <w:left w:w="100" w:type="dxa"/>
              <w:right w:w="100" w:type="dxa"/>
            </w:tcMar>
            <w:shd w:val="clear" w:color="auto" w:fill="F8FAFC"/>
          </w:tcPr>
          <w:p>
            <w:r>
              <w:rPr>
                <w:sz w:val="19"/>
              </w:rPr>
              <w:t>Scripts for fetching OSM footprints (fetch_osm_buildings.py), Google Open Buildings (fetch_google_open_buildings.py), and user uploads (fetch_uploaded_file.py).</w:t>
            </w:r>
          </w:p>
        </w:tc>
      </w:tr>
      <w:tr>
        <w:tc>
          <w:tcPr>
            <w:tcW w:type="dxa" w:w="4680"/>
            <w:tcMar>
              <w:top w:w="80" w:type="dxa"/>
              <w:bottom w:w="80" w:type="dxa"/>
              <w:left w:w="100" w:type="dxa"/>
              <w:right w:w="100" w:type="dxa"/>
            </w:tcMar>
          </w:tcPr>
          <w:p>
            <w:r>
              <w:rPr>
                <w:b/>
                <w:sz w:val="19"/>
              </w:rPr>
              <w:t>matching/normalize.py</w:t>
            </w:r>
          </w:p>
        </w:tc>
        <w:tc>
          <w:tcPr>
            <w:tcW w:type="dxa" w:w="4680"/>
            <w:tcMar>
              <w:top w:w="80" w:type="dxa"/>
              <w:bottom w:w="80" w:type="dxa"/>
              <w:left w:w="100" w:type="dxa"/>
              <w:right w:w="100" w:type="dxa"/>
            </w:tcMar>
          </w:tcPr>
          <w:p>
            <w:r>
              <w:rPr>
                <w:sz w:val="19"/>
              </w:rPr>
              <w:t>Topology repair (buffer(0)), metric reprojection to UTM Zone 43N, area/centroid derivation, and batch raw_features insertion.</w:t>
            </w:r>
          </w:p>
        </w:tc>
      </w:tr>
      <w:tr>
        <w:tc>
          <w:tcPr>
            <w:tcW w:type="dxa" w:w="4680"/>
            <w:tcMar>
              <w:top w:w="80" w:type="dxa"/>
              <w:bottom w:w="80" w:type="dxa"/>
              <w:left w:w="100" w:type="dxa"/>
              <w:right w:w="100" w:type="dxa"/>
            </w:tcMar>
            <w:shd w:val="clear" w:color="auto" w:fill="F8FAFC"/>
          </w:tcPr>
          <w:p>
            <w:r>
              <w:rPr>
                <w:b/>
                <w:sz w:val="19"/>
              </w:rPr>
              <w:t>matching/similarity.py</w:t>
            </w:r>
          </w:p>
        </w:tc>
        <w:tc>
          <w:tcPr>
            <w:tcW w:type="dxa" w:w="4680"/>
            <w:tcMar>
              <w:top w:w="80" w:type="dxa"/>
              <w:bottom w:w="80" w:type="dxa"/>
              <w:left w:w="100" w:type="dxa"/>
              <w:right w:w="100" w:type="dxa"/>
            </w:tcMar>
            <w:shd w:val="clear" w:color="auto" w:fill="F8FAFC"/>
          </w:tcPr>
          <w:p>
            <w:r>
              <w:rPr>
                <w:sz w:val="19"/>
              </w:rPr>
              <w:t>Pairwise similarity metrics: geometric IoU, normalized centroid distance, area ratio, attribute matching, and combined score formula.</w:t>
            </w:r>
          </w:p>
        </w:tc>
      </w:tr>
      <w:tr>
        <w:tc>
          <w:tcPr>
            <w:tcW w:type="dxa" w:w="4680"/>
            <w:tcMar>
              <w:top w:w="80" w:type="dxa"/>
              <w:bottom w:w="80" w:type="dxa"/>
              <w:left w:w="100" w:type="dxa"/>
              <w:right w:w="100" w:type="dxa"/>
            </w:tcMar>
          </w:tcPr>
          <w:p>
            <w:r>
              <w:rPr>
                <w:b/>
                <w:sz w:val="19"/>
              </w:rPr>
              <w:t>matching/match_entities.py</w:t>
            </w:r>
          </w:p>
        </w:tc>
        <w:tc>
          <w:tcPr>
            <w:tcW w:type="dxa" w:w="4680"/>
            <w:tcMar>
              <w:top w:w="80" w:type="dxa"/>
              <w:bottom w:w="80" w:type="dxa"/>
              <w:left w:w="100" w:type="dxa"/>
              <w:right w:w="100" w:type="dxa"/>
            </w:tcMar>
          </w:tcPr>
          <w:p>
            <w:r>
              <w:rPr>
                <w:sz w:val="19"/>
              </w:rPr>
              <w:t>Spatial candidate generation via STRtree, N-source greedy Union-Find clustering, and same-source collision prevention.</w:t>
            </w:r>
          </w:p>
        </w:tc>
      </w:tr>
      <w:tr>
        <w:tc>
          <w:tcPr>
            <w:tcW w:type="dxa" w:w="4680"/>
            <w:tcMar>
              <w:top w:w="80" w:type="dxa"/>
              <w:bottom w:w="80" w:type="dxa"/>
              <w:left w:w="100" w:type="dxa"/>
              <w:right w:w="100" w:type="dxa"/>
            </w:tcMar>
            <w:shd w:val="clear" w:color="auto" w:fill="F8FAFC"/>
          </w:tcPr>
          <w:p>
            <w:r>
              <w:rPr>
                <w:b/>
                <w:sz w:val="19"/>
              </w:rPr>
              <w:t>reconciliation/resolve_conflicts.py</w:t>
            </w:r>
          </w:p>
        </w:tc>
        <w:tc>
          <w:tcPr>
            <w:tcW w:type="dxa" w:w="4680"/>
            <w:tcMar>
              <w:top w:w="80" w:type="dxa"/>
              <w:bottom w:w="80" w:type="dxa"/>
              <w:left w:w="100" w:type="dxa"/>
              <w:right w:w="100" w:type="dxa"/>
            </w:tcMar>
            <w:shd w:val="clear" w:color="auto" w:fill="F8FAFC"/>
          </w:tcPr>
          <w:p>
            <w:r>
              <w:rPr>
                <w:sz w:val="19"/>
              </w:rPr>
              <w:t>Derives canonical geometries via topological unary_union and performs attribute conflict resolution across cluster members.</w:t>
            </w:r>
          </w:p>
        </w:tc>
      </w:tr>
      <w:tr>
        <w:tc>
          <w:tcPr>
            <w:tcW w:type="dxa" w:w="4680"/>
            <w:tcMar>
              <w:top w:w="80" w:type="dxa"/>
              <w:bottom w:w="80" w:type="dxa"/>
              <w:left w:w="100" w:type="dxa"/>
              <w:right w:w="100" w:type="dxa"/>
            </w:tcMar>
          </w:tcPr>
          <w:p>
            <w:r>
              <w:rPr>
                <w:b/>
                <w:sz w:val="19"/>
              </w:rPr>
              <w:t>reconciliation/confidence_score.py</w:t>
            </w:r>
          </w:p>
        </w:tc>
        <w:tc>
          <w:tcPr>
            <w:tcW w:type="dxa" w:w="4680"/>
            <w:tcMar>
              <w:top w:w="80" w:type="dxa"/>
              <w:bottom w:w="80" w:type="dxa"/>
              <w:left w:w="100" w:type="dxa"/>
              <w:right w:w="100" w:type="dxa"/>
            </w:tcMar>
          </w:tcPr>
          <w:p>
            <w:r>
              <w:rPr>
                <w:sz w:val="19"/>
              </w:rPr>
              <w:t>Calculates composite confidence scores and routes low-confidence/anomalous entities (score &lt; 0.60) to the Review Queue.</w:t>
            </w:r>
          </w:p>
        </w:tc>
      </w:tr>
      <w:tr>
        <w:tc>
          <w:tcPr>
            <w:tcW w:type="dxa" w:w="4680"/>
            <w:tcMar>
              <w:top w:w="80" w:type="dxa"/>
              <w:bottom w:w="80" w:type="dxa"/>
              <w:left w:w="100" w:type="dxa"/>
              <w:right w:w="100" w:type="dxa"/>
            </w:tcMar>
            <w:shd w:val="clear" w:color="auto" w:fill="F8FAFC"/>
          </w:tcPr>
          <w:p>
            <w:r>
              <w:rPr>
                <w:b/>
                <w:sz w:val="19"/>
              </w:rPr>
              <w:t>verification/</w:t>
            </w:r>
          </w:p>
        </w:tc>
        <w:tc>
          <w:tcPr>
            <w:tcW w:type="dxa" w:w="4680"/>
            <w:tcMar>
              <w:top w:w="80" w:type="dxa"/>
              <w:bottom w:w="80" w:type="dxa"/>
              <w:left w:w="100" w:type="dxa"/>
              <w:right w:w="100" w:type="dxa"/>
            </w:tcMar>
            <w:shd w:val="clear" w:color="auto" w:fill="F8FAFC"/>
          </w:tcPr>
          <w:p>
            <w:r>
              <w:rPr>
                <w:sz w:val="19"/>
              </w:rPr>
              <w:t>Reference oracle builder (build_reference_oracle.py) and benchmark evaluator (evaluate_matching.py) computing Precision, Recall, and F1.</w:t>
            </w:r>
          </w:p>
        </w:tc>
      </w:tr>
      <w:tr>
        <w:tc>
          <w:tcPr>
            <w:tcW w:type="dxa" w:w="4680"/>
            <w:tcMar>
              <w:top w:w="80" w:type="dxa"/>
              <w:bottom w:w="80" w:type="dxa"/>
              <w:left w:w="100" w:type="dxa"/>
              <w:right w:w="100" w:type="dxa"/>
            </w:tcMar>
          </w:tcPr>
          <w:p>
            <w:r>
              <w:rPr>
                <w:b/>
                <w:sz w:val="19"/>
              </w:rPr>
              <w:t>pipeline/run_offline_batch.py</w:t>
            </w:r>
          </w:p>
        </w:tc>
        <w:tc>
          <w:tcPr>
            <w:tcW w:type="dxa" w:w="4680"/>
            <w:tcMar>
              <w:top w:w="80" w:type="dxa"/>
              <w:bottom w:w="80" w:type="dxa"/>
              <w:left w:w="100" w:type="dxa"/>
              <w:right w:w="100" w:type="dxa"/>
            </w:tcMar>
          </w:tcPr>
          <w:p>
            <w:r>
              <w:rPr>
                <w:sz w:val="19"/>
              </w:rPr>
              <w:t>Batch pipeline orchestrator running the complete ingestion-to-canonical workflow.</w:t>
            </w:r>
          </w:p>
        </w:tc>
      </w:tr>
      <w:tr>
        <w:tc>
          <w:tcPr>
            <w:tcW w:type="dxa" w:w="4680"/>
            <w:tcMar>
              <w:top w:w="80" w:type="dxa"/>
              <w:bottom w:w="80" w:type="dxa"/>
              <w:left w:w="100" w:type="dxa"/>
              <w:right w:w="100" w:type="dxa"/>
            </w:tcMar>
            <w:shd w:val="clear" w:color="auto" w:fill="F8FAFC"/>
          </w:tcPr>
          <w:p>
            <w:r>
              <w:rPr>
                <w:b/>
                <w:sz w:val="19"/>
              </w:rPr>
              <w:t>backend/</w:t>
            </w:r>
          </w:p>
        </w:tc>
        <w:tc>
          <w:tcPr>
            <w:tcW w:type="dxa" w:w="4680"/>
            <w:tcMar>
              <w:top w:w="80" w:type="dxa"/>
              <w:bottom w:w="80" w:type="dxa"/>
              <w:left w:w="100" w:type="dxa"/>
              <w:right w:w="100" w:type="dxa"/>
            </w:tcMar>
            <w:shd w:val="clear" w:color="auto" w:fill="F8FAFC"/>
          </w:tcPr>
          <w:p>
            <w:r>
              <w:rPr>
                <w:sz w:val="19"/>
              </w:rPr>
              <w:t>FastAPI REST API serving entities, review queues, manual override handlers, and upload processors.</w:t>
            </w:r>
          </w:p>
        </w:tc>
      </w:tr>
      <w:tr>
        <w:tc>
          <w:tcPr>
            <w:tcW w:type="dxa" w:w="4680"/>
            <w:tcMar>
              <w:top w:w="80" w:type="dxa"/>
              <w:bottom w:w="80" w:type="dxa"/>
              <w:left w:w="100" w:type="dxa"/>
              <w:right w:w="100" w:type="dxa"/>
            </w:tcMar>
          </w:tcPr>
          <w:p>
            <w:r>
              <w:rPr>
                <w:b/>
                <w:sz w:val="19"/>
              </w:rPr>
              <w:t>frontend/</w:t>
            </w:r>
          </w:p>
        </w:tc>
        <w:tc>
          <w:tcPr>
            <w:tcW w:type="dxa" w:w="4680"/>
            <w:tcMar>
              <w:top w:w="80" w:type="dxa"/>
              <w:bottom w:w="80" w:type="dxa"/>
              <w:left w:w="100" w:type="dxa"/>
              <w:right w:w="100" w:type="dxa"/>
            </w:tcMar>
          </w:tcPr>
          <w:p>
            <w:r>
              <w:rPr>
                <w:sz w:val="19"/>
              </w:rPr>
              <w:t>React 19 + TypeScript + Leaflet + Tailwind CSS web dashboard (LandLens) for interactive mapping, review workflows, and metrics analytics.</w:t>
            </w:r>
          </w:p>
        </w:tc>
      </w:tr>
    </w:tbl>
    <w:p>
      <w:pPr>
        <w:spacing w:after="240"/>
      </w:pPr>
    </w:p>
    <w:p>
      <w:pPr>
        <w:pStyle w:val="Heading1"/>
      </w:pPr>
      <w:r>
        <w:rPr>
          <w:rFonts w:ascii="Arial" w:hAnsi="Arial"/>
          <w:color w:val="1B365D"/>
        </w:rPr>
        <w:t>2. Detailed Normalization Architecture</w:t>
      </w:r>
    </w:p>
    <w:p>
      <w:r>
        <w:t xml:space="preserve">Normalization is implemented in </w:t>
      </w:r>
      <w:r>
        <w:rPr>
          <w:b/>
        </w:rPr>
        <w:t>matching/normalize.py</w:t>
      </w:r>
      <w:r>
        <w:t xml:space="preserve"> via the normalize_layer() and insert_raw_features() functions. It serves as the foundation for the entire reconciliation process.</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after="80"/>
            </w:pPr>
            <w:r>
              <w:rPr>
                <w:i/>
                <w:sz w:val="20"/>
              </w:rPr>
              <w:t>CRITICAL GIS CONCEPT: Why Reprojection is Mandatory</w:t>
            </w:r>
          </w:p>
          <w:p>
            <w:pPr>
              <w:spacing w:after="80"/>
            </w:pPr>
            <w:r>
              <w:rPr>
                <w:sz w:val="20"/>
              </w:rPr>
              <w:t>Raw datasets arrive in EPSG:4326 (angular degrees: latitude/longitude). In EPSG:4326, 1 degree of longitude at Bengaluru (13°N) equals ~108 km, whereas at Delhi (28°N) it equals ~98 km. Computing polygon areas, Intersection-over-Union (IoU), or centroid offsets directly in degrees produces mathematically distorted, invalid results. Normalization strictly reprojects geometries to EPSG:32643 (UTM Zone 43N) where coordinates are exact metric Cartesian distances.</w:t>
            </w:r>
          </w:p>
        </w:tc>
      </w:tr>
    </w:tbl>
    <w:p>
      <w:pPr>
        <w:spacing w:after="120"/>
      </w:pPr>
    </w:p>
    <w:p>
      <w:pPr>
        <w:pStyle w:val="Heading2"/>
      </w:pPr>
      <w:r>
        <w:t>2.1 Step-by-Step Normalization Pipeline</w:t>
      </w:r>
    </w:p>
    <w:p>
      <w:pPr>
        <w:pStyle w:val="ListBullet"/>
      </w:pPr>
      <w:r>
        <w:rPr>
          <w:b/>
        </w:rPr>
        <w:t xml:space="preserve">1. Schema &amp; Column Validation: </w:t>
      </w:r>
      <w:r>
        <w:t>Asserts the presence of essential columns: ['entity_uid', 'source', 'feature_type', 'building_type', 'area_m2', 'geometry']. Any missing columns immediately raise a descriptive ValueError.</w:t>
      </w:r>
    </w:p>
    <w:p>
      <w:pPr>
        <w:pStyle w:val="ListBullet"/>
      </w:pPr>
      <w:r>
        <w:rPr>
          <w:b/>
        </w:rPr>
        <w:t xml:space="preserve">2. Geometry Cleaning &amp; Topology Repair: </w:t>
      </w:r>
      <w:r>
        <w:t>Filters out empty or null geometries (~gdf.geometry.is_empty &amp; gdf.geometry.notna()). Self-intersecting or topologically invalid polygons are repaired using Shapely's zero-width buffer trick: geometry.buffer(0).</w:t>
      </w:r>
    </w:p>
    <w:p>
      <w:pPr>
        <w:pStyle w:val="ListBullet"/>
      </w:pPr>
      <w:r>
        <w:rPr>
          <w:b/>
        </w:rPr>
        <w:t xml:space="preserve">3. Projected Coordinate System Reprojection: </w:t>
      </w:r>
      <w:r>
        <w:t>Standardizes the source coordinate system to EPSG:4326 if unassigned, and executes .to_crs(CRS_PROJECTED) to project all geometries into UTM Zone 43N (EPSG:32643).</w:t>
      </w:r>
    </w:p>
    <w:p>
      <w:pPr>
        <w:pStyle w:val="ListBullet"/>
      </w:pPr>
      <w:r>
        <w:rPr>
          <w:b/>
        </w:rPr>
        <w:t xml:space="preserve">4. Metric Property Recalculation: </w:t>
      </w:r>
      <w:r>
        <w:t>Computes the true ground area in square meters (gdf['area_m2'] = gdf_proj.geometry.area) and extracts Cartesian metric centroid coordinates (centroid_x, centroid_y).</w:t>
      </w:r>
    </w:p>
    <w:p>
      <w:pPr>
        <w:pStyle w:val="ListBullet"/>
      </w:pPr>
      <w:r>
        <w:rPr>
          <w:b/>
        </w:rPr>
        <w:t xml:space="preserve">5. Native Confidence Harmonization: </w:t>
      </w:r>
      <w:r>
        <w:t>Sets extraction_confidence to None for manual/crowdsourced layers (OSM) or retains model-provided probabilities for AI/satellite layers.</w:t>
      </w:r>
    </w:p>
    <w:p>
      <w:pPr>
        <w:pStyle w:val="ListBullet"/>
      </w:pPr>
      <w:r>
        <w:rPr>
          <w:b/>
        </w:rPr>
        <w:t xml:space="preserve">6. PostGIS Batch Ingestion: </w:t>
      </w:r>
      <w:r>
        <w:t>Converts geometries to WKT and executes executemany() against PostGIS with ST_GeomFromText(%s, 32643). Employs ON CONFLICT (entity_uid) DO NOTHING to ensure fully idempotent, crash-resilient re-runs.</w:t>
      </w:r>
    </w:p>
    <w:p>
      <w:pPr>
        <w:pStyle w:val="Heading1"/>
      </w:pPr>
      <w:r>
        <w:rPr>
          <w:rFonts w:ascii="Arial" w:hAnsi="Arial"/>
          <w:color w:val="1B365D"/>
        </w:rPr>
        <w:t>3. Reconciliation Algorithms, Formulas &amp; Thresholds</w:t>
      </w:r>
    </w:p>
    <w:p>
      <w:pPr>
        <w:pStyle w:val="Heading2"/>
      </w:pPr>
      <w:r>
        <w:t>3.1 Pairwise Matching Metric</w:t>
      </w:r>
    </w:p>
    <w:p>
      <w:r>
        <w:t>When comparing two candidate footprints from different sources within a 15m radius, the matching engine computes a weighted composite similarity score:</w:t>
      </w:r>
    </w:p>
    <w:p>
      <w:pPr>
        <w:jc w:val="center"/>
      </w:pPr>
      <w:r>
        <w:rPr>
          <w:b/>
          <w:color w:val="005F73"/>
          <w:sz w:val="24"/>
        </w:rPr>
        <w:t>Score(A, B) = 0.50 × IoU + 0.30 × (1 - Dist / 15m) + 0.20 × Attr_Sim</w:t>
      </w:r>
    </w:p>
    <w:p>
      <w:r>
        <w:t>• IoU (Intersection-over-Union, 50% weight): Area(Intersection) / Area(Union). Measures direct spatial overlap between the two footprints.</w:t>
      </w:r>
    </w:p>
    <w:p>
      <w:r>
        <w:t>• Normalized Centroid Proximity (30% weight): 1 - min(Euclidean Distance / 15.0m, 1.0). Gives credit to buildings that are physically centered over each other even if satellite delineation causes slight outline misalignment.</w:t>
      </w:r>
    </w:p>
    <w:p>
      <w:r>
        <w:t>• Attribute &amp; Area Similarity (20% weight): Area ratio min(A1, A2) / max(A1, A2) combined with building type agreement when semantic tags exist.</w:t>
      </w:r>
    </w:p>
    <w:p>
      <w:pPr>
        <w:pStyle w:val="Heading2"/>
      </w:pPr>
      <w:r>
        <w:t>3.2 Multi-Source Graph Clustering &amp; Collision Prevention</w:t>
      </w:r>
    </w:p>
    <w:p>
      <w:r>
        <w:rPr>
          <w:sz w:val="22"/>
        </w:rPr>
        <w:t xml:space="preserve">To generalize beyond two sources (OSM + Google Open Buildings + User Uploads + AI Layers), the engine uses a </w:t>
      </w:r>
      <w:r>
        <w:rPr>
          <w:b/>
        </w:rPr>
        <w:t xml:space="preserve">Greedy Union-Find </w:t>
      </w:r>
      <w:r>
        <w:t>clustering algorithm. Edges passing the 0.50 threshold are sorted highest-score first.</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B365D"/>
              <w:top w:val="none"/>
              <w:bottom w:val="none"/>
              <w:right w:val="none"/>
            </w:tcBorders>
          </w:tcPr>
          <w:p>
            <w:pPr>
              <w:spacing w:after="80"/>
            </w:pPr>
            <w:r>
              <w:rPr>
                <w:i/>
                <w:sz w:val="20"/>
              </w:rPr>
              <w:t>ALGORITHMIC INNOVATION: Same-Source Collision Prevention</w:t>
            </w:r>
          </w:p>
          <w:p>
            <w:pPr>
              <w:spacing w:after="80"/>
            </w:pPr>
            <w:r>
              <w:rPr>
                <w:sz w:val="20"/>
              </w:rPr>
              <w:t>A common failure in multi-source GIS matching is 'hub-merging'. For example, if a large, coarse satellite polygon bridges two distinct, adjacent OSM houses, a naive Union-Find will transitively merge both houses into one. Our greedy Union-Find tracks all sources present under each cluster root and rejects any merge that would place two features from the same source into a single cluster. The higher-scoring edge is preserved, and the adjacent building remains independent.</w:t>
            </w:r>
          </w:p>
        </w:tc>
      </w:tr>
    </w:tbl>
    <w:p>
      <w:pPr>
        <w:spacing w:after="120"/>
      </w:pPr>
    </w:p>
    <w:p>
      <w:pPr>
        <w:pStyle w:val="Heading2"/>
      </w:pPr>
      <w:r>
        <w:t>3.3 Topological Conflict Resolution &amp; Geometry Derivation</w:t>
      </w:r>
    </w:p>
    <w:p>
      <w:r>
        <w:rPr>
          <w:sz w:val="22"/>
        </w:rPr>
        <w:t xml:space="preserve">Once a cluster is formed, </w:t>
      </w:r>
      <w:r>
        <w:rPr>
          <w:b/>
        </w:rPr>
        <w:t xml:space="preserve">reconciliation/resolve_conflicts.py </w:t>
      </w:r>
      <w:r>
        <w:t xml:space="preserve">derives the canonical geometry. Rather than using an arbitrary 'winner-take-all' selection that discards valid data, the engine applies </w:t>
      </w:r>
      <w:r>
        <w:rPr>
          <w:b/>
        </w:rPr>
        <w:t>unary_union(member_geometries)</w:t>
      </w:r>
      <w:r>
        <w:t>, creating a complete unified boundary that synthesizes evidence from all corroborating sources.</w:t>
      </w:r>
    </w:p>
    <w:p>
      <w:pPr>
        <w:pStyle w:val="Heading2"/>
      </w:pPr>
      <w:r>
        <w:t>3.4 Composite Confidence Scoring &amp; Review Routing</w:t>
      </w:r>
    </w:p>
    <w:p>
      <w:r>
        <w:t>Each canonical entity is assigned an explainable confidence score:</w:t>
      </w:r>
    </w:p>
    <w:p>
      <w:pPr>
        <w:jc w:val="center"/>
      </w:pPr>
      <w:r>
        <w:rPr>
          <w:b/>
          <w:color w:val="005F73"/>
          <w:sz w:val="24"/>
        </w:rPr>
        <w:t>Confidence = 0.50 × Avg_Match_Score + 0.30 × Avg_IoU_Agreement + 0.20 × Extraction_Confidence</w:t>
      </w:r>
    </w:p>
    <w:p>
      <w:r>
        <w:rPr>
          <w:b/>
        </w:rPr>
        <w:t xml:space="preserve">• If Confidence &gt;= 0.60: </w:t>
      </w:r>
      <w:r>
        <w:t>The building footprint is automatically accepted and published to the canonical layer.</w:t>
        <w:br/>
      </w:r>
      <w:r>
        <w:rPr>
          <w:b/>
        </w:rPr>
        <w:t xml:space="preserve">• If Confidence &lt; 0.60: </w:t>
      </w:r>
      <w:r>
        <w:t>The entity is flagged (needs_review = True) and routed to the Human-in-the-Loop Review Queue for manual inspection, approval, or editing.</w:t>
      </w:r>
    </w:p>
    <w:p>
      <w:pPr>
        <w:pStyle w:val="Heading2"/>
      </w:pPr>
      <w:r>
        <w:t>3.5 Complete Configuration &amp; Threshold Reference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bottom w:w="60" w:type="dxa"/>
              <w:left w:w="80" w:type="dxa"/>
              <w:right w:w="80" w:type="dxa"/>
            </w:tcMar>
            <w:shd w:val="clear" w:color="auto" w:fill="1B365D"/>
          </w:tcPr>
          <w:p>
            <w:r>
              <w:rPr>
                <w:b/>
                <w:color w:val="FFFFFF"/>
              </w:rPr>
              <w:t>Parameter Name</w:t>
            </w:r>
          </w:p>
        </w:tc>
        <w:tc>
          <w:tcPr>
            <w:tcW w:type="dxa" w:w="2340"/>
            <w:tcMar>
              <w:top w:w="60" w:type="dxa"/>
              <w:bottom w:w="60" w:type="dxa"/>
              <w:left w:w="80" w:type="dxa"/>
              <w:right w:w="80" w:type="dxa"/>
            </w:tcMar>
            <w:shd w:val="clear" w:color="auto" w:fill="1B365D"/>
          </w:tcPr>
          <w:p>
            <w:r>
              <w:rPr>
                <w:b/>
                <w:color w:val="FFFFFF"/>
              </w:rPr>
              <w:t>Value</w:t>
            </w:r>
          </w:p>
        </w:tc>
        <w:tc>
          <w:tcPr>
            <w:tcW w:type="dxa" w:w="2340"/>
            <w:tcMar>
              <w:top w:w="60" w:type="dxa"/>
              <w:bottom w:w="60" w:type="dxa"/>
              <w:left w:w="80" w:type="dxa"/>
              <w:right w:w="80" w:type="dxa"/>
            </w:tcMar>
            <w:shd w:val="clear" w:color="auto" w:fill="1B365D"/>
          </w:tcPr>
          <w:p>
            <w:r>
              <w:rPr>
                <w:b/>
                <w:color w:val="FFFFFF"/>
              </w:rPr>
              <w:t>Source in Code</w:t>
            </w:r>
          </w:p>
        </w:tc>
        <w:tc>
          <w:tcPr>
            <w:tcW w:type="dxa" w:w="2340"/>
            <w:tcMar>
              <w:top w:w="60" w:type="dxa"/>
              <w:bottom w:w="60" w:type="dxa"/>
              <w:left w:w="80" w:type="dxa"/>
              <w:right w:w="80" w:type="dxa"/>
            </w:tcMar>
            <w:shd w:val="clear" w:color="auto" w:fill="1B365D"/>
          </w:tcPr>
          <w:p>
            <w:r>
              <w:rPr>
                <w:b/>
                <w:color w:val="FFFFFF"/>
              </w:rPr>
              <w:t>Functional Purpose</w:t>
            </w:r>
          </w:p>
        </w:tc>
      </w:tr>
      <w:tr>
        <w:tc>
          <w:tcPr>
            <w:tcW w:type="dxa" w:w="2340"/>
            <w:tcMar>
              <w:top w:w="60" w:type="dxa"/>
              <w:bottom w:w="60" w:type="dxa"/>
              <w:left w:w="80" w:type="dxa"/>
              <w:right w:w="80" w:type="dxa"/>
            </w:tcMar>
            <w:shd w:val="clear" w:color="auto" w:fill="F8FAFC"/>
          </w:tcPr>
          <w:p>
            <w:r>
              <w:rPr>
                <w:b/>
                <w:sz w:val="18"/>
              </w:rPr>
              <w:t>CRS_PROJECTED / MATCH_SRID</w:t>
            </w:r>
          </w:p>
        </w:tc>
        <w:tc>
          <w:tcPr>
            <w:tcW w:type="dxa" w:w="2340"/>
            <w:tcMar>
              <w:top w:w="60" w:type="dxa"/>
              <w:bottom w:w="60" w:type="dxa"/>
              <w:left w:w="80" w:type="dxa"/>
              <w:right w:w="80" w:type="dxa"/>
            </w:tcMar>
            <w:shd w:val="clear" w:color="auto" w:fill="F8FAFC"/>
          </w:tcPr>
          <w:p>
            <w:r>
              <w:rPr>
                <w:b/>
                <w:sz w:val="18"/>
              </w:rPr>
              <w:t>EPSG:32643</w:t>
            </w:r>
          </w:p>
        </w:tc>
        <w:tc>
          <w:tcPr>
            <w:tcW w:type="dxa" w:w="2340"/>
            <w:tcMar>
              <w:top w:w="60" w:type="dxa"/>
              <w:bottom w:w="60" w:type="dxa"/>
              <w:left w:w="80" w:type="dxa"/>
              <w:right w:w="80" w:type="dxa"/>
            </w:tcMar>
            <w:shd w:val="clear" w:color="auto" w:fill="F8FAFC"/>
          </w:tcPr>
          <w:p>
            <w:r>
              <w:rPr>
                <w:sz w:val="18"/>
              </w:rPr>
              <w:t>config.py:L48</w:t>
            </w:r>
          </w:p>
        </w:tc>
        <w:tc>
          <w:tcPr>
            <w:tcW w:type="dxa" w:w="2340"/>
            <w:tcMar>
              <w:top w:w="60" w:type="dxa"/>
              <w:bottom w:w="60" w:type="dxa"/>
              <w:left w:w="80" w:type="dxa"/>
              <w:right w:w="80" w:type="dxa"/>
            </w:tcMar>
            <w:shd w:val="clear" w:color="auto" w:fill="F8FAFC"/>
          </w:tcPr>
          <w:p>
            <w:r>
              <w:rPr>
                <w:sz w:val="18"/>
              </w:rPr>
              <w:t>UTM Zone 43N projected metric CRS for accurate distance and area calculations.</w:t>
            </w:r>
          </w:p>
        </w:tc>
      </w:tr>
      <w:tr>
        <w:tc>
          <w:tcPr>
            <w:tcW w:type="dxa" w:w="2340"/>
            <w:tcMar>
              <w:top w:w="60" w:type="dxa"/>
              <w:bottom w:w="60" w:type="dxa"/>
              <w:left w:w="80" w:type="dxa"/>
              <w:right w:w="80" w:type="dxa"/>
            </w:tcMar>
          </w:tcPr>
          <w:p>
            <w:r>
              <w:rPr>
                <w:b/>
                <w:sz w:val="18"/>
              </w:rPr>
              <w:t>MAX_CANDIDATE_DISTANCE_M</w:t>
            </w:r>
          </w:p>
        </w:tc>
        <w:tc>
          <w:tcPr>
            <w:tcW w:type="dxa" w:w="2340"/>
            <w:tcMar>
              <w:top w:w="60" w:type="dxa"/>
              <w:bottom w:w="60" w:type="dxa"/>
              <w:left w:w="80" w:type="dxa"/>
              <w:right w:w="80" w:type="dxa"/>
            </w:tcMar>
          </w:tcPr>
          <w:p>
            <w:r>
              <w:rPr>
                <w:b/>
                <w:sz w:val="18"/>
              </w:rPr>
              <w:t>15.0 m</w:t>
            </w:r>
          </w:p>
        </w:tc>
        <w:tc>
          <w:tcPr>
            <w:tcW w:type="dxa" w:w="2340"/>
            <w:tcMar>
              <w:top w:w="60" w:type="dxa"/>
              <w:bottom w:w="60" w:type="dxa"/>
              <w:left w:w="80" w:type="dxa"/>
              <w:right w:w="80" w:type="dxa"/>
            </w:tcMar>
          </w:tcPr>
          <w:p>
            <w:r>
              <w:rPr>
                <w:sz w:val="18"/>
              </w:rPr>
              <w:t>config.py:L60</w:t>
            </w:r>
          </w:p>
        </w:tc>
        <w:tc>
          <w:tcPr>
            <w:tcW w:type="dxa" w:w="2340"/>
            <w:tcMar>
              <w:top w:w="60" w:type="dxa"/>
              <w:bottom w:w="60" w:type="dxa"/>
              <w:left w:w="80" w:type="dxa"/>
              <w:right w:w="80" w:type="dxa"/>
            </w:tcMar>
          </w:tcPr>
          <w:p>
            <w:r>
              <w:rPr>
                <w:sz w:val="18"/>
              </w:rPr>
              <w:t>Spatial search radius for STRtree candidate generation and distance normalization cap.</w:t>
            </w:r>
          </w:p>
        </w:tc>
      </w:tr>
      <w:tr>
        <w:tc>
          <w:tcPr>
            <w:tcW w:type="dxa" w:w="2340"/>
            <w:tcMar>
              <w:top w:w="60" w:type="dxa"/>
              <w:bottom w:w="60" w:type="dxa"/>
              <w:left w:w="80" w:type="dxa"/>
              <w:right w:w="80" w:type="dxa"/>
            </w:tcMar>
            <w:shd w:val="clear" w:color="auto" w:fill="F8FAFC"/>
          </w:tcPr>
          <w:p>
            <w:r>
              <w:rPr>
                <w:b/>
                <w:sz w:val="18"/>
              </w:rPr>
              <w:t>MATCH_WEIGHT_IOU</w:t>
            </w:r>
          </w:p>
        </w:tc>
        <w:tc>
          <w:tcPr>
            <w:tcW w:type="dxa" w:w="2340"/>
            <w:tcMar>
              <w:top w:w="60" w:type="dxa"/>
              <w:bottom w:w="60" w:type="dxa"/>
              <w:left w:w="80" w:type="dxa"/>
              <w:right w:w="80" w:type="dxa"/>
            </w:tcMar>
            <w:shd w:val="clear" w:color="auto" w:fill="F8FAFC"/>
          </w:tcPr>
          <w:p>
            <w:r>
              <w:rPr>
                <w:b/>
                <w:sz w:val="18"/>
              </w:rPr>
              <w:t>0.50 (50%)</w:t>
            </w:r>
          </w:p>
        </w:tc>
        <w:tc>
          <w:tcPr>
            <w:tcW w:type="dxa" w:w="2340"/>
            <w:tcMar>
              <w:top w:w="60" w:type="dxa"/>
              <w:bottom w:w="60" w:type="dxa"/>
              <w:left w:w="80" w:type="dxa"/>
              <w:right w:w="80" w:type="dxa"/>
            </w:tcMar>
            <w:shd w:val="clear" w:color="auto" w:fill="F8FAFC"/>
          </w:tcPr>
          <w:p>
            <w:r>
              <w:rPr>
                <w:sz w:val="18"/>
              </w:rPr>
              <w:t>config.py:L55</w:t>
            </w:r>
          </w:p>
        </w:tc>
        <w:tc>
          <w:tcPr>
            <w:tcW w:type="dxa" w:w="2340"/>
            <w:tcMar>
              <w:top w:w="60" w:type="dxa"/>
              <w:bottom w:w="60" w:type="dxa"/>
              <w:left w:w="80" w:type="dxa"/>
              <w:right w:w="80" w:type="dxa"/>
            </w:tcMar>
            <w:shd w:val="clear" w:color="auto" w:fill="F8FAFC"/>
          </w:tcPr>
          <w:p>
            <w:r>
              <w:rPr>
                <w:sz w:val="18"/>
              </w:rPr>
              <w:t>Weight assigned to geometric Intersection-over-Union overlap in pairwise matching.</w:t>
            </w:r>
          </w:p>
        </w:tc>
      </w:tr>
      <w:tr>
        <w:tc>
          <w:tcPr>
            <w:tcW w:type="dxa" w:w="2340"/>
            <w:tcMar>
              <w:top w:w="60" w:type="dxa"/>
              <w:bottom w:w="60" w:type="dxa"/>
              <w:left w:w="80" w:type="dxa"/>
              <w:right w:w="80" w:type="dxa"/>
            </w:tcMar>
          </w:tcPr>
          <w:p>
            <w:r>
              <w:rPr>
                <w:b/>
                <w:sz w:val="18"/>
              </w:rPr>
              <w:t>MATCH_WEIGHT_DIST</w:t>
            </w:r>
          </w:p>
        </w:tc>
        <w:tc>
          <w:tcPr>
            <w:tcW w:type="dxa" w:w="2340"/>
            <w:tcMar>
              <w:top w:w="60" w:type="dxa"/>
              <w:bottom w:w="60" w:type="dxa"/>
              <w:left w:w="80" w:type="dxa"/>
              <w:right w:w="80" w:type="dxa"/>
            </w:tcMar>
          </w:tcPr>
          <w:p>
            <w:r>
              <w:rPr>
                <w:b/>
                <w:sz w:val="18"/>
              </w:rPr>
              <w:t>0.30 (30%)</w:t>
            </w:r>
          </w:p>
        </w:tc>
        <w:tc>
          <w:tcPr>
            <w:tcW w:type="dxa" w:w="2340"/>
            <w:tcMar>
              <w:top w:w="60" w:type="dxa"/>
              <w:bottom w:w="60" w:type="dxa"/>
              <w:left w:w="80" w:type="dxa"/>
              <w:right w:w="80" w:type="dxa"/>
            </w:tcMar>
          </w:tcPr>
          <w:p>
            <w:r>
              <w:rPr>
                <w:sz w:val="18"/>
              </w:rPr>
              <w:t>config.py:L56</w:t>
            </w:r>
          </w:p>
        </w:tc>
        <w:tc>
          <w:tcPr>
            <w:tcW w:type="dxa" w:w="2340"/>
            <w:tcMar>
              <w:top w:w="60" w:type="dxa"/>
              <w:bottom w:w="60" w:type="dxa"/>
              <w:left w:w="80" w:type="dxa"/>
              <w:right w:w="80" w:type="dxa"/>
            </w:tcMar>
          </w:tcPr>
          <w:p>
            <w:r>
              <w:rPr>
                <w:sz w:val="18"/>
              </w:rPr>
              <w:t>Weight assigned to normalized centroid proximity.</w:t>
            </w:r>
          </w:p>
        </w:tc>
      </w:tr>
      <w:tr>
        <w:tc>
          <w:tcPr>
            <w:tcW w:type="dxa" w:w="2340"/>
            <w:tcMar>
              <w:top w:w="60" w:type="dxa"/>
              <w:bottom w:w="60" w:type="dxa"/>
              <w:left w:w="80" w:type="dxa"/>
              <w:right w:w="80" w:type="dxa"/>
            </w:tcMar>
            <w:shd w:val="clear" w:color="auto" w:fill="F8FAFC"/>
          </w:tcPr>
          <w:p>
            <w:r>
              <w:rPr>
                <w:b/>
                <w:sz w:val="18"/>
              </w:rPr>
              <w:t>MATCH_WEIGHT_ATTR</w:t>
            </w:r>
          </w:p>
        </w:tc>
        <w:tc>
          <w:tcPr>
            <w:tcW w:type="dxa" w:w="2340"/>
            <w:tcMar>
              <w:top w:w="60" w:type="dxa"/>
              <w:bottom w:w="60" w:type="dxa"/>
              <w:left w:w="80" w:type="dxa"/>
              <w:right w:w="80" w:type="dxa"/>
            </w:tcMar>
            <w:shd w:val="clear" w:color="auto" w:fill="F8FAFC"/>
          </w:tcPr>
          <w:p>
            <w:r>
              <w:rPr>
                <w:b/>
                <w:sz w:val="18"/>
              </w:rPr>
              <w:t>0.20 (20%)</w:t>
            </w:r>
          </w:p>
        </w:tc>
        <w:tc>
          <w:tcPr>
            <w:tcW w:type="dxa" w:w="2340"/>
            <w:tcMar>
              <w:top w:w="60" w:type="dxa"/>
              <w:bottom w:w="60" w:type="dxa"/>
              <w:left w:w="80" w:type="dxa"/>
              <w:right w:w="80" w:type="dxa"/>
            </w:tcMar>
            <w:shd w:val="clear" w:color="auto" w:fill="F8FAFC"/>
          </w:tcPr>
          <w:p>
            <w:r>
              <w:rPr>
                <w:sz w:val="18"/>
              </w:rPr>
              <w:t>config.py:L57</w:t>
            </w:r>
          </w:p>
        </w:tc>
        <w:tc>
          <w:tcPr>
            <w:tcW w:type="dxa" w:w="2340"/>
            <w:tcMar>
              <w:top w:w="60" w:type="dxa"/>
              <w:bottom w:w="60" w:type="dxa"/>
              <w:left w:w="80" w:type="dxa"/>
              <w:right w:w="80" w:type="dxa"/>
            </w:tcMar>
            <w:shd w:val="clear" w:color="auto" w:fill="F8FAFC"/>
          </w:tcPr>
          <w:p>
            <w:r>
              <w:rPr>
                <w:sz w:val="18"/>
              </w:rPr>
              <w:t>Weight assigned to area ratio and semantic building class agreement.</w:t>
            </w:r>
          </w:p>
        </w:tc>
      </w:tr>
      <w:tr>
        <w:tc>
          <w:tcPr>
            <w:tcW w:type="dxa" w:w="2340"/>
            <w:tcMar>
              <w:top w:w="60" w:type="dxa"/>
              <w:bottom w:w="60" w:type="dxa"/>
              <w:left w:w="80" w:type="dxa"/>
              <w:right w:w="80" w:type="dxa"/>
            </w:tcMar>
          </w:tcPr>
          <w:p>
            <w:r>
              <w:rPr>
                <w:b/>
                <w:sz w:val="18"/>
              </w:rPr>
              <w:t>MATCH_SCORE_THRESHOLD</w:t>
            </w:r>
          </w:p>
        </w:tc>
        <w:tc>
          <w:tcPr>
            <w:tcW w:type="dxa" w:w="2340"/>
            <w:tcMar>
              <w:top w:w="60" w:type="dxa"/>
              <w:bottom w:w="60" w:type="dxa"/>
              <w:left w:w="80" w:type="dxa"/>
              <w:right w:w="80" w:type="dxa"/>
            </w:tcMar>
          </w:tcPr>
          <w:p>
            <w:r>
              <w:rPr>
                <w:b/>
                <w:sz w:val="18"/>
              </w:rPr>
              <w:t>0.50</w:t>
            </w:r>
          </w:p>
        </w:tc>
        <w:tc>
          <w:tcPr>
            <w:tcW w:type="dxa" w:w="2340"/>
            <w:tcMar>
              <w:top w:w="60" w:type="dxa"/>
              <w:bottom w:w="60" w:type="dxa"/>
              <w:left w:w="80" w:type="dxa"/>
              <w:right w:w="80" w:type="dxa"/>
            </w:tcMar>
          </w:tcPr>
          <w:p>
            <w:r>
              <w:rPr>
                <w:sz w:val="18"/>
              </w:rPr>
              <w:t>config.py:L59</w:t>
            </w:r>
          </w:p>
        </w:tc>
        <w:tc>
          <w:tcPr>
            <w:tcW w:type="dxa" w:w="2340"/>
            <w:tcMar>
              <w:top w:w="60" w:type="dxa"/>
              <w:bottom w:w="60" w:type="dxa"/>
              <w:left w:w="80" w:type="dxa"/>
              <w:right w:w="80" w:type="dxa"/>
            </w:tcMar>
          </w:tcPr>
          <w:p>
            <w:r>
              <w:rPr>
                <w:sz w:val="18"/>
              </w:rPr>
              <w:t>Minimum total match score required to accept an edge between two features.</w:t>
            </w:r>
          </w:p>
        </w:tc>
      </w:tr>
      <w:tr>
        <w:tc>
          <w:tcPr>
            <w:tcW w:type="dxa" w:w="2340"/>
            <w:tcMar>
              <w:top w:w="60" w:type="dxa"/>
              <w:bottom w:w="60" w:type="dxa"/>
              <w:left w:w="80" w:type="dxa"/>
              <w:right w:w="80" w:type="dxa"/>
            </w:tcMar>
            <w:shd w:val="clear" w:color="auto" w:fill="F8FAFC"/>
          </w:tcPr>
          <w:p>
            <w:r>
              <w:rPr>
                <w:b/>
                <w:sz w:val="18"/>
              </w:rPr>
              <w:t>CONFIDENCE_WEIGHT_MATCH</w:t>
            </w:r>
          </w:p>
        </w:tc>
        <w:tc>
          <w:tcPr>
            <w:tcW w:type="dxa" w:w="2340"/>
            <w:tcMar>
              <w:top w:w="60" w:type="dxa"/>
              <w:bottom w:w="60" w:type="dxa"/>
              <w:left w:w="80" w:type="dxa"/>
              <w:right w:w="80" w:type="dxa"/>
            </w:tcMar>
            <w:shd w:val="clear" w:color="auto" w:fill="F8FAFC"/>
          </w:tcPr>
          <w:p>
            <w:r>
              <w:rPr>
                <w:b/>
                <w:sz w:val="18"/>
              </w:rPr>
              <w:t>0.50 (50%)</w:t>
            </w:r>
          </w:p>
        </w:tc>
        <w:tc>
          <w:tcPr>
            <w:tcW w:type="dxa" w:w="2340"/>
            <w:tcMar>
              <w:top w:w="60" w:type="dxa"/>
              <w:bottom w:w="60" w:type="dxa"/>
              <w:left w:w="80" w:type="dxa"/>
              <w:right w:w="80" w:type="dxa"/>
            </w:tcMar>
            <w:shd w:val="clear" w:color="auto" w:fill="F8FAFC"/>
          </w:tcPr>
          <w:p>
            <w:r>
              <w:rPr>
                <w:sz w:val="18"/>
              </w:rPr>
              <w:t>config.py:L67</w:t>
            </w:r>
          </w:p>
        </w:tc>
        <w:tc>
          <w:tcPr>
            <w:tcW w:type="dxa" w:w="2340"/>
            <w:tcMar>
              <w:top w:w="60" w:type="dxa"/>
              <w:bottom w:w="60" w:type="dxa"/>
              <w:left w:w="80" w:type="dxa"/>
              <w:right w:w="80" w:type="dxa"/>
            </w:tcMar>
            <w:shd w:val="clear" w:color="auto" w:fill="F8FAFC"/>
          </w:tcPr>
          <w:p>
            <w:r>
              <w:rPr>
                <w:sz w:val="18"/>
              </w:rPr>
              <w:t>Weight of average cluster match quality in final confidence calculation.</w:t>
            </w:r>
          </w:p>
        </w:tc>
      </w:tr>
      <w:tr>
        <w:tc>
          <w:tcPr>
            <w:tcW w:type="dxa" w:w="2340"/>
            <w:tcMar>
              <w:top w:w="60" w:type="dxa"/>
              <w:bottom w:w="60" w:type="dxa"/>
              <w:left w:w="80" w:type="dxa"/>
              <w:right w:w="80" w:type="dxa"/>
            </w:tcMar>
          </w:tcPr>
          <w:p>
            <w:r>
              <w:rPr>
                <w:b/>
                <w:sz w:val="18"/>
              </w:rPr>
              <w:t>CONFIDENCE_WEIGHT_AGREEMENT</w:t>
            </w:r>
          </w:p>
        </w:tc>
        <w:tc>
          <w:tcPr>
            <w:tcW w:type="dxa" w:w="2340"/>
            <w:tcMar>
              <w:top w:w="60" w:type="dxa"/>
              <w:bottom w:w="60" w:type="dxa"/>
              <w:left w:w="80" w:type="dxa"/>
              <w:right w:w="80" w:type="dxa"/>
            </w:tcMar>
          </w:tcPr>
          <w:p>
            <w:r>
              <w:rPr>
                <w:b/>
                <w:sz w:val="18"/>
              </w:rPr>
              <w:t>0.30 (30%)</w:t>
            </w:r>
          </w:p>
        </w:tc>
        <w:tc>
          <w:tcPr>
            <w:tcW w:type="dxa" w:w="2340"/>
            <w:tcMar>
              <w:top w:w="60" w:type="dxa"/>
              <w:bottom w:w="60" w:type="dxa"/>
              <w:left w:w="80" w:type="dxa"/>
              <w:right w:w="80" w:type="dxa"/>
            </w:tcMar>
          </w:tcPr>
          <w:p>
            <w:r>
              <w:rPr>
                <w:sz w:val="18"/>
              </w:rPr>
              <w:t>config.py:L68</w:t>
            </w:r>
          </w:p>
        </w:tc>
        <w:tc>
          <w:tcPr>
            <w:tcW w:type="dxa" w:w="2340"/>
            <w:tcMar>
              <w:top w:w="60" w:type="dxa"/>
              <w:bottom w:w="60" w:type="dxa"/>
              <w:left w:w="80" w:type="dxa"/>
              <w:right w:w="80" w:type="dxa"/>
            </w:tcMar>
          </w:tcPr>
          <w:p>
            <w:r>
              <w:rPr>
                <w:sz w:val="18"/>
              </w:rPr>
              <w:t>Weight of average geometric IoU agreement among cluster members.</w:t>
            </w:r>
          </w:p>
        </w:tc>
      </w:tr>
      <w:tr>
        <w:tc>
          <w:tcPr>
            <w:tcW w:type="dxa" w:w="2340"/>
            <w:tcMar>
              <w:top w:w="60" w:type="dxa"/>
              <w:bottom w:w="60" w:type="dxa"/>
              <w:left w:w="80" w:type="dxa"/>
              <w:right w:w="80" w:type="dxa"/>
            </w:tcMar>
            <w:shd w:val="clear" w:color="auto" w:fill="F8FAFC"/>
          </w:tcPr>
          <w:p>
            <w:r>
              <w:rPr>
                <w:b/>
                <w:sz w:val="18"/>
              </w:rPr>
              <w:t>CONFIDENCE_WEIGHT_EXTRACTION</w:t>
            </w:r>
          </w:p>
        </w:tc>
        <w:tc>
          <w:tcPr>
            <w:tcW w:type="dxa" w:w="2340"/>
            <w:tcMar>
              <w:top w:w="60" w:type="dxa"/>
              <w:bottom w:w="60" w:type="dxa"/>
              <w:left w:w="80" w:type="dxa"/>
              <w:right w:w="80" w:type="dxa"/>
            </w:tcMar>
            <w:shd w:val="clear" w:color="auto" w:fill="F8FAFC"/>
          </w:tcPr>
          <w:p>
            <w:r>
              <w:rPr>
                <w:b/>
                <w:sz w:val="18"/>
              </w:rPr>
              <w:t>0.20 (20%)</w:t>
            </w:r>
          </w:p>
        </w:tc>
        <w:tc>
          <w:tcPr>
            <w:tcW w:type="dxa" w:w="2340"/>
            <w:tcMar>
              <w:top w:w="60" w:type="dxa"/>
              <w:bottom w:w="60" w:type="dxa"/>
              <w:left w:w="80" w:type="dxa"/>
              <w:right w:w="80" w:type="dxa"/>
            </w:tcMar>
            <w:shd w:val="clear" w:color="auto" w:fill="F8FAFC"/>
          </w:tcPr>
          <w:p>
            <w:r>
              <w:rPr>
                <w:sz w:val="18"/>
              </w:rPr>
              <w:t>config.py:L69</w:t>
            </w:r>
          </w:p>
        </w:tc>
        <w:tc>
          <w:tcPr>
            <w:tcW w:type="dxa" w:w="2340"/>
            <w:tcMar>
              <w:top w:w="60" w:type="dxa"/>
              <w:bottom w:w="60" w:type="dxa"/>
              <w:left w:w="80" w:type="dxa"/>
              <w:right w:w="80" w:type="dxa"/>
            </w:tcMar>
            <w:shd w:val="clear" w:color="auto" w:fill="F8FAFC"/>
          </w:tcPr>
          <w:p>
            <w:r>
              <w:rPr>
                <w:sz w:val="18"/>
              </w:rPr>
              <w:t>Weight of source AI/satellite extraction probability.</w:t>
            </w:r>
          </w:p>
        </w:tc>
      </w:tr>
      <w:tr>
        <w:tc>
          <w:tcPr>
            <w:tcW w:type="dxa" w:w="2340"/>
            <w:tcMar>
              <w:top w:w="60" w:type="dxa"/>
              <w:bottom w:w="60" w:type="dxa"/>
              <w:left w:w="80" w:type="dxa"/>
              <w:right w:w="80" w:type="dxa"/>
            </w:tcMar>
          </w:tcPr>
          <w:p>
            <w:r>
              <w:rPr>
                <w:b/>
                <w:sz w:val="18"/>
              </w:rPr>
              <w:t>CONFIDENCE_REVIEW_THRESHOLD</w:t>
            </w:r>
          </w:p>
        </w:tc>
        <w:tc>
          <w:tcPr>
            <w:tcW w:type="dxa" w:w="2340"/>
            <w:tcMar>
              <w:top w:w="60" w:type="dxa"/>
              <w:bottom w:w="60" w:type="dxa"/>
              <w:left w:w="80" w:type="dxa"/>
              <w:right w:w="80" w:type="dxa"/>
            </w:tcMar>
          </w:tcPr>
          <w:p>
            <w:r>
              <w:rPr>
                <w:b/>
                <w:sz w:val="18"/>
              </w:rPr>
              <w:t>0.60</w:t>
            </w:r>
          </w:p>
        </w:tc>
        <w:tc>
          <w:tcPr>
            <w:tcW w:type="dxa" w:w="2340"/>
            <w:tcMar>
              <w:top w:w="60" w:type="dxa"/>
              <w:bottom w:w="60" w:type="dxa"/>
              <w:left w:w="80" w:type="dxa"/>
              <w:right w:w="80" w:type="dxa"/>
            </w:tcMar>
          </w:tcPr>
          <w:p>
            <w:r>
              <w:rPr>
                <w:sz w:val="18"/>
              </w:rPr>
              <w:t>config.py:L70</w:t>
            </w:r>
          </w:p>
        </w:tc>
        <w:tc>
          <w:tcPr>
            <w:tcW w:type="dxa" w:w="2340"/>
            <w:tcMar>
              <w:top w:w="60" w:type="dxa"/>
              <w:bottom w:w="60" w:type="dxa"/>
              <w:left w:w="80" w:type="dxa"/>
              <w:right w:w="80" w:type="dxa"/>
            </w:tcMar>
          </w:tcPr>
          <w:p>
            <w:r>
              <w:rPr>
                <w:sz w:val="18"/>
              </w:rPr>
              <w:t>Entities with confidence below 0.60 are routed to the Human Review Queue.</w:t>
            </w:r>
          </w:p>
        </w:tc>
      </w:tr>
      <w:tr>
        <w:tc>
          <w:tcPr>
            <w:tcW w:type="dxa" w:w="2340"/>
            <w:tcMar>
              <w:top w:w="60" w:type="dxa"/>
              <w:bottom w:w="60" w:type="dxa"/>
              <w:left w:w="80" w:type="dxa"/>
              <w:right w:w="80" w:type="dxa"/>
            </w:tcMar>
            <w:shd w:val="clear" w:color="auto" w:fill="F8FAFC"/>
          </w:tcPr>
          <w:p>
            <w:r>
              <w:rPr>
                <w:b/>
                <w:sz w:val="18"/>
              </w:rPr>
              <w:t>ORACLE_IOU_THRESHOLD</w:t>
            </w:r>
          </w:p>
        </w:tc>
        <w:tc>
          <w:tcPr>
            <w:tcW w:type="dxa" w:w="2340"/>
            <w:tcMar>
              <w:top w:w="60" w:type="dxa"/>
              <w:bottom w:w="60" w:type="dxa"/>
              <w:left w:w="80" w:type="dxa"/>
              <w:right w:w="80" w:type="dxa"/>
            </w:tcMar>
            <w:shd w:val="clear" w:color="auto" w:fill="F8FAFC"/>
          </w:tcPr>
          <w:p>
            <w:r>
              <w:rPr>
                <w:b/>
                <w:sz w:val="18"/>
              </w:rPr>
              <w:t>0.30</w:t>
            </w:r>
          </w:p>
        </w:tc>
        <w:tc>
          <w:tcPr>
            <w:tcW w:type="dxa" w:w="2340"/>
            <w:tcMar>
              <w:top w:w="60" w:type="dxa"/>
              <w:bottom w:w="60" w:type="dxa"/>
              <w:left w:w="80" w:type="dxa"/>
              <w:right w:w="80" w:type="dxa"/>
            </w:tcMar>
            <w:shd w:val="clear" w:color="auto" w:fill="F8FAFC"/>
          </w:tcPr>
          <w:p>
            <w:r>
              <w:rPr>
                <w:sz w:val="18"/>
              </w:rPr>
              <w:t>config.py:L95</w:t>
            </w:r>
          </w:p>
        </w:tc>
        <w:tc>
          <w:tcPr>
            <w:tcW w:type="dxa" w:w="2340"/>
            <w:tcMar>
              <w:top w:w="60" w:type="dxa"/>
              <w:bottom w:w="60" w:type="dxa"/>
              <w:left w:w="80" w:type="dxa"/>
              <w:right w:w="80" w:type="dxa"/>
            </w:tcMar>
            <w:shd w:val="clear" w:color="auto" w:fill="F8FAFC"/>
          </w:tcPr>
          <w:p>
            <w:r>
              <w:rPr>
                <w:sz w:val="18"/>
              </w:rPr>
              <w:t>Geometric reference threshold used in verification benchmarks (Fan et al. 2014).</w:t>
            </w:r>
          </w:p>
        </w:tc>
      </w:tr>
    </w:tbl>
    <w:p>
      <w:pPr>
        <w:spacing w:after="240"/>
      </w:pPr>
    </w:p>
    <w:p>
      <w:pPr>
        <w:pStyle w:val="Heading1"/>
      </w:pPr>
      <w:r>
        <w:rPr>
          <w:rFonts w:ascii="Arial" w:hAnsi="Arial"/>
          <w:color w:val="1B365D"/>
        </w:rPr>
        <w:t>4. SIH Judge Presentation &amp; Defense Strategy</w:t>
      </w:r>
    </w:p>
    <w:p>
      <w:pPr>
        <w:pStyle w:val="Heading2"/>
      </w:pPr>
      <w:r>
        <w:t>4.1 The 30-Second Elevator Pitch</w:t>
      </w:r>
    </w:p>
    <w:tbl>
      <w:tblPr>
        <w:tblW w:type="auto" w:w="0"/>
        <w:jc w:val="center"/>
        <w:tblLook w:firstColumn="1" w:firstRow="1" w:lastColumn="0" w:lastRow="0" w:noHBand="0" w:noVBand="1" w:val="04A0"/>
      </w:tblPr>
      <w:tblGrid>
        <w:gridCol w:w="9360"/>
      </w:tblGrid>
      <w:tr>
        <w:tc>
          <w:tcPr>
            <w:tcW w:type="dxa" w:w="9360"/>
            <w:shd w:val="clear" w:color="auto" w:fill="EBF5FB"/>
            <w:tcMar>
              <w:top w:w="140" w:type="dxa"/>
              <w:bottom w:w="140" w:type="dxa"/>
              <w:left w:w="200" w:type="dxa"/>
              <w:right w:w="200" w:type="dxa"/>
            </w:tcMar>
            <w:tcBorders>
              <w:left w:val="single" w:sz="24" w:space="0" w:color="2E86C1"/>
              <w:top w:val="none"/>
              <w:bottom w:val="none"/>
              <w:right w:val="none"/>
            </w:tcBorders>
          </w:tcPr>
          <w:p>
            <w:pPr>
              <w:spacing w:after="80"/>
            </w:pPr>
            <w:r>
              <w:rPr>
                <w:i/>
                <w:sz w:val="20"/>
              </w:rPr>
              <w:t>ELEVATOR PITCH (Say this with confidence at the start):</w:t>
            </w:r>
          </w:p>
          <w:p>
            <w:pPr>
              <w:spacing w:after="80"/>
            </w:pPr>
            <w:r>
              <w:rPr>
                <w:sz w:val="20"/>
              </w:rPr>
              <w:t>"In India, municipal corporations, state revenue departments, Survey of India (SVAMITVA), and satellite platforms all hold fragmented, conflicting geospatial data for the same physical properties. LandLens is an automated, scalable geospatial reconciliation engine that ingests multi-source datasets, performs spatial matching in projected metric coordinates, resolves topological conflicts, and computes an explainable confidence score. High-confidence entities form an authoritative single source of truth, while ambiguous merges are routed to a human-in-the-loop review queue."</w:t>
            </w:r>
          </w:p>
        </w:tc>
      </w:tr>
    </w:tbl>
    <w:p>
      <w:pPr>
        <w:spacing w:after="120"/>
      </w:pPr>
    </w:p>
    <w:p>
      <w:pPr>
        <w:pStyle w:val="Heading2"/>
      </w:pPr>
      <w:r>
        <w:t>4.2 Anticipated Judge Questions &amp; Tactical Answers</w:t>
      </w:r>
    </w:p>
    <w:p>
      <w:r>
        <w:rPr>
          <w:b/>
          <w:color w:val="8B0000"/>
        </w:rPr>
        <w:t>[Judge Type: Remote Sensing / GIS Specialist]</w:t>
      </w:r>
    </w:p>
    <w:p>
      <w:r>
        <w:rPr>
          <w:b/>
          <w:color w:val="1B365D"/>
        </w:rPr>
        <w:t>Q: 'Satellite imagery and OSM often have geo-referencing shifts or perspective tilt (building lean). How does your matcher handle this without dropping true matches?'</w:t>
      </w:r>
    </w:p>
    <w:p>
      <w:pPr>
        <w:spacing w:after="200"/>
      </w:pPr>
      <w:r>
        <w:t>Answer: 'We address this through our multi-factor scoring formula. Instead of relying solely on exact polygon overlap (IoU), we allocate 30% weight to centroid proximity (with a 15m tolerance buffer) and 20% weight to area ratio and semantic tags. If a building exhibits perspective lean or a 2–3 meter geo-referencing offset, the centroid and area ratio maintain a score well above our 0.50 threshold. Furthermore, normalization repairs topological slivers using buffer(0) in projected UTM Zone 43N.'</w:t>
      </w:r>
    </w:p>
    <w:p>
      <w:r>
        <w:rPr>
          <w:b/>
          <w:color w:val="8B0000"/>
        </w:rPr>
        <w:t>[Judge Type: Database &amp; Scalability Engineer]</w:t>
      </w:r>
    </w:p>
    <w:p>
      <w:r>
        <w:rPr>
          <w:b/>
          <w:color w:val="1B365D"/>
        </w:rPr>
        <w:t>Q: 'How does this architecture scale to an entire state or country with tens of millions of buildings?'</w:t>
      </w:r>
    </w:p>
    <w:p>
      <w:pPr>
        <w:spacing w:after="200"/>
      </w:pPr>
      <w:r>
        <w:t>Answer: 'Our system scales along four architectural pillars:</w:t>
        <w:br/>
        <w:t>1. Spatial Tiling: The pipeline processes data in discrete geographic tiles (tile_id) to parallelize workloads.</w:t>
        <w:br/>
        <w:t>2. Keyset Pagination: Database loading uses keyset pagination (WHERE id &gt; last_seen_id ORDER BY id LIMIT 20000), eliminating statement timeouts and connection drops during 300k+ row transfers.</w:t>
        <w:br/>
        <w:t>3. Spatial Indexing: PostGIS leverages GiST spatial indexes, and in-memory candidate matching uses STRtree bounding-box indexing (O(N log N) vs O(N*M) brute force).</w:t>
        <w:br/>
        <w:t>4. Idempotent Ingestion: Ingestion and scoring use ON CONFLICT clauses, allowing safe retryable batch execution across distributed workers.'</w:t>
      </w:r>
    </w:p>
    <w:p>
      <w:r>
        <w:rPr>
          <w:b/>
          <w:color w:val="8B0000"/>
        </w:rPr>
        <w:t>[Judge Type: AI / Algorithm Specialist]</w:t>
      </w:r>
    </w:p>
    <w:p>
      <w:r>
        <w:rPr>
          <w:b/>
          <w:color w:val="1B365D"/>
        </w:rPr>
        <w:t>Q: 'Why did you use a rule-based spatial engine and graph clustering instead of a Deep Learning Graph Neural Network (GNN)?'</w:t>
      </w:r>
    </w:p>
    <w:p>
      <w:pPr>
        <w:spacing w:after="200"/>
      </w:pPr>
      <w:r>
        <w:t>Answer: 'Two critical reasons:</w:t>
        <w:br/>
        <w:t>1. Administrative &amp; Legal Explainability: In land governance and cadastral surveys, automated property merges must be auditable and mathematically explainable to revenue officers. A black-box neural prediction cannot be legally defended in boundary disputes.</w:t>
        <w:br/>
        <w:t>2. Zero Training Data Dependency: Real-world ground truth labels rarely exist across Indian municipalities. Our engine works out-of-the-box on any new district without retraining. We verified this against an empirical geometric reference oracle citing standard literature (Fan et al. 2014), achieving an F1 score of 0.819 (Precision 0.791, Recall 0.849).'</w:t>
      </w:r>
    </w:p>
    <w:p>
      <w:r>
        <w:rPr>
          <w:b/>
          <w:color w:val="8B0000"/>
        </w:rPr>
        <w:t>[Judge Type: Government / Domain Stakeholder (e.g. NIC, ULB, Survey of India)]</w:t>
      </w:r>
    </w:p>
    <w:p>
      <w:r>
        <w:rPr>
          <w:b/>
          <w:color w:val="1B365D"/>
        </w:rPr>
        <w:t>Q: 'How does this integrate into existing Indian government workflows like SVAMITVA or municipal property tax collection?'</w:t>
      </w:r>
    </w:p>
    <w:p>
      <w:pPr>
        <w:spacing w:after="200"/>
      </w:pPr>
      <w:r>
        <w:t>Answer: 'LandLens directly empowers government bodies in three ways:</w:t>
        <w:br/>
        <w:t>1. Property Tax Gap Detection: By overlaying municipal tax registry polygons with satellite-extracted footprints, ULBs (like BBMP) can instantly identify unassessed or under-reported properties.</w:t>
        <w:br/>
        <w:t>2. Drone Survey Reconciliation: Drone surveys from the SVAMITVA scheme can be uploaded via our UI and merged with revenue records to detect encroached or unregistered plots.</w:t>
        <w:br/>
        <w:t>3. Human-in-the-Loop Efficiency: Revenue officers don't need to manually verify every building. The engine auto-accepts ~85% high-confidence merges and isolates only the disputed/ambiguous cases for manual review, reducing municipal verification workloads by over 80%.'</w:t>
      </w:r>
    </w:p>
    <w:p>
      <w:pPr>
        <w:pStyle w:val="Heading2"/>
      </w:pPr>
      <w:r>
        <w:t>4.3 Recommended 5-Minute Live Demo Flow</w:t>
      </w:r>
    </w:p>
    <w:p>
      <w:pPr>
        <w:pStyle w:val="ListBullet"/>
      </w:pPr>
      <w:r>
        <w:rPr>
          <w:b/>
        </w:rPr>
        <w:t xml:space="preserve">Minute 1 — The Real-World Problem: </w:t>
      </w:r>
      <w:r>
        <w:t>Open the Before/After View in the LandLens UI. Show raw OSM (blue) overlapping Google Open Buildings (orange). Point out how unaligned boundaries, duplicate entries, and missing footprints create ambiguity for urban planners.</w:t>
      </w:r>
    </w:p>
    <w:p>
      <w:pPr>
        <w:pStyle w:val="ListBullet"/>
      </w:pPr>
      <w:r>
        <w:rPr>
          <w:b/>
        </w:rPr>
        <w:t xml:space="preserve">Minute 2 — The Core Engine &amp; Projected CRS: </w:t>
      </w:r>
      <w:r>
        <w:t>Explain how the offline pipeline ingests data, reprojects it to UTM Zone 43N, generates candidates via STRtree spatial indexing, and applies collision-aware Union-Find clustering.</w:t>
      </w:r>
    </w:p>
    <w:p>
      <w:pPr>
        <w:pStyle w:val="ListBullet"/>
      </w:pPr>
      <w:r>
        <w:rPr>
          <w:b/>
        </w:rPr>
        <w:t xml:space="preserve">Minute 3 — Interactive Map &amp; Canonical 'Golden Record': </w:t>
      </w:r>
      <w:r>
        <w:t>Toggle on the Canonical Entities layer. Show how messy overlapping polygons have merged into a clean, single green footprint with combined attributes.</w:t>
      </w:r>
    </w:p>
    <w:p>
      <w:pPr>
        <w:pStyle w:val="ListBullet"/>
      </w:pPr>
      <w:r>
        <w:rPr>
          <w:b/>
        </w:rPr>
        <w:t xml:space="preserve">Minute 4 — Human-in-the-Loop Review Queue: </w:t>
      </w:r>
      <w:r>
        <w:t>Switch to the Review Queue View. Select a low-confidence building (&lt; 0.60). Demonstrate how a municipal officer inspects individual source layers and clicks Approve, Reject, or Edit.</w:t>
      </w:r>
    </w:p>
    <w:p>
      <w:pPr>
        <w:pStyle w:val="ListBullet"/>
      </w:pPr>
      <w:r>
        <w:rPr>
          <w:b/>
        </w:rPr>
        <w:t xml:space="preserve">Minute 5 — Verification Metrics &amp; National Scale Impact: </w:t>
      </w:r>
      <w:r>
        <w:t>Show the evaluation metrics (Precision 79.1%, Recall 84.9%, F1 0.819). Conclude with its direct application to SVAMITVA, PM Gati Shakti, and smart city master planning.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