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E778B">
      <w:pPr>
        <w:pStyle w:val="5"/>
        <w:spacing w:line="230" w:lineRule="auto"/>
      </w:pPr>
      <w:r>
        <w:rPr>
          <w:color w:val="1A1A2D"/>
        </w:rPr>
        <w:t>SpecialtyRx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Connect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-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Comprehensive</w:t>
      </w:r>
      <w:r>
        <w:rPr>
          <w:color w:val="1A1A2D"/>
          <w:spacing w:val="-9"/>
        </w:rPr>
        <w:t xml:space="preserve"> </w:t>
      </w:r>
      <w:r>
        <w:rPr>
          <w:color w:val="1A1A2D"/>
        </w:rPr>
        <w:t>Specialty Drug Management Platform</w:t>
      </w:r>
    </w:p>
    <w:p w14:paraId="056695D2">
      <w:pPr>
        <w:spacing w:before="50" w:line="249" w:lineRule="auto"/>
        <w:ind w:left="174" w:right="172" w:firstLine="0"/>
        <w:jc w:val="center"/>
        <w:rPr>
          <w:sz w:val="20"/>
        </w:rPr>
      </w:pPr>
      <w:r>
        <w:rPr>
          <w:color w:val="6B757C"/>
          <w:sz w:val="20"/>
        </w:rPr>
        <w:t>Domain: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Healthcare</w:t>
      </w:r>
      <w:r>
        <w:rPr>
          <w:color w:val="6B757C"/>
          <w:spacing w:val="40"/>
          <w:sz w:val="20"/>
        </w:rPr>
        <w:t xml:space="preserve"> </w:t>
      </w:r>
      <w:r>
        <w:rPr>
          <w:color w:val="6B757C"/>
          <w:sz w:val="20"/>
        </w:rPr>
        <w:t>|</w:t>
      </w:r>
      <w:r>
        <w:rPr>
          <w:color w:val="6B757C"/>
          <w:spacing w:val="40"/>
          <w:sz w:val="20"/>
        </w:rPr>
        <w:t xml:space="preserve"> </w:t>
      </w:r>
      <w:r>
        <w:rPr>
          <w:color w:val="6B757C"/>
          <w:sz w:val="20"/>
        </w:rPr>
        <w:t>Category: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MEDICATION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&amp;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PHARMACY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EXTENDED</w:t>
      </w:r>
      <w:r>
        <w:rPr>
          <w:color w:val="6B757C"/>
          <w:spacing w:val="40"/>
          <w:sz w:val="20"/>
        </w:rPr>
        <w:t xml:space="preserve"> </w:t>
      </w:r>
      <w:r>
        <w:rPr>
          <w:color w:val="6B757C"/>
          <w:sz w:val="20"/>
        </w:rPr>
        <w:t>|</w:t>
      </w:r>
      <w:r>
        <w:rPr>
          <w:color w:val="6B757C"/>
          <w:spacing w:val="40"/>
          <w:sz w:val="20"/>
        </w:rPr>
        <w:t xml:space="preserve"> </w:t>
      </w:r>
      <w:r>
        <w:rPr>
          <w:color w:val="6B757C"/>
          <w:sz w:val="20"/>
        </w:rPr>
        <w:t>Products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Analyzed:</w:t>
      </w:r>
      <w:r>
        <w:rPr>
          <w:color w:val="6B757C"/>
          <w:spacing w:val="-3"/>
          <w:sz w:val="20"/>
        </w:rPr>
        <w:t xml:space="preserve"> </w:t>
      </w:r>
      <w:r>
        <w:rPr>
          <w:color w:val="6B757C"/>
          <w:sz w:val="20"/>
        </w:rPr>
        <w:t>AssistRx – Therapy initiation &amp; patient support for specialty drugs</w:t>
      </w:r>
    </w:p>
    <w:p w14:paraId="6D5E7469">
      <w:pPr>
        <w:pStyle w:val="4"/>
        <w:spacing w:before="9"/>
        <w:rPr>
          <w:sz w:val="20"/>
        </w:rPr>
      </w:pPr>
    </w:p>
    <w:p w14:paraId="53673808">
      <w:pPr>
        <w:spacing w:before="0"/>
        <w:ind w:left="174" w:right="174" w:firstLine="0"/>
        <w:jc w:val="center"/>
        <w:rPr>
          <w:sz w:val="16"/>
        </w:rPr>
      </w:pPr>
      <w:r>
        <w:rPr>
          <w:color w:val="6B757C"/>
          <w:sz w:val="16"/>
        </w:rPr>
        <w:t xml:space="preserve">Generated: March 09, </w:t>
      </w:r>
      <w:r>
        <w:rPr>
          <w:color w:val="6B757C"/>
          <w:spacing w:val="-4"/>
          <w:sz w:val="16"/>
        </w:rPr>
        <w:t>2026</w:t>
      </w:r>
    </w:p>
    <w:p w14:paraId="2F5FB7CE">
      <w:pPr>
        <w:pStyle w:val="4"/>
        <w:spacing w:before="11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124460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F346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7pt;margin-top:9.8pt;height:0.1pt;width:481.25pt;mso-position-horizontal-relative:page;mso-wrap-distance-bottom:0pt;mso-wrap-distance-top:0pt;z-index:-251657216;mso-width-relative:page;mso-height-relative:page;" filled="f" stroked="t" coordsize="6111875,1" o:gfxdata="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f8thA9gAAAAKAQAADwAA&#10;AAAAAAABACAAAAAiAAAAZHJzL2Rvd25yZXYueG1sUEsBAhQAFAAAAAgAh07iQIV0DAIWAgAAewQA&#10;AA4AAAAAAAAAAQAgAAAAJwEAAGRycy9lMm9Eb2MueG1sUEsFBgAAAAAGAAYAWQEAAK8FAAAAAA==&#10;" path="m0,0l6111599,0e">
                <v:fill on="f" focussize="0,0"/>
                <v:stroke weight="1.5pt" color="#0F346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3B96406">
      <w:pPr>
        <w:spacing w:before="281"/>
        <w:ind w:left="148" w:right="0" w:firstLine="0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color w:val="0F3460"/>
          <w:sz w:val="26"/>
        </w:rPr>
        <w:t xml:space="preserve">Products Analyzed — Reference </w:t>
      </w:r>
      <w:r>
        <w:rPr>
          <w:rFonts w:ascii="Arial" w:hAnsi="Arial"/>
          <w:b/>
          <w:color w:val="0F3460"/>
          <w:spacing w:val="-2"/>
          <w:sz w:val="26"/>
        </w:rPr>
        <w:t>Websites</w:t>
      </w:r>
    </w:p>
    <w:p w14:paraId="1CFC96DB">
      <w:pPr>
        <w:pStyle w:val="4"/>
        <w:rPr>
          <w:rFonts w:ascii="Arial"/>
          <w:b/>
          <w:sz w:val="13"/>
        </w:rPr>
      </w:pPr>
    </w:p>
    <w:tbl>
      <w:tblPr>
        <w:tblStyle w:val="3"/>
        <w:tblW w:w="0" w:type="auto"/>
        <w:tblInd w:w="115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100"/>
      </w:tblGrid>
      <w:tr w14:paraId="0AE58A9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2600" w:type="dxa"/>
            <w:shd w:val="clear" w:color="auto" w:fill="E8EFFD"/>
          </w:tcPr>
          <w:p w14:paraId="7FA245DC">
            <w:pPr>
              <w:pStyle w:val="8"/>
              <w:spacing w:before="85"/>
              <w:ind w:left="12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Product</w:t>
            </w:r>
          </w:p>
        </w:tc>
        <w:tc>
          <w:tcPr>
            <w:tcW w:w="7100" w:type="dxa"/>
            <w:shd w:val="clear" w:color="auto" w:fill="E8EFFD"/>
          </w:tcPr>
          <w:p w14:paraId="4EEF2E60">
            <w:pPr>
              <w:pStyle w:val="8"/>
              <w:spacing w:before="85"/>
              <w:ind w:left="12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Website</w:t>
            </w:r>
          </w:p>
        </w:tc>
      </w:tr>
      <w:tr w14:paraId="72A2C70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2600" w:type="dxa"/>
          </w:tcPr>
          <w:p w14:paraId="0A102AF3">
            <w:pPr>
              <w:pStyle w:val="8"/>
              <w:spacing w:before="85"/>
              <w:ind w:left="12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AssistRx</w:t>
            </w:r>
          </w:p>
        </w:tc>
        <w:tc>
          <w:tcPr>
            <w:tcW w:w="7100" w:type="dxa"/>
          </w:tcPr>
          <w:p w14:paraId="66B41495">
            <w:pPr>
              <w:pStyle w:val="8"/>
              <w:spacing w:before="85"/>
              <w:ind w:left="120"/>
              <w:jc w:val="left"/>
              <w:rPr>
                <w:sz w:val="16"/>
              </w:rPr>
            </w:pPr>
            <w:r>
              <w:fldChar w:fldCharType="begin"/>
            </w:r>
            <w:r>
              <w:instrText xml:space="preserve"> HYPERLINK "https://assistrx.com/" \h </w:instrText>
            </w:r>
            <w:r>
              <w:fldChar w:fldCharType="separate"/>
            </w:r>
            <w:r>
              <w:rPr>
                <w:color w:val="1A72E8"/>
                <w:spacing w:val="-2"/>
                <w:sz w:val="16"/>
              </w:rPr>
              <w:t>https://assistrx.com</w:t>
            </w:r>
            <w:r>
              <w:rPr>
                <w:color w:val="1A72E8"/>
                <w:spacing w:val="-2"/>
                <w:sz w:val="16"/>
              </w:rPr>
              <w:fldChar w:fldCharType="end"/>
            </w:r>
          </w:p>
        </w:tc>
      </w:tr>
    </w:tbl>
    <w:p w14:paraId="2315F17B">
      <w:pPr>
        <w:spacing w:before="291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Executive </w:t>
      </w:r>
      <w:r>
        <w:rPr>
          <w:rFonts w:ascii="Arial"/>
          <w:b/>
          <w:color w:val="0F3460"/>
          <w:spacing w:val="-2"/>
          <w:sz w:val="26"/>
        </w:rPr>
        <w:t>Summary</w:t>
      </w:r>
    </w:p>
    <w:p w14:paraId="66AEDA57">
      <w:pPr>
        <w:pStyle w:val="4"/>
        <w:spacing w:before="175" w:line="295" w:lineRule="auto"/>
        <w:ind w:left="148" w:right="145"/>
        <w:jc w:val="both"/>
      </w:pPr>
      <w:r>
        <w:rPr>
          <w:color w:val="2D2D2D"/>
        </w:rPr>
        <w:t>Specialty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drug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management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platforms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streamline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the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complex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process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of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initiating,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managing,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supporting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patients</w:t>
      </w:r>
      <w:r>
        <w:rPr>
          <w:color w:val="2D2D2D"/>
          <w:spacing w:val="35"/>
        </w:rPr>
        <w:t xml:space="preserve"> </w:t>
      </w:r>
      <w:r>
        <w:rPr>
          <w:color w:val="2D2D2D"/>
        </w:rPr>
        <w:t>on high-cost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specialty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medications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by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connecting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patients,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providers,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pharmacies,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payers.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The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market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opportunity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is</w:t>
      </w:r>
      <w:r>
        <w:rPr>
          <w:color w:val="2D2D2D"/>
          <w:spacing w:val="-2"/>
        </w:rPr>
        <w:t xml:space="preserve"> </w:t>
      </w:r>
      <w:r>
        <w:rPr>
          <w:color w:val="2D2D2D"/>
        </w:rPr>
        <w:t>significant as specialty drugs represent over 50% of pharmaceutical spending despite being only 2% of prescriptions, creating demand for comprehensive patient support solutions.</w:t>
      </w:r>
    </w:p>
    <w:p w14:paraId="147E60D4">
      <w:pPr>
        <w:pStyle w:val="4"/>
        <w:spacing w:before="88"/>
      </w:pPr>
    </w:p>
    <w:p w14:paraId="1E77260B">
      <w:pPr>
        <w:spacing w:before="1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Core </w:t>
      </w:r>
      <w:r>
        <w:rPr>
          <w:rFonts w:ascii="Arial"/>
          <w:b/>
          <w:color w:val="0F3460"/>
          <w:spacing w:val="-2"/>
          <w:sz w:val="26"/>
        </w:rPr>
        <w:t>Features</w:t>
      </w:r>
    </w:p>
    <w:p w14:paraId="58CCE9B3">
      <w:pPr>
        <w:pStyle w:val="4"/>
        <w:rPr>
          <w:rFonts w:ascii="Arial"/>
          <w:b/>
          <w:sz w:val="13"/>
        </w:rPr>
      </w:pPr>
    </w:p>
    <w:tbl>
      <w:tblPr>
        <w:tblStyle w:val="3"/>
        <w:tblW w:w="0" w:type="auto"/>
        <w:tblInd w:w="115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1800"/>
        <w:gridCol w:w="5200"/>
        <w:gridCol w:w="1200"/>
        <w:gridCol w:w="1100"/>
      </w:tblGrid>
      <w:tr w14:paraId="67110C0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00" w:type="dxa"/>
            <w:shd w:val="clear" w:color="auto" w:fill="0F3460"/>
          </w:tcPr>
          <w:p w14:paraId="08C50A8E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#</w:t>
            </w:r>
          </w:p>
        </w:tc>
        <w:tc>
          <w:tcPr>
            <w:tcW w:w="1800" w:type="dxa"/>
            <w:shd w:val="clear" w:color="auto" w:fill="0F3460"/>
          </w:tcPr>
          <w:p w14:paraId="27D24B59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Feature</w:t>
            </w:r>
          </w:p>
        </w:tc>
        <w:tc>
          <w:tcPr>
            <w:tcW w:w="5200" w:type="dxa"/>
            <w:shd w:val="clear" w:color="auto" w:fill="0F3460"/>
          </w:tcPr>
          <w:p w14:paraId="6C274C7E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Description</w:t>
            </w:r>
          </w:p>
        </w:tc>
        <w:tc>
          <w:tcPr>
            <w:tcW w:w="1200" w:type="dxa"/>
            <w:shd w:val="clear" w:color="auto" w:fill="0F3460"/>
          </w:tcPr>
          <w:p w14:paraId="40EA4032">
            <w:pPr>
              <w:pStyle w:val="8"/>
              <w:spacing w:before="64"/>
              <w:ind w:right="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1100" w:type="dxa"/>
            <w:shd w:val="clear" w:color="auto" w:fill="0F3460"/>
          </w:tcPr>
          <w:p w14:paraId="1B048BAC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Complexity</w:t>
            </w:r>
          </w:p>
        </w:tc>
      </w:tr>
      <w:tr w14:paraId="3D6689A5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49505DCF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</w:tcPr>
          <w:p w14:paraId="329B6B63">
            <w:pPr>
              <w:pStyle w:val="8"/>
              <w:spacing w:before="64" w:line="249" w:lineRule="auto"/>
              <w:ind w:left="80" w:right="3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Patient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Enrollment </w:t>
            </w:r>
            <w:r>
              <w:rPr>
                <w:rFonts w:ascii="Arial"/>
                <w:b/>
                <w:spacing w:val="-2"/>
                <w:sz w:val="15"/>
              </w:rPr>
              <w:t>Portal</w:t>
            </w:r>
          </w:p>
        </w:tc>
        <w:tc>
          <w:tcPr>
            <w:tcW w:w="5200" w:type="dxa"/>
          </w:tcPr>
          <w:p w14:paraId="18FC131A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Secure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portal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complete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enrollment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forms,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upload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information, and track application status</w:t>
            </w:r>
          </w:p>
        </w:tc>
        <w:tc>
          <w:tcPr>
            <w:tcW w:w="1200" w:type="dxa"/>
          </w:tcPr>
          <w:p w14:paraId="02A75DA3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7CBFAE12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07FB7A5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6653F80A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00" w:type="dxa"/>
            <w:shd w:val="clear" w:color="auto" w:fill="F7F9F9"/>
          </w:tcPr>
          <w:p w14:paraId="0657A1A6">
            <w:pPr>
              <w:pStyle w:val="8"/>
              <w:spacing w:before="64" w:line="249" w:lineRule="auto"/>
              <w:ind w:left="80" w:right="34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Prior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Authorization </w:t>
            </w:r>
            <w:r>
              <w:rPr>
                <w:rFonts w:ascii="Arial"/>
                <w:b/>
                <w:spacing w:val="-2"/>
                <w:sz w:val="15"/>
              </w:rPr>
              <w:t>Management</w:t>
            </w:r>
          </w:p>
        </w:tc>
        <w:tc>
          <w:tcPr>
            <w:tcW w:w="5200" w:type="dxa"/>
            <w:shd w:val="clear" w:color="auto" w:fill="F7F9F9"/>
          </w:tcPr>
          <w:p w14:paraId="7CCF7B0B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Automated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prior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authorization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request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generation,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submission,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payer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integration</w:t>
            </w:r>
          </w:p>
        </w:tc>
        <w:tc>
          <w:tcPr>
            <w:tcW w:w="1200" w:type="dxa"/>
            <w:shd w:val="clear" w:color="auto" w:fill="F7F9F9"/>
          </w:tcPr>
          <w:p w14:paraId="154689D2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14249DF9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5A7E9CFF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26607AD6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00" w:type="dxa"/>
          </w:tcPr>
          <w:p w14:paraId="567D9DBF">
            <w:pPr>
              <w:pStyle w:val="8"/>
              <w:spacing w:before="64" w:line="249" w:lineRule="auto"/>
              <w:ind w:left="80" w:right="133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Insurance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Verification </w:t>
            </w:r>
            <w:r>
              <w:rPr>
                <w:rFonts w:ascii="Arial"/>
                <w:b/>
                <w:spacing w:val="-2"/>
                <w:sz w:val="15"/>
              </w:rPr>
              <w:t>Engine</w:t>
            </w:r>
          </w:p>
        </w:tc>
        <w:tc>
          <w:tcPr>
            <w:tcW w:w="5200" w:type="dxa"/>
          </w:tcPr>
          <w:p w14:paraId="1C7033BF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Real-time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benefit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verification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coverage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determination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specialty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medications</w:t>
            </w:r>
          </w:p>
        </w:tc>
        <w:tc>
          <w:tcPr>
            <w:tcW w:w="1200" w:type="dxa"/>
          </w:tcPr>
          <w:p w14:paraId="69704BD3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2AD44FE0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754BBB5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094570A5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00" w:type="dxa"/>
            <w:shd w:val="clear" w:color="auto" w:fill="F7F9F9"/>
          </w:tcPr>
          <w:p w14:paraId="645013A9">
            <w:pPr>
              <w:pStyle w:val="8"/>
              <w:spacing w:before="64" w:line="249" w:lineRule="auto"/>
              <w:ind w:left="80" w:right="21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Financial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Assistance </w:t>
            </w:r>
            <w:r>
              <w:rPr>
                <w:rFonts w:ascii="Arial"/>
                <w:b/>
                <w:spacing w:val="-2"/>
                <w:sz w:val="15"/>
              </w:rPr>
              <w:t>Program</w:t>
            </w:r>
          </w:p>
        </w:tc>
        <w:tc>
          <w:tcPr>
            <w:tcW w:w="5200" w:type="dxa"/>
            <w:shd w:val="clear" w:color="auto" w:fill="F7F9F9"/>
          </w:tcPr>
          <w:p w14:paraId="6EC16AE1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Copay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assistance,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assistance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programs,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foundation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grants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1200" w:type="dxa"/>
            <w:shd w:val="clear" w:color="auto" w:fill="F7F9F9"/>
          </w:tcPr>
          <w:p w14:paraId="5FBA3E0A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2A7BA754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26DFAD1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49760A18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800" w:type="dxa"/>
          </w:tcPr>
          <w:p w14:paraId="578E31C1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Provider </w:t>
            </w:r>
            <w:r>
              <w:rPr>
                <w:rFonts w:ascii="Arial"/>
                <w:b/>
                <w:spacing w:val="-2"/>
                <w:sz w:val="15"/>
              </w:rPr>
              <w:t>Dashboard</w:t>
            </w:r>
          </w:p>
        </w:tc>
        <w:tc>
          <w:tcPr>
            <w:tcW w:w="5200" w:type="dxa"/>
          </w:tcPr>
          <w:p w14:paraId="7CAA6AFF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Comprehensive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dashboard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healthcare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status,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approvals, and medication adherence</w:t>
            </w:r>
          </w:p>
        </w:tc>
        <w:tc>
          <w:tcPr>
            <w:tcW w:w="1200" w:type="dxa"/>
          </w:tcPr>
          <w:p w14:paraId="509D4F24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7142210D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1180D55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0D6849DE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800" w:type="dxa"/>
            <w:shd w:val="clear" w:color="auto" w:fill="F7F9F9"/>
          </w:tcPr>
          <w:p w14:paraId="2BC7C824">
            <w:pPr>
              <w:pStyle w:val="8"/>
              <w:spacing w:before="64" w:line="249" w:lineRule="auto"/>
              <w:ind w:left="80" w:right="10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Medication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Adherence </w:t>
            </w:r>
            <w:r>
              <w:rPr>
                <w:rFonts w:ascii="Arial"/>
                <w:b/>
                <w:spacing w:val="-2"/>
                <w:sz w:val="15"/>
              </w:rPr>
              <w:t>Tracking</w:t>
            </w:r>
          </w:p>
        </w:tc>
        <w:tc>
          <w:tcPr>
            <w:tcW w:w="5200" w:type="dxa"/>
            <w:shd w:val="clear" w:color="auto" w:fill="F7F9F9"/>
          </w:tcPr>
          <w:p w14:paraId="3F8AECC9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Track refill dates, missed doses, and adherence patterns with automated </w:t>
            </w:r>
            <w:r>
              <w:rPr>
                <w:spacing w:val="-2"/>
                <w:sz w:val="14"/>
              </w:rPr>
              <w:t>alerts</w:t>
            </w:r>
          </w:p>
        </w:tc>
        <w:tc>
          <w:tcPr>
            <w:tcW w:w="1200" w:type="dxa"/>
            <w:shd w:val="clear" w:color="auto" w:fill="F7F9F9"/>
          </w:tcPr>
          <w:p w14:paraId="4B9451F1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4AB794DE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5E5FB4ED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1A6F8FD3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800" w:type="dxa"/>
          </w:tcPr>
          <w:p w14:paraId="0346F13A">
            <w:pPr>
              <w:pStyle w:val="8"/>
              <w:spacing w:before="64" w:line="249" w:lineRule="auto"/>
              <w:ind w:left="80" w:right="23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Patient</w:t>
            </w:r>
            <w:r>
              <w:rPr>
                <w:rFonts w:ascii="Arial"/>
                <w:b/>
                <w:sz w:val="15"/>
              </w:rPr>
              <w:t xml:space="preserve"> Communication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Hub</w:t>
            </w:r>
          </w:p>
        </w:tc>
        <w:tc>
          <w:tcPr>
            <w:tcW w:w="5200" w:type="dxa"/>
          </w:tcPr>
          <w:p w14:paraId="701EDF55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Multi-channel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communication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SMS,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email,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phone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outreach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templates</w:t>
            </w:r>
          </w:p>
        </w:tc>
        <w:tc>
          <w:tcPr>
            <w:tcW w:w="1200" w:type="dxa"/>
          </w:tcPr>
          <w:p w14:paraId="18475847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47328ABF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04E72E1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0777517D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800" w:type="dxa"/>
            <w:shd w:val="clear" w:color="auto" w:fill="F7F9F9"/>
          </w:tcPr>
          <w:p w14:paraId="4925289C">
            <w:pPr>
              <w:pStyle w:val="8"/>
              <w:spacing w:before="64" w:line="249" w:lineRule="auto"/>
              <w:ind w:left="80" w:right="35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Pharmacy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Network </w:t>
            </w:r>
            <w:r>
              <w:rPr>
                <w:rFonts w:ascii="Arial"/>
                <w:b/>
                <w:spacing w:val="-2"/>
                <w:sz w:val="15"/>
              </w:rPr>
              <w:t>Integration</w:t>
            </w:r>
          </w:p>
        </w:tc>
        <w:tc>
          <w:tcPr>
            <w:tcW w:w="5200" w:type="dxa"/>
            <w:shd w:val="clear" w:color="auto" w:fill="F7F9F9"/>
          </w:tcPr>
          <w:p w14:paraId="3A7D2B3B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Integration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specialty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pharmacy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networks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prescription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fulfillment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delivery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</w:p>
        </w:tc>
        <w:tc>
          <w:tcPr>
            <w:tcW w:w="1200" w:type="dxa"/>
            <w:shd w:val="clear" w:color="auto" w:fill="F7F9F9"/>
          </w:tcPr>
          <w:p w14:paraId="0F1B37C7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208C786B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2B1A0A84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00" w:type="dxa"/>
          </w:tcPr>
          <w:p w14:paraId="29D21FDE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800" w:type="dxa"/>
          </w:tcPr>
          <w:p w14:paraId="37F9CFD9">
            <w:pPr>
              <w:pStyle w:val="8"/>
              <w:spacing w:before="64" w:line="249" w:lineRule="auto"/>
              <w:ind w:left="80" w:right="3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Clinical</w:t>
            </w:r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Documentation</w:t>
            </w:r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System</w:t>
            </w:r>
          </w:p>
        </w:tc>
        <w:tc>
          <w:tcPr>
            <w:tcW w:w="5200" w:type="dxa"/>
          </w:tcPr>
          <w:p w14:paraId="2751350E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Structured clinical data collection for therapy monitoring and outcomes </w:t>
            </w:r>
            <w:r>
              <w:rPr>
                <w:spacing w:val="-2"/>
                <w:sz w:val="14"/>
              </w:rPr>
              <w:t>reporting</w:t>
            </w:r>
          </w:p>
        </w:tc>
        <w:tc>
          <w:tcPr>
            <w:tcW w:w="1200" w:type="dxa"/>
          </w:tcPr>
          <w:p w14:paraId="6771133B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622FB345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5BE6CC05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03D0C523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800" w:type="dxa"/>
            <w:shd w:val="clear" w:color="auto" w:fill="F7F9F9"/>
          </w:tcPr>
          <w:p w14:paraId="079DFD5E">
            <w:pPr>
              <w:pStyle w:val="8"/>
              <w:spacing w:before="64" w:line="249" w:lineRule="auto"/>
              <w:ind w:left="80" w:right="15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Appeals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Management </w:t>
            </w:r>
            <w:r>
              <w:rPr>
                <w:rFonts w:ascii="Arial"/>
                <w:b/>
                <w:spacing w:val="-2"/>
                <w:sz w:val="15"/>
              </w:rPr>
              <w:t>Workflow</w:t>
            </w:r>
          </w:p>
        </w:tc>
        <w:tc>
          <w:tcPr>
            <w:tcW w:w="5200" w:type="dxa"/>
            <w:shd w:val="clear" w:color="auto" w:fill="F7F9F9"/>
          </w:tcPr>
          <w:p w14:paraId="1A5414A6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Automated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appeals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process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denied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prior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authorizations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document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generation</w:t>
            </w:r>
          </w:p>
        </w:tc>
        <w:tc>
          <w:tcPr>
            <w:tcW w:w="1200" w:type="dxa"/>
            <w:shd w:val="clear" w:color="auto" w:fill="F7F9F9"/>
          </w:tcPr>
          <w:p w14:paraId="11522CB1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3A05EA28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44AF4E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1C8F0AA7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800" w:type="dxa"/>
          </w:tcPr>
          <w:p w14:paraId="37C1AAA1">
            <w:pPr>
              <w:pStyle w:val="8"/>
              <w:spacing w:before="64" w:line="249" w:lineRule="auto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Patient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Support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Case </w:t>
            </w:r>
            <w:r>
              <w:rPr>
                <w:rFonts w:ascii="Arial"/>
                <w:b/>
                <w:spacing w:val="-2"/>
                <w:sz w:val="15"/>
              </w:rPr>
              <w:t>Management</w:t>
            </w:r>
          </w:p>
        </w:tc>
        <w:tc>
          <w:tcPr>
            <w:tcW w:w="5200" w:type="dxa"/>
          </w:tcPr>
          <w:p w14:paraId="1C0D4BF6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Comprehensive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case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management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interactions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support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needs</w:t>
            </w:r>
          </w:p>
        </w:tc>
        <w:tc>
          <w:tcPr>
            <w:tcW w:w="1200" w:type="dxa"/>
          </w:tcPr>
          <w:p w14:paraId="1EA44F8F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2B639A7D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11C44838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122AD071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800" w:type="dxa"/>
            <w:shd w:val="clear" w:color="auto" w:fill="F7F9F9"/>
          </w:tcPr>
          <w:p w14:paraId="1CA31C51">
            <w:pPr>
              <w:pStyle w:val="8"/>
              <w:spacing w:before="64" w:line="249" w:lineRule="auto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Medication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Side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Effect </w:t>
            </w:r>
            <w:r>
              <w:rPr>
                <w:rFonts w:ascii="Arial"/>
                <w:b/>
                <w:spacing w:val="-2"/>
                <w:sz w:val="15"/>
              </w:rPr>
              <w:t>Monitoring</w:t>
            </w:r>
          </w:p>
        </w:tc>
        <w:tc>
          <w:tcPr>
            <w:tcW w:w="5200" w:type="dxa"/>
            <w:shd w:val="clear" w:color="auto" w:fill="F7F9F9"/>
          </w:tcPr>
          <w:p w14:paraId="44B7B822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Patient-reported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outcome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side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effects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adverse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events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clinical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alerts</w:t>
            </w:r>
          </w:p>
        </w:tc>
        <w:tc>
          <w:tcPr>
            <w:tcW w:w="1200" w:type="dxa"/>
            <w:shd w:val="clear" w:color="auto" w:fill="F7F9F9"/>
          </w:tcPr>
          <w:p w14:paraId="3D988CAF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59F3F33B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171C721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24BBDC9A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800" w:type="dxa"/>
          </w:tcPr>
          <w:p w14:paraId="09E06280">
            <w:pPr>
              <w:pStyle w:val="8"/>
              <w:spacing w:before="64" w:line="249" w:lineRule="auto"/>
              <w:ind w:left="80" w:right="50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Automated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Refill </w:t>
            </w:r>
            <w:r>
              <w:rPr>
                <w:rFonts w:ascii="Arial"/>
                <w:b/>
                <w:spacing w:val="-2"/>
                <w:sz w:val="15"/>
              </w:rPr>
              <w:t>Management</w:t>
            </w:r>
          </w:p>
        </w:tc>
        <w:tc>
          <w:tcPr>
            <w:tcW w:w="5200" w:type="dxa"/>
          </w:tcPr>
          <w:p w14:paraId="09C88FFF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Automated refill reminders and coordination with specialty </w:t>
            </w:r>
            <w:r>
              <w:rPr>
                <w:spacing w:val="-2"/>
                <w:sz w:val="14"/>
              </w:rPr>
              <w:t>pharmacies</w:t>
            </w:r>
          </w:p>
        </w:tc>
        <w:tc>
          <w:tcPr>
            <w:tcW w:w="1200" w:type="dxa"/>
          </w:tcPr>
          <w:p w14:paraId="6EE71CA8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60F7D86F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5DA957D5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024FC3AB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800" w:type="dxa"/>
            <w:shd w:val="clear" w:color="auto" w:fill="F7F9F9"/>
          </w:tcPr>
          <w:p w14:paraId="29F2B043">
            <w:pPr>
              <w:pStyle w:val="8"/>
              <w:spacing w:before="64" w:line="249" w:lineRule="auto"/>
              <w:ind w:left="80" w:right="3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Multi-language</w:t>
            </w:r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Support</w:t>
            </w:r>
          </w:p>
        </w:tc>
        <w:tc>
          <w:tcPr>
            <w:tcW w:w="5200" w:type="dxa"/>
            <w:shd w:val="clear" w:color="auto" w:fill="F7F9F9"/>
          </w:tcPr>
          <w:p w14:paraId="4DC7E31D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Platform localization and multilingual patient communication </w:t>
            </w:r>
            <w:r>
              <w:rPr>
                <w:spacing w:val="-2"/>
                <w:sz w:val="14"/>
              </w:rPr>
              <w:t>capabilities</w:t>
            </w:r>
          </w:p>
        </w:tc>
        <w:tc>
          <w:tcPr>
            <w:tcW w:w="1200" w:type="dxa"/>
            <w:shd w:val="clear" w:color="auto" w:fill="F7F9F9"/>
          </w:tcPr>
          <w:p w14:paraId="6D324607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  <w:shd w:val="clear" w:color="auto" w:fill="F7F9F9"/>
          </w:tcPr>
          <w:p w14:paraId="18E6DC09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67E7E73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7735836C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800" w:type="dxa"/>
          </w:tcPr>
          <w:p w14:paraId="1A6FF150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Mobile </w:t>
            </w:r>
            <w:r>
              <w:rPr>
                <w:rFonts w:ascii="Arial"/>
                <w:b/>
                <w:spacing w:val="-2"/>
                <w:sz w:val="15"/>
              </w:rPr>
              <w:t>Application</w:t>
            </w:r>
          </w:p>
        </w:tc>
        <w:tc>
          <w:tcPr>
            <w:tcW w:w="5200" w:type="dxa"/>
          </w:tcPr>
          <w:p w14:paraId="052EE618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Patient-facing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mobile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app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medication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reminders,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side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effect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reporting,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communication</w:t>
            </w:r>
          </w:p>
        </w:tc>
        <w:tc>
          <w:tcPr>
            <w:tcW w:w="1200" w:type="dxa"/>
          </w:tcPr>
          <w:p w14:paraId="22854043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3683E113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6BB90A0A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10B9613E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800" w:type="dxa"/>
            <w:shd w:val="clear" w:color="auto" w:fill="F7F9F9"/>
          </w:tcPr>
          <w:p w14:paraId="2B5ECAFF">
            <w:pPr>
              <w:pStyle w:val="8"/>
              <w:spacing w:before="64" w:line="249" w:lineRule="auto"/>
              <w:ind w:left="80" w:right="36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Electronic Health Record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Integration</w:t>
            </w:r>
          </w:p>
        </w:tc>
        <w:tc>
          <w:tcPr>
            <w:tcW w:w="5200" w:type="dxa"/>
            <w:shd w:val="clear" w:color="auto" w:fill="F7F9F9"/>
          </w:tcPr>
          <w:p w14:paraId="38A3B384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Bi-directional integration with major EHR systems for seamless data </w:t>
            </w:r>
            <w:r>
              <w:rPr>
                <w:spacing w:val="-2"/>
                <w:sz w:val="14"/>
              </w:rPr>
              <w:t>exchange</w:t>
            </w:r>
          </w:p>
        </w:tc>
        <w:tc>
          <w:tcPr>
            <w:tcW w:w="1200" w:type="dxa"/>
            <w:shd w:val="clear" w:color="auto" w:fill="F7F9F9"/>
          </w:tcPr>
          <w:p w14:paraId="4F7D20BE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  <w:shd w:val="clear" w:color="auto" w:fill="F7F9F9"/>
          </w:tcPr>
          <w:p w14:paraId="4F55FEE4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4AB0A8D6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69616407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800" w:type="dxa"/>
          </w:tcPr>
          <w:p w14:paraId="40816C5C">
            <w:pPr>
              <w:pStyle w:val="8"/>
              <w:spacing w:before="64" w:line="249" w:lineRule="auto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Compliance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and</w:t>
            </w:r>
            <w:r>
              <w:rPr>
                <w:rFonts w:ascii="Arial"/>
                <w:b/>
                <w:spacing w:val="-10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Audit </w:t>
            </w:r>
            <w:r>
              <w:rPr>
                <w:rFonts w:ascii="Arial"/>
                <w:b/>
                <w:spacing w:val="-4"/>
                <w:sz w:val="15"/>
              </w:rPr>
              <w:t>Trail</w:t>
            </w:r>
          </w:p>
        </w:tc>
        <w:tc>
          <w:tcPr>
            <w:tcW w:w="5200" w:type="dxa"/>
          </w:tcPr>
          <w:p w14:paraId="1A08C77A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Comprehensive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audit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logging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compliance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reporting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regulatory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requirements</w:t>
            </w:r>
          </w:p>
        </w:tc>
        <w:tc>
          <w:tcPr>
            <w:tcW w:w="1200" w:type="dxa"/>
          </w:tcPr>
          <w:p w14:paraId="7D546C66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086835EC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</w:tbl>
    <w:p w14:paraId="69C37DA5">
      <w:pPr>
        <w:pStyle w:val="8"/>
        <w:spacing w:after="0"/>
        <w:rPr>
          <w:sz w:val="14"/>
        </w:rPr>
        <w:sectPr>
          <w:type w:val="continuous"/>
          <w:pgSz w:w="11910" w:h="16840"/>
          <w:pgMar w:top="920" w:right="992" w:bottom="280" w:left="992" w:header="720" w:footer="720" w:gutter="0"/>
          <w:cols w:space="720" w:num="1"/>
        </w:sectPr>
      </w:pPr>
    </w:p>
    <w:p w14:paraId="53787F2F">
      <w:pPr>
        <w:pStyle w:val="4"/>
        <w:spacing w:before="4"/>
        <w:rPr>
          <w:rFonts w:ascii="Arial"/>
          <w:b/>
          <w:sz w:val="2"/>
        </w:rPr>
      </w:pPr>
    </w:p>
    <w:tbl>
      <w:tblPr>
        <w:tblStyle w:val="3"/>
        <w:tblW w:w="0" w:type="auto"/>
        <w:tblInd w:w="115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1800"/>
        <w:gridCol w:w="5200"/>
        <w:gridCol w:w="1200"/>
        <w:gridCol w:w="1100"/>
      </w:tblGrid>
      <w:tr w14:paraId="2294916F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00" w:type="dxa"/>
            <w:shd w:val="clear" w:color="auto" w:fill="0F3460"/>
          </w:tcPr>
          <w:p w14:paraId="2D1F2674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#</w:t>
            </w:r>
          </w:p>
        </w:tc>
        <w:tc>
          <w:tcPr>
            <w:tcW w:w="1800" w:type="dxa"/>
            <w:shd w:val="clear" w:color="auto" w:fill="0F3460"/>
          </w:tcPr>
          <w:p w14:paraId="39FAD86F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Feature</w:t>
            </w:r>
          </w:p>
        </w:tc>
        <w:tc>
          <w:tcPr>
            <w:tcW w:w="5200" w:type="dxa"/>
            <w:shd w:val="clear" w:color="auto" w:fill="0F3460"/>
          </w:tcPr>
          <w:p w14:paraId="12C8D257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Description</w:t>
            </w:r>
          </w:p>
        </w:tc>
        <w:tc>
          <w:tcPr>
            <w:tcW w:w="1200" w:type="dxa"/>
            <w:shd w:val="clear" w:color="auto" w:fill="0F3460"/>
          </w:tcPr>
          <w:p w14:paraId="280595FB">
            <w:pPr>
              <w:pStyle w:val="8"/>
              <w:spacing w:before="64"/>
              <w:ind w:right="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1100" w:type="dxa"/>
            <w:shd w:val="clear" w:color="auto" w:fill="0F3460"/>
          </w:tcPr>
          <w:p w14:paraId="1ECA0E02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Complexity</w:t>
            </w:r>
          </w:p>
        </w:tc>
      </w:tr>
      <w:tr w14:paraId="6AC79B3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52F185EA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800" w:type="dxa"/>
          </w:tcPr>
          <w:p w14:paraId="6C30DF85">
            <w:pPr>
              <w:pStyle w:val="8"/>
              <w:spacing w:before="64" w:line="249" w:lineRule="auto"/>
              <w:ind w:left="80" w:right="43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Patient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Education </w:t>
            </w:r>
            <w:r>
              <w:rPr>
                <w:rFonts w:ascii="Arial"/>
                <w:b/>
                <w:spacing w:val="-2"/>
                <w:sz w:val="15"/>
              </w:rPr>
              <w:t>Library</w:t>
            </w:r>
          </w:p>
        </w:tc>
        <w:tc>
          <w:tcPr>
            <w:tcW w:w="5200" w:type="dxa"/>
          </w:tcPr>
          <w:p w14:paraId="131274FE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Customizable educational content library with medication-specific </w:t>
            </w:r>
            <w:r>
              <w:rPr>
                <w:spacing w:val="-2"/>
                <w:sz w:val="14"/>
              </w:rPr>
              <w:t>information</w:t>
            </w:r>
          </w:p>
        </w:tc>
        <w:tc>
          <w:tcPr>
            <w:tcW w:w="1200" w:type="dxa"/>
          </w:tcPr>
          <w:p w14:paraId="35CE0E92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2BE1DBCC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</w:tr>
      <w:tr w14:paraId="45B2116C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29F4D908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19</w:t>
            </w:r>
          </w:p>
        </w:tc>
        <w:tc>
          <w:tcPr>
            <w:tcW w:w="1800" w:type="dxa"/>
            <w:shd w:val="clear" w:color="auto" w:fill="F7F9F9"/>
          </w:tcPr>
          <w:p w14:paraId="06C17E1E">
            <w:pPr>
              <w:pStyle w:val="8"/>
              <w:spacing w:before="64" w:line="249" w:lineRule="auto"/>
              <w:ind w:left="80" w:right="151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Workflow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Automation </w:t>
            </w:r>
            <w:r>
              <w:rPr>
                <w:rFonts w:ascii="Arial"/>
                <w:b/>
                <w:spacing w:val="-2"/>
                <w:sz w:val="15"/>
              </w:rPr>
              <w:t>Engine</w:t>
            </w:r>
          </w:p>
        </w:tc>
        <w:tc>
          <w:tcPr>
            <w:tcW w:w="5200" w:type="dxa"/>
            <w:shd w:val="clear" w:color="auto" w:fill="F7F9F9"/>
          </w:tcPr>
          <w:p w14:paraId="5822ED45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Configurable workflow automation for common processes and decision </w:t>
            </w:r>
            <w:r>
              <w:rPr>
                <w:spacing w:val="-2"/>
                <w:sz w:val="14"/>
              </w:rPr>
              <w:t>trees</w:t>
            </w:r>
          </w:p>
        </w:tc>
        <w:tc>
          <w:tcPr>
            <w:tcW w:w="1200" w:type="dxa"/>
            <w:shd w:val="clear" w:color="auto" w:fill="F7F9F9"/>
          </w:tcPr>
          <w:p w14:paraId="042570C2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  <w:shd w:val="clear" w:color="auto" w:fill="F7F9F9"/>
          </w:tcPr>
          <w:p w14:paraId="55F0DA2D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4F19918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250B2C93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800" w:type="dxa"/>
          </w:tcPr>
          <w:p w14:paraId="55CDB11E">
            <w:pPr>
              <w:pStyle w:val="8"/>
              <w:spacing w:before="64" w:line="249" w:lineRule="auto"/>
              <w:ind w:left="80" w:right="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Real-time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Notifications </w:t>
            </w:r>
            <w:r>
              <w:rPr>
                <w:rFonts w:ascii="Arial"/>
                <w:b/>
                <w:spacing w:val="-2"/>
                <w:sz w:val="15"/>
              </w:rPr>
              <w:t>System</w:t>
            </w:r>
          </w:p>
        </w:tc>
        <w:tc>
          <w:tcPr>
            <w:tcW w:w="5200" w:type="dxa"/>
          </w:tcPr>
          <w:p w14:paraId="25808BE2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Intelligent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notification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providers,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coordinators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based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triggers</w:t>
            </w:r>
          </w:p>
        </w:tc>
        <w:tc>
          <w:tcPr>
            <w:tcW w:w="1200" w:type="dxa"/>
          </w:tcPr>
          <w:p w14:paraId="70FD8717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</w:tcPr>
          <w:p w14:paraId="3055FD3B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32340E1D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F7F9F9"/>
          </w:tcPr>
          <w:p w14:paraId="348DA6BF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21</w:t>
            </w:r>
          </w:p>
        </w:tc>
        <w:tc>
          <w:tcPr>
            <w:tcW w:w="1800" w:type="dxa"/>
            <w:shd w:val="clear" w:color="auto" w:fill="F7F9F9"/>
          </w:tcPr>
          <w:p w14:paraId="6B04D040">
            <w:pPr>
              <w:pStyle w:val="8"/>
              <w:spacing w:before="64" w:line="249" w:lineRule="auto"/>
              <w:ind w:left="80" w:right="309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Patient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Onboarding </w:t>
            </w:r>
            <w:r>
              <w:rPr>
                <w:rFonts w:ascii="Arial"/>
                <w:b/>
                <w:spacing w:val="-2"/>
                <w:sz w:val="15"/>
              </w:rPr>
              <w:t>Wizard</w:t>
            </w:r>
          </w:p>
        </w:tc>
        <w:tc>
          <w:tcPr>
            <w:tcW w:w="5200" w:type="dxa"/>
            <w:shd w:val="clear" w:color="auto" w:fill="F7F9F9"/>
          </w:tcPr>
          <w:p w14:paraId="0A90FF1A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Step-by-step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guided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onboarding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process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document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collection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verification</w:t>
            </w:r>
          </w:p>
        </w:tc>
        <w:tc>
          <w:tcPr>
            <w:tcW w:w="1200" w:type="dxa"/>
            <w:shd w:val="clear" w:color="auto" w:fill="F7F9F9"/>
          </w:tcPr>
          <w:p w14:paraId="73E9B497">
            <w:pPr>
              <w:pStyle w:val="8"/>
              <w:rPr>
                <w:sz w:val="14"/>
              </w:rPr>
            </w:pPr>
            <w:r>
              <w:rPr>
                <w:sz w:val="14"/>
              </w:rPr>
              <w:t>must-</w:t>
            </w:r>
            <w:r>
              <w:rPr>
                <w:spacing w:val="-4"/>
                <w:sz w:val="14"/>
              </w:rPr>
              <w:t>have</w:t>
            </w:r>
          </w:p>
        </w:tc>
        <w:tc>
          <w:tcPr>
            <w:tcW w:w="1100" w:type="dxa"/>
            <w:shd w:val="clear" w:color="auto" w:fill="F7F9F9"/>
          </w:tcPr>
          <w:p w14:paraId="476BD231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13E36721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74D9171C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22</w:t>
            </w:r>
          </w:p>
        </w:tc>
        <w:tc>
          <w:tcPr>
            <w:tcW w:w="1800" w:type="dxa"/>
          </w:tcPr>
          <w:p w14:paraId="645ADBEE">
            <w:pPr>
              <w:pStyle w:val="8"/>
              <w:spacing w:before="64" w:line="249" w:lineRule="auto"/>
              <w:ind w:left="80" w:right="30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Financial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Reporting </w:t>
            </w:r>
            <w:r>
              <w:rPr>
                <w:rFonts w:ascii="Arial"/>
                <w:b/>
                <w:spacing w:val="-2"/>
                <w:sz w:val="15"/>
              </w:rPr>
              <w:t>Dashboard</w:t>
            </w:r>
          </w:p>
        </w:tc>
        <w:tc>
          <w:tcPr>
            <w:tcW w:w="5200" w:type="dxa"/>
          </w:tcPr>
          <w:p w14:paraId="7459DAA4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Real-time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financial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copay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assistance,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savings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programs,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analysis</w:t>
            </w:r>
          </w:p>
        </w:tc>
        <w:tc>
          <w:tcPr>
            <w:tcW w:w="1200" w:type="dxa"/>
          </w:tcPr>
          <w:p w14:paraId="303C3D12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7DC38145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</w:tbl>
    <w:p w14:paraId="3FA71D0A">
      <w:pPr>
        <w:spacing w:before="291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Advanced / Differentiating </w:t>
      </w:r>
      <w:r>
        <w:rPr>
          <w:rFonts w:ascii="Arial"/>
          <w:b/>
          <w:color w:val="0F3460"/>
          <w:spacing w:val="-2"/>
          <w:sz w:val="26"/>
        </w:rPr>
        <w:t>Features</w:t>
      </w:r>
    </w:p>
    <w:p w14:paraId="30120FFC">
      <w:pPr>
        <w:pStyle w:val="4"/>
        <w:spacing w:before="11"/>
        <w:rPr>
          <w:rFonts w:ascii="Arial"/>
          <w:b/>
          <w:sz w:val="13"/>
        </w:rPr>
      </w:pPr>
    </w:p>
    <w:tbl>
      <w:tblPr>
        <w:tblStyle w:val="3"/>
        <w:tblW w:w="0" w:type="auto"/>
        <w:tblInd w:w="115" w:type="dxa"/>
        <w:tblBorders>
          <w:top w:val="single" w:color="DDE2E6" w:sz="4" w:space="0"/>
          <w:left w:val="single" w:color="DDE2E6" w:sz="4" w:space="0"/>
          <w:bottom w:val="single" w:color="DDE2E6" w:sz="4" w:space="0"/>
          <w:right w:val="single" w:color="DDE2E6" w:sz="4" w:space="0"/>
          <w:insideH w:val="single" w:color="DDE2E6" w:sz="4" w:space="0"/>
          <w:insideV w:val="single" w:color="DDE2E6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"/>
        <w:gridCol w:w="1800"/>
        <w:gridCol w:w="5200"/>
        <w:gridCol w:w="1200"/>
        <w:gridCol w:w="1100"/>
      </w:tblGrid>
      <w:tr w14:paraId="1A4A98C2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400" w:type="dxa"/>
            <w:shd w:val="clear" w:color="auto" w:fill="16213D"/>
          </w:tcPr>
          <w:p w14:paraId="066D79D9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10"/>
                <w:sz w:val="15"/>
              </w:rPr>
              <w:t>#</w:t>
            </w:r>
          </w:p>
        </w:tc>
        <w:tc>
          <w:tcPr>
            <w:tcW w:w="1800" w:type="dxa"/>
            <w:shd w:val="clear" w:color="auto" w:fill="16213D"/>
          </w:tcPr>
          <w:p w14:paraId="5DD29045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Feature</w:t>
            </w:r>
          </w:p>
        </w:tc>
        <w:tc>
          <w:tcPr>
            <w:tcW w:w="5200" w:type="dxa"/>
            <w:shd w:val="clear" w:color="auto" w:fill="16213D"/>
          </w:tcPr>
          <w:p w14:paraId="03B79910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Description</w:t>
            </w:r>
          </w:p>
        </w:tc>
        <w:tc>
          <w:tcPr>
            <w:tcW w:w="1200" w:type="dxa"/>
            <w:shd w:val="clear" w:color="auto" w:fill="16213D"/>
          </w:tcPr>
          <w:p w14:paraId="0C867692">
            <w:pPr>
              <w:pStyle w:val="8"/>
              <w:spacing w:before="64"/>
              <w:ind w:right="1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Priority</w:t>
            </w:r>
          </w:p>
        </w:tc>
        <w:tc>
          <w:tcPr>
            <w:tcW w:w="1100" w:type="dxa"/>
            <w:shd w:val="clear" w:color="auto" w:fill="16213D"/>
          </w:tcPr>
          <w:p w14:paraId="5876B0FD">
            <w:pPr>
              <w:pStyle w:val="8"/>
              <w:spacing w:before="6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color w:val="FFFFFF"/>
                <w:spacing w:val="-2"/>
                <w:sz w:val="15"/>
              </w:rPr>
              <w:t>Complexity</w:t>
            </w:r>
          </w:p>
        </w:tc>
      </w:tr>
      <w:tr w14:paraId="5CA2BF3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00" w:type="dxa"/>
          </w:tcPr>
          <w:p w14:paraId="2864648D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1</w:t>
            </w:r>
          </w:p>
        </w:tc>
        <w:tc>
          <w:tcPr>
            <w:tcW w:w="1800" w:type="dxa"/>
          </w:tcPr>
          <w:p w14:paraId="6AA4ECFA">
            <w:pPr>
              <w:pStyle w:val="8"/>
              <w:spacing w:before="64" w:line="249" w:lineRule="auto"/>
              <w:ind w:left="80" w:right="484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AI-Powered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Prior </w:t>
            </w:r>
            <w:r>
              <w:rPr>
                <w:rFonts w:ascii="Arial"/>
                <w:b/>
                <w:spacing w:val="-2"/>
                <w:sz w:val="15"/>
              </w:rPr>
              <w:t>Authorization</w:t>
            </w:r>
            <w:r>
              <w:rPr>
                <w:rFonts w:ascii="Arial"/>
                <w:b/>
                <w:sz w:val="15"/>
              </w:rPr>
              <w:t xml:space="preserve"> </w:t>
            </w:r>
            <w:r>
              <w:rPr>
                <w:rFonts w:ascii="Arial"/>
                <w:b/>
                <w:spacing w:val="-2"/>
                <w:sz w:val="15"/>
              </w:rPr>
              <w:t>Predictor</w:t>
            </w:r>
          </w:p>
        </w:tc>
        <w:tc>
          <w:tcPr>
            <w:tcW w:w="5200" w:type="dxa"/>
          </w:tcPr>
          <w:p w14:paraId="71D86821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Machine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learning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model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predicts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prior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authorization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approval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likelihood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suggests optimization strategies</w:t>
            </w:r>
          </w:p>
        </w:tc>
        <w:tc>
          <w:tcPr>
            <w:tcW w:w="1200" w:type="dxa"/>
          </w:tcPr>
          <w:p w14:paraId="3A6BC53E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</w:tcPr>
          <w:p w14:paraId="40DEDEFD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3CD7DC4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14C6B570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800" w:type="dxa"/>
            <w:shd w:val="clear" w:color="auto" w:fill="EFF4F7"/>
          </w:tcPr>
          <w:p w14:paraId="03DB0FC3">
            <w:pPr>
              <w:pStyle w:val="8"/>
              <w:spacing w:before="64" w:line="249" w:lineRule="auto"/>
              <w:ind w:left="80" w:right="16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Predictive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Adherence </w:t>
            </w:r>
            <w:r>
              <w:rPr>
                <w:rFonts w:ascii="Arial"/>
                <w:b/>
                <w:spacing w:val="-2"/>
                <w:sz w:val="15"/>
              </w:rPr>
              <w:t>Analytics</w:t>
            </w:r>
          </w:p>
        </w:tc>
        <w:tc>
          <w:tcPr>
            <w:tcW w:w="5200" w:type="dxa"/>
            <w:shd w:val="clear" w:color="auto" w:fill="EFF4F7"/>
          </w:tcPr>
          <w:p w14:paraId="640B26A4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Advanced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analytics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predict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non-adherence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risk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trigger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proactive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interventions</w:t>
            </w:r>
          </w:p>
        </w:tc>
        <w:tc>
          <w:tcPr>
            <w:tcW w:w="1200" w:type="dxa"/>
            <w:shd w:val="clear" w:color="auto" w:fill="EFF4F7"/>
          </w:tcPr>
          <w:p w14:paraId="7B85B992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  <w:shd w:val="clear" w:color="auto" w:fill="EFF4F7"/>
          </w:tcPr>
          <w:p w14:paraId="30B9CA0F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446B156F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24970B19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800" w:type="dxa"/>
          </w:tcPr>
          <w:p w14:paraId="1449DA90">
            <w:pPr>
              <w:pStyle w:val="8"/>
              <w:spacing w:before="64" w:line="249" w:lineRule="auto"/>
              <w:ind w:left="80" w:right="217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Intelligent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Document </w:t>
            </w:r>
            <w:r>
              <w:rPr>
                <w:rFonts w:ascii="Arial"/>
                <w:b/>
                <w:spacing w:val="-2"/>
                <w:sz w:val="15"/>
              </w:rPr>
              <w:t>Processing</w:t>
            </w:r>
          </w:p>
        </w:tc>
        <w:tc>
          <w:tcPr>
            <w:tcW w:w="5200" w:type="dxa"/>
          </w:tcPr>
          <w:p w14:paraId="34372E97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AI-powered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OCR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NLP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automated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processing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medical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records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insurance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documents</w:t>
            </w:r>
          </w:p>
        </w:tc>
        <w:tc>
          <w:tcPr>
            <w:tcW w:w="1200" w:type="dxa"/>
          </w:tcPr>
          <w:p w14:paraId="6C5F7CD9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</w:tcPr>
          <w:p w14:paraId="6D81B54F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0313AA2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37C1C161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800" w:type="dxa"/>
            <w:shd w:val="clear" w:color="auto" w:fill="EFF4F7"/>
          </w:tcPr>
          <w:p w14:paraId="1C293DC4">
            <w:pPr>
              <w:pStyle w:val="8"/>
              <w:spacing w:before="64" w:line="249" w:lineRule="auto"/>
              <w:ind w:left="80" w:right="1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Dynamic Financial Assistance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Optimizer</w:t>
            </w:r>
          </w:p>
        </w:tc>
        <w:tc>
          <w:tcPr>
            <w:tcW w:w="5200" w:type="dxa"/>
            <w:shd w:val="clear" w:color="auto" w:fill="EFF4F7"/>
          </w:tcPr>
          <w:p w14:paraId="0259467A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automatically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finds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applies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best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combination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financial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assistance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programs</w:t>
            </w:r>
          </w:p>
        </w:tc>
        <w:tc>
          <w:tcPr>
            <w:tcW w:w="1200" w:type="dxa"/>
            <w:shd w:val="clear" w:color="auto" w:fill="EFF4F7"/>
          </w:tcPr>
          <w:p w14:paraId="022D9504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  <w:shd w:val="clear" w:color="auto" w:fill="EFF4F7"/>
          </w:tcPr>
          <w:p w14:paraId="49783270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1964578E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400" w:type="dxa"/>
          </w:tcPr>
          <w:p w14:paraId="352F1787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800" w:type="dxa"/>
          </w:tcPr>
          <w:p w14:paraId="09BDB94E">
            <w:pPr>
              <w:pStyle w:val="8"/>
              <w:spacing w:before="64" w:line="249" w:lineRule="auto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Blockchain-Based</w:t>
            </w:r>
            <w:r>
              <w:rPr>
                <w:rFonts w:ascii="Arial"/>
                <w:b/>
                <w:sz w:val="15"/>
              </w:rPr>
              <w:t xml:space="preserve"> Patient Consent </w:t>
            </w:r>
            <w:r>
              <w:rPr>
                <w:rFonts w:ascii="Arial"/>
                <w:b/>
                <w:spacing w:val="-2"/>
                <w:sz w:val="15"/>
              </w:rPr>
              <w:t>Management</w:t>
            </w:r>
          </w:p>
        </w:tc>
        <w:tc>
          <w:tcPr>
            <w:tcW w:w="5200" w:type="dxa"/>
          </w:tcPr>
          <w:p w14:paraId="3D52D2DE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Immutable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consent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management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using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blockchain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technology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enhanced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security</w:t>
            </w:r>
          </w:p>
        </w:tc>
        <w:tc>
          <w:tcPr>
            <w:tcW w:w="1200" w:type="dxa"/>
          </w:tcPr>
          <w:p w14:paraId="2A801A5D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</w:tcPr>
          <w:p w14:paraId="4FAA2C8D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0BDC99C9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3F97E6C4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800" w:type="dxa"/>
            <w:shd w:val="clear" w:color="auto" w:fill="EFF4F7"/>
          </w:tcPr>
          <w:p w14:paraId="0AE2B125">
            <w:pPr>
              <w:pStyle w:val="8"/>
              <w:spacing w:before="64" w:line="249" w:lineRule="auto"/>
              <w:ind w:left="80" w:right="59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Telemedicine</w:t>
            </w:r>
            <w:r>
              <w:rPr>
                <w:rFonts w:ascii="Arial"/>
                <w:b/>
                <w:sz w:val="15"/>
              </w:rPr>
              <w:t xml:space="preserve"> Integration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>Hub</w:t>
            </w:r>
          </w:p>
        </w:tc>
        <w:tc>
          <w:tcPr>
            <w:tcW w:w="5200" w:type="dxa"/>
            <w:shd w:val="clear" w:color="auto" w:fill="EFF4F7"/>
          </w:tcPr>
          <w:p w14:paraId="5E1A75F9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Seamless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integration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telemedicine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platforms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virtual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consultations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monitoring</w:t>
            </w:r>
          </w:p>
        </w:tc>
        <w:tc>
          <w:tcPr>
            <w:tcW w:w="1200" w:type="dxa"/>
            <w:shd w:val="clear" w:color="auto" w:fill="EFF4F7"/>
          </w:tcPr>
          <w:p w14:paraId="1E1BD194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  <w:shd w:val="clear" w:color="auto" w:fill="EFF4F7"/>
          </w:tcPr>
          <w:p w14:paraId="67013299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45FF51A5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4EEFC9BD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800" w:type="dxa"/>
          </w:tcPr>
          <w:p w14:paraId="40206737">
            <w:pPr>
              <w:pStyle w:val="8"/>
              <w:spacing w:before="64" w:line="249" w:lineRule="auto"/>
              <w:ind w:left="80" w:right="20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Real-World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Evidence </w:t>
            </w:r>
            <w:r>
              <w:rPr>
                <w:rFonts w:ascii="Arial"/>
                <w:b/>
                <w:spacing w:val="-2"/>
                <w:sz w:val="15"/>
              </w:rPr>
              <w:t>Collection</w:t>
            </w:r>
          </w:p>
        </w:tc>
        <w:tc>
          <w:tcPr>
            <w:tcW w:w="5200" w:type="dxa"/>
          </w:tcPr>
          <w:p w14:paraId="68604133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Automated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collection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analysis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real-world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evidence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outcomes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research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 value demonstration</w:t>
            </w:r>
          </w:p>
        </w:tc>
        <w:tc>
          <w:tcPr>
            <w:tcW w:w="1200" w:type="dxa"/>
          </w:tcPr>
          <w:p w14:paraId="2DAB653E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648D6DB5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7B8E896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096374FE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8</w:t>
            </w:r>
          </w:p>
        </w:tc>
        <w:tc>
          <w:tcPr>
            <w:tcW w:w="1800" w:type="dxa"/>
            <w:shd w:val="clear" w:color="auto" w:fill="EFF4F7"/>
          </w:tcPr>
          <w:p w14:paraId="5F03E3A6">
            <w:pPr>
              <w:pStyle w:val="8"/>
              <w:spacing w:before="64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IoT Device </w:t>
            </w:r>
            <w:r>
              <w:rPr>
                <w:rFonts w:ascii="Arial"/>
                <w:b/>
                <w:spacing w:val="-2"/>
                <w:sz w:val="15"/>
              </w:rPr>
              <w:t>Integration</w:t>
            </w:r>
          </w:p>
        </w:tc>
        <w:tc>
          <w:tcPr>
            <w:tcW w:w="5200" w:type="dxa"/>
            <w:shd w:val="clear" w:color="auto" w:fill="EFF4F7"/>
          </w:tcPr>
          <w:p w14:paraId="4271F8DA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Integration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wearable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devices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smart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medication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dispensers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enhanced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monitoring</w:t>
            </w:r>
          </w:p>
        </w:tc>
        <w:tc>
          <w:tcPr>
            <w:tcW w:w="1200" w:type="dxa"/>
            <w:shd w:val="clear" w:color="auto" w:fill="EFF4F7"/>
          </w:tcPr>
          <w:p w14:paraId="15D86613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  <w:shd w:val="clear" w:color="auto" w:fill="EFF4F7"/>
          </w:tcPr>
          <w:p w14:paraId="64AC5898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7E5D5CE0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0DFA0CB2">
            <w:pPr>
              <w:pStyle w:val="8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1800" w:type="dxa"/>
          </w:tcPr>
          <w:p w14:paraId="204DAE5E">
            <w:pPr>
              <w:pStyle w:val="8"/>
              <w:spacing w:before="64" w:line="249" w:lineRule="auto"/>
              <w:ind w:left="80" w:right="408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Advanced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Clinical Decision </w:t>
            </w:r>
            <w:r>
              <w:rPr>
                <w:rFonts w:ascii="Arial"/>
                <w:b/>
                <w:spacing w:val="-2"/>
                <w:sz w:val="15"/>
              </w:rPr>
              <w:t>Support</w:t>
            </w:r>
          </w:p>
        </w:tc>
        <w:tc>
          <w:tcPr>
            <w:tcW w:w="5200" w:type="dxa"/>
          </w:tcPr>
          <w:p w14:paraId="54FEA03E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Evidence-based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clinical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decision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support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tools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drug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interaction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dosing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recommendations</w:t>
            </w:r>
          </w:p>
        </w:tc>
        <w:tc>
          <w:tcPr>
            <w:tcW w:w="1200" w:type="dxa"/>
          </w:tcPr>
          <w:p w14:paraId="28D357C7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7D4DED8A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1F5E5E5B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77BD09ED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800" w:type="dxa"/>
            <w:shd w:val="clear" w:color="auto" w:fill="EFF4F7"/>
          </w:tcPr>
          <w:p w14:paraId="342443D2">
            <w:pPr>
              <w:pStyle w:val="8"/>
              <w:spacing w:before="64" w:line="249" w:lineRule="auto"/>
              <w:ind w:left="8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 xml:space="preserve">Automated Market Access </w:t>
            </w:r>
            <w:r>
              <w:rPr>
                <w:rFonts w:ascii="Arial"/>
                <w:b/>
                <w:spacing w:val="-2"/>
                <w:sz w:val="15"/>
              </w:rPr>
              <w:t>Intelligence</w:t>
            </w:r>
          </w:p>
        </w:tc>
        <w:tc>
          <w:tcPr>
            <w:tcW w:w="5200" w:type="dxa"/>
            <w:shd w:val="clear" w:color="auto" w:fill="EFF4F7"/>
          </w:tcPr>
          <w:p w14:paraId="51A32CB1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Real-time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tracking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payer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policy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changes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market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access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updates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across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multiple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markets</w:t>
            </w:r>
          </w:p>
        </w:tc>
        <w:tc>
          <w:tcPr>
            <w:tcW w:w="1200" w:type="dxa"/>
            <w:shd w:val="clear" w:color="auto" w:fill="EFF4F7"/>
          </w:tcPr>
          <w:p w14:paraId="2F2121F8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  <w:shd w:val="clear" w:color="auto" w:fill="EFF4F7"/>
          </w:tcPr>
          <w:p w14:paraId="2F8FBE0D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6C3F19A7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2839C8CF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800" w:type="dxa"/>
          </w:tcPr>
          <w:p w14:paraId="313A7ABD">
            <w:pPr>
              <w:pStyle w:val="8"/>
              <w:spacing w:before="64" w:line="249" w:lineRule="auto"/>
              <w:ind w:left="80" w:right="5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Patient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Journey </w:t>
            </w:r>
            <w:r>
              <w:rPr>
                <w:rFonts w:ascii="Arial"/>
                <w:b/>
                <w:spacing w:val="-2"/>
                <w:sz w:val="15"/>
              </w:rPr>
              <w:t>Visualization</w:t>
            </w:r>
          </w:p>
        </w:tc>
        <w:tc>
          <w:tcPr>
            <w:tcW w:w="5200" w:type="dxa"/>
          </w:tcPr>
          <w:p w14:paraId="6902D4F7">
            <w:pPr>
              <w:pStyle w:val="8"/>
              <w:spacing w:line="268" w:lineRule="auto"/>
              <w:ind w:left="80" w:right="168"/>
              <w:jc w:val="left"/>
              <w:rPr>
                <w:sz w:val="14"/>
              </w:rPr>
            </w:pPr>
            <w:r>
              <w:rPr>
                <w:sz w:val="14"/>
              </w:rPr>
              <w:t>Interactive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timeline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visualization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journey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predictive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pathway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modeling</w:t>
            </w:r>
          </w:p>
        </w:tc>
        <w:tc>
          <w:tcPr>
            <w:tcW w:w="1200" w:type="dxa"/>
          </w:tcPr>
          <w:p w14:paraId="418B490D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important</w:t>
            </w:r>
          </w:p>
        </w:tc>
        <w:tc>
          <w:tcPr>
            <w:tcW w:w="1100" w:type="dxa"/>
          </w:tcPr>
          <w:p w14:paraId="7303C510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  <w:tr w14:paraId="2AD60F95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  <w:shd w:val="clear" w:color="auto" w:fill="EFF4F7"/>
          </w:tcPr>
          <w:p w14:paraId="669216DD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800" w:type="dxa"/>
            <w:shd w:val="clear" w:color="auto" w:fill="EFF4F7"/>
          </w:tcPr>
          <w:p w14:paraId="5DA01B3F">
            <w:pPr>
              <w:pStyle w:val="8"/>
              <w:spacing w:before="64" w:line="249" w:lineRule="auto"/>
              <w:ind w:left="80" w:right="692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Genomic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Data </w:t>
            </w:r>
            <w:r>
              <w:rPr>
                <w:rFonts w:ascii="Arial"/>
                <w:b/>
                <w:spacing w:val="-2"/>
                <w:sz w:val="15"/>
              </w:rPr>
              <w:t>Integration</w:t>
            </w:r>
          </w:p>
        </w:tc>
        <w:tc>
          <w:tcPr>
            <w:tcW w:w="5200" w:type="dxa"/>
            <w:shd w:val="clear" w:color="auto" w:fill="EFF4F7"/>
          </w:tcPr>
          <w:p w14:paraId="7F26C28C">
            <w:pPr>
              <w:pStyle w:val="8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 xml:space="preserve">Integration with genetic testing results for personalized therapy </w:t>
            </w:r>
            <w:r>
              <w:rPr>
                <w:spacing w:val="-2"/>
                <w:sz w:val="14"/>
              </w:rPr>
              <w:t>recommendations</w:t>
            </w:r>
          </w:p>
        </w:tc>
        <w:tc>
          <w:tcPr>
            <w:tcW w:w="1200" w:type="dxa"/>
            <w:shd w:val="clear" w:color="auto" w:fill="EFF4F7"/>
          </w:tcPr>
          <w:p w14:paraId="251AC3DF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  <w:shd w:val="clear" w:color="auto" w:fill="EFF4F7"/>
          </w:tcPr>
          <w:p w14:paraId="40AF725C">
            <w:pPr>
              <w:pStyle w:val="8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</w:tr>
      <w:tr w14:paraId="110716C3">
        <w:tblPrEx>
          <w:tblBorders>
            <w:top w:val="single" w:color="DDE2E6" w:sz="4" w:space="0"/>
            <w:left w:val="single" w:color="DDE2E6" w:sz="4" w:space="0"/>
            <w:bottom w:val="single" w:color="DDE2E6" w:sz="4" w:space="0"/>
            <w:right w:val="single" w:color="DDE2E6" w:sz="4" w:space="0"/>
            <w:insideH w:val="single" w:color="DDE2E6" w:sz="4" w:space="0"/>
            <w:insideV w:val="single" w:color="DDE2E6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0" w:hRule="atLeast"/>
        </w:trPr>
        <w:tc>
          <w:tcPr>
            <w:tcW w:w="400" w:type="dxa"/>
          </w:tcPr>
          <w:p w14:paraId="3666C002">
            <w:pPr>
              <w:pStyle w:val="8"/>
              <w:rPr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800" w:type="dxa"/>
          </w:tcPr>
          <w:p w14:paraId="2F42CB47">
            <w:pPr>
              <w:pStyle w:val="8"/>
              <w:spacing w:before="64" w:line="249" w:lineRule="auto"/>
              <w:ind w:left="80" w:right="12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Voice-Enabled</w:t>
            </w:r>
            <w:r>
              <w:rPr>
                <w:rFonts w:ascii="Arial"/>
                <w:b/>
                <w:spacing w:val="-11"/>
                <w:sz w:val="15"/>
              </w:rPr>
              <w:t xml:space="preserve"> </w:t>
            </w:r>
            <w:r>
              <w:rPr>
                <w:rFonts w:ascii="Arial"/>
                <w:b/>
                <w:sz w:val="15"/>
              </w:rPr>
              <w:t xml:space="preserve">Patient </w:t>
            </w:r>
            <w:r>
              <w:rPr>
                <w:rFonts w:ascii="Arial"/>
                <w:b/>
                <w:spacing w:val="-2"/>
                <w:sz w:val="15"/>
              </w:rPr>
              <w:t>Interface</w:t>
            </w:r>
          </w:p>
        </w:tc>
        <w:tc>
          <w:tcPr>
            <w:tcW w:w="5200" w:type="dxa"/>
          </w:tcPr>
          <w:p w14:paraId="5EEDEB9F">
            <w:pPr>
              <w:pStyle w:val="8"/>
              <w:spacing w:line="268" w:lineRule="auto"/>
              <w:ind w:left="80"/>
              <w:jc w:val="left"/>
              <w:rPr>
                <w:sz w:val="14"/>
              </w:rPr>
            </w:pPr>
            <w:r>
              <w:rPr>
                <w:sz w:val="14"/>
              </w:rPr>
              <w:t>Voice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assistant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integration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medication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reminders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patient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interaction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via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smart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speakers</w:t>
            </w:r>
          </w:p>
        </w:tc>
        <w:tc>
          <w:tcPr>
            <w:tcW w:w="1200" w:type="dxa"/>
          </w:tcPr>
          <w:p w14:paraId="474BCC6A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innovative</w:t>
            </w:r>
          </w:p>
        </w:tc>
        <w:tc>
          <w:tcPr>
            <w:tcW w:w="1100" w:type="dxa"/>
          </w:tcPr>
          <w:p w14:paraId="7FAED71E">
            <w:pPr>
              <w:pStyle w:val="8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</w:tr>
    </w:tbl>
    <w:p w14:paraId="03A3BD3F">
      <w:pPr>
        <w:spacing w:before="291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Innovative Ideas (Beyond Current </w:t>
      </w:r>
      <w:r>
        <w:rPr>
          <w:rFonts w:ascii="Arial"/>
          <w:b/>
          <w:color w:val="0F3460"/>
          <w:spacing w:val="-2"/>
          <w:sz w:val="26"/>
        </w:rPr>
        <w:t>Market)</w:t>
      </w:r>
    </w:p>
    <w:p w14:paraId="3D19B1F4">
      <w:pPr>
        <w:pStyle w:val="7"/>
        <w:numPr>
          <w:ilvl w:val="0"/>
          <w:numId w:val="1"/>
        </w:numPr>
        <w:tabs>
          <w:tab w:val="left" w:pos="488"/>
        </w:tabs>
        <w:spacing w:before="175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AI-powered therapy outcome prediction based on patient demographics, genetics, and real-world </w:t>
      </w:r>
      <w:r>
        <w:rPr>
          <w:color w:val="2D2D2D"/>
          <w:spacing w:val="-4"/>
          <w:sz w:val="16"/>
        </w:rPr>
        <w:t>data</w:t>
      </w:r>
    </w:p>
    <w:p w14:paraId="54176590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Blockchain-based patient data sharing network enabling secure multi-stakeholder </w:t>
      </w:r>
      <w:r>
        <w:rPr>
          <w:color w:val="2D2D2D"/>
          <w:spacing w:val="-2"/>
          <w:sz w:val="16"/>
        </w:rPr>
        <w:t>collaboration</w:t>
      </w:r>
    </w:p>
    <w:p w14:paraId="6FE86C83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Virtual reality patient education modules for complex injection procedures and therapy </w:t>
      </w:r>
      <w:r>
        <w:rPr>
          <w:color w:val="2D2D2D"/>
          <w:spacing w:val="-2"/>
          <w:sz w:val="16"/>
        </w:rPr>
        <w:t>understanding</w:t>
      </w:r>
    </w:p>
    <w:p w14:paraId="5F167D60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Predictive supply chain management to prevent medication shortages and </w:t>
      </w:r>
      <w:r>
        <w:rPr>
          <w:color w:val="2D2D2D"/>
          <w:spacing w:val="-2"/>
          <w:sz w:val="16"/>
        </w:rPr>
        <w:t>delays</w:t>
      </w:r>
    </w:p>
    <w:p w14:paraId="39727CB5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Social determinants of health integration to address barriers to therapy access and </w:t>
      </w:r>
      <w:r>
        <w:rPr>
          <w:color w:val="2D2D2D"/>
          <w:spacing w:val="-2"/>
          <w:sz w:val="16"/>
        </w:rPr>
        <w:t>adherence</w:t>
      </w:r>
    </w:p>
    <w:p w14:paraId="7A1AF8C9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Automated clinical trial matching for patients who may benefit from investigational </w:t>
      </w:r>
      <w:r>
        <w:rPr>
          <w:color w:val="2D2D2D"/>
          <w:spacing w:val="-2"/>
          <w:sz w:val="16"/>
        </w:rPr>
        <w:t>therapies</w:t>
      </w:r>
    </w:p>
    <w:p w14:paraId="6B2FF545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Digital biomarker collection through smartphone sensors for remote </w:t>
      </w:r>
      <w:r>
        <w:rPr>
          <w:color w:val="2D2D2D"/>
          <w:spacing w:val="-2"/>
          <w:sz w:val="16"/>
        </w:rPr>
        <w:t>monitoring</w:t>
      </w:r>
    </w:p>
    <w:p w14:paraId="754020C2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AI chatbot with clinical decision support for 24/7 patient support and </w:t>
      </w:r>
      <w:r>
        <w:rPr>
          <w:color w:val="2D2D2D"/>
          <w:spacing w:val="-2"/>
          <w:sz w:val="16"/>
        </w:rPr>
        <w:t>triage</w:t>
      </w:r>
    </w:p>
    <w:p w14:paraId="6B9F78C4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Augmented reality medication administration training and </w:t>
      </w:r>
      <w:r>
        <w:rPr>
          <w:color w:val="2D2D2D"/>
          <w:spacing w:val="-2"/>
          <w:sz w:val="16"/>
        </w:rPr>
        <w:t>support</w:t>
      </w:r>
    </w:p>
    <w:p w14:paraId="7CD3B3CF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Personalized therapy optimization using continuous learning </w:t>
      </w:r>
      <w:r>
        <w:rPr>
          <w:color w:val="2D2D2D"/>
          <w:spacing w:val="-2"/>
          <w:sz w:val="16"/>
        </w:rPr>
        <w:t>algorithms</w:t>
      </w:r>
    </w:p>
    <w:p w14:paraId="076D7432">
      <w:pPr>
        <w:pStyle w:val="4"/>
        <w:spacing w:before="138"/>
        <w:rPr>
          <w:sz w:val="16"/>
        </w:rPr>
      </w:pPr>
    </w:p>
    <w:p w14:paraId="723D6177">
      <w:pPr>
        <w:spacing w:before="291"/>
        <w:ind w:left="148" w:right="0" w:firstLine="0"/>
        <w:jc w:val="left"/>
        <w:rPr>
          <w:rFonts w:ascii="Arial"/>
          <w:b/>
          <w:color w:val="0F3460"/>
          <w:sz w:val="26"/>
        </w:rPr>
      </w:pPr>
    </w:p>
    <w:p w14:paraId="15BC625A">
      <w:pPr>
        <w:spacing w:before="291"/>
        <w:ind w:left="148" w:right="0" w:firstLine="0"/>
        <w:jc w:val="left"/>
        <w:rPr>
          <w:rFonts w:ascii="Arial"/>
          <w:b/>
          <w:color w:val="0F3460"/>
          <w:sz w:val="26"/>
        </w:rPr>
      </w:pPr>
    </w:p>
    <w:p w14:paraId="5C8EAADE">
      <w:pPr>
        <w:spacing w:before="291"/>
        <w:ind w:left="148" w:right="0" w:firstLine="0"/>
        <w:jc w:val="left"/>
        <w:rPr>
          <w:rFonts w:ascii="Arial"/>
          <w:b/>
          <w:sz w:val="26"/>
        </w:rPr>
      </w:pPr>
      <w:bookmarkStart w:id="0" w:name="_GoBack"/>
      <w:bookmarkEnd w:id="0"/>
      <w:r>
        <w:rPr>
          <w:rFonts w:ascii="Arial"/>
          <w:b/>
          <w:color w:val="0F3460"/>
          <w:sz w:val="26"/>
        </w:rPr>
        <w:t xml:space="preserve">Data Model &amp; API </w:t>
      </w:r>
      <w:r>
        <w:rPr>
          <w:rFonts w:ascii="Arial"/>
          <w:b/>
          <w:color w:val="0F3460"/>
          <w:spacing w:val="-2"/>
          <w:sz w:val="26"/>
        </w:rPr>
        <w:t>Overview</w:t>
      </w:r>
    </w:p>
    <w:p w14:paraId="1A9D5310">
      <w:pPr>
        <w:pStyle w:val="4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696595</wp:posOffset>
                </wp:positionH>
                <wp:positionV relativeFrom="paragraph">
                  <wp:posOffset>101600</wp:posOffset>
                </wp:positionV>
                <wp:extent cx="6165850" cy="28257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5850" cy="2825750"/>
                          <a:chOff x="0" y="0"/>
                          <a:chExt cx="6165850" cy="28257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175" y="3175"/>
                            <a:ext cx="6159500" cy="281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500" h="2819400">
                                <a:moveTo>
                                  <a:pt x="6159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19400"/>
                                </a:lnTo>
                                <a:lnTo>
                                  <a:pt x="6159500" y="2819400"/>
                                </a:lnTo>
                                <a:lnTo>
                                  <a:pt x="6159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076575" y="3175"/>
                            <a:ext cx="3086100" cy="28194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6350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F4F7C9E">
                              <w:pPr>
                                <w:spacing w:before="124"/>
                                <w:ind w:left="15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4F56"/>
                                  <w:sz w:val="15"/>
                                </w:rPr>
                                <w:t xml:space="preserve">API Endpoint </w:t>
                              </w:r>
                              <w:r>
                                <w:rPr>
                                  <w:rFonts w:ascii="Arial"/>
                                  <w:b/>
                                  <w:color w:val="494F56"/>
                                  <w:spacing w:val="-2"/>
                                  <w:sz w:val="15"/>
                                </w:rPr>
                                <w:t>Groups:</w:t>
                              </w:r>
                            </w:p>
                            <w:p w14:paraId="4416FBC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/auth</w:t>
                              </w:r>
                            </w:p>
                            <w:p w14:paraId="72A67EC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/patients</w:t>
                              </w:r>
                            </w:p>
                            <w:p w14:paraId="52E1EE2A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/providers</w:t>
                              </w:r>
                            </w:p>
                            <w:p w14:paraId="22730A9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/medications</w:t>
                              </w:r>
                            </w:p>
                            <w:p w14:paraId="1862CD5E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/prescriptions</w:t>
                              </w:r>
                            </w:p>
                            <w:p w14:paraId="66C12E15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z w:val="15"/>
                                </w:rPr>
                                <w:t>/prior-</w:t>
                              </w: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authorizations</w:t>
                              </w:r>
                            </w:p>
                            <w:p w14:paraId="37541424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/insurance</w:t>
                              </w:r>
                            </w:p>
                            <w:p w14:paraId="0F6C094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z w:val="15"/>
                                </w:rPr>
                                <w:t>/financial-</w:t>
                              </w: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assistance</w:t>
                              </w:r>
                            </w:p>
                            <w:p w14:paraId="7419F181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/communications</w:t>
                              </w:r>
                            </w:p>
                            <w:p w14:paraId="109B82D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/workflows</w:t>
                              </w:r>
                            </w:p>
                            <w:p w14:paraId="495CF912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/analytics</w:t>
                              </w:r>
                            </w:p>
                            <w:p w14:paraId="79AC3687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/documents</w:t>
                              </w:r>
                            </w:p>
                            <w:p w14:paraId="6FA49258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/notifications</w:t>
                              </w:r>
                            </w:p>
                            <w:p w14:paraId="6AA2C99D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/adherence</w:t>
                              </w:r>
                            </w:p>
                            <w:p w14:paraId="78E259E6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/outcomes</w:t>
                              </w:r>
                            </w:p>
                            <w:p w14:paraId="27A231FB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/integrations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3175" y="3175"/>
                            <a:ext cx="3073400" cy="2819400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 w="6350">
                            <a:solidFill>
                              <a:srgbClr val="DDE2E6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A73E605">
                              <w:pPr>
                                <w:spacing w:before="124"/>
                                <w:ind w:left="155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494F56"/>
                                  <w:sz w:val="15"/>
                                </w:rPr>
                                <w:t xml:space="preserve">Key </w:t>
                              </w:r>
                              <w:r>
                                <w:rPr>
                                  <w:rFonts w:ascii="Arial"/>
                                  <w:b/>
                                  <w:color w:val="494F56"/>
                                  <w:spacing w:val="-2"/>
                                  <w:sz w:val="15"/>
                                </w:rPr>
                                <w:t>Entities:</w:t>
                              </w:r>
                            </w:p>
                            <w:p w14:paraId="3259BED5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Patient</w:t>
                              </w:r>
                            </w:p>
                            <w:p w14:paraId="429522D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Provider</w:t>
                              </w:r>
                            </w:p>
                            <w:p w14:paraId="34E2C05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Medication</w:t>
                              </w:r>
                            </w:p>
                            <w:p w14:paraId="0115A75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Insurance</w:t>
                              </w:r>
                            </w:p>
                            <w:p w14:paraId="7B03A531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PriorAuthorization</w:t>
                              </w:r>
                            </w:p>
                            <w:p w14:paraId="5F6A832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Prescription</w:t>
                              </w:r>
                            </w:p>
                            <w:p w14:paraId="1B2FC12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Pharmacy</w:t>
                              </w:r>
                            </w:p>
                            <w:p w14:paraId="0AAE75DA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FinancialAssistance</w:t>
                              </w:r>
                            </w:p>
                            <w:p w14:paraId="60BD8C33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CaseManager</w:t>
                              </w:r>
                            </w:p>
                            <w:p w14:paraId="14607AD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ClinicalData</w:t>
                              </w:r>
                            </w:p>
                            <w:p w14:paraId="025EC0CC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AdherenceRecord</w:t>
                              </w:r>
                            </w:p>
                            <w:p w14:paraId="1FBFAF1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Communication</w:t>
                              </w:r>
                            </w:p>
                            <w:p w14:paraId="34A2D4B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Document</w:t>
                              </w:r>
                            </w:p>
                            <w:p w14:paraId="7F4FA78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Workflow</w:t>
                              </w:r>
                            </w:p>
                            <w:p w14:paraId="0FFB8694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Notification</w:t>
                              </w:r>
                            </w:p>
                            <w:p w14:paraId="2C25972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AuditLog</w:t>
                              </w:r>
                            </w:p>
                            <w:p w14:paraId="73131A0B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PayerPolicy</w:t>
                              </w:r>
                            </w:p>
                            <w:p w14:paraId="7D5297F9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Manufacturer</w:t>
                              </w:r>
                            </w:p>
                            <w:p w14:paraId="58469BBF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8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Outcome</w:t>
                              </w:r>
                            </w:p>
                            <w:p w14:paraId="047A92C5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249"/>
                                </w:tabs>
                                <w:spacing w:before="27"/>
                                <w:ind w:left="249" w:right="0" w:hanging="94"/>
                                <w:jc w:val="left"/>
                                <w:rPr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color w:val="494F56"/>
                                  <w:spacing w:val="-2"/>
                                  <w:sz w:val="15"/>
                                </w:rPr>
                                <w:t>SideEffect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4.85pt;margin-top:8pt;height:222.5pt;width:485.5pt;mso-position-horizontal-relative:page;mso-wrap-distance-bottom:0pt;mso-wrap-distance-top:0pt;z-index:-251656192;mso-width-relative:page;mso-height-relative:page;" coordsize="6165850,2825750" o:gfxdata="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vcnV+9kAAAALAQAADwAAAAAAAAABACAAAAAiAAAAZHJz&#10;L2Rvd25yZXYueG1sUEsBAhQAFAAAAAgAh07iQBcYkRAgAwAAiQoAAA4AAAAAAAAAAQAgAAAAKAEA&#10;AGRycy9lMm9Eb2MueG1sUEsFBgAAAAAGAAYAWQEAALoGAAAAAA==&#10;">
                <o:lock v:ext="edit" aspectratio="f"/>
                <v:shape id="Graphic 7" o:spid="_x0000_s1026" o:spt="100" style="position:absolute;left:3175;top:3175;height:2819400;width:6159500;" fillcolor="#F9F9F9" filled="t" stroked="f" coordsize="6159500,2819400" o:gfxdata="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Wm4GvQAA&#10;ANoAAAAPAAAAAAAAAAEAIAAAACIAAABkcnMvZG93bnJldi54bWxQSwECFAAUAAAACACHTuJAMy8F&#10;njsAAAA5AAAAEAAAAAAAAAABACAAAAAMAQAAZHJzL3NoYXBleG1sLnhtbFBLBQYAAAAABgAGAFsB&#10;AAC2AwAAAAA=&#10;" path="m6159500,0l0,0,0,2819400,6159500,2819400,61595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3076575;top:3175;height:2819400;width:3086100;" fillcolor="#F9F9F9" filled="t" stroked="t" coordsize="21600,21600" o:gfxdata="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o3RS8AAAA&#10;2gAAAA8AAAAAAAAAAQAgAAAAIgAAAGRycy9kb3ducmV2LnhtbFBLAQIUABQAAAAIAIdO4kAzLwWe&#10;OwAAADkAAAAQAAAAAAAAAAEAIAAAAAsBAABkcnMvc2hhcGV4bWwueG1sUEsFBgAAAAAGAAYAWwEA&#10;ALUDAAAAAA==&#10;">
                  <v:fill on="t" focussize="0,0"/>
                  <v:stroke weight="0.5pt" color="#DDE2E6" joinstyle="round"/>
                  <v:imagedata o:title=""/>
                  <o:lock v:ext="edit" aspectratio="f"/>
                  <v:textbox inset="0mm,0mm,0mm,0mm">
                    <w:txbxContent>
                      <w:p w14:paraId="2F4F7C9E">
                        <w:pPr>
                          <w:spacing w:before="124"/>
                          <w:ind w:left="15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494F56"/>
                            <w:sz w:val="15"/>
                          </w:rPr>
                          <w:t xml:space="preserve">API Endpoint </w:t>
                        </w:r>
                        <w:r>
                          <w:rPr>
                            <w:rFonts w:ascii="Arial"/>
                            <w:b/>
                            <w:color w:val="494F56"/>
                            <w:spacing w:val="-2"/>
                            <w:sz w:val="15"/>
                          </w:rPr>
                          <w:t>Groups:</w:t>
                        </w:r>
                      </w:p>
                      <w:p w14:paraId="4416FBC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/auth</w:t>
                        </w:r>
                      </w:p>
                      <w:p w14:paraId="72A67EC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/patients</w:t>
                        </w:r>
                      </w:p>
                      <w:p w14:paraId="52E1EE2A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/providers</w:t>
                        </w:r>
                      </w:p>
                      <w:p w14:paraId="22730A9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/medications</w:t>
                        </w:r>
                      </w:p>
                      <w:p w14:paraId="1862CD5E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/prescriptions</w:t>
                        </w:r>
                      </w:p>
                      <w:p w14:paraId="66C12E15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z w:val="15"/>
                          </w:rPr>
                          <w:t>/prior-</w:t>
                        </w: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authorizations</w:t>
                        </w:r>
                      </w:p>
                      <w:p w14:paraId="37541424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/insurance</w:t>
                        </w:r>
                      </w:p>
                      <w:p w14:paraId="0F6C094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z w:val="15"/>
                          </w:rPr>
                          <w:t>/financial-</w:t>
                        </w: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assistance</w:t>
                        </w:r>
                      </w:p>
                      <w:p w14:paraId="7419F181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/communications</w:t>
                        </w:r>
                      </w:p>
                      <w:p w14:paraId="109B82D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/workflows</w:t>
                        </w:r>
                      </w:p>
                      <w:p w14:paraId="495CF912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/analytics</w:t>
                        </w:r>
                      </w:p>
                      <w:p w14:paraId="79AC3687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/documents</w:t>
                        </w:r>
                      </w:p>
                      <w:p w14:paraId="6FA49258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/notifications</w:t>
                        </w:r>
                      </w:p>
                      <w:p w14:paraId="6AA2C99D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/adherence</w:t>
                        </w:r>
                      </w:p>
                      <w:p w14:paraId="78E259E6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/outcomes</w:t>
                        </w:r>
                      </w:p>
                      <w:p w14:paraId="27A231FB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/integrations</w:t>
                        </w:r>
                      </w:p>
                    </w:txbxContent>
                  </v:textbox>
                </v:shape>
                <v:shape id="Textbox 9" o:spid="_x0000_s1026" o:spt="202" type="#_x0000_t202" style="position:absolute;left:3175;top:3175;height:2819400;width:3073400;" fillcolor="#F9F9F9" filled="t" stroked="t" coordsize="21600,21600" o:gfxdata="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keI+/&#10;AAAA2gAAAA8AAAAAAAAAAQAgAAAAIgAAAGRycy9kb3ducmV2LnhtbFBLAQIUABQAAAAIAIdO4kAz&#10;LwWeOwAAADkAAAAQAAAAAAAAAAEAIAAAAA4BAABkcnMvc2hhcGV4bWwueG1sUEsFBgAAAAAGAAYA&#10;WwEAALgDAAAAAA==&#10;">
                  <v:fill on="t" focussize="0,0"/>
                  <v:stroke weight="0.5pt" color="#DDE2E6" joinstyle="round"/>
                  <v:imagedata o:title=""/>
                  <o:lock v:ext="edit" aspectratio="f"/>
                  <v:textbox inset="0mm,0mm,0mm,0mm">
                    <w:txbxContent>
                      <w:p w14:paraId="0A73E605">
                        <w:pPr>
                          <w:spacing w:before="124"/>
                          <w:ind w:left="155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color w:val="494F56"/>
                            <w:sz w:val="15"/>
                          </w:rPr>
                          <w:t xml:space="preserve">Key </w:t>
                        </w:r>
                        <w:r>
                          <w:rPr>
                            <w:rFonts w:ascii="Arial"/>
                            <w:b/>
                            <w:color w:val="494F56"/>
                            <w:spacing w:val="-2"/>
                            <w:sz w:val="15"/>
                          </w:rPr>
                          <w:t>Entities:</w:t>
                        </w:r>
                      </w:p>
                      <w:p w14:paraId="3259BED5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Patient</w:t>
                        </w:r>
                      </w:p>
                      <w:p w14:paraId="429522D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Provider</w:t>
                        </w:r>
                      </w:p>
                      <w:p w14:paraId="34E2C05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Medication</w:t>
                        </w:r>
                      </w:p>
                      <w:p w14:paraId="0115A75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Insurance</w:t>
                        </w:r>
                      </w:p>
                      <w:p w14:paraId="7B03A531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PriorAuthorization</w:t>
                        </w:r>
                      </w:p>
                      <w:p w14:paraId="5F6A832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Prescription</w:t>
                        </w:r>
                      </w:p>
                      <w:p w14:paraId="1B2FC12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Pharmacy</w:t>
                        </w:r>
                      </w:p>
                      <w:p w14:paraId="0AAE75DA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FinancialAssistance</w:t>
                        </w:r>
                      </w:p>
                      <w:p w14:paraId="60BD8C33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CaseManager</w:t>
                        </w:r>
                      </w:p>
                      <w:p w14:paraId="14607AD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ClinicalData</w:t>
                        </w:r>
                      </w:p>
                      <w:p w14:paraId="025EC0CC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AdherenceRecord</w:t>
                        </w:r>
                      </w:p>
                      <w:p w14:paraId="1FBFAF1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Communication</w:t>
                        </w:r>
                      </w:p>
                      <w:p w14:paraId="34A2D4B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Document</w:t>
                        </w:r>
                      </w:p>
                      <w:p w14:paraId="7F4FA78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Workflow</w:t>
                        </w:r>
                      </w:p>
                      <w:p w14:paraId="0FFB8694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Notification</w:t>
                        </w:r>
                      </w:p>
                      <w:p w14:paraId="2C25972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AuditLog</w:t>
                        </w:r>
                      </w:p>
                      <w:p w14:paraId="73131A0B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PayerPolicy</w:t>
                        </w:r>
                      </w:p>
                      <w:p w14:paraId="7D5297F9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Manufacturer</w:t>
                        </w:r>
                      </w:p>
                      <w:p w14:paraId="58469BBF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8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Outcome</w:t>
                        </w:r>
                      </w:p>
                      <w:p w14:paraId="047A92C5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249"/>
                          </w:tabs>
                          <w:spacing w:before="27"/>
                          <w:ind w:left="249" w:right="0" w:hanging="94"/>
                          <w:jc w:val="left"/>
                          <w:rPr>
                            <w:color w:val="000000"/>
                            <w:sz w:val="15"/>
                          </w:rPr>
                        </w:pPr>
                        <w:r>
                          <w:rPr>
                            <w:color w:val="494F56"/>
                            <w:spacing w:val="-2"/>
                            <w:sz w:val="15"/>
                          </w:rPr>
                          <w:t>SideEffect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F36A4DB">
      <w:pPr>
        <w:spacing w:before="291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Monetization </w:t>
      </w:r>
      <w:r>
        <w:rPr>
          <w:rFonts w:ascii="Arial"/>
          <w:b/>
          <w:color w:val="0F3460"/>
          <w:spacing w:val="-2"/>
          <w:sz w:val="26"/>
        </w:rPr>
        <w:t>Strategies</w:t>
      </w:r>
    </w:p>
    <w:p w14:paraId="478F9BA1">
      <w:pPr>
        <w:pStyle w:val="7"/>
        <w:numPr>
          <w:ilvl w:val="0"/>
          <w:numId w:val="1"/>
        </w:numPr>
        <w:tabs>
          <w:tab w:val="left" w:pos="488"/>
        </w:tabs>
        <w:spacing w:before="175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Per-patient enrollment fees charged to pharmaceutical </w:t>
      </w:r>
      <w:r>
        <w:rPr>
          <w:color w:val="2D2D2D"/>
          <w:spacing w:val="-2"/>
          <w:sz w:val="16"/>
        </w:rPr>
        <w:t>manufacturers</w:t>
      </w:r>
    </w:p>
    <w:p w14:paraId="100CD243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Monthly SaaS subscription fees for healthcare providers and health </w:t>
      </w:r>
      <w:r>
        <w:rPr>
          <w:color w:val="2D2D2D"/>
          <w:spacing w:val="-2"/>
          <w:sz w:val="16"/>
        </w:rPr>
        <w:t>systems</w:t>
      </w:r>
    </w:p>
    <w:p w14:paraId="3554344B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Transaction fees for successful prior authorization </w:t>
      </w:r>
      <w:r>
        <w:rPr>
          <w:color w:val="2D2D2D"/>
          <w:spacing w:val="-2"/>
          <w:sz w:val="16"/>
        </w:rPr>
        <w:t>approvals</w:t>
      </w:r>
    </w:p>
    <w:p w14:paraId="102F0CCA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Premium analytics and reporting packages for pharma and </w:t>
      </w:r>
      <w:r>
        <w:rPr>
          <w:color w:val="2D2D2D"/>
          <w:spacing w:val="-2"/>
          <w:sz w:val="16"/>
        </w:rPr>
        <w:t>payers</w:t>
      </w:r>
    </w:p>
    <w:p w14:paraId="6A9964FA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Integration fees for EHR and pharmacy system </w:t>
      </w:r>
      <w:r>
        <w:rPr>
          <w:color w:val="2D2D2D"/>
          <w:spacing w:val="-2"/>
          <w:sz w:val="16"/>
        </w:rPr>
        <w:t>connections</w:t>
      </w:r>
    </w:p>
    <w:p w14:paraId="22677D71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Consulting services for therapy program </w:t>
      </w:r>
      <w:r>
        <w:rPr>
          <w:color w:val="2D2D2D"/>
          <w:spacing w:val="-2"/>
          <w:sz w:val="16"/>
        </w:rPr>
        <w:t>optimization</w:t>
      </w:r>
    </w:p>
    <w:p w14:paraId="2A05DCAD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White-label platform licensing to pharmaceutical </w:t>
      </w:r>
      <w:r>
        <w:rPr>
          <w:color w:val="2D2D2D"/>
          <w:spacing w:val="-2"/>
          <w:sz w:val="16"/>
        </w:rPr>
        <w:t>companies</w:t>
      </w:r>
    </w:p>
    <w:p w14:paraId="050BD45E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Data insights and benchmarking reports </w:t>
      </w:r>
      <w:r>
        <w:rPr>
          <w:color w:val="2D2D2D"/>
          <w:spacing w:val="-2"/>
          <w:sz w:val="16"/>
        </w:rPr>
        <w:t>(anonymized)</w:t>
      </w:r>
    </w:p>
    <w:p w14:paraId="2F8FC08E">
      <w:pPr>
        <w:pStyle w:val="7"/>
        <w:numPr>
          <w:ilvl w:val="0"/>
          <w:numId w:val="1"/>
        </w:numPr>
        <w:tabs>
          <w:tab w:val="left" w:pos="488"/>
        </w:tabs>
        <w:spacing w:before="56" w:after="0" w:line="240" w:lineRule="auto"/>
        <w:ind w:left="488" w:right="0" w:hanging="100"/>
        <w:jc w:val="left"/>
        <w:rPr>
          <w:sz w:val="16"/>
        </w:rPr>
      </w:pPr>
      <w:r>
        <w:rPr>
          <w:color w:val="2D2D2D"/>
          <w:sz w:val="16"/>
        </w:rPr>
        <w:t xml:space="preserve">Training and certification programs for healthcare </w:t>
      </w:r>
      <w:r>
        <w:rPr>
          <w:color w:val="2D2D2D"/>
          <w:spacing w:val="-2"/>
          <w:sz w:val="16"/>
        </w:rPr>
        <w:t>professionals</w:t>
      </w:r>
    </w:p>
    <w:p w14:paraId="2139FF05">
      <w:pPr>
        <w:pStyle w:val="4"/>
        <w:spacing w:before="138"/>
        <w:rPr>
          <w:sz w:val="16"/>
        </w:rPr>
      </w:pPr>
    </w:p>
    <w:p w14:paraId="1751B479">
      <w:pPr>
        <w:spacing w:before="0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MVP </w:t>
      </w:r>
      <w:r>
        <w:rPr>
          <w:rFonts w:ascii="Arial"/>
          <w:b/>
          <w:color w:val="0F3460"/>
          <w:spacing w:val="-2"/>
          <w:sz w:val="26"/>
        </w:rPr>
        <w:t>Scope</w:t>
      </w:r>
    </w:p>
    <w:p w14:paraId="6850A46D">
      <w:pPr>
        <w:pStyle w:val="4"/>
        <w:spacing w:before="175" w:line="295" w:lineRule="auto"/>
        <w:ind w:left="148" w:right="145"/>
        <w:jc w:val="both"/>
      </w:pPr>
      <w:r>
        <w:rPr>
          <w:color w:val="2D2D2D"/>
        </w:rPr>
        <w:t>Core MVP should include patient enrollment portal, basic prior authorization management, insurance verification, financial assistance program coordination, provider dashboard, and patient communication system. Focus on 2-3 high-volume specialty medications and major payers to validate the model before expanding.</w:t>
      </w:r>
    </w:p>
    <w:p w14:paraId="68DD604C">
      <w:pPr>
        <w:pStyle w:val="4"/>
        <w:spacing w:before="89"/>
      </w:pPr>
    </w:p>
    <w:p w14:paraId="0FACFD0C">
      <w:pPr>
        <w:spacing w:before="0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Competitive </w:t>
      </w:r>
      <w:r>
        <w:rPr>
          <w:rFonts w:ascii="Arial"/>
          <w:b/>
          <w:color w:val="0F3460"/>
          <w:spacing w:val="-2"/>
          <w:sz w:val="26"/>
        </w:rPr>
        <w:t>Landscape</w:t>
      </w:r>
    </w:p>
    <w:p w14:paraId="3A57C178">
      <w:pPr>
        <w:pStyle w:val="4"/>
        <w:spacing w:before="176" w:line="295" w:lineRule="auto"/>
        <w:ind w:left="148" w:right="145"/>
        <w:jc w:val="both"/>
      </w:pPr>
      <w:r>
        <w:rPr>
          <w:color w:val="2D2D2D"/>
        </w:rPr>
        <w:t>The specialty drug support market includes established players like AssistRx, CoverMyMeds, and McKesson specialty</w:t>
      </w:r>
      <w:r>
        <w:rPr>
          <w:color w:val="2D2D2D"/>
          <w:spacing w:val="40"/>
        </w:rPr>
        <w:t xml:space="preserve"> </w:t>
      </w:r>
      <w:r>
        <w:rPr>
          <w:color w:val="2D2D2D"/>
        </w:rPr>
        <w:t>pharmacy services. Competition focuses on breadth of payer connections, ease of use, and comprehensive patient support services. Differentiation opportunities exist in AI/ML capabilities, patient experience, and real-world evidence generation.</w:t>
      </w:r>
    </w:p>
    <w:p w14:paraId="442160B9">
      <w:pPr>
        <w:pStyle w:val="4"/>
        <w:spacing w:before="88"/>
      </w:pPr>
    </w:p>
    <w:p w14:paraId="259BC4DB">
      <w:pPr>
        <w:spacing w:before="0"/>
        <w:ind w:left="14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Key Metrics to </w:t>
      </w:r>
      <w:r>
        <w:rPr>
          <w:rFonts w:ascii="Arial"/>
          <w:b/>
          <w:color w:val="0F3460"/>
          <w:spacing w:val="-2"/>
          <w:sz w:val="26"/>
        </w:rPr>
        <w:t>Track</w:t>
      </w:r>
    </w:p>
    <w:p w14:paraId="3A5D49DE">
      <w:pPr>
        <w:spacing w:before="175" w:line="278" w:lineRule="auto"/>
        <w:ind w:left="148" w:right="145" w:firstLine="0"/>
        <w:jc w:val="both"/>
        <w:rPr>
          <w:sz w:val="15"/>
        </w:rPr>
      </w:pPr>
      <w:r>
        <w:rPr>
          <w:color w:val="494F56"/>
          <w:sz w:val="15"/>
        </w:rPr>
        <w:t>Patient enrollment conversion rate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Prior authorization approval rate and time to approval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Patient therapy initiation rate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Medication adherence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rates</w:t>
      </w:r>
      <w:r>
        <w:rPr>
          <w:color w:val="494F56"/>
          <w:spacing w:val="37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36"/>
          <w:sz w:val="15"/>
        </w:rPr>
        <w:t xml:space="preserve"> </w:t>
      </w:r>
      <w:r>
        <w:rPr>
          <w:color w:val="494F56"/>
          <w:sz w:val="15"/>
        </w:rPr>
        <w:t>Patient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satisfaction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scores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(NPS)</w:t>
      </w:r>
      <w:r>
        <w:rPr>
          <w:color w:val="494F56"/>
          <w:spacing w:val="37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36"/>
          <w:sz w:val="15"/>
        </w:rPr>
        <w:t xml:space="preserve"> </w:t>
      </w:r>
      <w:r>
        <w:rPr>
          <w:color w:val="494F56"/>
          <w:sz w:val="15"/>
        </w:rPr>
        <w:t>Provider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adoption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and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usage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metrics</w:t>
      </w:r>
      <w:r>
        <w:rPr>
          <w:color w:val="494F56"/>
          <w:spacing w:val="37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36"/>
          <w:sz w:val="15"/>
        </w:rPr>
        <w:t xml:space="preserve"> </w:t>
      </w:r>
      <w:r>
        <w:rPr>
          <w:color w:val="494F56"/>
          <w:sz w:val="15"/>
        </w:rPr>
        <w:t>Financial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assistance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program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utilization</w:t>
      </w:r>
      <w:r>
        <w:rPr>
          <w:color w:val="494F56"/>
          <w:spacing w:val="37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36"/>
          <w:sz w:val="15"/>
        </w:rPr>
        <w:t xml:space="preserve"> </w:t>
      </w:r>
      <w:r>
        <w:rPr>
          <w:color w:val="494F56"/>
          <w:sz w:val="15"/>
        </w:rPr>
        <w:t>Time</w:t>
      </w:r>
      <w:r>
        <w:rPr>
          <w:color w:val="494F56"/>
          <w:spacing w:val="-3"/>
          <w:sz w:val="15"/>
        </w:rPr>
        <w:t xml:space="preserve"> </w:t>
      </w:r>
      <w:r>
        <w:rPr>
          <w:color w:val="494F56"/>
          <w:sz w:val="15"/>
        </w:rPr>
        <w:t>to therapy start from enrollment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Patient retention on therapy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Clinical outcome improvements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Cost savings generated for patients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|</w:t>
      </w:r>
      <w:r>
        <w:rPr>
          <w:color w:val="494F56"/>
          <w:spacing w:val="40"/>
          <w:sz w:val="15"/>
        </w:rPr>
        <w:t xml:space="preserve"> </w:t>
      </w:r>
      <w:r>
        <w:rPr>
          <w:color w:val="494F56"/>
          <w:sz w:val="15"/>
        </w:rPr>
        <w:t>Platform uptime and performance metrics</w:t>
      </w:r>
    </w:p>
    <w:p w14:paraId="6715AD04">
      <w:pPr>
        <w:spacing w:after="0" w:line="278" w:lineRule="auto"/>
        <w:jc w:val="both"/>
        <w:rPr>
          <w:sz w:val="15"/>
        </w:rPr>
        <w:sectPr>
          <w:pgSz w:w="11910" w:h="16840"/>
          <w:pgMar w:top="920" w:right="992" w:bottom="280" w:left="992" w:header="720" w:footer="720" w:gutter="0"/>
          <w:cols w:space="720" w:num="1"/>
        </w:sectPr>
      </w:pPr>
    </w:p>
    <w:p w14:paraId="2586D4E0">
      <w:pPr>
        <w:spacing w:before="68"/>
        <w:ind w:left="148" w:right="0" w:firstLine="0"/>
        <w:jc w:val="both"/>
        <w:rPr>
          <w:rFonts w:ascii="Arial"/>
          <w:b/>
          <w:sz w:val="26"/>
        </w:rPr>
      </w:pPr>
      <w:r>
        <w:rPr>
          <w:rFonts w:ascii="Arial"/>
          <w:b/>
          <w:color w:val="0F3460"/>
          <w:sz w:val="26"/>
        </w:rPr>
        <w:t xml:space="preserve">Go-to-Market </w:t>
      </w:r>
      <w:r>
        <w:rPr>
          <w:rFonts w:ascii="Arial"/>
          <w:b/>
          <w:color w:val="0F3460"/>
          <w:spacing w:val="-2"/>
          <w:sz w:val="26"/>
        </w:rPr>
        <w:t>Notes</w:t>
      </w:r>
    </w:p>
    <w:p w14:paraId="5C7CA9C5">
      <w:pPr>
        <w:pStyle w:val="4"/>
        <w:spacing w:before="176" w:line="295" w:lineRule="auto"/>
        <w:ind w:left="148" w:right="145"/>
        <w:jc w:val="both"/>
      </w:pPr>
      <w:r>
        <w:rPr>
          <w:color w:val="2D2D2D"/>
        </w:rPr>
        <w:t>Target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pharmaceutical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manufacturers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of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specialty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drugs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first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as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primary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customers,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then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expand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to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health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systems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-3"/>
        </w:rPr>
        <w:t xml:space="preserve"> </w:t>
      </w:r>
      <w:r>
        <w:rPr>
          <w:color w:val="2D2D2D"/>
        </w:rPr>
        <w:t>specialty pharmacies.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Leverage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partnerships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with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existing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EHR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vendors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and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pharmacy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networks.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Focus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initially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on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high-cost,</w:t>
      </w:r>
      <w:r>
        <w:rPr>
          <w:color w:val="2D2D2D"/>
          <w:spacing w:val="-5"/>
        </w:rPr>
        <w:t xml:space="preserve"> </w:t>
      </w:r>
      <w:r>
        <w:rPr>
          <w:color w:val="2D2D2D"/>
        </w:rPr>
        <w:t>high-volume specialty therapeutic areas like oncology, immunology, and rare diseases where patient support programs are most critical.</w:t>
      </w:r>
    </w:p>
    <w:p w14:paraId="1E4B4004">
      <w:pPr>
        <w:pStyle w:val="4"/>
        <w:spacing w:before="4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723900</wp:posOffset>
                </wp:positionH>
                <wp:positionV relativeFrom="paragraph">
                  <wp:posOffset>189230</wp:posOffset>
                </wp:positionV>
                <wp:extent cx="6111875" cy="1270"/>
                <wp:effectExtent l="0" t="0" r="0" b="0"/>
                <wp:wrapTopAndBottom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ACB5B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" o:spid="_x0000_s1026" o:spt="100" style="position:absolute;left:0pt;margin-left:57pt;margin-top:14.9pt;height:0.1pt;width:481.25pt;mso-position-horizontal-relative:page;mso-wrap-distance-bottom:0pt;mso-wrap-distance-top:0pt;z-index:-251656192;mso-width-relative:page;mso-height-relative:page;" filled="f" stroked="t" coordsize="6111875,1" o:gfxdata="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Ad6xMbaAAAACgEA&#10;AA8AAAAAAAAAAQAgAAAAIgAAAGRycy9kb3ducmV2LnhtbFBLAQIUABQAAAAIAIdO4kD8t2yZGAIA&#10;AHwEAAAOAAAAAAAAAAEAIAAAACkBAABkcnMvZTJvRG9jLnhtbFBLBQYAAAAABgAGAFkBAACzBQAA&#10;AAA=&#10;" path="m0,0l6111599,0e">
                <v:fill on="f" focussize="0,0"/>
                <v:stroke weight="0.5pt" color="#ACB5BC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BDBE7E2">
      <w:pPr>
        <w:spacing w:before="23"/>
        <w:ind w:left="1114" w:right="0" w:firstLine="0"/>
        <w:jc w:val="left"/>
        <w:rPr>
          <w:sz w:val="13"/>
        </w:rPr>
      </w:pPr>
      <w:r>
        <w:rPr>
          <w:color w:val="000899"/>
          <w:sz w:val="13"/>
        </w:rPr>
        <w:t>This document is a developer blueprint — not a boundary. Think beyond, build better.</w:t>
      </w:r>
      <w:r>
        <w:rPr>
          <w:color w:val="000899"/>
          <w:spacing w:val="36"/>
          <w:sz w:val="13"/>
        </w:rPr>
        <w:t xml:space="preserve"> </w:t>
      </w:r>
      <w:r>
        <w:rPr>
          <w:color w:val="000899"/>
          <w:sz w:val="13"/>
        </w:rPr>
        <w:t>|</w:t>
      </w:r>
      <w:r>
        <w:rPr>
          <w:color w:val="000899"/>
          <w:spacing w:val="36"/>
          <w:sz w:val="13"/>
        </w:rPr>
        <w:t xml:space="preserve"> </w:t>
      </w:r>
      <w:r>
        <w:rPr>
          <w:color w:val="000899"/>
          <w:sz w:val="13"/>
        </w:rPr>
        <w:t xml:space="preserve">Generated by Product Research MCP </w:t>
      </w:r>
      <w:r>
        <w:rPr>
          <w:color w:val="000899"/>
          <w:spacing w:val="-2"/>
          <w:sz w:val="13"/>
        </w:rPr>
        <w:t>Server</w:t>
      </w:r>
    </w:p>
    <w:sectPr>
      <w:pgSz w:w="11910" w:h="16840"/>
      <w:pgMar w:top="90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249" w:hanging="95"/>
      </w:pPr>
      <w:rPr>
        <w:rFonts w:hint="default" w:ascii="Arial MT" w:hAnsi="Arial MT" w:eastAsia="Arial MT" w:cs="Arial MT"/>
        <w:b w:val="0"/>
        <w:bCs w:val="0"/>
        <w:i w:val="0"/>
        <w:iCs w:val="0"/>
        <w:color w:val="494F56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01" w:hanging="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62" w:hanging="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23" w:hanging="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84" w:hanging="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45" w:hanging="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3006" w:hanging="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467" w:hanging="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928" w:hanging="95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488" w:hanging="101"/>
      </w:pPr>
      <w:rPr>
        <w:rFonts w:hint="default" w:ascii="Arial MT" w:hAnsi="Arial MT" w:eastAsia="Arial MT" w:cs="Arial MT"/>
        <w:b w:val="0"/>
        <w:bCs w:val="0"/>
        <w:i w:val="0"/>
        <w:iCs w:val="0"/>
        <w:color w:val="2D2D2D"/>
        <w:spacing w:val="0"/>
        <w:w w:val="10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424" w:hanging="10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368" w:hanging="10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12" w:hanging="10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56" w:hanging="10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0" w:hanging="10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44" w:hanging="10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89" w:hanging="10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033" w:hanging="101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•"/>
      <w:lvlJc w:val="left"/>
      <w:pPr>
        <w:ind w:left="249" w:hanging="95"/>
      </w:pPr>
      <w:rPr>
        <w:rFonts w:hint="default" w:ascii="Arial MT" w:hAnsi="Arial MT" w:eastAsia="Arial MT" w:cs="Arial MT"/>
        <w:b w:val="0"/>
        <w:bCs w:val="0"/>
        <w:i w:val="0"/>
        <w:iCs w:val="0"/>
        <w:color w:val="494F56"/>
        <w:spacing w:val="0"/>
        <w:w w:val="100"/>
        <w:sz w:val="15"/>
        <w:szCs w:val="1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99" w:hanging="9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158" w:hanging="9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617" w:hanging="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2076" w:hanging="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535" w:hanging="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994" w:hanging="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3453" w:hanging="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912" w:hanging="9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47545C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0"/>
    </w:pPr>
    <w:rPr>
      <w:rFonts w:ascii="Arial MT" w:hAnsi="Arial MT" w:eastAsia="Arial MT" w:cs="Arial MT"/>
      <w:sz w:val="17"/>
      <w:szCs w:val="17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2"/>
      <w:ind w:left="174" w:right="172"/>
      <w:jc w:val="center"/>
    </w:pPr>
    <w:rPr>
      <w:rFonts w:ascii="Arial" w:hAnsi="Arial" w:eastAsia="Arial" w:cs="Arial"/>
      <w:b/>
      <w:bCs/>
      <w:sz w:val="40"/>
      <w:szCs w:val="40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56"/>
      <w:ind w:left="488" w:hanging="100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63"/>
      <w:ind w:left="10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2026-03-14T03:55:00Z</dcterms:created>
  <dc:creator>(anonymous)</dc:creator>
  <cp:lastModifiedBy>Bacancy</cp:lastModifiedBy>
  <dcterms:modified xsi:type="dcterms:W3CDTF">2026-03-14T03:55:51Z</dcterms:modified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2026-03-14T00:00:00Z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1033-12.2.0.23196</vt:lpwstr>
  </property>
  <property fmtid="{D5CDD505-2E9C-101B-9397-08002B2CF9AE}" pid="7" name="ICV">
    <vt:lpwstr>20773BC10F5D45A8B2987DF62F8046A0_12</vt:lpwstr>
  </property>
</Properties>
</file>