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64A8B8" w14:textId="4EFFB081" w:rsidR="00501AB5" w:rsidRDefault="00501AB5" w:rsidP="00501AB5">
      <w:pPr>
        <w:rPr>
          <w:b/>
          <w:bCs/>
        </w:rPr>
      </w:pPr>
      <w:r>
        <w:rPr>
          <w:b/>
          <w:bCs/>
        </w:rPr>
        <w:fldChar w:fldCharType="begin"/>
      </w:r>
      <w:r>
        <w:rPr>
          <w:b/>
          <w:bCs/>
        </w:rPr>
        <w:instrText>HYPERLINK "https://mudda.dev/"</w:instrText>
      </w:r>
      <w:r>
        <w:rPr>
          <w:b/>
          <w:bCs/>
        </w:rPr>
      </w:r>
      <w:r>
        <w:rPr>
          <w:b/>
          <w:bCs/>
        </w:rPr>
        <w:fldChar w:fldCharType="separate"/>
      </w:r>
      <w:r w:rsidRPr="00501AB5">
        <w:rPr>
          <w:rStyle w:val="Hyperlink"/>
          <w:b/>
          <w:bCs/>
        </w:rPr>
        <w:t>MUDDA</w:t>
      </w:r>
      <w:r>
        <w:rPr>
          <w:b/>
          <w:bCs/>
        </w:rPr>
        <w:fldChar w:fldCharType="end"/>
      </w:r>
      <w:r w:rsidRPr="00501AB5">
        <w:rPr>
          <w:b/>
          <w:bCs/>
        </w:rPr>
        <w:t>: Bridging the Digital Divide in Modern Civic Governance</w:t>
      </w:r>
    </w:p>
    <w:p w14:paraId="0B8F6313" w14:textId="7252B357" w:rsidR="002877A7" w:rsidRPr="00501AB5" w:rsidRDefault="002877A7" w:rsidP="00501AB5">
      <w:pPr>
        <w:rPr>
          <w:b/>
          <w:bCs/>
        </w:rPr>
      </w:pPr>
      <w:r>
        <w:rPr>
          <w:b/>
          <w:bCs/>
        </w:rPr>
        <w:t>0. Track: T-04 Smart Cities and Infrastructure</w:t>
      </w:r>
    </w:p>
    <w:p w14:paraId="7AA979ED" w14:textId="77777777" w:rsidR="00501AB5" w:rsidRPr="00501AB5" w:rsidRDefault="00501AB5" w:rsidP="00501AB5">
      <w:pPr>
        <w:rPr>
          <w:b/>
          <w:bCs/>
        </w:rPr>
      </w:pPr>
      <w:r w:rsidRPr="00501AB5">
        <w:rPr>
          <w:b/>
          <w:bCs/>
        </w:rPr>
        <w:t>1. Abstract</w:t>
      </w:r>
    </w:p>
    <w:p w14:paraId="52B76631" w14:textId="77777777" w:rsidR="00501AB5" w:rsidRPr="00501AB5" w:rsidRDefault="00501AB5" w:rsidP="00501AB5">
      <w:r w:rsidRPr="00501AB5">
        <w:t>The urban commons of developing nations are currently navigating a state of systemic entropy. From chronic infrastructural decay—manifested as persistent road network failures and unmanaged sanitation crises—to the widening "ontological chasm" between the citizen and the state, the strategic imperative to digitize the social contract has reached a tipping point. Traditional grievance redressal mechanisms are no longer merely inefficient; they are obsolete, failing to meet the real-time expectations of a hyper-connected populace.</w:t>
      </w:r>
    </w:p>
    <w:p w14:paraId="60D8519F" w14:textId="77777777" w:rsidR="00501AB5" w:rsidRPr="00501AB5" w:rsidRDefault="00501AB5" w:rsidP="00501AB5">
      <w:r w:rsidRPr="00501AB5">
        <w:t>The "Mudda" platform represents a paradigm shift in this landscape. Defined as an AI-driven, mobile-first civic governance co-pilot, Mudda is architected to transmute raw citizen sentiment into actionable, deterministic bureaucratic workflows. By synthesizing dopamine-optimized social engagement mechanics with enterprise-grade decision intelligence, the platform bridges the gap between public discourse and municipal execution. This transition from private, opaque reporting to a transparent, collaborative ecosystem marks an evolutionary departure from the structural failures of legacy administrative systems.</w:t>
      </w:r>
    </w:p>
    <w:p w14:paraId="65C02936" w14:textId="77777777" w:rsidR="00501AB5" w:rsidRPr="00501AB5" w:rsidRDefault="00501AB5" w:rsidP="00501AB5">
      <w:pPr>
        <w:rPr>
          <w:b/>
          <w:bCs/>
        </w:rPr>
      </w:pPr>
      <w:r w:rsidRPr="00501AB5">
        <w:rPr>
          <w:b/>
          <w:bCs/>
        </w:rPr>
        <w:t>2. Problem Statement: The Infrastructure of Friction</w:t>
      </w:r>
    </w:p>
    <w:p w14:paraId="17F9DE67" w14:textId="77777777" w:rsidR="00501AB5" w:rsidRPr="00501AB5" w:rsidRDefault="00501AB5" w:rsidP="00501AB5">
      <w:r w:rsidRPr="00501AB5">
        <w:t xml:space="preserve">The modernization of civic engagement requires addressing the profound dissonance between the frictionless digital experiences of the private sector and the high-latency "black box" of legacy municipal systems. Historically, platforms like the 2009 </w:t>
      </w:r>
      <w:proofErr w:type="spellStart"/>
      <w:r w:rsidRPr="00501AB5">
        <w:t>eGovernments</w:t>
      </w:r>
      <w:proofErr w:type="spellEnd"/>
      <w:r w:rsidRPr="00501AB5">
        <w:t xml:space="preserve"> Foundation systems relied on manual paper-trailing and call-</w:t>
      </w:r>
      <w:proofErr w:type="spellStart"/>
      <w:r w:rsidRPr="00501AB5">
        <w:t>center</w:t>
      </w:r>
      <w:proofErr w:type="spellEnd"/>
      <w:r w:rsidRPr="00501AB5">
        <w:t xml:space="preserve"> intervention, leading to inherent "desk-to-desk" delays and a high probability of misplaced records. This archaic approach has created several systemic failures:</w:t>
      </w:r>
    </w:p>
    <w:p w14:paraId="67D5CA77" w14:textId="77777777" w:rsidR="00501AB5" w:rsidRPr="00501AB5" w:rsidRDefault="00501AB5" w:rsidP="00501AB5">
      <w:pPr>
        <w:numPr>
          <w:ilvl w:val="0"/>
          <w:numId w:val="1"/>
        </w:numPr>
      </w:pPr>
      <w:r w:rsidRPr="00501AB5">
        <w:rPr>
          <w:b/>
          <w:bCs/>
        </w:rPr>
        <w:t>The Redundancy Paradox</w:t>
      </w:r>
      <w:r w:rsidRPr="00501AB5">
        <w:t>: Lacking spatial-semantic clustering, legacy systems treat every report as an isolated event. This leads to a massive misallocation of municipal kinetic resources—dispatching multiple crews to a single geospatial coordinate for the same burst water line or pothole, simply because the system cannot recognize fifty reports of the same incident.</w:t>
      </w:r>
    </w:p>
    <w:p w14:paraId="0FC52827" w14:textId="77777777" w:rsidR="00501AB5" w:rsidRPr="00501AB5" w:rsidRDefault="00501AB5" w:rsidP="00501AB5">
      <w:pPr>
        <w:numPr>
          <w:ilvl w:val="0"/>
          <w:numId w:val="1"/>
        </w:numPr>
      </w:pPr>
      <w:r w:rsidRPr="00501AB5">
        <w:rPr>
          <w:b/>
          <w:bCs/>
        </w:rPr>
        <w:t>Bi-Directional Asynchrony</w:t>
      </w:r>
      <w:r w:rsidRPr="00501AB5">
        <w:t>: Once data is submitted, it is often orphaned from the execution pipeline. This "black box" effect is more than a delay; it is a structural disenfranchisement of the taxpayer, who remains alienated from the resolution lifecycle and the municipal agents responsible for it.</w:t>
      </w:r>
    </w:p>
    <w:p w14:paraId="19A20962" w14:textId="77777777" w:rsidR="00501AB5" w:rsidRPr="00501AB5" w:rsidRDefault="00501AB5" w:rsidP="00501AB5">
      <w:pPr>
        <w:numPr>
          <w:ilvl w:val="0"/>
          <w:numId w:val="1"/>
        </w:numPr>
      </w:pPr>
      <w:r w:rsidRPr="00501AB5">
        <w:rPr>
          <w:b/>
          <w:bCs/>
        </w:rPr>
        <w:t>Bureaucratic Paralysis and Informational Entropy</w:t>
      </w:r>
      <w:r w:rsidRPr="00501AB5">
        <w:t xml:space="preserve">: Manual triage imposes a staggering cognitive burden on administrators. The resulting informational </w:t>
      </w:r>
      <w:r w:rsidRPr="00501AB5">
        <w:lastRenderedPageBreak/>
        <w:t>entropy—chaotic, unstructured data requiring human interpretation—inflates Service Level Agreement (SLA) response times and breeds systemic civic apathy.</w:t>
      </w:r>
    </w:p>
    <w:p w14:paraId="784EA454" w14:textId="77777777" w:rsidR="00501AB5" w:rsidRPr="00501AB5" w:rsidRDefault="00501AB5" w:rsidP="00501AB5">
      <w:r w:rsidRPr="00501AB5">
        <w:t>The Mudda platform targets the core "hotspots" of urban decay, including:</w:t>
      </w:r>
    </w:p>
    <w:p w14:paraId="7C031F67" w14:textId="77777777" w:rsidR="00501AB5" w:rsidRPr="00501AB5" w:rsidRDefault="00501AB5" w:rsidP="00501AB5">
      <w:pPr>
        <w:numPr>
          <w:ilvl w:val="0"/>
          <w:numId w:val="2"/>
        </w:numPr>
      </w:pPr>
      <w:r w:rsidRPr="00501AB5">
        <w:t>Potholes and road network failures</w:t>
      </w:r>
    </w:p>
    <w:p w14:paraId="1ED89A0C" w14:textId="77777777" w:rsidR="00501AB5" w:rsidRPr="00501AB5" w:rsidRDefault="00501AB5" w:rsidP="00501AB5">
      <w:pPr>
        <w:numPr>
          <w:ilvl w:val="0"/>
          <w:numId w:val="2"/>
        </w:numPr>
      </w:pPr>
      <w:r w:rsidRPr="00501AB5">
        <w:t>Unmanaged garbage accumulation and sanitation crises</w:t>
      </w:r>
    </w:p>
    <w:p w14:paraId="769A79ED" w14:textId="77777777" w:rsidR="00501AB5" w:rsidRPr="00501AB5" w:rsidRDefault="00501AB5" w:rsidP="00501AB5">
      <w:pPr>
        <w:numPr>
          <w:ilvl w:val="0"/>
          <w:numId w:val="2"/>
        </w:numPr>
      </w:pPr>
      <w:r w:rsidRPr="00501AB5">
        <w:t>Broken streetlighting and compromised public safety</w:t>
      </w:r>
    </w:p>
    <w:p w14:paraId="1F446273" w14:textId="77777777" w:rsidR="00501AB5" w:rsidRPr="00501AB5" w:rsidRDefault="00501AB5" w:rsidP="00501AB5">
      <w:pPr>
        <w:numPr>
          <w:ilvl w:val="0"/>
          <w:numId w:val="2"/>
        </w:numPr>
      </w:pPr>
      <w:r w:rsidRPr="00501AB5">
        <w:t>Water shortages and critical utility outages</w:t>
      </w:r>
    </w:p>
    <w:p w14:paraId="1D81983E" w14:textId="77777777" w:rsidR="00501AB5" w:rsidRPr="00501AB5" w:rsidRDefault="00501AB5" w:rsidP="00501AB5">
      <w:pPr>
        <w:numPr>
          <w:ilvl w:val="0"/>
          <w:numId w:val="2"/>
        </w:numPr>
      </w:pPr>
      <w:r w:rsidRPr="00501AB5">
        <w:t>Deteriorating public parks and communal spaces</w:t>
      </w:r>
    </w:p>
    <w:p w14:paraId="0FBA3A6C" w14:textId="77777777" w:rsidR="00501AB5" w:rsidRPr="00501AB5" w:rsidRDefault="00501AB5" w:rsidP="00501AB5">
      <w:r w:rsidRPr="00501AB5">
        <w:t>The economic scale of the environments where these problems persist demands a solution that is both hyper-scalable and financially self-sustaining.</w:t>
      </w:r>
    </w:p>
    <w:p w14:paraId="7660080A" w14:textId="77777777" w:rsidR="00501AB5" w:rsidRPr="00501AB5" w:rsidRDefault="00501AB5" w:rsidP="00501AB5">
      <w:pPr>
        <w:rPr>
          <w:b/>
          <w:bCs/>
        </w:rPr>
      </w:pPr>
      <w:r w:rsidRPr="00501AB5">
        <w:rPr>
          <w:b/>
          <w:bCs/>
        </w:rPr>
        <w:t>3. Global Market Context: The Smart Cities Landscape</w:t>
      </w:r>
    </w:p>
    <w:p w14:paraId="5D215A6C" w14:textId="77777777" w:rsidR="00501AB5" w:rsidRPr="00501AB5" w:rsidRDefault="00501AB5" w:rsidP="00501AB5">
      <w:r w:rsidRPr="00501AB5">
        <w:t>Urban digital transformation has transitioned from a municipal luxury to a fiscal requirement for public safety and resource management. The market for smart city technologies is expanding as cities seek to solve the "Procurement Myopia" of the past—where communication tools and database management were purchased as siloed, non-integrated functions.</w:t>
      </w:r>
    </w:p>
    <w:p w14:paraId="6396C590" w14:textId="77777777" w:rsidR="00501AB5" w:rsidRPr="00501AB5" w:rsidRDefault="00501AB5" w:rsidP="00501AB5">
      <w:pPr>
        <w:rPr>
          <w:b/>
          <w:bCs/>
        </w:rPr>
      </w:pPr>
      <w:r w:rsidRPr="00501AB5">
        <w:rPr>
          <w:b/>
          <w:bCs/>
        </w:rPr>
        <w:t>Smart Cities Market Forecast (2025–2030)</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687"/>
        <w:gridCol w:w="6323"/>
      </w:tblGrid>
      <w:tr w:rsidR="00501AB5" w:rsidRPr="00501AB5" w14:paraId="6CAA975B" w14:textId="77777777" w:rsidTr="002877A7">
        <w:tc>
          <w:tcPr>
            <w:tcW w:w="1491" w:type="pct"/>
            <w:tcBorders>
              <w:top w:val="outset" w:sz="6" w:space="0" w:color="auto"/>
              <w:left w:val="outset" w:sz="6" w:space="0" w:color="auto"/>
              <w:bottom w:val="outset" w:sz="6" w:space="0" w:color="auto"/>
              <w:right w:val="outset" w:sz="6" w:space="0" w:color="auto"/>
            </w:tcBorders>
            <w:vAlign w:val="center"/>
            <w:hideMark/>
          </w:tcPr>
          <w:p w14:paraId="2A260778" w14:textId="77777777" w:rsidR="00501AB5" w:rsidRPr="00501AB5" w:rsidRDefault="00501AB5" w:rsidP="00501AB5">
            <w:r w:rsidRPr="00501AB5">
              <w:t>Metric</w:t>
            </w:r>
          </w:p>
        </w:tc>
        <w:tc>
          <w:tcPr>
            <w:tcW w:w="3509" w:type="pct"/>
            <w:tcBorders>
              <w:top w:val="outset" w:sz="6" w:space="0" w:color="auto"/>
              <w:left w:val="outset" w:sz="6" w:space="0" w:color="auto"/>
              <w:bottom w:val="outset" w:sz="6" w:space="0" w:color="auto"/>
              <w:right w:val="outset" w:sz="6" w:space="0" w:color="auto"/>
            </w:tcBorders>
            <w:vAlign w:val="center"/>
            <w:hideMark/>
          </w:tcPr>
          <w:p w14:paraId="0FF95E7D" w14:textId="77777777" w:rsidR="00501AB5" w:rsidRPr="00501AB5" w:rsidRDefault="00501AB5" w:rsidP="00501AB5">
            <w:r w:rsidRPr="00501AB5">
              <w:t>Details</w:t>
            </w:r>
          </w:p>
        </w:tc>
      </w:tr>
      <w:tr w:rsidR="00501AB5" w:rsidRPr="00501AB5" w14:paraId="01C5B29A" w14:textId="77777777" w:rsidTr="002877A7">
        <w:tc>
          <w:tcPr>
            <w:tcW w:w="1491" w:type="pct"/>
            <w:tcBorders>
              <w:top w:val="outset" w:sz="6" w:space="0" w:color="auto"/>
              <w:left w:val="outset" w:sz="6" w:space="0" w:color="auto"/>
              <w:bottom w:val="outset" w:sz="6" w:space="0" w:color="auto"/>
              <w:right w:val="outset" w:sz="6" w:space="0" w:color="auto"/>
            </w:tcBorders>
            <w:vAlign w:val="center"/>
            <w:hideMark/>
          </w:tcPr>
          <w:p w14:paraId="677D75DE" w14:textId="77777777" w:rsidR="00501AB5" w:rsidRPr="00501AB5" w:rsidRDefault="00501AB5" w:rsidP="00501AB5">
            <w:r w:rsidRPr="00501AB5">
              <w:rPr>
                <w:b/>
                <w:bCs/>
              </w:rPr>
              <w:t>Total Market Size (2025)</w:t>
            </w:r>
          </w:p>
        </w:tc>
        <w:tc>
          <w:tcPr>
            <w:tcW w:w="3509" w:type="pct"/>
            <w:tcBorders>
              <w:top w:val="outset" w:sz="6" w:space="0" w:color="auto"/>
              <w:left w:val="outset" w:sz="6" w:space="0" w:color="auto"/>
              <w:bottom w:val="outset" w:sz="6" w:space="0" w:color="auto"/>
              <w:right w:val="outset" w:sz="6" w:space="0" w:color="auto"/>
            </w:tcBorders>
            <w:vAlign w:val="center"/>
            <w:hideMark/>
          </w:tcPr>
          <w:p w14:paraId="531FB092" w14:textId="6B8290FC" w:rsidR="00501AB5" w:rsidRPr="00501AB5" w:rsidRDefault="002877A7" w:rsidP="00501AB5">
            <w:r>
              <w:t>INR 5.41 Lacs Crore</w:t>
            </w:r>
          </w:p>
        </w:tc>
      </w:tr>
      <w:tr w:rsidR="00501AB5" w:rsidRPr="00501AB5" w14:paraId="7FBA065F" w14:textId="77777777" w:rsidTr="002877A7">
        <w:tc>
          <w:tcPr>
            <w:tcW w:w="1491" w:type="pct"/>
            <w:tcBorders>
              <w:top w:val="outset" w:sz="6" w:space="0" w:color="auto"/>
              <w:left w:val="outset" w:sz="6" w:space="0" w:color="auto"/>
              <w:bottom w:val="outset" w:sz="6" w:space="0" w:color="auto"/>
              <w:right w:val="outset" w:sz="6" w:space="0" w:color="auto"/>
            </w:tcBorders>
            <w:vAlign w:val="center"/>
            <w:hideMark/>
          </w:tcPr>
          <w:p w14:paraId="2D3E76B2" w14:textId="77777777" w:rsidR="00501AB5" w:rsidRPr="00501AB5" w:rsidRDefault="00501AB5" w:rsidP="00501AB5">
            <w:r w:rsidRPr="00501AB5">
              <w:rPr>
                <w:b/>
                <w:bCs/>
              </w:rPr>
              <w:t>Growth Rate (CAGR)</w:t>
            </w:r>
          </w:p>
        </w:tc>
        <w:tc>
          <w:tcPr>
            <w:tcW w:w="3509" w:type="pct"/>
            <w:tcBorders>
              <w:top w:val="outset" w:sz="6" w:space="0" w:color="auto"/>
              <w:left w:val="outset" w:sz="6" w:space="0" w:color="auto"/>
              <w:bottom w:val="outset" w:sz="6" w:space="0" w:color="auto"/>
              <w:right w:val="outset" w:sz="6" w:space="0" w:color="auto"/>
            </w:tcBorders>
            <w:vAlign w:val="center"/>
            <w:hideMark/>
          </w:tcPr>
          <w:p w14:paraId="505C4B1A" w14:textId="77777777" w:rsidR="00501AB5" w:rsidRPr="00501AB5" w:rsidRDefault="00501AB5" w:rsidP="00501AB5">
            <w:r w:rsidRPr="00501AB5">
              <w:t>15.6%</w:t>
            </w:r>
          </w:p>
        </w:tc>
      </w:tr>
      <w:tr w:rsidR="00501AB5" w:rsidRPr="00501AB5" w14:paraId="09DAD0AB" w14:textId="77777777" w:rsidTr="002877A7">
        <w:tc>
          <w:tcPr>
            <w:tcW w:w="1491" w:type="pct"/>
            <w:tcBorders>
              <w:top w:val="outset" w:sz="6" w:space="0" w:color="auto"/>
              <w:left w:val="outset" w:sz="6" w:space="0" w:color="auto"/>
              <w:bottom w:val="outset" w:sz="6" w:space="0" w:color="auto"/>
              <w:right w:val="outset" w:sz="6" w:space="0" w:color="auto"/>
            </w:tcBorders>
            <w:vAlign w:val="center"/>
            <w:hideMark/>
          </w:tcPr>
          <w:p w14:paraId="1E937A3A" w14:textId="77777777" w:rsidR="00501AB5" w:rsidRPr="00501AB5" w:rsidRDefault="00501AB5" w:rsidP="00501AB5">
            <w:r w:rsidRPr="00501AB5">
              <w:rPr>
                <w:b/>
                <w:bCs/>
              </w:rPr>
              <w:t>Dominant Segment</w:t>
            </w:r>
          </w:p>
        </w:tc>
        <w:tc>
          <w:tcPr>
            <w:tcW w:w="3509" w:type="pct"/>
            <w:tcBorders>
              <w:top w:val="outset" w:sz="6" w:space="0" w:color="auto"/>
              <w:left w:val="outset" w:sz="6" w:space="0" w:color="auto"/>
              <w:bottom w:val="outset" w:sz="6" w:space="0" w:color="auto"/>
              <w:right w:val="outset" w:sz="6" w:space="0" w:color="auto"/>
            </w:tcBorders>
            <w:vAlign w:val="center"/>
            <w:hideMark/>
          </w:tcPr>
          <w:p w14:paraId="1AC4C589" w14:textId="77777777" w:rsidR="00501AB5" w:rsidRPr="00501AB5" w:rsidRDefault="00501AB5" w:rsidP="00501AB5">
            <w:r w:rsidRPr="00501AB5">
              <w:t>Smart Citizen Services (</w:t>
            </w:r>
            <w:proofErr w:type="spellStart"/>
            <w:r w:rsidRPr="00501AB5">
              <w:t>eGovernance</w:t>
            </w:r>
            <w:proofErr w:type="spellEnd"/>
            <w:r w:rsidRPr="00501AB5">
              <w:t>, Public Safety, Lighting)</w:t>
            </w:r>
          </w:p>
        </w:tc>
      </w:tr>
      <w:tr w:rsidR="00501AB5" w:rsidRPr="00501AB5" w14:paraId="0587ECCC" w14:textId="77777777" w:rsidTr="002877A7">
        <w:tc>
          <w:tcPr>
            <w:tcW w:w="1491" w:type="pct"/>
            <w:tcBorders>
              <w:top w:val="outset" w:sz="6" w:space="0" w:color="auto"/>
              <w:left w:val="outset" w:sz="6" w:space="0" w:color="auto"/>
              <w:bottom w:val="outset" w:sz="6" w:space="0" w:color="auto"/>
              <w:right w:val="outset" w:sz="6" w:space="0" w:color="auto"/>
            </w:tcBorders>
            <w:vAlign w:val="center"/>
            <w:hideMark/>
          </w:tcPr>
          <w:p w14:paraId="2A83F6EE" w14:textId="77777777" w:rsidR="00501AB5" w:rsidRPr="00501AB5" w:rsidRDefault="00501AB5" w:rsidP="00501AB5">
            <w:r w:rsidRPr="00501AB5">
              <w:rPr>
                <w:b/>
                <w:bCs/>
              </w:rPr>
              <w:t>Primary Growth Drivers</w:t>
            </w:r>
          </w:p>
        </w:tc>
        <w:tc>
          <w:tcPr>
            <w:tcW w:w="3509" w:type="pct"/>
            <w:tcBorders>
              <w:top w:val="outset" w:sz="6" w:space="0" w:color="auto"/>
              <w:left w:val="outset" w:sz="6" w:space="0" w:color="auto"/>
              <w:bottom w:val="outset" w:sz="6" w:space="0" w:color="auto"/>
              <w:right w:val="outset" w:sz="6" w:space="0" w:color="auto"/>
            </w:tcBorders>
            <w:vAlign w:val="center"/>
            <w:hideMark/>
          </w:tcPr>
          <w:p w14:paraId="23A4D4E4" w14:textId="7171D7FE" w:rsidR="00501AB5" w:rsidRPr="00501AB5" w:rsidRDefault="00501AB5" w:rsidP="00501AB5">
            <w:r w:rsidRPr="00501AB5">
              <w:t xml:space="preserve">Rise of </w:t>
            </w:r>
            <w:r w:rsidR="002877A7">
              <w:t>Smart Cities Initiatives</w:t>
            </w:r>
            <w:r w:rsidRPr="00501AB5">
              <w:t>; Integration of AI and Machine Learning</w:t>
            </w:r>
          </w:p>
        </w:tc>
      </w:tr>
    </w:tbl>
    <w:p w14:paraId="4A9409E7" w14:textId="77777777" w:rsidR="00501AB5" w:rsidRPr="00501AB5" w:rsidRDefault="00501AB5" w:rsidP="00501AB5">
      <w:r w:rsidRPr="00501AB5">
        <w:t>By integrating AI-mediated analytics, Mudda captures this market opportunity, providing the real-time urban analytics and automated service management required for greater urban resilience.</w:t>
      </w:r>
    </w:p>
    <w:p w14:paraId="2C4CBACF" w14:textId="77777777" w:rsidR="00501AB5" w:rsidRPr="00501AB5" w:rsidRDefault="00501AB5" w:rsidP="00501AB5">
      <w:pPr>
        <w:rPr>
          <w:b/>
          <w:bCs/>
        </w:rPr>
      </w:pPr>
      <w:r w:rsidRPr="00501AB5">
        <w:rPr>
          <w:b/>
          <w:bCs/>
        </w:rPr>
        <w:t>4. Proposed Solution: The Mudda Platform Ecosystem</w:t>
      </w:r>
    </w:p>
    <w:p w14:paraId="16A77384" w14:textId="77777777" w:rsidR="00501AB5" w:rsidRPr="00501AB5" w:rsidRDefault="00501AB5" w:rsidP="00501AB5">
      <w:r w:rsidRPr="00501AB5">
        <w:t>Mudda facilitates the strategic transition from reactive grievance redressal to proactive civic synthesis through a robust, two-tier architecture:</w:t>
      </w:r>
    </w:p>
    <w:p w14:paraId="31073A0A" w14:textId="15D9635B" w:rsidR="00501AB5" w:rsidRPr="00501AB5" w:rsidRDefault="00501AB5" w:rsidP="00501AB5">
      <w:pPr>
        <w:numPr>
          <w:ilvl w:val="0"/>
          <w:numId w:val="3"/>
        </w:numPr>
      </w:pPr>
      <w:r w:rsidRPr="00501AB5">
        <w:rPr>
          <w:b/>
          <w:bCs/>
        </w:rPr>
        <w:t>The Citizen Frontend</w:t>
      </w:r>
      <w:r w:rsidRPr="00501AB5">
        <w:t xml:space="preserve">: A cross-platform, dopamine-optimized social layer. This interface allows for media-rich reporting (video/photo) and public upvoting, </w:t>
      </w:r>
      <w:r w:rsidRPr="00501AB5">
        <w:lastRenderedPageBreak/>
        <w:t>enabling community-led validation of issues. Unlike the text-only paper forms of the 2009 era, this social layer drives organic engagement and accountability.</w:t>
      </w:r>
    </w:p>
    <w:p w14:paraId="7D4A561D" w14:textId="1C1F2AE4" w:rsidR="00501AB5" w:rsidRPr="00501AB5" w:rsidRDefault="00501AB5" w:rsidP="00501AB5">
      <w:pPr>
        <w:numPr>
          <w:ilvl w:val="0"/>
          <w:numId w:val="3"/>
        </w:numPr>
      </w:pPr>
      <w:r w:rsidRPr="00501AB5">
        <w:rPr>
          <w:b/>
          <w:bCs/>
        </w:rPr>
        <w:t xml:space="preserve">The Administrative Command </w:t>
      </w:r>
      <w:proofErr w:type="spellStart"/>
      <w:r w:rsidRPr="00501AB5">
        <w:rPr>
          <w:b/>
          <w:bCs/>
        </w:rPr>
        <w:t>Center</w:t>
      </w:r>
      <w:proofErr w:type="spellEnd"/>
      <w:r w:rsidRPr="00501AB5">
        <w:rPr>
          <w:b/>
          <w:bCs/>
        </w:rPr>
        <w:t xml:space="preserve"> (</w:t>
      </w:r>
      <w:r>
        <w:rPr>
          <w:b/>
          <w:bCs/>
        </w:rPr>
        <w:t>Governmental side Dashboard</w:t>
      </w:r>
      <w:r w:rsidRPr="00501AB5">
        <w:rPr>
          <w:b/>
          <w:bCs/>
        </w:rPr>
        <w:t>)</w:t>
      </w:r>
      <w:r w:rsidRPr="00501AB5">
        <w:t xml:space="preserve">: A secure, role-based dashboard for authorities from the ward to the national level. Central to this is the </w:t>
      </w:r>
      <w:r w:rsidRPr="00501AB5">
        <w:rPr>
          <w:b/>
          <w:bCs/>
        </w:rPr>
        <w:t>"Assistive AI" workflow engine</w:t>
      </w:r>
      <w:r w:rsidRPr="00501AB5">
        <w:t>, a strategic design choice intended to bypass institutional technophobia. By functioning as a cognitive offloading tool that suggests rather than usurps authority, it eases the adoption curve within risk-averse bureaucracies.</w:t>
      </w:r>
    </w:p>
    <w:p w14:paraId="27D6977D" w14:textId="77777777" w:rsidR="00501AB5" w:rsidRPr="00501AB5" w:rsidRDefault="00501AB5" w:rsidP="00501AB5">
      <w:pPr>
        <w:rPr>
          <w:b/>
          <w:bCs/>
        </w:rPr>
      </w:pPr>
      <w:r w:rsidRPr="00501AB5">
        <w:rPr>
          <w:b/>
          <w:bCs/>
        </w:rPr>
        <w:t>Critical AI Architectures</w:t>
      </w:r>
    </w:p>
    <w:p w14:paraId="6E7E611C" w14:textId="77777777" w:rsidR="00501AB5" w:rsidRPr="00501AB5" w:rsidRDefault="00501AB5" w:rsidP="00501AB5">
      <w:r w:rsidRPr="00501AB5">
        <w:t>The platform’s intelligence is driven by three core technologies that transform unstructured civic noise into structured operational matrices:</w:t>
      </w:r>
    </w:p>
    <w:p w14:paraId="0160730D" w14:textId="77777777" w:rsidR="00501AB5" w:rsidRPr="00501AB5" w:rsidRDefault="00501AB5" w:rsidP="00501AB5">
      <w:pPr>
        <w:numPr>
          <w:ilvl w:val="0"/>
          <w:numId w:val="4"/>
        </w:numPr>
      </w:pPr>
      <w:r w:rsidRPr="00501AB5">
        <w:rPr>
          <w:b/>
          <w:bCs/>
        </w:rPr>
        <w:t>Semantic Duplicate Detection (Fine-tuned BERT)</w:t>
      </w:r>
      <w:r w:rsidRPr="00501AB5">
        <w:t>: Utilizing Bidirectional Encoder Representations from Transformers to mathematically cluster redundant reports into "Master Incidents" based on geospatial and textual proximity.</w:t>
      </w:r>
    </w:p>
    <w:p w14:paraId="6C2A6135" w14:textId="77777777" w:rsidR="00501AB5" w:rsidRPr="00501AB5" w:rsidRDefault="00501AB5" w:rsidP="00501AB5">
      <w:pPr>
        <w:numPr>
          <w:ilvl w:val="0"/>
          <w:numId w:val="4"/>
        </w:numPr>
      </w:pPr>
      <w:r w:rsidRPr="00501AB5">
        <w:rPr>
          <w:b/>
          <w:bCs/>
        </w:rPr>
        <w:t>Sentiment Urgency Scoring</w:t>
      </w:r>
      <w:r w:rsidRPr="00501AB5">
        <w:t>: Leveraging NLP models to assess the emotional gravity and situational risk of reports, allowing for prioritized resource allocation.</w:t>
      </w:r>
    </w:p>
    <w:p w14:paraId="30E023E5" w14:textId="339CA94C" w:rsidR="00501AB5" w:rsidRDefault="00501AB5" w:rsidP="00501AB5">
      <w:pPr>
        <w:numPr>
          <w:ilvl w:val="0"/>
          <w:numId w:val="4"/>
        </w:numPr>
      </w:pPr>
      <w:r w:rsidRPr="00501AB5">
        <w:rPr>
          <w:b/>
          <w:bCs/>
        </w:rPr>
        <w:t>Misinformation Filtering (Computer Vision)</w:t>
      </w:r>
      <w:r w:rsidRPr="00501AB5">
        <w:t>: Deploying CV models</w:t>
      </w:r>
      <w:r w:rsidR="002877A7">
        <w:t xml:space="preserve"> and governmental owned street cameras</w:t>
      </w:r>
      <w:r w:rsidRPr="00501AB5">
        <w:t xml:space="preserve"> to verify media evidence and automatically flag fraudulent reports or hate speech before they consume administrative overhead.</w:t>
      </w:r>
    </w:p>
    <w:p w14:paraId="631925F4" w14:textId="141631EC" w:rsidR="00501AB5" w:rsidRPr="00501AB5" w:rsidRDefault="00501AB5" w:rsidP="00501AB5">
      <w:pPr>
        <w:numPr>
          <w:ilvl w:val="0"/>
          <w:numId w:val="4"/>
        </w:numPr>
      </w:pPr>
      <w:r>
        <w:rPr>
          <w:b/>
          <w:bCs/>
        </w:rPr>
        <w:t>AI Planning Engine</w:t>
      </w:r>
      <w:r w:rsidRPr="00501AB5">
        <w:t>:</w:t>
      </w:r>
      <w:r>
        <w:t xml:space="preserve"> Develops an executable plan with a 7-step process pertaining to the correct policies, regulations, departments, etc. to streamline and strengthen the executable command efficiently.</w:t>
      </w:r>
    </w:p>
    <w:p w14:paraId="21CDCDF4" w14:textId="77777777" w:rsidR="00501AB5" w:rsidRPr="00501AB5" w:rsidRDefault="00501AB5" w:rsidP="00501AB5">
      <w:pPr>
        <w:rPr>
          <w:b/>
          <w:bCs/>
        </w:rPr>
      </w:pPr>
      <w:r w:rsidRPr="00501AB5">
        <w:rPr>
          <w:b/>
          <w:bCs/>
        </w:rPr>
        <w:t>5. Target User Profiles and Stakeholder Matrix</w:t>
      </w:r>
    </w:p>
    <w:p w14:paraId="6F62C13C" w14:textId="77777777" w:rsidR="00501AB5" w:rsidRPr="00501AB5" w:rsidRDefault="00501AB5" w:rsidP="00501AB5">
      <w:r w:rsidRPr="00501AB5">
        <w:t>Achieving civic network effects requires balancing a two-sided ecosystem where data density drives administrative action:</w:t>
      </w:r>
    </w:p>
    <w:p w14:paraId="3A9C1275" w14:textId="77777777" w:rsidR="00501AB5" w:rsidRPr="00501AB5" w:rsidRDefault="00501AB5" w:rsidP="00501AB5">
      <w:pPr>
        <w:numPr>
          <w:ilvl w:val="0"/>
          <w:numId w:val="5"/>
        </w:numPr>
      </w:pPr>
      <w:r w:rsidRPr="00501AB5">
        <w:rPr>
          <w:b/>
          <w:bCs/>
        </w:rPr>
        <w:t>The Engaged Citizenry</w:t>
      </w:r>
      <w:r w:rsidRPr="00501AB5">
        <w:t>: Users who demand real-time tracking and social validation. For them, the platform provides a transparent feedback loop and a collective voice to demand accountability.</w:t>
      </w:r>
    </w:p>
    <w:p w14:paraId="107CEF7E" w14:textId="77777777" w:rsidR="00501AB5" w:rsidRPr="00501AB5" w:rsidRDefault="00501AB5" w:rsidP="00501AB5">
      <w:pPr>
        <w:numPr>
          <w:ilvl w:val="0"/>
          <w:numId w:val="5"/>
        </w:numPr>
      </w:pPr>
      <w:r w:rsidRPr="00501AB5">
        <w:rPr>
          <w:b/>
          <w:bCs/>
        </w:rPr>
        <w:t>Municipal Officers &amp; Nodal Authorities</w:t>
      </w:r>
      <w:r w:rsidRPr="00501AB5">
        <w:t>: Users seeking cognitive offloading. The system provides automated triage, formatted work orders, and heatmap-based analytics to identify recurring infrastructural failures.</w:t>
      </w:r>
    </w:p>
    <w:p w14:paraId="23FC7836" w14:textId="77777777" w:rsidR="00501AB5" w:rsidRPr="00501AB5" w:rsidRDefault="00501AB5" w:rsidP="00501AB5">
      <w:pPr>
        <w:numPr>
          <w:ilvl w:val="0"/>
          <w:numId w:val="5"/>
        </w:numPr>
      </w:pPr>
      <w:r w:rsidRPr="00501AB5">
        <w:rPr>
          <w:b/>
          <w:bCs/>
        </w:rPr>
        <w:t>Private Entities (Gated Communities &amp; HOAs)</w:t>
      </w:r>
      <w:r w:rsidRPr="00501AB5">
        <w:t xml:space="preserve">: These high-density microcosms serve as the primary </w:t>
      </w:r>
      <w:r w:rsidRPr="00501AB5">
        <w:rPr>
          <w:b/>
          <w:bCs/>
        </w:rPr>
        <w:t>economic sustainability engine</w:t>
      </w:r>
      <w:r w:rsidRPr="00501AB5">
        <w:t xml:space="preserve">. Mudda offers a </w:t>
      </w:r>
      <w:r w:rsidRPr="00501AB5">
        <w:rPr>
          <w:b/>
          <w:bCs/>
        </w:rPr>
        <w:t xml:space="preserve">Premium </w:t>
      </w:r>
      <w:r w:rsidRPr="00501AB5">
        <w:rPr>
          <w:b/>
          <w:bCs/>
        </w:rPr>
        <w:lastRenderedPageBreak/>
        <w:t>SaaS model</w:t>
      </w:r>
      <w:r w:rsidRPr="00501AB5">
        <w:t xml:space="preserve"> for these entities, providing localized infrastructure management in a controlled, data-dense environment before scaling to broader municipal contracts.</w:t>
      </w:r>
    </w:p>
    <w:p w14:paraId="279C7561" w14:textId="77777777" w:rsidR="00501AB5" w:rsidRPr="00501AB5" w:rsidRDefault="00501AB5" w:rsidP="00501AB5">
      <w:pPr>
        <w:rPr>
          <w:b/>
          <w:bCs/>
        </w:rPr>
      </w:pPr>
      <w:r w:rsidRPr="00501AB5">
        <w:rPr>
          <w:b/>
          <w:bCs/>
        </w:rPr>
        <w:t>6. Prototype Impact and Strategic Outcomes</w:t>
      </w:r>
    </w:p>
    <w:p w14:paraId="384FC1D6" w14:textId="77777777" w:rsidR="00501AB5" w:rsidRPr="00501AB5" w:rsidRDefault="00501AB5" w:rsidP="00501AB5">
      <w:r w:rsidRPr="00501AB5">
        <w:t>The Mudda prototype represents a shift from treating "Complaints" as static records to treating them as "Master Incidents"—socially validated, dynamic entities. This shift recalibrates the Citizen-State Social Contract through three pillars:</w:t>
      </w:r>
    </w:p>
    <w:p w14:paraId="66CC000A" w14:textId="77777777" w:rsidR="00501AB5" w:rsidRPr="00501AB5" w:rsidRDefault="00501AB5" w:rsidP="00501AB5">
      <w:pPr>
        <w:numPr>
          <w:ilvl w:val="0"/>
          <w:numId w:val="6"/>
        </w:numPr>
      </w:pPr>
      <w:r w:rsidRPr="00501AB5">
        <w:rPr>
          <w:b/>
          <w:bCs/>
        </w:rPr>
        <w:t>Transparency</w:t>
      </w:r>
      <w:r w:rsidRPr="00501AB5">
        <w:t>: The "Time Tracker" and real-time status updates eliminate the administrative "black box," restoring public trust through visibility.</w:t>
      </w:r>
    </w:p>
    <w:p w14:paraId="3B2A5C8B" w14:textId="77777777" w:rsidR="00501AB5" w:rsidRPr="00501AB5" w:rsidRDefault="00501AB5" w:rsidP="00501AB5">
      <w:pPr>
        <w:numPr>
          <w:ilvl w:val="0"/>
          <w:numId w:val="6"/>
        </w:numPr>
      </w:pPr>
      <w:r w:rsidRPr="00501AB5">
        <w:rPr>
          <w:b/>
          <w:bCs/>
        </w:rPr>
        <w:t>Efficiency</w:t>
      </w:r>
      <w:r w:rsidRPr="00501AB5">
        <w:t>: Agentic workflows and automated deduplication reduce administrative bloat by an order of magnitude, curbing the waste of municipal kinetic resources (e.g., fuel, man-hours) on redundant tasks.</w:t>
      </w:r>
    </w:p>
    <w:p w14:paraId="632D2353" w14:textId="77777777" w:rsidR="00501AB5" w:rsidRPr="00501AB5" w:rsidRDefault="00501AB5" w:rsidP="00501AB5">
      <w:pPr>
        <w:numPr>
          <w:ilvl w:val="0"/>
          <w:numId w:val="6"/>
        </w:numPr>
      </w:pPr>
      <w:r w:rsidRPr="00501AB5">
        <w:rPr>
          <w:b/>
          <w:bCs/>
        </w:rPr>
        <w:t>Accountability</w:t>
      </w:r>
      <w:r w:rsidRPr="00501AB5">
        <w:t xml:space="preserve">: Every action suggested by the AI and authorized by a human is inscribed into a </w:t>
      </w:r>
      <w:r w:rsidRPr="00501AB5">
        <w:rPr>
          <w:b/>
          <w:bCs/>
        </w:rPr>
        <w:t>Blockchain-backed audit trail (optional)</w:t>
      </w:r>
      <w:r w:rsidRPr="00501AB5">
        <w:t>. This ensures total forensic traceability, satisfying ethical imperatives for algorithmic fairness and legal requirements for public accountability.</w:t>
      </w:r>
    </w:p>
    <w:p w14:paraId="55B11765" w14:textId="77777777" w:rsidR="00501AB5" w:rsidRPr="00501AB5" w:rsidRDefault="00501AB5" w:rsidP="00501AB5">
      <w:r w:rsidRPr="00501AB5">
        <w:t xml:space="preserve">The anticipated metamorphic outcome is a transition to </w:t>
      </w:r>
      <w:r w:rsidRPr="00501AB5">
        <w:rPr>
          <w:b/>
          <w:bCs/>
        </w:rPr>
        <w:t>Data-Driven Governance</w:t>
      </w:r>
      <w:r w:rsidRPr="00501AB5">
        <w:t>. In this model, resource allocation is no longer a reactive response to the loudest voice, but a proactive strategy based on evidence-based trends and mathematically prioritized needs. Mudda is the inevitable evolutionary culmination of modern civic infrastructure, reprogramming civic duty for a radically transparent digital age.</w:t>
      </w:r>
    </w:p>
    <w:p w14:paraId="3002B489" w14:textId="77777777" w:rsidR="00501AB5" w:rsidRDefault="00501AB5"/>
    <w:sectPr w:rsidR="00501AB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820754"/>
    <w:multiLevelType w:val="multilevel"/>
    <w:tmpl w:val="BB924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F07CBB"/>
    <w:multiLevelType w:val="multilevel"/>
    <w:tmpl w:val="C85E5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412606"/>
    <w:multiLevelType w:val="multilevel"/>
    <w:tmpl w:val="D20CC0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5FE6402"/>
    <w:multiLevelType w:val="multilevel"/>
    <w:tmpl w:val="DCDEA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E852388"/>
    <w:multiLevelType w:val="multilevel"/>
    <w:tmpl w:val="B7909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05A0B3C"/>
    <w:multiLevelType w:val="multilevel"/>
    <w:tmpl w:val="7A300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1846948">
    <w:abstractNumId w:val="5"/>
  </w:num>
  <w:num w:numId="2" w16cid:durableId="701057191">
    <w:abstractNumId w:val="0"/>
  </w:num>
  <w:num w:numId="3" w16cid:durableId="1921329549">
    <w:abstractNumId w:val="4"/>
  </w:num>
  <w:num w:numId="4" w16cid:durableId="737094692">
    <w:abstractNumId w:val="2"/>
  </w:num>
  <w:num w:numId="5" w16cid:durableId="336231647">
    <w:abstractNumId w:val="1"/>
  </w:num>
  <w:num w:numId="6" w16cid:durableId="51218520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1AB5"/>
    <w:rsid w:val="002877A7"/>
    <w:rsid w:val="00372209"/>
    <w:rsid w:val="00501AB5"/>
    <w:rsid w:val="00B86A0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095DA8"/>
  <w15:chartTrackingRefBased/>
  <w15:docId w15:val="{FBA978E4-1F72-4C58-8A3D-340323364D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1A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01A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01AB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01A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01A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01A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1A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1A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1A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1A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01A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01A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01A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01A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01A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1A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1A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1AB5"/>
    <w:rPr>
      <w:rFonts w:eastAsiaTheme="majorEastAsia" w:cstheme="majorBidi"/>
      <w:color w:val="272727" w:themeColor="text1" w:themeTint="D8"/>
    </w:rPr>
  </w:style>
  <w:style w:type="paragraph" w:styleId="Title">
    <w:name w:val="Title"/>
    <w:basedOn w:val="Normal"/>
    <w:next w:val="Normal"/>
    <w:link w:val="TitleChar"/>
    <w:uiPriority w:val="10"/>
    <w:qFormat/>
    <w:rsid w:val="00501A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1A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1A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1A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1AB5"/>
    <w:pPr>
      <w:spacing w:before="160"/>
      <w:jc w:val="center"/>
    </w:pPr>
    <w:rPr>
      <w:i/>
      <w:iCs/>
      <w:color w:val="404040" w:themeColor="text1" w:themeTint="BF"/>
    </w:rPr>
  </w:style>
  <w:style w:type="character" w:customStyle="1" w:styleId="QuoteChar">
    <w:name w:val="Quote Char"/>
    <w:basedOn w:val="DefaultParagraphFont"/>
    <w:link w:val="Quote"/>
    <w:uiPriority w:val="29"/>
    <w:rsid w:val="00501AB5"/>
    <w:rPr>
      <w:i/>
      <w:iCs/>
      <w:color w:val="404040" w:themeColor="text1" w:themeTint="BF"/>
    </w:rPr>
  </w:style>
  <w:style w:type="paragraph" w:styleId="ListParagraph">
    <w:name w:val="List Paragraph"/>
    <w:basedOn w:val="Normal"/>
    <w:uiPriority w:val="34"/>
    <w:qFormat/>
    <w:rsid w:val="00501AB5"/>
    <w:pPr>
      <w:ind w:left="720"/>
      <w:contextualSpacing/>
    </w:pPr>
  </w:style>
  <w:style w:type="character" w:styleId="IntenseEmphasis">
    <w:name w:val="Intense Emphasis"/>
    <w:basedOn w:val="DefaultParagraphFont"/>
    <w:uiPriority w:val="21"/>
    <w:qFormat/>
    <w:rsid w:val="00501AB5"/>
    <w:rPr>
      <w:i/>
      <w:iCs/>
      <w:color w:val="0F4761" w:themeColor="accent1" w:themeShade="BF"/>
    </w:rPr>
  </w:style>
  <w:style w:type="paragraph" w:styleId="IntenseQuote">
    <w:name w:val="Intense Quote"/>
    <w:basedOn w:val="Normal"/>
    <w:next w:val="Normal"/>
    <w:link w:val="IntenseQuoteChar"/>
    <w:uiPriority w:val="30"/>
    <w:qFormat/>
    <w:rsid w:val="00501A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1AB5"/>
    <w:rPr>
      <w:i/>
      <w:iCs/>
      <w:color w:val="0F4761" w:themeColor="accent1" w:themeShade="BF"/>
    </w:rPr>
  </w:style>
  <w:style w:type="character" w:styleId="IntenseReference">
    <w:name w:val="Intense Reference"/>
    <w:basedOn w:val="DefaultParagraphFont"/>
    <w:uiPriority w:val="32"/>
    <w:qFormat/>
    <w:rsid w:val="00501AB5"/>
    <w:rPr>
      <w:b/>
      <w:bCs/>
      <w:smallCaps/>
      <w:color w:val="0F4761" w:themeColor="accent1" w:themeShade="BF"/>
      <w:spacing w:val="5"/>
    </w:rPr>
  </w:style>
  <w:style w:type="character" w:styleId="Hyperlink">
    <w:name w:val="Hyperlink"/>
    <w:basedOn w:val="DefaultParagraphFont"/>
    <w:uiPriority w:val="99"/>
    <w:unhideWhenUsed/>
    <w:rsid w:val="00501AB5"/>
    <w:rPr>
      <w:color w:val="467886" w:themeColor="hyperlink"/>
      <w:u w:val="single"/>
    </w:rPr>
  </w:style>
  <w:style w:type="character" w:styleId="UnresolvedMention">
    <w:name w:val="Unresolved Mention"/>
    <w:basedOn w:val="DefaultParagraphFont"/>
    <w:uiPriority w:val="99"/>
    <w:semiHidden/>
    <w:unhideWhenUsed/>
    <w:rsid w:val="00501AB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4</Pages>
  <Words>1241</Words>
  <Characters>7080</Characters>
  <Application>Microsoft Office Word</Application>
  <DocSecurity>0</DocSecurity>
  <Lines>59</Lines>
  <Paragraphs>16</Paragraphs>
  <ScaleCrop>false</ScaleCrop>
  <Company/>
  <LinksUpToDate>false</LinksUpToDate>
  <CharactersWithSpaces>8305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Shubh Pundir</dc:creator>
  <cp:keywords/>
  <dc:description/>
  <cp:lastModifiedBy>Shubh Pundir</cp:lastModifiedBy>
  <cp:revision>2</cp:revision>
  <cp:lastPrinted>2026-04-23T15:09:00Z</cp:lastPrinted>
  <dcterms:created xsi:type="dcterms:W3CDTF">2026-04-23T15:08:00Z</dcterms:created>
  <dcterms:modified xsi:type="dcterms:W3CDTF">2026-04-23T15:16:00Z</dcterms:modified>
</cp:coreProperties>
</file>