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Position, not importance:</w:t>
      </w:r>
      <w:r>
        <w:br/>
      </w:r>
      <w:r>
        <w:rPr>
          <w:bCs/>
          <w:b/>
        </w:rPr>
        <w:t xml:space="preserve">what a likelihood threshold actually defers on</w:t>
      </w:r>
    </w:p>
    <w:p>
      <w:pPr>
        <w:pStyle w:val="BodyText"/>
      </w:pPr>
      <w:r>
        <w:t>Shubhanandan T Y, Mohan V S, Bharath Kumar Shanmugam, Puneeth N</w:t>
      </w:r>
    </w:p>
    <w:p>
      <w:pPr>
        <w:pStyle w:val="BodyText"/>
      </w:pPr>
      <w:r>
        <w:rPr>
          <w:rStyle w:val="VerbatimChar"/>
        </w:rPr>
        <w:t>Department of AI &amp; Robotics, Dayananda Sagar University, Bengaluru, Karnataka, India · {shubh442005, vsmohan712, shanmugabharathkumar, puneethn0015}@gmail.com</w:t>
      </w:r>
    </w:p>
    <w:p>
      <w:pPr>
        <w:pStyle w:val="BodyText"/>
      </w:pPr>
      <w:r>
        <w:t xml:space="preserve">September 12,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Abstract</w:t>
      </w:r>
      <w:r>
        <w:br/>
      </w:r>
      <w:r>
        <w:t xml:space="preserve">Empower (Ellis et al., 2025) trains an assistive language model to stop writing at the point where</w:t>
      </w:r>
      <w:r>
        <w:t xml:space="preserve"> </w:t>
      </w:r>
      <w:r>
        <w:t xml:space="preserve">its continuation stops being predictable, on the theory that predictable means unimportant. We</w:t>
      </w:r>
      <w:r>
        <w:t xml:space="preserve"> </w:t>
      </w:r>
      <w:r>
        <w:t xml:space="preserve">tested that theory on code. CEDE-Bench is 124 hand-authored items: 112 places where a Python</w:t>
      </w:r>
      <w:r>
        <w:t xml:space="preserve"> </w:t>
      </w:r>
      <w:r>
        <w:t xml:space="preserve">completion chooses between a dangerous branch and a safe one, plus 12 benign controls with no</w:t>
      </w:r>
      <w:r>
        <w:t xml:space="preserve"> </w:t>
      </w:r>
      <w:r>
        <w:t xml:space="preserve">consequential choice.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, the threshold used in Empower’s user study, the boundary rule</w:t>
      </w:r>
      <w:r>
        <w:t xml:space="preserve"> </w:t>
      </w:r>
      <w:r>
        <w:t xml:space="preserve">writes the dangerous branch on 37 of 112 decisions (33.0%, Wilson 95% CI 25.0 to 42.2) and on 8</w:t>
      </w:r>
      <w:r>
        <w:t xml:space="preserve"> </w:t>
      </w:r>
      <w:r>
        <w:t xml:space="preserve">of the 10 items we built as worst cases. On one item it completes eighteen of nineteen tokens of</w:t>
      </w:r>
      <w:r>
        <w:t xml:space="preserve"> </w:t>
      </w:r>
      <w:r>
        <w:t xml:space="preserve">an f-string SQL query. It also cuts into 11 of 12 benign controls, finishing about a third of</w:t>
      </w:r>
      <w:r>
        <w:t xml:space="preserve"> </w:t>
      </w:r>
      <w:r>
        <w:t xml:space="preserve">ordinary boilerplate. Both errors occur at the same threshold. The rule’s stopping point is</w:t>
      </w:r>
      <w:r>
        <w:t xml:space="preserve"> </w:t>
      </w:r>
      <w:r>
        <w:t xml:space="preserve">statistically indistinguishable between consequential items and benign ones (mean completed</w:t>
      </w:r>
      <w:r>
        <w:t xml:space="preserve"> </w:t>
      </w:r>
      <w:r>
        <w:t xml:space="preserve">fraction 0.26 against 0.35, Mann–Whitney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0.16</m:t>
        </m:r>
      </m:oMath>
      <w:r>
        <w:t xml:space="preserve">), which is the cleanest statement of the</w:t>
      </w:r>
      <w:r>
        <w:t xml:space="preserve"> </w:t>
      </w:r>
      <w:r>
        <w:t xml:space="preserve">problem: the label the benchmark cares about does not move the boundary. What moves it is</w:t>
      </w:r>
      <w:r>
        <w:t xml:space="preserve"> </w:t>
      </w:r>
      <w:r>
        <w:t xml:space="preserve">position. Over-reach correlates with the decision token’s index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0.56</m:t>
        </m:r>
      </m:oMath>
      <w:r>
        <w:t xml:space="preserve"> </w:t>
      </w:r>
      <w:r>
        <w:t xml:space="preserve">and with that</w:t>
      </w:r>
      <w:r>
        <w:t xml:space="preserve"> </w:t>
      </w:r>
      <w:r>
        <w:t xml:space="preserve">token’s own probability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0.26</m:t>
        </m:r>
      </m:oMath>
      <w:r>
        <w:t xml:space="preserve">; it runs 76% for decisions in the first two tokens and 0</w:t>
      </w:r>
      <w:r>
        <w:t xml:space="preserve"> </w:t>
      </w:r>
      <w:r>
        <w:t xml:space="preserve">of 35 for decisions past token ten. We give an analytic account of why. Under an approximately</w:t>
      </w:r>
      <w:r>
        <w:t xml:space="preserve"> </w:t>
      </w:r>
      <w:r>
        <w:t xml:space="preserve">constant entropy rate, the boundary reduces to</w:t>
      </w:r>
      <w:r>
        <w:t xml:space="preserve"> </w:t>
      </w:r>
      <m:oMath>
        <m:r>
          <m:t>η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H</m:t>
        </m:r>
      </m:oMath>
      <w:r>
        <w:t xml:space="preserve">, a token count set by the local</w:t>
      </w:r>
      <w:r>
        <w:t xml:space="preserve"> </w:t>
      </w:r>
      <w:r>
        <w:t xml:space="preserve">predictability of the surrounding code, and that closed form recovers the observed stopping point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0.55</m:t>
        </m:r>
      </m:oMath>
      <w:r>
        <w:t xml:space="preserve"> </w:t>
      </w:r>
      <w:r>
        <w:t xml:space="preserve">and a median error of one token. Dropping to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0.32</m:t>
        </m:r>
      </m:oMath>
      <w:r>
        <w:t xml:space="preserve"> </w:t>
      </w:r>
      <w:r>
        <w:t xml:space="preserve">cuts over-reach to</w:t>
      </w:r>
      <w:r>
        <w:t xml:space="preserve"> </w:t>
      </w:r>
      <w:r>
        <w:t xml:space="preserve">8.9% and leaves the assistant completing 7.5% of benign text, so no point on the sweep is both</w:t>
      </w:r>
      <w:r>
        <w:t xml:space="preserve"> </w:t>
      </w:r>
      <w:r>
        <w:t xml:space="preserve">safe and useful. Benchmark, scored data, and pipeline are released.</w:t>
      </w:r>
      <w:r>
        <w:br/>
      </w:r>
      <w:r>
        <w:rPr>
          <w:bCs/>
          <w:b/>
        </w:rPr>
        <w:t xml:space="preserve">Keywords:</w:t>
      </w:r>
      <w:r>
        <w:t xml:space="preserve"> </w:t>
      </w:r>
      <w:r>
        <w:t xml:space="preserve">assistive agents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empowerment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learning to defer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code generation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surprisal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benchmark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human-AI interaction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An assistant that writes code for you has to decide, continuously and without being asked, how far</w:t>
      </w:r>
      <w:r>
        <w:t xml:space="preserve"> </w:t>
      </w:r>
      <w:r>
        <w:t xml:space="preserve">to go before handing the keyboard back. Go too far and it makes choices that were yours to make.</w:t>
      </w:r>
      <w:r>
        <w:t xml:space="preserve"> </w:t>
      </w:r>
      <w:r>
        <w:t xml:space="preserve">Stop too early and it is not helping.</w:t>
      </w:r>
    </w:p>
    <w:p>
      <w:pPr>
        <w:pStyle w:val="BodyText"/>
      </w:pPr>
      <w:r>
        <w:t xml:space="preserve">Empower (Ellis et al., 2025) gives this a clean answer that needs no reward model, no preference</w:t>
      </w:r>
      <w:r>
        <w:t xml:space="preserve"> </w:t>
      </w:r>
      <w:r>
        <w:t xml:space="preserve">labels, and no human annotation. Take a continuation, score each token under a base model, and keep</w:t>
      </w:r>
      <w:r>
        <w:t xml:space="preserve"> </w:t>
      </w:r>
      <w:r>
        <w:t xml:space="preserve">the longest prefix whose cumulative likelihood stays above a threshold. Train the assistant on</w:t>
      </w:r>
      <w:r>
        <w:t xml:space="preserve"> </w:t>
      </w:r>
      <w:r>
        <w:t xml:space="preserve">those truncated prefixes. The claim underneath is that the point where a continuation becomes hard</w:t>
      </w:r>
      <w:r>
        <w:t xml:space="preserve"> </w:t>
      </w:r>
      <w:r>
        <w:t xml:space="preserve">to predict is the point where a real decision is being made, so a likelihood threshold finds</w:t>
      </w:r>
      <w:r>
        <w:t xml:space="preserve"> </w:t>
      </w:r>
      <w:r>
        <w:t xml:space="preserve">decision boundaries for free. The results are strong. Simulated programmers assisted by the method</w:t>
      </w:r>
      <w:r>
        <w:t xml:space="preserve"> </w:t>
      </w:r>
      <w:r>
        <w:t xml:space="preserve">reach a 192% higher success rate than a supervised baseline, and in an 18-person user study</w:t>
      </w:r>
      <w:r>
        <w:t xml:space="preserve"> </w:t>
      </w:r>
      <w:r>
        <w:t xml:space="preserve">participants preferred the empowerment assistant 78% of the time (</w:t>
      </w:r>
      <m:oMath>
        <m:r>
          <m:t>p</m:t>
        </m:r>
        <m:r>
          <m:rPr>
            <m:sty m:val="p"/>
          </m:rPr>
          <m:t>=</m:t>
        </m:r>
        <m:r>
          <m:t>0.015</m:t>
        </m:r>
      </m:oMath>
      <w:r>
        <w:t xml:space="preserve">), accepted 31% more</w:t>
      </w:r>
      <w:r>
        <w:t xml:space="preserve"> </w:t>
      </w:r>
      <w:r>
        <w:t xml:space="preserve">of its completions, and received 38% fewer suggestions overall.</w:t>
      </w:r>
    </w:p>
    <w:p>
      <w:pPr>
        <w:pStyle w:val="BodyText"/>
      </w:pPr>
      <w:r>
        <w:t xml:space="preserve">We think the premise is wrong in a way that evaluation could not see, and that code is the domain</w:t>
      </w:r>
      <w:r>
        <w:t xml:space="preserve"> </w:t>
      </w:r>
      <w:r>
        <w:t xml:space="preserve">where it is most wrong. The dangerous branch in real code is usually the ordinary one.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 </w:t>
      </w:r>
      <w:r>
        <w:t xml:space="preserve">is what people paste when TLS gets in the way.</w:t>
      </w:r>
      <w:r>
        <w:t xml:space="preserve"> </w:t>
      </w:r>
      <w:r>
        <w:rPr>
          <w:rStyle w:val="VerbatimChar"/>
        </w:rPr>
        <w:t xml:space="preserve">allow_origins=["*"]</w:t>
      </w:r>
      <w:r>
        <w:t xml:space="preserve"> </w:t>
      </w:r>
      <w:r>
        <w:t xml:space="preserve">is what the tutorial says.</w:t>
      </w:r>
      <w:r>
        <w:t xml:space="preserve"> </w:t>
      </w:r>
      <w:r>
        <w:rPr>
          <w:rStyle w:val="VerbatimChar"/>
        </w:rPr>
        <w:t xml:space="preserve">hashlib.md5</w:t>
      </w:r>
      <w:r>
        <w:t xml:space="preserve"> </w:t>
      </w:r>
      <w:r>
        <w:t xml:space="preserve">is what a model completing a function named</w:t>
      </w:r>
      <w:r>
        <w:t xml:space="preserve"> </w:t>
      </w:r>
      <w:r>
        <w:rPr>
          <w:rStyle w:val="VerbatimChar"/>
        </w:rPr>
        <w:t xml:space="preserve">hash_password</w:t>
      </w:r>
      <w:r>
        <w:t xml:space="preserve"> </w:t>
      </w:r>
      <w:r>
        <w:t xml:space="preserve">expects to see, because that is what the training corpus contains. This is</w:t>
      </w:r>
      <w:r>
        <w:t xml:space="preserve"> </w:t>
      </w:r>
      <w:r>
        <w:t xml:space="preserve">not speculation. Pearce et al. (2022) found that roughly 40% of Copilot completions in</w:t>
      </w:r>
      <w:r>
        <w:t xml:space="preserve"> </w:t>
      </w:r>
      <w:r>
        <w:t xml:space="preserve">security-relevant scenarios were vulnerable, Perry et al. (2023) found that participants with an AI</w:t>
      </w:r>
      <w:r>
        <w:t xml:space="preserve"> </w:t>
      </w:r>
      <w:r>
        <w:t xml:space="preserve">assistant wrote less secure code while being more confident it was secure, and follow-on benchmarks</w:t>
      </w:r>
      <w:r>
        <w:t xml:space="preserve"> </w:t>
      </w:r>
      <w:r>
        <w:t xml:space="preserve">have reproduced the pattern at larger scale across models and languages</w:t>
      </w:r>
      <w:r>
        <w:t xml:space="preserve"> </w:t>
      </w:r>
      <w:r>
        <w:t xml:space="preserve">(Siddiq and Santos, 2022; Hajipour et al., 2024; Bhatt et al., 2023). If insecure idioms are the high-likelihood continuation,</w:t>
      </w:r>
      <w:r>
        <w:t xml:space="preserve"> </w:t>
      </w:r>
      <w:r>
        <w:t xml:space="preserve">a rule that completes high-likelihood tokens will complete them silently, which is the one</w:t>
      </w:r>
      <w:r>
        <w:t xml:space="preserve"> </w:t>
      </w:r>
      <w:r>
        <w:t xml:space="preserve">behaviour the method exists to prevent.</w:t>
      </w:r>
    </w:p>
    <w:p>
      <w:pPr>
        <w:pStyle w:val="BodyText"/>
      </w:pPr>
      <w:r>
        <w:t xml:space="preserve">This paper measures that. We built CEDE-Bench, 112 consequential coding decisions across five risk</w:t>
      </w:r>
      <w:r>
        <w:t xml:space="preserve"> </w:t>
      </w:r>
      <w:r>
        <w:t xml:space="preserve">categories with 12 matched benign controls, and ran the Empower boundary rule over it at both</w:t>
      </w:r>
      <w:r>
        <w:t xml:space="preserve"> </w:t>
      </w:r>
      <w:r>
        <w:t xml:space="preserve">published operating points and across the range between them. Four results follow.</w:t>
      </w:r>
    </w:p>
    <w:p>
      <w:pPr>
        <w:pStyle w:val="BodyText"/>
      </w:pPr>
      <w:r>
        <w:t xml:space="preserve">The rule commits the dangerous branch on 28.4% of standard items and 80% of probe items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. It also stops partway through 11 of 12 benign controls at the same threshold, so the</w:t>
      </w:r>
      <w:r>
        <w:t xml:space="preserve"> </w:t>
      </w:r>
      <w:r>
        <w:t xml:space="preserve">two failure modes are not a dial you can turn between. Whether a given decision gets committed is</w:t>
      </w:r>
      <w:r>
        <w:t xml:space="preserve"> </w:t>
      </w:r>
      <w:r>
        <w:t xml:space="preserve">not predicted by how dangerous it is, and only secondarily by how predictable it is; it is</w:t>
      </w:r>
      <w:r>
        <w:t xml:space="preserve"> </w:t>
      </w:r>
      <w:r>
        <w:t xml:space="preserve">predicted by how early in the continuation it sits. And that positional dependence has a closed</w:t>
      </w:r>
      <w:r>
        <w:t xml:space="preserve"> </w:t>
      </w:r>
      <w:r>
        <w:t xml:space="preserve">form. Because per-token surprisal in text is approximately constant (Genzel and Charniak, 2002; Jaeger, 2010),</w:t>
      </w:r>
      <w:r>
        <w:t xml:space="preserve"> </w:t>
      </w:r>
      <w:r>
        <w:t xml:space="preserve">a cumulative-likelihood threshold is, to a good approximation, a token counter whose count is set</w:t>
      </w:r>
      <w:r>
        <w:t xml:space="preserve"> </w:t>
      </w:r>
      <w:r>
        <w:t xml:space="preserve">by the local entropy rate. We derive the count, test it, and recover 55% of the variance in where</w:t>
      </w:r>
      <w:r>
        <w:t xml:space="preserve"> </w:t>
      </w:r>
      <w:r>
        <w:t xml:space="preserve">the rule actually stops.</w:t>
      </w:r>
    </w:p>
    <w:p>
      <w:pPr>
        <w:pStyle w:val="BodyText"/>
      </w:pPr>
      <w:r>
        <w:t xml:space="preserve">That last result is the one we care about most, because it says what the rule is rather than what</w:t>
      </w:r>
      <w:r>
        <w:t xml:space="preserve"> </w:t>
      </w:r>
      <w:r>
        <w:t xml:space="preserve">it fails at. Importance never enters the mechanism, and no amount of threshold tuning will put it</w:t>
      </w:r>
      <w:r>
        <w:t xml:space="preserve"> </w:t>
      </w:r>
      <w:r>
        <w:t xml:space="preserve">there.</w:t>
      </w:r>
    </w:p>
    <w:bookmarkEnd w:id="20"/>
    <w:bookmarkStart w:id="29" w:name="related-work"/>
    <w:p>
      <w:pPr>
        <w:pStyle w:val="Heading1"/>
      </w:pPr>
      <w:r>
        <w:t xml:space="preserve">Related work</w:t>
      </w:r>
    </w:p>
    <w:bookmarkStart w:id="21" w:name="empowerment-as-an-assistance-objective"/>
    <w:p>
      <w:pPr>
        <w:pStyle w:val="Heading4"/>
      </w:pPr>
      <w:r>
        <w:t xml:space="preserve">Empowerment as an assistance objective</w:t>
      </w:r>
    </w:p>
    <w:p>
      <w:pPr>
        <w:pStyle w:val="FirstParagraph"/>
      </w:pPr>
      <w:r>
        <w:t xml:space="preserve">Empowerment originates as an information-theoretic measure of an agent’s control over its own</w:t>
      </w:r>
      <w:r>
        <w:t xml:space="preserve"> </w:t>
      </w:r>
      <w:r>
        <w:t xml:space="preserve">future observations (Klyubin et al., 2005; Salge et al., 2014), made tractable for learning by variational</w:t>
      </w:r>
      <w:r>
        <w:t xml:space="preserve"> </w:t>
      </w:r>
      <w:r>
        <w:t xml:space="preserve">lower bounds (Mohamed and Rezende, 2015). Du et al. (2020) turned it into an assistance objective: help the</w:t>
      </w:r>
      <w:r>
        <w:t xml:space="preserve"> </w:t>
      </w:r>
      <w:r>
        <w:t xml:space="preserve">human by increasing the set of futures they can reach, rather than by inferring and optimising</w:t>
      </w:r>
      <w:r>
        <w:t xml:space="preserve"> </w:t>
      </w:r>
      <w:r>
        <w:t xml:space="preserve">their reward. Myers et al. (2024) learn assistive behaviour from contrastive successor features with</w:t>
      </w:r>
      <w:r>
        <w:t xml:space="preserve"> </w:t>
      </w:r>
      <w:r>
        <w:t xml:space="preserve">no reward inference at all, and Empower (Ellis et al., 2025) carries the idea into language models by</w:t>
      </w:r>
      <w:r>
        <w:t xml:space="preserve"> </w:t>
      </w:r>
      <w:r>
        <w:t xml:space="preserve">replacing the empowerment estimate with a likelihood threshold over token sequences.</w:t>
      </w:r>
    </w:p>
    <w:p>
      <w:pPr>
        <w:pStyle w:val="BodyText"/>
      </w:pPr>
      <w:r>
        <w:t xml:space="preserve">We want to state the strongest version of Empower’s case before disagreeing with part of it. The</w:t>
      </w:r>
      <w:r>
        <w:t xml:space="preserve"> </w:t>
      </w:r>
      <w:r>
        <w:t xml:space="preserve">boundary rule is cheap, needs nothing from a human labeller, and produced an assistant that real</w:t>
      </w:r>
      <w:r>
        <w:t xml:space="preserve"> </w:t>
      </w:r>
      <w:r>
        <w:t xml:space="preserve">participants preferred and that interrupted them less often. Nothing in our data contradicts that.</w:t>
      </w:r>
      <w:r>
        <w:t xml:space="preserve"> </w:t>
      </w:r>
      <w:r>
        <w:t xml:space="preserve">What our data contradicts is the interpretation: that the rule locates decisions because they are</w:t>
      </w:r>
      <w:r>
        <w:t xml:space="preserve"> </w:t>
      </w:r>
      <w:r>
        <w:t xml:space="preserve">important. It locates them because they are surprising, and in code those are different sets.</w:t>
      </w:r>
    </w:p>
    <w:bookmarkEnd w:id="21"/>
    <w:bookmarkStart w:id="22" w:name="mixed-initiative-and-shared-autonomy"/>
    <w:p>
      <w:pPr>
        <w:pStyle w:val="Heading4"/>
      </w:pPr>
      <w:r>
        <w:t xml:space="preserve">Mixed initiative and shared autonomy</w:t>
      </w:r>
    </w:p>
    <w:p>
      <w:pPr>
        <w:pStyle w:val="FirstParagraph"/>
      </w:pPr>
      <w:r>
        <w:t xml:space="preserve">The question of when a system should act and when it should hand back is older than language</w:t>
      </w:r>
      <w:r>
        <w:t xml:space="preserve"> </w:t>
      </w:r>
      <w:r>
        <w:t xml:space="preserve">models. Horvitz (1999) argued that an assistant should act when the expected value of acting</w:t>
      </w:r>
      <w:r>
        <w:t xml:space="preserve"> </w:t>
      </w:r>
      <w:r>
        <w:t xml:space="preserve">exceeds the expected value of waiting, with the cost of a wrong autonomous action entering the</w:t>
      </w:r>
      <w:r>
        <w:t xml:space="preserve"> </w:t>
      </w:r>
      <w:r>
        <w:t xml:space="preserve">calculation explicitly. Shared-autonomy controllers formalise the same trade-off in continuous</w:t>
      </w:r>
      <w:r>
        <w:t xml:space="preserve"> </w:t>
      </w:r>
      <w:r>
        <w:t xml:space="preserve">domains, arbitrating between operator input and policy output under uncertainty about the</w:t>
      </w:r>
      <w:r>
        <w:t xml:space="preserve"> </w:t>
      </w:r>
      <w:r>
        <w:t xml:space="preserve">operator’s goal (Javdani et al., 2015; Reddy et al., 2018), and cooperative inverse reinforcement learning casts</w:t>
      </w:r>
      <w:r>
        <w:t xml:space="preserve"> </w:t>
      </w:r>
      <w:r>
        <w:t xml:space="preserve">assistance as a joint game in which the machine is uncertain about the objective</w:t>
      </w:r>
      <w:r>
        <w:t xml:space="preserve"> </w:t>
      </w:r>
      <w:r>
        <w:t xml:space="preserve">(Hadfield-Menell et al., 2016). Every one of these frameworks contains a term for what it costs to be</w:t>
      </w:r>
      <w:r>
        <w:t xml:space="preserve"> </w:t>
      </w:r>
      <w:r>
        <w:t xml:space="preserve">wrong. Empower’s rule contains a term for how surprised the model is, and nothing else. Our</w:t>
      </w:r>
      <w:r>
        <w:t xml:space="preserve"> </w:t>
      </w:r>
      <w:r>
        <w:t xml:space="preserve">contribution is to measure what that substitution costs on a domain where the costs are legible.</w:t>
      </w:r>
    </w:p>
    <w:bookmarkEnd w:id="22"/>
    <w:bookmarkStart w:id="23" w:name="deferral-keyed-to-cost-not-confidence"/>
    <w:p>
      <w:pPr>
        <w:pStyle w:val="Heading4"/>
      </w:pPr>
      <w:r>
        <w:t xml:space="preserve">Deferral keyed to cost, not confidence</w:t>
      </w:r>
    </w:p>
    <w:p>
      <w:pPr>
        <w:pStyle w:val="FirstParagraph"/>
      </w:pPr>
      <w:r>
        <w:t xml:space="preserve">Rejecting inputs on a confidence threshold goes back to Chow (1970) and returns in modern form</w:t>
      </w:r>
      <w:r>
        <w:t xml:space="preserve"> </w:t>
      </w:r>
      <w:r>
        <w:t xml:space="preserve">as selective prediction (Geifman and El-Yaniv, 2017). The learning-to-defer line has argued consistently</w:t>
      </w:r>
      <w:r>
        <w:t xml:space="preserve"> </w:t>
      </w:r>
      <w:r>
        <w:t xml:space="preserve">that abstention should be trained against the expected cost of the joint human-machine outcome</w:t>
      </w:r>
      <w:r>
        <w:t xml:space="preserve"> </w:t>
      </w:r>
      <w:r>
        <w:t xml:space="preserve">rather than against model confidence (Madras et al., 2018; Mozannar and Sontag, 2020; Raghu et al., 2019; Wilder et al., 2021). Empower’s</w:t>
      </w:r>
      <w:r>
        <w:t xml:space="preserve"> </w:t>
      </w:r>
      <w:r>
        <w:t xml:space="preserve">rule is a confidence rule wearing a decision-boundary name. Our contribution here is empirical</w:t>
      </w:r>
      <w:r>
        <w:t xml:space="preserve"> </w:t>
      </w:r>
      <w:r>
        <w:t xml:space="preserve">rather than conceptual: we give the size of the gap between the two framings, and we identify which</w:t>
      </w:r>
      <w:r>
        <w:t xml:space="preserve"> </w:t>
      </w:r>
      <w:r>
        <w:t xml:space="preserve">items fall into it and why.</w:t>
      </w:r>
    </w:p>
    <w:bookmarkEnd w:id="23"/>
    <w:bookmarkStart w:id="24" w:name="X1122a585917fe684bed43042da30d32806373f5"/>
    <w:p>
      <w:pPr>
        <w:pStyle w:val="Heading4"/>
      </w:pPr>
      <w:r>
        <w:t xml:space="preserve">What model confidence does and does not track</w:t>
      </w:r>
    </w:p>
    <w:p>
      <w:pPr>
        <w:pStyle w:val="FirstParagraph"/>
      </w:pPr>
      <w:r>
        <w:t xml:space="preserve">Neural classifiers are systematically miscalibrated in ways that scale with capacity</w:t>
      </w:r>
      <w:r>
        <w:t xml:space="preserve"> </w:t>
      </w:r>
      <w:r>
        <w:t xml:space="preserve">(Guo et al., 2017), and although large language models carry some signal about whether their own</w:t>
      </w:r>
      <w:r>
        <w:t xml:space="preserve"> </w:t>
      </w:r>
      <w:r>
        <w:t xml:space="preserve">answers are correct (Kadavath et al., 2022; Lin et al., 2022; Kuhn et al., 2023), correctness is not the quantity at issue</w:t>
      </w:r>
      <w:r>
        <w:t xml:space="preserve"> </w:t>
      </w:r>
      <w:r>
        <w:t xml:space="preserve">here. A model can be perfectly calibrated about whether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 </w:t>
      </w:r>
      <w:r>
        <w:t xml:space="preserve">is the token that</w:t>
      </w:r>
      <w:r>
        <w:t xml:space="preserve"> </w:t>
      </w:r>
      <w:r>
        <w:t xml:space="preserve">comes next while having no representation at all of what disabling certificate validation costs.</w:t>
      </w:r>
      <w:r>
        <w:t xml:space="preserve"> </w:t>
      </w:r>
      <w:r>
        <w:t xml:space="preserve">Confidence is about the model’s own uncertainty; importance is a property of the world. The</w:t>
      </w:r>
      <w:r>
        <w:t xml:space="preserve"> </w:t>
      </w:r>
      <w:r>
        <w:t xml:space="preserve">literature has largely studied the first, and Empower’s rule inherits that focus while being</w:t>
      </w:r>
      <w:r>
        <w:t xml:space="preserve"> </w:t>
      </w:r>
      <w:r>
        <w:t xml:space="preserve">described in terms of the second.</w:t>
      </w:r>
    </w:p>
    <w:bookmarkEnd w:id="24"/>
    <w:bookmarkStart w:id="25" w:name="surprisal-and-information-density"/>
    <w:p>
      <w:pPr>
        <w:pStyle w:val="Heading4"/>
      </w:pPr>
      <w:r>
        <w:t xml:space="preserve">Surprisal and information density</w:t>
      </w:r>
    </w:p>
    <w:p>
      <w:pPr>
        <w:pStyle w:val="FirstParagraph"/>
      </w:pPr>
      <w:r>
        <w:t xml:space="preserve">Surprisal has a long life in psycholinguistics as a measure of processing cost</w:t>
      </w:r>
      <w:r>
        <w:t xml:space="preserve"> </w:t>
      </w:r>
      <w:r>
        <w:t xml:space="preserve">(Hale, 2001; Levy, 2008; Smith and Levy, 2013), and the related uniform information density account holds that</w:t>
      </w:r>
      <w:r>
        <w:t xml:space="preserve"> </w:t>
      </w:r>
      <w:r>
        <w:t xml:space="preserve">speakers and writers distribute information at an approximately constant rate</w:t>
      </w:r>
      <w:r>
        <w:t xml:space="preserve"> </w:t>
      </w:r>
      <w:r>
        <w:t xml:space="preserve">(Genzel and Charniak, 2002; Jaeger, 2010). That literature is usually cited to explain human behaviour. Here it</w:t>
      </w:r>
      <w:r>
        <w:t xml:space="preserve"> </w:t>
      </w:r>
      <w:r>
        <w:t xml:space="preserve">does something else: it predicts the failure mode. If per-token surprisal is roughly flat, then a</w:t>
      </w:r>
      <w:r>
        <w:t xml:space="preserve"> </w:t>
      </w:r>
      <w:r>
        <w:t xml:space="preserve">threshold on the running sum of log-probabilities is arithmetically close to a fixed token budget,</w:t>
      </w:r>
      <w:r>
        <w:t xml:space="preserve"> </w:t>
      </w:r>
      <w:r>
        <w:t xml:space="preserve">and the content of any particular token is nearly irrelevant to whether the budget survives to</w:t>
      </w:r>
      <w:r>
        <w:t xml:space="preserve"> </w:t>
      </w:r>
      <w:r>
        <w:t xml:space="preserve">reach it. Section </w:t>
      </w:r>
      <w:hyperlink w:anchor="sec:entropyrate">
        <w:r>
          <w:rPr>
            <w:rStyle w:val="Hyperlink"/>
          </w:rPr>
          <w:t xml:space="preserve">4.6</w:t>
        </w:r>
      </w:hyperlink>
      <w:r>
        <w:t xml:space="preserve"> </w:t>
      </w:r>
      <w:r>
        <w:t xml:space="preserve">makes that prediction quantitative and tests it.</w:t>
      </w:r>
    </w:p>
    <w:bookmarkEnd w:id="25"/>
    <w:bookmarkStart w:id="26" w:name="security-of-model-written-code"/>
    <w:p>
      <w:pPr>
        <w:pStyle w:val="Heading4"/>
      </w:pPr>
      <w:r>
        <w:t xml:space="preserve">Security of model-written code</w:t>
      </w:r>
    </w:p>
    <w:p>
      <w:pPr>
        <w:pStyle w:val="FirstParagraph"/>
      </w:pPr>
      <w:r>
        <w:t xml:space="preserve">Pearce et al. (2022), Perry et al. (2023), and Sandoval et al. (2023) establish the base rate that</w:t>
      </w:r>
      <w:r>
        <w:t xml:space="preserve"> </w:t>
      </w:r>
      <w:r>
        <w:t xml:space="preserve">CEDE-Bench depends on: insecure completions are common precisely because insecure patterns are</w:t>
      </w:r>
      <w:r>
        <w:t xml:space="preserve"> </w:t>
      </w:r>
      <w:r>
        <w:t xml:space="preserve">common in the corpus, and users do not reliably catch them. Purpose-built benchmarks have since</w:t>
      </w:r>
      <w:r>
        <w:t xml:space="preserve"> </w:t>
      </w:r>
      <w:r>
        <w:t xml:space="preserve">systematised the measurement (Siddiq and Santos, 2022; Hajipour et al., 2024; Bhatt et al., 2023). That work measures what</w:t>
      </w:r>
      <w:r>
        <w:t xml:space="preserve"> </w:t>
      </w:r>
      <w:r>
        <w:t xml:space="preserve">models write. We measure something adjacent and, for this purpose, more specific: given that the</w:t>
      </w:r>
      <w:r>
        <w:t xml:space="preserve"> </w:t>
      </w:r>
      <w:r>
        <w:t xml:space="preserve">model is about to write the dangerous token, does the deference rule stop it first. The</w:t>
      </w:r>
      <w:r>
        <w:t xml:space="preserve"> </w:t>
      </w:r>
      <w:r>
        <w:t xml:space="preserve">construction of matched benign controls alongside targeted decision items follows the behavioural</w:t>
      </w:r>
      <w:r>
        <w:t xml:space="preserve"> </w:t>
      </w:r>
      <w:r>
        <w:t xml:space="preserve">testing methodology of Ribeiro et al. (2020), where the control set is what keeps a mitigation from</w:t>
      </w:r>
      <w:r>
        <w:t xml:space="preserve"> </w:t>
      </w:r>
      <w:r>
        <w:t xml:space="preserve">scoring well by refusing everything.</w:t>
      </w:r>
    </w:p>
    <w:bookmarkEnd w:id="26"/>
    <w:bookmarkStart w:id="27" w:name="humans-in-the-loop-of-code-assistants"/>
    <w:p>
      <w:pPr>
        <w:pStyle w:val="Heading4"/>
      </w:pPr>
      <w:r>
        <w:t xml:space="preserve">Humans in the loop of code assistants</w:t>
      </w:r>
    </w:p>
    <w:p>
      <w:pPr>
        <w:pStyle w:val="FirstParagraph"/>
      </w:pPr>
      <w:r>
        <w:t xml:space="preserve">Programmers interacting with completion models shift between exploration and acceleration and</w:t>
      </w:r>
      <w:r>
        <w:t xml:space="preserve"> </w:t>
      </w:r>
      <w:r>
        <w:t xml:space="preserve">review suggestions unevenly across those modes (Barke et al., 2023), which is one reason a silently</w:t>
      </w:r>
      <w:r>
        <w:t xml:space="preserve"> </w:t>
      </w:r>
      <w:r>
        <w:t xml:space="preserve">committed token is worse than a visibly wrong one. Automation bias predicts exactly this pattern of</w:t>
      </w:r>
      <w:r>
        <w:t xml:space="preserve"> </w:t>
      </w:r>
      <w:r>
        <w:t xml:space="preserve">under-verification when a system is usually right (Parasuraman and Riley, 1997; Skitka et al., 1999). Closest to our</w:t>
      </w:r>
      <w:r>
        <w:t xml:space="preserve"> </w:t>
      </w:r>
      <w:r>
        <w:t xml:space="preserve">result, Vasconcelos et al. (2023) found that surfacing token-level generation probabilities in the</w:t>
      </w:r>
      <w:r>
        <w:t xml:space="preserve"> </w:t>
      </w:r>
      <w:r>
        <w:t xml:space="preserve">editor does not by itself help programmers find the parts of a completion worth scrutinising, and</w:t>
      </w:r>
      <w:r>
        <w:t xml:space="preserve"> </w:t>
      </w:r>
      <w:r>
        <w:t xml:space="preserve">that a semantics-aware signal outperformed a probability-based one. Our finding is the same</w:t>
      </w:r>
      <w:r>
        <w:t xml:space="preserve"> </w:t>
      </w:r>
      <w:r>
        <w:t xml:space="preserve">observation moved from the interface into the training objective. Evaluations of assistants against</w:t>
      </w:r>
      <w:r>
        <w:t xml:space="preserve"> </w:t>
      </w:r>
      <w:r>
        <w:t xml:space="preserve">real programmers (Mozannar et al., 2024) measure preference, acceptance, and task time, none of which</w:t>
      </w:r>
      <w:r>
        <w:t xml:space="preserve"> </w:t>
      </w:r>
      <w:r>
        <w:t xml:space="preserve">would surface a deferral policy that is uncorrelated with stakes.</w:t>
      </w:r>
    </w:p>
    <w:bookmarkEnd w:id="27"/>
    <w:bookmarkStart w:id="28" w:name="over-assistance"/>
    <w:p>
      <w:pPr>
        <w:pStyle w:val="Heading4"/>
      </w:pPr>
      <w:r>
        <w:t xml:space="preserve">Over-assistance</w:t>
      </w:r>
    </w:p>
    <w:p>
      <w:pPr>
        <w:pStyle w:val="FirstParagraph"/>
      </w:pPr>
      <w:r>
        <w:t>Concurrent work on LLM tutors reports the same shape of error in a different setting: on the Int-Bench framework of Teo et al. (2026), teacher models in the standard condition</w:t>
      </w:r>
      <w:r>
        <w:t xml:space="preserve"> </w:t>
      </w:r>
      <w:r>
        <w:t>intervene in 90% of trials and do so at 18% of the way through the</w:t>
      </w:r>
      <w:r>
        <w:t xml:space="preserve"> </w:t>
      </w:r>
      <w:r>
        <w:t>student’s reasoning, against 54% and 56% in the oracle condition. Interventions land early and without</w:t>
      </w:r>
      <w:r>
        <w:t xml:space="preserve"> </w:t>
      </w:r>
      <w:r>
        <w:t xml:space="preserve">regard to whether they were needed. We find the mirror image inside a single completion.</w:t>
      </w:r>
    </w:p>
    <w:bookmarkEnd w:id="28"/>
    <w:bookmarkEnd w:id="29"/>
    <w:bookmarkStart w:id="34" w:name="method"/>
    <w:p>
      <w:pPr>
        <w:pStyle w:val="Heading1"/>
      </w:pPr>
      <w:r>
        <w:t xml:space="preserve">Method</w:t>
      </w:r>
    </w:p>
    <w:bookmarkStart w:id="30" w:name="the-boundary-rule"/>
    <w:p>
      <w:pPr>
        <w:pStyle w:val="Heading2"/>
      </w:pPr>
      <w:r>
        <w:t xml:space="preserve">The boundary rule</w:t>
      </w:r>
    </w:p>
    <w:p>
      <w:pPr>
        <w:pStyle w:val="FirstParagraph"/>
      </w:pPr>
      <w:r>
        <w:t xml:space="preserve">Let a continuation be tokens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per-token log-probabilities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ℓ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under a scoring model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conditioned only on the state prefix. The</w:t>
      </w:r>
      <w:r>
        <w:t xml:space="preserve"> </w:t>
      </w:r>
      <w:r>
        <w:t xml:space="preserve">rule retains the longest prefix whose cumulative log-likelihood stays above a threshold: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{"/>
              <m:endChr m:val="}"/>
              <m:sepChr m:val=""/>
              <m:grow/>
            </m:dPr>
            <m:e>
              <m:r>
                <m:t> </m:t>
              </m:r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  <m:r>
                <m:t> </m:t>
              </m:r>
              <m:r>
                <m:rPr>
                  <m:sty m:val="p"/>
                </m:rPr>
                <m:t>:</m:t>
              </m:r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 </m:t>
              </m:r>
              <m:r>
                <m:rPr>
                  <m:sty m:val="p"/>
                </m:rPr>
                <m:t>≥</m:t>
              </m:r>
              <m:r>
                <m:t> </m:t>
              </m:r>
              <m:r>
                <m:rPr>
                  <m:sty m:val="p"/>
                </m:rPr>
                <m:t>log</m:t>
              </m:r>
              <m:r>
                <m:t>τ</m:t>
              </m:r>
              <m:r>
                <m:t> 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τ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η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log-probabilities are non-positive the partial sums are monotone non-increasing, so the</w:t>
      </w:r>
      <w:r>
        <w:t xml:space="preserve"> </w:t>
      </w:r>
      <w:r>
        <w:t xml:space="preserve">retained set is a prefix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well defined. We evaluate the two operating points the original</w:t>
      </w:r>
      <w:r>
        <w:t xml:space="preserve"> </w:t>
      </w:r>
      <w:r>
        <w:t xml:space="preserve">work reports,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0.32</m:t>
        </m:r>
      </m:oMath>
      <w:r>
        <w:t xml:space="preserve"> </w:t>
      </w:r>
      <w:r>
        <w:t xml:space="preserve">for the simulated evaluation and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the user study, and</w:t>
      </w:r>
      <w:r>
        <w:t xml:space="preserve"> </w:t>
      </w:r>
      <w:r>
        <w:t xml:space="preserve">sweep</w:t>
      </w:r>
      <w:r>
        <w:t xml:space="preserve"> </w:t>
      </w:r>
      <m:oMath>
        <m:r>
          <m:t>η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0.125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0.32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Two properties of Equation </w:t>
      </w:r>
      <w:hyperlink w:anchor="eq:rule">
        <w:r>
          <w:rPr>
            <w:rStyle w:val="Hyperlink"/>
          </w:rPr>
          <w:t xml:space="preserve">[eq:rule]</w:t>
        </w:r>
      </w:hyperlink>
      <w:r>
        <w:t xml:space="preserve"> </w:t>
      </w:r>
      <w:r>
        <w:t xml:space="preserve">matter for everything that follows. The budget is a total</w:t>
      </w:r>
      <w:r>
        <w:t xml:space="preserve"> </w:t>
      </w:r>
      <w:r>
        <w:t xml:space="preserve">rather than a per-token allowance, so ordinary tokens consume it; and it is fixed, so a continuation</w:t>
      </w:r>
      <w:r>
        <w:t xml:space="preserve"> </w:t>
      </w:r>
      <w:r>
        <w:t xml:space="preserve">that opens with a few mildly unexpected tokens has nothing left by token five regardless of what</w:t>
      </w:r>
      <w:r>
        <w:t xml:space="preserve"> </w:t>
      </w:r>
      <w:r>
        <w:t xml:space="preserve">token five contains.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the entire budget is four bits.</w:t>
      </w:r>
    </w:p>
    <w:bookmarkEnd w:id="30"/>
    <w:bookmarkStart w:id="32" w:name="cede-bench"/>
    <w:p>
      <w:pPr>
        <w:pStyle w:val="Heading2"/>
      </w:pPr>
      <w:r>
        <w:t xml:space="preserve">CEDE-Bench</w:t>
      </w:r>
    </w:p>
    <w:p>
      <w:pPr>
        <w:pStyle w:val="FirstParagraph"/>
      </w:pPr>
      <w:r>
        <w:t xml:space="preserve">Each decision item is a short, self-contained Python context that ends immediately before a token</w:t>
      </w:r>
      <w:r>
        <w:t xml:space="preserve"> </w:t>
      </w:r>
      <w:r>
        <w:t xml:space="preserve">position at which the natural completion picks between a risky branch and a safe alternative. The</w:t>
      </w:r>
      <w:r>
        <w:t xml:space="preserve"> </w:t>
      </w:r>
      <w:r>
        <w:t xml:space="preserve">item carries the canonical continuation, a regular expression with exactly one capture group that</w:t>
      </w:r>
      <w:r>
        <w:t xml:space="preserve"> </w:t>
      </w:r>
      <w:r>
        <w:t xml:space="preserve">locates the chosen branch inside it, the branch list, a one-sentence statement of what breaks if the</w:t>
      </w:r>
      <w:r>
        <w:t xml:space="preserve"> </w:t>
      </w:r>
      <w:r>
        <w:t xml:space="preserve">choice is made silently, and a one-sentence justification of why the risky branch is the</w:t>
      </w:r>
      <w:r>
        <w:t xml:space="preserve"> </w:t>
      </w:r>
      <w:r>
        <w:t xml:space="preserve">high-likelihood one. Benign controls carry a continuation of ordinary boilerplate and no decision</w:t>
      </w:r>
      <w:r>
        <w:t xml:space="preserve"> </w:t>
      </w:r>
      <w:r>
        <w:t xml:space="preserve">regex; the correct behaviour on a control is to finish it.</w:t>
      </w:r>
    </w:p>
    <w:bookmarkStart w:id="31" w:name="tab:composition"/>
    <w:p>
      <w:pPr>
        <w:pStyle w:val="TableCaption"/>
      </w:pPr>
      <w:r>
        <w:t xml:space="preserve">CEDE-Bench composition. Probe items are decision items placed at continuation token 0 with</w:t>
      </w:r>
      <w:r>
        <w:t xml:space="preserve"> </w:t>
      </w:r>
      <w:r>
        <w:t xml:space="preserve">a dominant risky branch, built as worst cases for the rule.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EDE-Bench composition. Probe items are decision items placed at continuation token 0 with a dominant risky branch, built as worst cases for the rule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security_param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allow_origins=["*"]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yaml.load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sk-live-...</w:t>
            </w:r>
            <w:r>
              <w:t xml:space="preserve"> </w:t>
            </w:r>
            <w:r>
              <w:t xml:space="preserve">key against</w:t>
            </w:r>
            <w:r>
              <w:t xml:space="preserve"> </w:t>
            </w:r>
            <w:r>
              <w:rPr>
                <w:rStyle w:val="VerbatimChar"/>
              </w:rPr>
              <w:t xml:space="preserve">os.getenv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api_choice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hashlib.md5</w:t>
            </w:r>
            <w:r>
              <w:t xml:space="preserve"> </w:t>
            </w:r>
            <w:r>
              <w:t xml:space="preserve">for password hashing,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for token 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irreversible_op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shutil.rmtree</w:t>
            </w:r>
            <w:r>
              <w:t xml:space="preserve"> </w:t>
            </w:r>
            <w:r>
              <w:t xml:space="preserve">on an unvalidated path,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with no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opt-out telemetry, public-read bucket ACL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which 10 are probes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benign_control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boilerplate, no consequential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p>
      <w:pPr>
        <w:pStyle w:val="BodyText"/>
      </w:pPr>
      <w:r>
        <w:t xml:space="preserve">Table </w:t>
      </w:r>
      <w:hyperlink w:anchor="tab:compositi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gives the composition. Two authoring rules did real work. First, the</w:t>
      </w:r>
      <w:r>
        <w:t xml:space="preserve"> </w:t>
      </w:r>
      <w:r>
        <w:t xml:space="preserve">risky branch has to be the plausible completion rather than an unusual one; an item where the safe</w:t>
      </w:r>
      <w:r>
        <w:t xml:space="preserve"> </w:t>
      </w:r>
      <w:r>
        <w:t xml:space="preserve">branch is what the model expects proves nothing, because the rule would defer for the wrong reason</w:t>
      </w:r>
      <w:r>
        <w:t xml:space="preserve"> </w:t>
      </w:r>
      <w:r>
        <w:t xml:space="preserve">and we would score it as a success. Second, standard items place the decision one or two lines into</w:t>
      </w:r>
      <w:r>
        <w:t xml:space="preserve"> </w:t>
      </w:r>
      <w:r>
        <w:t xml:space="preserve">the continuation and vary how far in it sits, because position is a confound we wanted to control</w:t>
      </w:r>
      <w:r>
        <w:t xml:space="preserve"> </w:t>
      </w:r>
      <w:r>
        <w:t xml:space="preserve">rather than accidentally exploit. The mean decision continuation is 18.1 tokens and the median</w:t>
      </w:r>
      <w:r>
        <w:t xml:space="preserve"> </w:t>
      </w:r>
      <w:r>
        <w:t xml:space="preserve">decision token index is 4.5.</w:t>
      </w:r>
    </w:p>
    <w:p>
      <w:pPr>
        <w:pStyle w:val="BodyText"/>
      </w:pPr>
      <w:r>
        <w:t xml:space="preserve">The ten probe items deliberately break the second rule. They put the decision at token 0 with a</w:t>
      </w:r>
      <w:r>
        <w:t xml:space="preserve"> </w:t>
      </w:r>
      <w:r>
        <w:t xml:space="preserve">dominant risky branch, giving the rule the least possible chance to run out of budget first. They</w:t>
      </w:r>
      <w:r>
        <w:t xml:space="preserve"> </w:t>
      </w:r>
      <w:r>
        <w:t xml:space="preserve">are the adversarial case, and they are also the most confounded, for reasons we return to in</w:t>
      </w:r>
      <w:r>
        <w:t xml:space="preserve"> </w:t>
      </w:r>
      <w:r>
        <w:t xml:space="preserve">Section </w:t>
      </w:r>
      <w:hyperlink w:anchor="sec:limitations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BodyText"/>
      </w:pPr>
      <w:r>
        <w:t xml:space="preserve">Every item passes a validator that checks the regex compiles, has exactly one group, and matches its</w:t>
      </w:r>
      <w:r>
        <w:t xml:space="preserve"> </w:t>
      </w:r>
      <w:r>
        <w:t xml:space="preserve">own canonical continuation, that the captured text is the risky branch as written, and that controls</w:t>
      </w:r>
      <w:r>
        <w:t xml:space="preserve"> </w:t>
      </w:r>
      <w:r>
        <w:t xml:space="preserve">carry no regex and at least twelve words of real code.</w:t>
      </w:r>
    </w:p>
    <w:bookmarkEnd w:id="32"/>
    <w:bookmarkStart w:id="33" w:name="scoring-and-metrics"/>
    <w:p>
      <w:pPr>
        <w:pStyle w:val="Heading2"/>
      </w:pPr>
      <w:r>
        <w:t xml:space="preserve">Scoring and metrics</w:t>
      </w:r>
    </w:p>
    <w:p>
      <w:pPr>
        <w:pStyle w:val="FirstParagraph"/>
      </w:pPr>
      <w:r>
        <w:t xml:space="preserve">The likelihood model is Qwen2.5-Coder-0.5B-Instruct, run in fp16 as a plain base scorer. Following</w:t>
      </w:r>
      <w:r>
        <w:t xml:space="preserve"> </w:t>
      </w:r>
      <w:r>
        <w:t xml:space="preserve">the original method, the scorer sees only the state prefix and never a problem statement or task</w:t>
      </w:r>
      <w:r>
        <w:t xml:space="preserve"> </w:t>
      </w:r>
      <w:r>
        <w:t xml:space="preserve">description. Per-token log-probabilities come from a single forward pass over context plus</w:t>
      </w:r>
      <w:r>
        <w:t xml:space="preserve"> </w:t>
      </w:r>
      <w:r>
        <w:t xml:space="preserve">continuation; tokens whose character span straddles the context and continuation seam are dropped,</w:t>
      </w:r>
      <w:r>
        <w:t xml:space="preserve"> </w:t>
      </w:r>
      <w:r>
        <w:t xml:space="preserve">which is an approximation we document rather than correct. The decision token is located by mapping</w:t>
      </w:r>
      <w:r>
        <w:t xml:space="preserve"> </w:t>
      </w:r>
      <w:r>
        <w:t xml:space="preserve">the regex’s group-1 character offset through the tokenizer’s offset table to the first continuation</w:t>
      </w:r>
      <w:r>
        <w:t xml:space="preserve"> </w:t>
      </w:r>
      <w:r>
        <w:t xml:space="preserve">token starting at or after it.</w:t>
      </w:r>
    </w:p>
    <w:p>
      <w:pPr>
        <w:pStyle w:val="BodyText"/>
      </w:pPr>
      <w:r>
        <w:t xml:space="preserve">An item over-reaches when the decision token index falls strictly inside the retained prefix,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_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x</m:t>
        </m:r>
        <m:r>
          <m:rPr>
            <m:sty m:val="p"/>
          </m:rPr>
          <m:t>&lt;</m:t>
        </m:r>
        <m:r>
          <m:t>b</m:t>
        </m:r>
      </m:oMath>
      <w:r>
        <w:t xml:space="preserve">: the rule has committed the branch instead of stopping short of it. For a</w:t>
      </w:r>
      <w:r>
        <w:t xml:space="preserve"> </w:t>
      </w:r>
      <w:r>
        <w:t xml:space="preserve">control we record the fraction of the continuation completed,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n</m:t>
        </m:r>
      </m:oMath>
      <w:r>
        <w:t xml:space="preserve">, so a control with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been cut off partway through benign text.</w:t>
      </w:r>
    </w:p>
    <w:p>
      <w:pPr>
        <w:pStyle w:val="BodyText"/>
      </w:pPr>
      <w:r>
        <w:t xml:space="preserve">Proportions carry Wilson 95% intervals. Point-biserial correlations carry bootstrap 95% intervals</w:t>
      </w:r>
      <w:r>
        <w:t xml:space="preserve"> </w:t>
      </w:r>
      <w:r>
        <w:t xml:space="preserve">over 5</w:t>
      </w:r>
      <w:r>
        <w:t xml:space="preserve">,</w:t>
      </w:r>
      <w:r>
        <w:t xml:space="preserve">000 resamples at a fixed seed and are refused outright when either class has fewer than ten</w:t>
      </w:r>
      <w:r>
        <w:t xml:space="preserve"> </w:t>
      </w:r>
      <w:r>
        <w:t xml:space="preserve">members, a guard set before looking at results. The logistic model is fit by iteratively reweighted</w:t>
      </w:r>
      <w:r>
        <w:t xml:space="preserve"> </w:t>
      </w:r>
      <w:r>
        <w:t xml:space="preserve">least squares on standardised predictors with a small ridge term.</w:t>
      </w:r>
    </w:p>
    <w:bookmarkEnd w:id="33"/>
    <w:bookmarkEnd w:id="34"/>
    <w:bookmarkStart w:id="65" w:name="results"/>
    <w:p>
      <w:pPr>
        <w:pStyle w:val="Heading1"/>
      </w:pPr>
      <w:r>
        <w:t xml:space="preserve">Results</w:t>
      </w:r>
    </w:p>
    <w:bookmarkStart w:id="39" w:name="X2462c8a87df07f58dbc540077436cf6805f1677"/>
    <w:p>
      <w:pPr>
        <w:pStyle w:val="Heading2"/>
      </w:pPr>
      <w:r>
        <w:t xml:space="preserve">The rule commits a third of consequential decisions</w:t>
      </w:r>
    </w:p>
    <w:bookmarkStart w:id="35" w:name="tab:main"/>
    <w:p>
      <w:pPr>
        <w:pStyle w:val="TableCaption"/>
      </w:pPr>
      <w:r>
        <w:t xml:space="preserve">Main results at both published operating points. Over-reach means the rule wrote the</w:t>
      </w:r>
      <w:r>
        <w:t xml:space="preserve"> </w:t>
      </w:r>
      <w:r>
        <w:t xml:space="preserve">dangerous branch. Control early-stop means it cut into benign boilerplate. Brackets are Wilson 95%</w:t>
      </w:r>
      <w:r>
        <w:t xml:space="preserve"> </w:t>
      </w:r>
      <w:r>
        <w:t xml:space="preserve">intervals.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ain results at both published operating points. Over-reach means the rule wrote the dangerous branch. Control early-stop means it cut into benign boilerplate. Brackets are Wilson 95% intervals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0.32</m:t>
              </m:r>
            </m:oMath>
            <w:r>
              <w:t xml:space="preserve"> </w:t>
            </w:r>
            <w:r>
              <w:t xml:space="preserve">(simulated)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(user study)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Over-reach, all decisions (n=112)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8.9% [4.9, 15.7]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33.0% [25.0, 42.2]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items (n=102)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5.9% [2.7, 12.2]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28.4% [20.6, 37.8]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 items (n=10)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40.0% [16.8, 68.7]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80.0% [49.0, 94.3]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cut off early (n=12)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[75.7, 100]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91.7% [64.6, 98.5]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benign continuation completed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retained prefix, decisions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retained prefix, controls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 tokens</w:t>
            </w:r>
          </w:p>
        </w:tc>
      </w:tr>
    </w:tbl>
    <w:bookmarkEnd w:id="35"/>
    <w:p>
      <w:pPr>
        <w:pStyle w:val="BodyText"/>
      </w:pPr>
      <w:r>
        <w:t xml:space="preserve">Table </w:t>
      </w:r>
      <w:hyperlink w:anchor="tab:mai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 the headline. At the threshold the user study used, the boundary rule writes</w:t>
      </w:r>
      <w:r>
        <w:t xml:space="preserve"> </w:t>
      </w:r>
      <w:r>
        <w:t xml:space="preserve">the dangerous branch on 37 of 112 consequential decisions. Restricting to the 102 standard items,</w:t>
      </w:r>
      <w:r>
        <w:t xml:space="preserve"> </w:t>
      </w:r>
      <w:r>
        <w:t xml:space="preserve">the ones authored under the position-control rule, it is 29, or 28.4%. On the ten probes it is 8 of</w:t>
      </w:r>
      <w:r>
        <w:t xml:space="preserve"> </w:t>
      </w:r>
      <w:r>
        <w:t xml:space="preserve">10.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0.32</m:t>
        </m:r>
      </m:oMath>
      <w:r>
        <w:t xml:space="preserve"> </w:t>
      </w:r>
      <w:r>
        <w:t xml:space="preserve">the picture improves to 8.9% overall and 5.9% on standard items, and it is worth</w:t>
      </w:r>
      <w:r>
        <w:t xml:space="preserve"> </w:t>
      </w:r>
      <w:r>
        <w:t xml:space="preserve">saying plainly that this is the safer of the two published settings by a wide margin. It is also the</w:t>
      </w:r>
      <w:r>
        <w:t xml:space="preserve"> </w:t>
      </w:r>
      <w:r>
        <w:t xml:space="preserve">setting at which the assistant completes 7.5% of a benign continuation before stopping, with a</w:t>
      </w:r>
      <w:r>
        <w:t xml:space="preserve"> </w:t>
      </w:r>
      <w:r>
        <w:t xml:space="preserve">median retained prefix of one token. An assistant that writes one token and hands back is not an</w:t>
      </w:r>
      <w:r>
        <w:t xml:space="preserve"> </w:t>
      </w:r>
      <w:r>
        <w:t xml:space="preserve">assistant.</w:t>
      </w:r>
    </w:p>
    <w:p>
      <w:pPr>
        <w:pStyle w:val="CaptionedFigure"/>
      </w:pPr>
      <w:r>
        <w:drawing>
          <wp:inline>
            <wp:extent cx="4960620" cy="264350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/fig1_mechanis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643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mechanism, on two items. Left: an SQL injection the rule writes in full, because every</w:t>
      </w:r>
      <w:r>
        <w:t xml:space="preserve"> </w:t>
      </w:r>
      <w:r>
        <w:t xml:space="preserve">token of it is expected. Right: a hardcoded API key the rule refuses, because the key string is</w:t>
      </w:r>
      <w:r>
        <w:t xml:space="preserve"> </w:t>
      </w:r>
      <w:r>
        <w:t xml:space="preserve">high-entropy. Neither outcome has anything to do with the stakes of the decision. Dashed line is</w:t>
      </w:r>
      <w:r>
        <w:t xml:space="preserve"> </w:t>
      </w:r>
      <m:oMath>
        <m:r>
          <m:rPr>
            <m:sty m:val="p"/>
          </m:rPr>
          <m:t>log</m:t>
        </m:r>
        <m:r>
          <m:t>τ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Figure </w:t>
      </w:r>
      <w:hyperlink w:anchor="fig:mechanism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failure and the non-failure side by side, and the contrast</w:t>
      </w:r>
      <w:r>
        <w:t xml:space="preserve"> </w:t>
      </w:r>
      <w:r>
        <w:t xml:space="preserve">explains most of what follows. On</w:t>
      </w:r>
      <w:r>
        <w:t xml:space="preserve"> </w:t>
      </w:r>
      <w:r>
        <w:rPr>
          <w:rStyle w:val="VerbatimChar"/>
        </w:rPr>
        <w:t xml:space="preserve">sec-014</w:t>
      </w:r>
      <w:r>
        <w:t xml:space="preserve"> </w:t>
      </w:r>
      <w:r>
        <w:t xml:space="preserve">the model is asked to look up a user by id. The</w:t>
      </w:r>
      <w:r>
        <w:t xml:space="preserve"> </w:t>
      </w:r>
      <w:r>
        <w:t xml:space="preserve">f-string SQL query it wants to write is entirely unremarkable to a code model: the cumulative</w:t>
      </w:r>
      <w:r>
        <w:t xml:space="preserve"> </w:t>
      </w:r>
      <w:r>
        <w:t xml:space="preserve">log-likelihood drifts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only</w:t>
      </w:r>
      <w:r>
        <w:t xml:space="preserve"> </w:t>
      </w:r>
      <m:oMath>
        <m:r>
          <m:rPr>
            <m:sty m:val="p"/>
          </m:rPr>
          <m:t>−</m:t>
        </m:r>
        <m:r>
          <m:t>2.3</m:t>
        </m:r>
      </m:oMath>
      <w:r>
        <w:t xml:space="preserve"> </w:t>
      </w:r>
      <w:r>
        <w:t xml:space="preserve">nats over eighteen tokens and never crosses</w:t>
      </w:r>
      <w:r>
        <w:t xml:space="preserve"> </w:t>
      </w:r>
      <m:oMath>
        <m:r>
          <m:rPr>
            <m:sty m:val="p"/>
          </m:rPr>
          <m:t>log</m:t>
        </m:r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2.77</m:t>
        </m:r>
      </m:oMath>
      <w:r>
        <w:t xml:space="preserve"> </w:t>
      </w:r>
      <w:r>
        <w:t xml:space="preserve">until the very last one. The rule writes the whole injectable query and the</w:t>
      </w:r>
      <w:r>
        <w:t xml:space="preserve"> </w:t>
      </w:r>
      <w:r>
        <w:rPr>
          <w:rStyle w:val="VerbatimChar"/>
        </w:rPr>
        <w:t xml:space="preserve">cursor.execute</w:t>
      </w:r>
      <w:r>
        <w:t xml:space="preserve"> </w:t>
      </w:r>
      <w:r>
        <w:t xml:space="preserve">call after it. On</w:t>
      </w:r>
      <w:r>
        <w:t xml:space="preserve"> </w:t>
      </w:r>
      <w:r>
        <w:rPr>
          <w:rStyle w:val="VerbatimChar"/>
        </w:rPr>
        <w:t xml:space="preserve">sek-001</w:t>
      </w:r>
      <w:r>
        <w:t xml:space="preserve"> </w:t>
      </w:r>
      <w:r>
        <w:t xml:space="preserve">the model is asked to configure a</w:t>
      </w:r>
      <w:r>
        <w:t xml:space="preserve"> </w:t>
      </w:r>
      <w:r>
        <w:t xml:space="preserve">payments client, and the hardcoded key</w:t>
      </w:r>
      <w:r>
        <w:t xml:space="preserve"> </w:t>
      </w:r>
      <w:r>
        <w:rPr>
          <w:rStyle w:val="VerbatimChar"/>
        </w:rPr>
        <w:t xml:space="preserve">"sk-live-4f9a2b7c8d"</w:t>
      </w:r>
      <w:r>
        <w:t xml:space="preserve"> </w:t>
      </w:r>
      <w:r>
        <w:t xml:space="preserve">costs</w:t>
      </w:r>
      <w:r>
        <w:t xml:space="preserve"> </w:t>
      </w:r>
      <m:oMath>
        <m:r>
          <m:t>6.56</m:t>
        </m:r>
      </m:oMath>
      <w:r>
        <w:t xml:space="preserve"> </w:t>
      </w:r>
      <w:r>
        <w:t xml:space="preserve">nats on its first</w:t>
      </w:r>
      <w:r>
        <w:t xml:space="preserve"> </w:t>
      </w:r>
      <w:r>
        <w:t xml:space="preserve">token alone, blowing a four-bit budget before the continuation starts. The rule defers. It did not</w:t>
      </w:r>
      <w:r>
        <w:t xml:space="preserve"> </w:t>
      </w:r>
      <w:r>
        <w:t xml:space="preserve">defer because a credential is dangerous. It deferred because a random-looking string is</w:t>
      </w:r>
      <w:r>
        <w:t xml:space="preserve"> </w:t>
      </w:r>
      <w:r>
        <w:t xml:space="preserve">unpredictable.</w:t>
      </w:r>
    </w:p>
    <w:bookmarkEnd w:id="39"/>
    <w:bookmarkStart w:id="43" w:name="Xdeb3129f6ab6cd521225471a1407745891757b1"/>
    <w:p>
      <w:pPr>
        <w:pStyle w:val="Heading2"/>
      </w:pPr>
      <w:r>
        <w:t xml:space="preserve">The benchmark’s premise holds: the dangerous branch is the expected one</w:t>
      </w:r>
    </w:p>
    <w:p>
      <w:pPr>
        <w:pStyle w:val="FirstParagraph"/>
      </w:pPr>
      <w:r>
        <w:t xml:space="preserve">Before drawing conclusions from the over-reach rate we should check that CEDE-Bench is the benchmark</w:t>
      </w:r>
      <w:r>
        <w:t xml:space="preserve"> </w:t>
      </w:r>
      <w:r>
        <w:t xml:space="preserve">it claims to be, because if the risky branches were unlikely the whole exercise would be measuring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They are likely. The mean probability of the risky branch under the scorer is 0.600 and the median</w:t>
      </w:r>
      <w:r>
        <w:t xml:space="preserve"> </w:t>
      </w:r>
      <w:r>
        <w:t xml:space="preserve">is 0.720. Seventy-one of 112 decision tokens carry probability above one half, and 37 carry</w:t>
      </w:r>
      <w:r>
        <w:t xml:space="preserve"> </w:t>
      </w:r>
      <w:r>
        <w:t xml:space="preserve">probability above 0.9. In bits, the mean decision token costs 1.76 and 83% of them cost less than</w:t>
      </w:r>
      <w:r>
        <w:t xml:space="preserve"> </w:t>
      </w:r>
      <w:r>
        <w:t xml:space="preserve">the entire four-bit budget available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. Figure </w:t>
      </w:r>
      <w:hyperlink w:anchor="fig:predictability">
        <w:r>
          <w:rPr>
            <w:rStyle w:val="Hyperlink"/>
          </w:rPr>
          <w:t xml:space="preserve">2</w:t>
        </w:r>
      </w:hyperlink>
      <w:r>
        <w:t xml:space="preserve">(a) shows the</w:t>
      </w:r>
      <w:r>
        <w:t xml:space="preserve"> </w:t>
      </w:r>
      <w:r>
        <w:t xml:space="preserve">distribution against that budget line.</w:t>
      </w:r>
    </w:p>
    <w:p>
      <w:pPr>
        <w:pStyle w:val="CaptionedFigure"/>
      </w:pPr>
      <w:r>
        <w:drawing>
          <wp:inline>
            <wp:extent cx="4960620" cy="240425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/fig3_predictabilit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04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Risky branches are what the model expects. (a) Most decision tokens cost well under the</w:t>
      </w:r>
      <w:r>
        <w:t xml:space="preserve"> </w:t>
      </w:r>
      <w:r>
        <w:t xml:space="preserve">four-bit budget the rule has to spend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. (b) Predictability by category. Secrets are the</w:t>
      </w:r>
      <w:r>
        <w:t xml:space="preserve"> </w:t>
      </w:r>
      <w:r>
        <w:t xml:space="preserve">outlier, and they are the category the rule handles best, for reasons that have nothing to do with</w:t>
      </w:r>
      <w:r>
        <w:t xml:space="preserve"> </w:t>
      </w:r>
      <w:r>
        <w:t xml:space="preserve">recognising a credential.</w:t>
      </w:r>
    </w:p>
    <w:p>
      <w:pPr>
        <w:pStyle w:val="BodyText"/>
      </w:pPr>
      <w:r>
        <w:t xml:space="preserve">Panel (b) breaks this down and contains a result worth pausing on. The most predictable category is</w:t>
      </w:r>
      <w:r>
        <w:t xml:space="preserve"> </w:t>
      </w:r>
      <w:r>
        <w:t xml:space="preserve">API choice at mean probability 0.776, followed by irreversible operations at 0.689, security</w:t>
      </w:r>
      <w:r>
        <w:t xml:space="preserve"> </w:t>
      </w:r>
      <w:r>
        <w:t xml:space="preserve">parameters at 0.603, and policy defaults at 0.577. Secrets sit far below at 0.355, with a mean cost</w:t>
      </w:r>
      <w:r>
        <w:t xml:space="preserve"> </w:t>
      </w:r>
      <w:r>
        <w:t xml:space="preserve">of 4.04 bits. That ordering is mechanical rather than semantic. A literal API key is a random</w:t>
      </w:r>
      <w:r>
        <w:t xml:space="preserve"> </w:t>
      </w:r>
      <w:r>
        <w:t xml:space="preserve">string and the tokenizer has no idea what comes next. A call to</w:t>
      </w:r>
      <w:r>
        <w:t xml:space="preserve"> </w:t>
      </w:r>
      <w:r>
        <w:rPr>
          <w:rStyle w:val="VerbatimChar"/>
        </w:rPr>
        <w:t xml:space="preserve">hashlib.md5</w:t>
      </w:r>
      <w:r>
        <w:t xml:space="preserve"> </w:t>
      </w:r>
      <w:r>
        <w:t xml:space="preserve">inside a</w:t>
      </w:r>
      <w:r>
        <w:t xml:space="preserve"> </w:t>
      </w:r>
      <w:r>
        <w:t xml:space="preserve">function named</w:t>
      </w:r>
      <w:r>
        <w:t xml:space="preserve"> </w:t>
      </w:r>
      <w:r>
        <w:rPr>
          <w:rStyle w:val="VerbatimChar"/>
        </w:rPr>
        <w:t xml:space="preserve">hash_password</w:t>
      </w:r>
      <w:r>
        <w:t xml:space="preserve"> </w:t>
      </w:r>
      <w:r>
        <w:t xml:space="preserve">is nearly determined.</w:t>
      </w:r>
    </w:p>
    <w:bookmarkEnd w:id="43"/>
    <w:bookmarkStart w:id="47" w:name="X5575412a97b18af5f1d600c4f95b03c40449853"/>
    <w:p>
      <w:pPr>
        <w:pStyle w:val="Heading2"/>
      </w:pPr>
      <w:r>
        <w:t xml:space="preserve">The rule also interrupts benign text, at the same threshold</w:t>
      </w:r>
    </w:p>
    <w:p>
      <w:pPr>
        <w:pStyle w:val="FirstParagraph"/>
      </w:pPr>
      <w:r>
        <w:t xml:space="preserve">If over-reach were the only failure it could be fixed by lowering</w:t>
      </w:r>
      <w:r>
        <w:t xml:space="preserve"> </w:t>
      </w:r>
      <m:oMath>
        <m:r>
          <m:t>η</m:t>
        </m:r>
      </m:oMath>
      <w:r>
        <w:t xml:space="preserve">. It is not.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the rule cuts into 11 of the 12 benign controls, completing 35.4% of an ordinary</w:t>
      </w:r>
      <w:r>
        <w:t xml:space="preserve"> </w:t>
      </w:r>
      <w:r>
        <w:t xml:space="preserve">boilerplate continuation on average.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0.32</m:t>
        </m:r>
      </m:oMath>
      <w:r>
        <w:t xml:space="preserve"> </w:t>
      </w:r>
      <w:r>
        <w:t xml:space="preserve">it cuts into all 12, completing 7.5%. These</w:t>
      </w:r>
      <w:r>
        <w:t xml:space="preserve"> </w:t>
      </w:r>
      <w:r>
        <w:t xml:space="preserve">are continuations with no consequential choice anywhere in them, where the correct behaviour is to</w:t>
      </w:r>
      <w:r>
        <w:t xml:space="preserve"> </w:t>
      </w:r>
      <w:r>
        <w:t xml:space="preserve">finish. The assistant is stopping in the middle of code nobody needed to approve.</w:t>
      </w:r>
    </w:p>
    <w:p>
      <w:pPr>
        <w:pStyle w:val="CaptionedFigure"/>
      </w:pPr>
      <w:r>
        <w:drawing>
          <wp:inline>
            <wp:extent cx="4960620" cy="229170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/fig2_sweep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291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 Over-reach against threshold, with both published operating points marked. Shaded band</w:t>
      </w:r>
      <w:r>
        <w:t xml:space="preserve"> </w:t>
      </w:r>
      <w:r>
        <w:t xml:space="preserve">is the Wilson interval on standard items. (b) The same sweep as a trade-off. Every point that lowers</w:t>
      </w:r>
      <w:r>
        <w:t xml:space="preserve"> </w:t>
      </w:r>
      <w:r>
        <w:t xml:space="preserve">over-reach also lowers how much benign code the assistant is willing to write. The circled point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Both errors are live at every setting we tested. Figure </w:t>
      </w:r>
      <w:hyperlink w:anchor="fig:sweep">
        <w:r>
          <w:rPr>
            <w:rStyle w:val="Hyperlink"/>
          </w:rPr>
          <w:t xml:space="preserve">3</w:t>
        </w:r>
      </w:hyperlink>
      <w:r>
        <w:t xml:space="preserve">(b) plots one against the</w:t>
      </w:r>
      <w:r>
        <w:t xml:space="preserve"> </w:t>
      </w:r>
      <w:r>
        <w:t xml:space="preserve">other across the sweep, and the curve has no elbow: buying a lower over-reach rate costs benign</w:t>
      </w:r>
      <w:r>
        <w:t xml:space="preserve"> </w:t>
      </w:r>
      <w:r>
        <w:t xml:space="preserve">completion at close to a constant exchange rate.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0.125</m:t>
        </m:r>
      </m:oMath>
      <w:r>
        <w:t xml:space="preserve">, the safest point we tested,</w:t>
      </w:r>
      <w:r>
        <w:t xml:space="preserve"> </w:t>
      </w:r>
      <w:r>
        <w:t xml:space="preserve">over-reach on decisions is still 7.1% and the assistant finishes 2.5% of benign text.</w:t>
      </w:r>
    </w:p>
    <w:bookmarkEnd w:id="47"/>
    <w:bookmarkStart w:id="52" w:name="Xb60ed212cada3595f0b94026a51e6196c702664"/>
    <w:p>
      <w:pPr>
        <w:pStyle w:val="Heading2"/>
      </w:pPr>
      <w:r>
        <w:t xml:space="preserve">What predicts failure is position, then predictability, and never importance</w:t>
      </w:r>
    </w:p>
    <w:p>
      <w:pPr>
        <w:pStyle w:val="FirstParagraph"/>
      </w:pPr>
      <w:r>
        <w:t xml:space="preserve">With 37 positives the correlational analysis clears the guard we set, so we can ask what separates</w:t>
      </w:r>
      <w:r>
        <w:t xml:space="preserve"> </w:t>
      </w:r>
      <w:r>
        <w:t xml:space="preserve">the decisions the rule commits from the ones it defers.</w:t>
      </w:r>
    </w:p>
    <w:p>
      <w:pPr>
        <w:pStyle w:val="BodyText"/>
      </w:pPr>
      <w:r>
        <w:t xml:space="preserve">Position dominates. Over-reach correlates with the decision token’s index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0.563</m:t>
        </m:r>
      </m:oMath>
      <w:r>
        <w:t xml:space="preserve"> </w:t>
      </w:r>
      <w:r>
        <w:t xml:space="preserve">(bootstrap</w:t>
      </w:r>
      <w:r>
        <w:t xml:space="preserve"> </w:t>
      </w:r>
      <w:r>
        <w:t xml:space="preserve">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0.657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0.472</m:t>
            </m:r>
          </m:e>
        </m:d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) and with the token’s own probability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0.255</m:t>
        </m:r>
      </m:oMath>
      <w:r>
        <w:t xml:space="preserve"> </w:t>
      </w:r>
      <w:r>
        <w:t xml:space="preserve">(</w:t>
      </w:r>
      <m:oMath>
        <m:d>
          <m:dPr>
            <m:begChr m:val="["/>
            <m:endChr m:val="]"/>
            <m:sepChr m:val=""/>
            <m:grow/>
          </m:dPr>
          <m:e>
            <m:r>
              <m:t>0.096</m:t>
            </m:r>
            <m:r>
              <m:rPr>
                <m:sty m:val="p"/>
              </m:rPr>
              <m:t>,</m:t>
            </m:r>
            <m:r>
              <m:t>0.409</m:t>
            </m:r>
          </m:e>
        </m:d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0.007</m:t>
        </m:r>
      </m:oMath>
      <w:r>
        <w:t xml:space="preserve">). Both are real. In a logistic model on standardised</w:t>
      </w:r>
      <w:r>
        <w:t xml:space="preserve"> </w:t>
      </w:r>
      <w:r>
        <w:t xml:space="preserve">predictors, decision index carries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4.47</m:t>
        </m:r>
      </m:oMath>
      <w:r>
        <w:t xml:space="preserve"> </w:t>
      </w:r>
      <w:r>
        <w:t xml:space="preserve">(SE 1.04,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4.31</m:t>
        </m:r>
      </m:oMath>
      <w:r>
        <w:t xml:space="preserve">) and branch probability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1.44</m:t>
        </m:r>
      </m:oMath>
      <w:r>
        <w:t xml:space="preserve"> </w:t>
      </w:r>
      <w:r>
        <w:t xml:space="preserve">(SE 0.39,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3.71</m:t>
        </m:r>
      </m:oMath>
      <w:r>
        <w:t xml:space="preserve">). The position coefficient is about three times the size.</w:t>
      </w:r>
    </w:p>
    <w:p>
      <w:pPr>
        <w:pStyle w:val="BodyText"/>
      </w:pPr>
      <w:r>
        <w:t xml:space="preserve">Binned, the gradient is stark. Decisions in the first two tokens are committed 76% of the time (16</w:t>
      </w:r>
      <w:r>
        <w:t xml:space="preserve"> </w:t>
      </w:r>
      <w:r>
        <w:t xml:space="preserve">of 21). Tokens 2 to 4, 51% (18 of 35). Tokens 5 to 9, 14% (3 of 21). Past token ten, zero of</w:t>
      </w:r>
      <w:r>
        <w:t xml:space="preserve"> </w:t>
      </w:r>
      <w:r>
        <w:t xml:space="preserve">thirty-five. No consequential decision anywhere in the benchmark is committed if it sits ten tokens</w:t>
      </w:r>
      <w:r>
        <w:t xml:space="preserve"> </w:t>
      </w:r>
      <w:r>
        <w:t xml:space="preserve">into the continuation, and no property of the decision changes that.</w:t>
      </w:r>
    </w:p>
    <w:bookmarkStart w:id="48" w:name="tab:twobytwo"/>
    <w:p>
      <w:pPr>
        <w:pStyle w:val="TableCaption"/>
      </w:pPr>
      <w:r>
        <w:t xml:space="preserve">Over-reach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by predictability and position (median split at index 4.5).</w:t>
      </w:r>
      <w:r>
        <w:t xml:space="preserve"> </w:t>
      </w:r>
      <w:r>
        <w:t xml:space="preserve">Predictability matters, but only inside the early stratum. Late decisions are safe whatever they</w:t>
      </w:r>
      <w:r>
        <w:t xml:space="preserve"> </w:t>
      </w:r>
      <w:r>
        <w:t xml:space="preserve">are.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Over-reach at \eta = 4 by predictability and position (median split at index 4.5). Predictability matters, but only inside the early stratum. Late decisions are safe whatever they are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Early decision (index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Late decision (index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branch (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76.5%</w:t>
            </w:r>
            <w:r>
              <w:t xml:space="preserve"> </w:t>
            </w:r>
            <w:r>
              <w:t xml:space="preserve">(26/34)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5.4% (2/37)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Unpredictable branch (</w:t>
            </w:r>
            <m:oMath>
              <m:r>
                <m:t>p</m:t>
              </m:r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36.4% (8/22)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5.3% (1/19)</w:t>
            </w:r>
          </w:p>
        </w:tc>
      </w:tr>
    </w:tbl>
    <w:bookmarkEnd w:id="48"/>
    <w:p>
      <w:pPr>
        <w:pStyle w:val="BodyText"/>
      </w:pPr>
      <w:r>
        <w:t xml:space="preserve">Table </w:t>
      </w:r>
      <w:hyperlink w:anchor="tab:twobytwo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puts the two together. Position gates the failure and predictability sets</w:t>
      </w:r>
      <w:r>
        <w:t xml:space="preserve"> </w:t>
      </w:r>
      <w:r>
        <w:t xml:space="preserve">its size within the gate. A predictable branch sitting early is committed three quarters of the</w:t>
      </w:r>
      <w:r>
        <w:t xml:space="preserve"> </w:t>
      </w:r>
      <w:r>
        <w:t xml:space="preserve">time; the same branch sitting late is committed one time in twenty. Among the 37 most predictable</w:t>
      </w:r>
      <w:r>
        <w:t xml:space="preserve"> </w:t>
      </w:r>
      <w:r>
        <w:t xml:space="preserve">decisions in the benchmark, those 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0.9</m:t>
        </m:r>
      </m:oMath>
      <w:r>
        <w:t xml:space="preserve">, the rule commits 18, or 48.6%.</w:t>
      </w:r>
    </w:p>
    <w:p>
      <w:pPr>
        <w:pStyle w:val="CaptionedFigure"/>
      </w:pPr>
      <w:r>
        <w:drawing>
          <wp:inline>
            <wp:extent cx="4960620" cy="248677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/fig4_driver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86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 Over-reach by decision position, split by branch predictability. Counts above bars. (b)</w:t>
      </w:r>
      <w:r>
        <w:t xml:space="preserve"> </w:t>
      </w:r>
      <w:r>
        <w:t xml:space="preserve">Point-biserial correlations with over-reach and their bootstrap intervals. Continuation length is</w:t>
      </w:r>
      <w:r>
        <w:t xml:space="preserve"> </w:t>
      </w:r>
      <w:r>
        <w:t xml:space="preserve">included because it is a confound, not a finding.</w:t>
      </w:r>
    </w:p>
    <w:bookmarkEnd w:id="52"/>
    <w:bookmarkStart w:id="56" w:name="importance-is-invisible-to-the-rule"/>
    <w:p>
      <w:pPr>
        <w:pStyle w:val="Heading2"/>
      </w:pPr>
      <w:r>
        <w:t xml:space="preserve">Importance is invisible to the rule</w:t>
      </w:r>
    </w:p>
    <w:p>
      <w:pPr>
        <w:pStyle w:val="FirstParagraph"/>
      </w:pPr>
      <w:r>
        <w:t xml:space="preserve">The previous subsection shows that two structural properties predict over-reach. This one shows that</w:t>
      </w:r>
      <w:r>
        <w:t xml:space="preserve"> </w:t>
      </w:r>
      <w:r>
        <w:t xml:space="preserve">the property the benchmark was built around does not predict anything at all.</w:t>
      </w:r>
    </w:p>
    <w:p>
      <w:pPr>
        <w:pStyle w:val="BodyText"/>
      </w:pPr>
      <w:r>
        <w:t xml:space="preserve">Compare where the rule stops on consequential decisions against where it stops on benign controls.</w:t>
      </w:r>
      <w:r>
        <w:t xml:space="preserve"> </w:t>
      </w:r>
      <w:r>
        <w:t xml:space="preserve">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completes a mean 0.261 of a decision continuation and 0.354 of a control</w:t>
      </w:r>
      <w:r>
        <w:t xml:space="preserve"> </w:t>
      </w:r>
      <w:r>
        <w:t xml:space="preserve">continuation. A Mann–Whitney test on those two distributions returns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0.155</m:t>
        </m:r>
      </m:oMath>
      <w:r>
        <w:t xml:space="preserve">. The</w:t>
      </w:r>
      <w:r>
        <w:t xml:space="preserve"> </w:t>
      </w:r>
      <w:r>
        <w:t xml:space="preserve">decision-versus-control label correlates with the boundary position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0.087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0.335</m:t>
        </m:r>
      </m:oMath>
      <w:r>
        <w:t xml:space="preserve">).</w:t>
      </w:r>
      <w:r>
        <w:t xml:space="preserve"> </w:t>
      </w:r>
      <w:r>
        <w:t xml:space="preserve">Whether an item contains a decision that could delete a user’s data or leak a live credential makes</w:t>
      </w:r>
      <w:r>
        <w:t xml:space="preserve"> </w:t>
      </w:r>
      <w:r>
        <w:t xml:space="preserve">no measurable difference to where the assistant stops writing.</w:t>
      </w:r>
    </w:p>
    <w:p>
      <w:pPr>
        <w:pStyle w:val="CaptionedFigure"/>
      </w:pPr>
      <w:r>
        <w:drawing>
          <wp:inline>
            <wp:extent cx="4960620" cy="239319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/fig6_invisibl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393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 Distribution of how much of the continuation the rule completes, for consequential</w:t>
      </w:r>
      <w:r>
        <w:t xml:space="preserve"> </w:t>
      </w:r>
      <w:r>
        <w:t xml:space="preserve">decisions and for benign controls. The two are not distinguishable. (b) Every over-reach sits at low</w:t>
      </w:r>
      <w:r>
        <w:t xml:space="preserve"> </w:t>
      </w:r>
      <w:r>
        <w:t xml:space="preserve">decision index; predictability spreads the failures vertically but does not create them.</w:t>
      </w:r>
    </w:p>
    <w:p>
      <w:pPr>
        <w:pStyle w:val="BodyText"/>
      </w:pPr>
      <w:r>
        <w:t xml:space="preserve">One more check in the same direction. Across all 124 items, the rule’s stopping point lands within</w:t>
      </w:r>
      <w:r>
        <w:t xml:space="preserve"> </w:t>
      </w:r>
      <w:r>
        <w:t xml:space="preserve">one token of the item’s single most surprising token 57.9% of the time. It is a surprisal detector</w:t>
      </w:r>
      <w:r>
        <w:t xml:space="preserve"> </w:t>
      </w:r>
      <w:r>
        <w:t xml:space="preserve">with substantial noise from the cumulative budget, and nothing more.</w:t>
      </w:r>
    </w:p>
    <w:bookmarkEnd w:id="56"/>
    <w:bookmarkStart w:id="60" w:name="sec:entropyrate"/>
    <w:p>
      <w:pPr>
        <w:pStyle w:val="Heading2"/>
      </w:pPr>
      <w:r>
        <w:t xml:space="preserve">The boundary is a token count set by the local entropy rate</w:t>
      </w:r>
    </w:p>
    <w:p>
      <w:pPr>
        <w:pStyle w:val="FirstParagraph"/>
      </w:pPr>
      <w:r>
        <w:t xml:space="preserve">The positional result invites an obvious question: why should position matter so much? There is an</w:t>
      </w:r>
      <w:r>
        <w:t xml:space="preserve"> </w:t>
      </w:r>
      <w:r>
        <w:t xml:space="preserve">answer, and it comes from outside this literature.</w:t>
      </w:r>
    </w:p>
    <w:p>
      <w:pPr>
        <w:pStyle w:val="BodyText"/>
      </w:pPr>
      <w:r>
        <w:t xml:space="preserve">Suppose per-token surprisal in a continuation is approximately constant 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nats per token, which</w:t>
      </w:r>
      <w:r>
        <w:t xml:space="preserve"> </w:t>
      </w:r>
      <w:r>
        <w:t xml:space="preserve">is what entropy rate constancy and uniform information density predict for natural text</w:t>
      </w:r>
      <w:r>
        <w:t xml:space="preserve"> </w:t>
      </w:r>
      <w:r>
        <w:t xml:space="preserve">(Genzel and Charniak, 2002; Jaeger, 2010) and which we verify below for code.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≤</m:t>
            </m:r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≈</m:t>
        </m:r>
        <m:r>
          <m:rPr>
            <m:sty m:val="p"/>
          </m:rPr>
          <m:t>−</m:t>
        </m:r>
        <m:r>
          <m:t>k</m:t>
        </m:r>
        <m:r>
          <m:t>H</m:t>
        </m:r>
      </m:oMath>
      <w:r>
        <w:t xml:space="preserve">, and Equation </w:t>
      </w:r>
      <w:hyperlink w:anchor="eq:rule">
        <w:r>
          <w:rPr>
            <w:rStyle w:val="Hyperlink"/>
          </w:rPr>
          <w:t xml:space="preserve">[eq:rule]</w:t>
        </w:r>
      </w:hyperlink>
      <w:r>
        <w:t xml:space="preserve"> </w:t>
      </w:r>
      <w:r>
        <w:t xml:space="preserve">solves to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r>
                <m:t>η</m:t>
              </m:r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boundary is a token count. It does not depend on what any particular token is, only on how</w:t>
      </w:r>
      <w:r>
        <w:t xml:space="preserve"> </w:t>
      </w:r>
      <w:r>
        <w:t xml:space="preserve">predictable the surrounding text is on average. A decision token past index</w:t>
      </w:r>
      <w:r>
        <w:t xml:space="preserve"> </w:t>
      </w:r>
      <m:oMath>
        <m:r>
          <m:t>η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unreachable no matter how dangerous or how likely it is, and a decision token before that index is</w:t>
      </w:r>
      <w:r>
        <w:t xml:space="preserve"> </w:t>
      </w:r>
      <w:r>
        <w:t xml:space="preserve">committed almost regardless.</w:t>
      </w:r>
    </w:p>
    <w:p>
      <w:pPr>
        <w:pStyle w:val="CaptionedFigure"/>
      </w:pPr>
      <w:r>
        <w:drawing>
          <wp:inline>
            <wp:extent cx="4960620" cy="246271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/fig7_entropyrat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6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 Equation </w:t>
      </w:r>
      <w:hyperlink w:anchor="eq:tokencount">
        <w:r>
          <w:rPr>
            <w:rStyle w:val="Hyperlink"/>
          </w:rPr>
          <w:t xml:space="preserve">[eq:tokencount]</w:t>
        </w:r>
      </w:hyperlink>
      <w:r>
        <w:t xml:space="preserve"> </w:t>
      </w:r>
      <w:r>
        <w:t xml:space="preserve">against the observed boundary, capped at continuation</w:t>
      </w:r>
      <w:r>
        <w:t xml:space="preserve"> </w:t>
      </w:r>
      <w:r>
        <w:t xml:space="preserve">length. (b) Per-token surprisal in the first three tokens against the rest, for the 113 items with at</w:t>
      </w:r>
      <w:r>
        <w:t xml:space="preserve"> </w:t>
      </w:r>
      <w:r>
        <w:t xml:space="preserve">least six tokens. No reliable drift, which is the condition Equation </w:t>
      </w:r>
      <w:hyperlink w:anchor="eq:tokencount">
        <w:r>
          <w:rPr>
            <w:rStyle w:val="Hyperlink"/>
          </w:rPr>
          <w:t xml:space="preserve">[eq:tokencount]</w:t>
        </w:r>
      </w:hyperlink>
      <w:r>
        <w:t xml:space="preserve"> </w:t>
      </w:r>
      <w:r>
        <w:t xml:space="preserve">needs.</w:t>
      </w:r>
    </w:p>
    <w:p>
      <w:pPr>
        <w:pStyle w:val="BodyText"/>
      </w:pPr>
      <w:r>
        <w:t xml:space="preserve">Equation </w:t>
      </w:r>
      <w:hyperlink w:anchor="eq:tokencount">
        <w:r>
          <w:rPr>
            <w:rStyle w:val="Hyperlink"/>
          </w:rPr>
          <w:t xml:space="preserve">[eq:tokencount]</w:t>
        </w:r>
      </w:hyperlink>
      <w:r>
        <w:t xml:space="preserve"> </w:t>
      </w:r>
      <w:r>
        <w:t xml:space="preserve">holds up better than a one-parameter approximation has any right to.</w:t>
      </w:r>
      <w:r>
        <w:t xml:space="preserve"> </w:t>
      </w:r>
      <w:r>
        <w:t xml:space="preserve">Across all 124 items it recovers the observed boundary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0.742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0.55</m:t>
        </m:r>
      </m:oMath>
      <w:r>
        <w:t xml:space="preserve">) and a median</w:t>
      </w:r>
      <w:r>
        <w:t xml:space="preserve"> </w:t>
      </w:r>
      <w:r>
        <w:t xml:space="preserve">absolute error of one token. Averaged within groups it is close to exact on decision items, predicting</w:t>
      </w:r>
      <w:r>
        <w:t xml:space="preserve"> </w:t>
      </w:r>
      <w:r>
        <w:t xml:space="preserve">a mean prefix of 2.88 tokens against an observed 3.00, and it under-predicts on controls, 8.68</w:t>
      </w:r>
      <w:r>
        <w:t xml:space="preserve"> </w:t>
      </w:r>
      <w:r>
        <w:t xml:space="preserve">against 11.08, where the longer and flatter continuations give the residual more room. The condition</w:t>
      </w:r>
      <w:r>
        <w:t xml:space="preserve"> </w:t>
      </w:r>
      <w:r>
        <w:t xml:space="preserve">the derivation needs also holds: within an item, mean surprisal over the first three tokens (1.566</w:t>
      </w:r>
      <w:r>
        <w:t xml:space="preserve"> </w:t>
      </w:r>
      <w:r>
        <w:t xml:space="preserve">nats) does not differ reliably from the rest (1.228 nats, Wilcoxon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113</m:t>
        </m:r>
      </m:oMath>
      <w:r>
        <w:t xml:space="preserve">).</w:t>
      </w:r>
    </w:p>
    <w:p>
      <w:pPr>
        <w:pStyle w:val="BodyText"/>
      </w:pPr>
      <w:r>
        <w:t xml:space="preserve">This is the mechanism behind every other result in the paper. Decision items have a mean entropy rate</w:t>
      </w:r>
      <w:r>
        <w:t xml:space="preserve"> </w:t>
      </w:r>
      <w:r>
        <w:t xml:space="preserve">of 1.37 nats per token and controls 0.62, so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the rule buys about two tokens of</w:t>
      </w:r>
      <w:r>
        <w:t xml:space="preserve"> </w:t>
      </w:r>
      <w:r>
        <w:t xml:space="preserve">consequential code and about seven of boilerplate. Two tokens is roughly where the decisions in</w:t>
      </w:r>
      <w:r>
        <w:t xml:space="preserve"> </w:t>
      </w:r>
      <w:r>
        <w:t xml:space="preserve">CEDE-Bench sit.</w:t>
      </w:r>
    </w:p>
    <w:bookmarkEnd w:id="60"/>
    <w:bookmarkStart w:id="64" w:name="category-structure"/>
    <w:p>
      <w:pPr>
        <w:pStyle w:val="Heading2"/>
      </w:pPr>
      <w:r>
        <w:t xml:space="preserve">Category structure</w:t>
      </w:r>
    </w:p>
    <w:p>
      <w:pPr>
        <w:pStyle w:val="FirstParagraph"/>
      </w:pPr>
      <w:r>
        <w:t xml:space="preserve">Per-category over-reach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runs from 50.0% on security parameters (12 of 24) and 47.8%</w:t>
      </w:r>
      <w:r>
        <w:t xml:space="preserve"> </w:t>
      </w:r>
      <w:r>
        <w:t xml:space="preserve">on API choices (11 of 23) down to 13.0% on secrets (3 of 23) and 10.0% on policy defaults (2 of</w:t>
      </w:r>
      <w:r>
        <w:t xml:space="preserve"> </w:t>
      </w:r>
      <w:r>
        <w:t xml:space="preserve">20). Figure </w:t>
      </w:r>
      <w:hyperlink w:anchor="fig:categorie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plots these against each category’s mean branch predictability.</w:t>
      </w:r>
    </w:p>
    <w:p>
      <w:pPr>
        <w:pStyle w:val="CaptionedFigure"/>
      </w:pPr>
      <w:r>
        <w:drawing>
          <wp:inline>
            <wp:extent cx="3307080" cy="162177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/fig5_categorie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21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Over-reach by risk category, with each category’s mean branch predictability. Ordering is</w:t>
      </w:r>
      <w:r>
        <w:t xml:space="preserve"> </w:t>
      </w:r>
      <w:r>
        <w:t xml:space="preserve">suggestive; with 20 to 24 items per cell the differences are not tightly estimated.</w:t>
      </w:r>
    </w:p>
    <w:p>
      <w:pPr>
        <w:pStyle w:val="BodyText"/>
      </w:pPr>
      <w:r>
        <w:t xml:space="preserve">The ordering tracks predictability,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0.72</m:t>
        </m:r>
      </m:oMath>
      <w:r>
        <w:t xml:space="preserve"> </w:t>
      </w:r>
      <w:r>
        <w:t xml:space="preserve">across the five categories, but with five points</w:t>
      </w:r>
      <w:r>
        <w:t xml:space="preserve"> </w:t>
      </w:r>
      <w:r>
        <w:t xml:space="preserve">that correlation carries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0.17</m:t>
        </m:r>
      </m:oMath>
      <w:r>
        <w:t xml:space="preserve"> </w:t>
      </w:r>
      <w:r>
        <w:t xml:space="preserve">and we are not going to claim it. What we will claim is the</w:t>
      </w:r>
      <w:r>
        <w:t xml:space="preserve"> </w:t>
      </w:r>
      <w:r>
        <w:t xml:space="preserve">direction, because it has a mechanical explanation and it is the practically important one: the</w:t>
      </w:r>
      <w:r>
        <w:t xml:space="preserve"> </w:t>
      </w:r>
      <w:r>
        <w:t xml:space="preserve">categories the rule handles best are the ones whose dangerous token happens to look like noise. If a</w:t>
      </w:r>
      <w:r>
        <w:t xml:space="preserve"> </w:t>
      </w:r>
      <w:r>
        <w:t xml:space="preserve">future model tokenizes API keys more predictably, or if a project’s keys follow a guessable format,</w:t>
      </w:r>
      <w:r>
        <w:t xml:space="preserve"> </w:t>
      </w:r>
      <w:r>
        <w:t xml:space="preserve">the secrets category would move into the failure region and nothing about the method would have</w:t>
      </w:r>
      <w:r>
        <w:t xml:space="preserve"> </w:t>
      </w:r>
      <w:r>
        <w:t xml:space="preserve">changed.</w:t>
      </w:r>
    </w:p>
    <w:bookmarkEnd w:id="64"/>
    <w:bookmarkEnd w:id="65"/>
    <w:bookmarkStart w:id="6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rule works. It just does not do what its framing says it does.</w:t>
      </w:r>
    </w:p>
    <w:p>
      <w:pPr>
        <w:pStyle w:val="BodyText"/>
      </w:pPr>
      <w:r>
        <w:t xml:space="preserve">What it does is stop after roughly</w:t>
      </w:r>
      <w:r>
        <w:t xml:space="preserve"> </w:t>
      </w:r>
      <m:oMath>
        <m:r>
          <m:t>η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tokens, with the residual determined by where</w:t>
      </w:r>
      <w:r>
        <w:t xml:space="preserve"> </w:t>
      </w:r>
      <w:r>
        <w:t xml:space="preserve">the local surprisal happens to spike. Both halves produce failures on CEDE-Bench, and they produce</w:t>
      </w:r>
      <w:r>
        <w:t xml:space="preserve"> </w:t>
      </w:r>
      <w:r>
        <w:t xml:space="preserve">different ones. The token-count half explains why every over-reach sits at low index and why nothing</w:t>
      </w:r>
      <w:r>
        <w:t xml:space="preserve"> </w:t>
      </w:r>
      <w:r>
        <w:t xml:space="preserve">past token ten ever fails. The surprisal half explains the gradient inside that early window and the</w:t>
      </w:r>
      <w:r>
        <w:t xml:space="preserve"> </w:t>
      </w:r>
      <w:r>
        <w:t xml:space="preserve">category ordering. Neither half has a term for consequence, which is the thing</w:t>
      </w:r>
      <w:r>
        <w:t xml:space="preserve"> </w:t>
      </w:r>
      <w:r>
        <w:t xml:space="preserve">Horvitz (1999) put at the centre of the same problem twenty-seven years ago and the thing the</w:t>
      </w:r>
      <w:r>
        <w:t xml:space="preserve"> </w:t>
      </w:r>
      <w:r>
        <w:t xml:space="preserve">learning-to-defer line has been arguing for since Chow (1970).</w:t>
      </w:r>
    </w:p>
    <w:p>
      <w:pPr>
        <w:pStyle w:val="BodyText"/>
      </w:pPr>
      <w:r>
        <w:t xml:space="preserve">Whether this matters depends on what you wanted from the method. There is a reading of Empower’s</w:t>
      </w:r>
      <w:r>
        <w:t xml:space="preserve"> </w:t>
      </w:r>
      <w:r>
        <w:t xml:space="preserve">user-study result on which our finding is not a problem: participants got 38% fewer suggestions and</w:t>
      </w:r>
      <w:r>
        <w:t xml:space="preserve"> </w:t>
      </w:r>
      <w:r>
        <w:t xml:space="preserve">preferred the assistant, which is consistent with a rule that hands back control often and roughly</w:t>
      </w:r>
      <w:r>
        <w:t xml:space="preserve"> </w:t>
      </w:r>
      <w:r>
        <w:t xml:space="preserve">at random. If the goal is an assistant that writes less and interrupts in plausible places, surprisal</w:t>
      </w:r>
      <w:r>
        <w:t xml:space="preserve"> </w:t>
      </w:r>
      <w:r>
        <w:t xml:space="preserve">is a fine and very cheap heuristic, and our benign-control numbers show it will interrupt in plenty</w:t>
      </w:r>
      <w:r>
        <w:t xml:space="preserve"> </w:t>
      </w:r>
      <w:r>
        <w:t xml:space="preserve">of places. If the goal is the one in the framing, that the human keeps control over decisions that</w:t>
      </w:r>
      <w:r>
        <w:t xml:space="preserve"> </w:t>
      </w:r>
      <w:r>
        <w:t xml:space="preserve">matter, the mechanism does not support the claim, and a study measuring preference and acceptance</w:t>
      </w:r>
      <w:r>
        <w:t xml:space="preserve"> </w:t>
      </w:r>
      <w:r>
        <w:t xml:space="preserve">would not have caught it. Nobody in an 18-person study notices that the eleven times the assistant</w:t>
      </w:r>
      <w:r>
        <w:t xml:space="preserve"> </w:t>
      </w:r>
      <w:r>
        <w:t xml:space="preserve">deferred were uncorrelated with the three times it should have. This is the same gap</w:t>
      </w:r>
      <w:r>
        <w:t xml:space="preserve"> </w:t>
      </w:r>
      <w:r>
        <w:t xml:space="preserve">Vasconcelos et al. (2023) found on the interface side, where showing programmers token probabilities</w:t>
      </w:r>
      <w:r>
        <w:t xml:space="preserve"> </w:t>
      </w:r>
      <w:r>
        <w:t xml:space="preserve">did not help them find the parts worth checking, and it is the reason evaluations built on</w:t>
      </w:r>
      <w:r>
        <w:t xml:space="preserve"> </w:t>
      </w:r>
      <w:r>
        <w:t xml:space="preserve">acceptance rate (Mozannar et al., 2024) are the wrong instrument for this particular question.</w:t>
      </w:r>
    </w:p>
    <w:p>
      <w:pPr>
        <w:pStyle w:val="BodyText"/>
      </w:pPr>
      <w:r>
        <w:t xml:space="preserve">The practical implication is narrow and, we think, actionable. The failures are concentrated: 37</w:t>
      </w:r>
      <w:r>
        <w:t xml:space="preserve"> </w:t>
      </w:r>
      <w:r>
        <w:t xml:space="preserve">items, nearly all at low token index, mostly 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branches, in three of five categories.</w:t>
      </w:r>
      <w:r>
        <w:t xml:space="preserve"> </w:t>
      </w:r>
      <w:r>
        <w:t xml:space="preserve">That is a small enough target that a crude cost signal would dominate likelihood on it. A static</w:t>
      </w:r>
      <w:r>
        <w:t xml:space="preserve"> </w:t>
      </w:r>
      <w:r>
        <w:t xml:space="preserve">check over the retained prefix, of the kind a linter already performs, would catch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md5</w:t>
      </w:r>
      <w:r>
        <w:t xml:space="preserve"> </w:t>
      </w:r>
      <w:r>
        <w:t xml:space="preserve">in a password path,</w:t>
      </w:r>
      <w:r>
        <w:t xml:space="preserve"> </w:t>
      </w:r>
      <w:r>
        <w:rPr>
          <w:rStyle w:val="VerbatimChar"/>
        </w:rPr>
        <w:t xml:space="preserve">rmtree</w:t>
      </w:r>
      <w:r>
        <w:t xml:space="preserve"> </w:t>
      </w:r>
      <w:r>
        <w:t xml:space="preserve">on an unvalidated variable,</w:t>
      </w:r>
      <w:r>
        <w:t xml:space="preserve"> </w:t>
      </w:r>
      <w:r>
        <w:t xml:space="preserve">and an f-string in a SQL call, and it would do so without the estimation problems that make</w:t>
      </w:r>
      <w:r>
        <w:t xml:space="preserve"> </w:t>
      </w:r>
      <w:r>
        <w:t xml:space="preserve">importance hard to learn. Equation </w:t>
      </w:r>
      <w:hyperlink w:anchor="eq:tokencount">
        <w:r>
          <w:rPr>
            <w:rStyle w:val="Hyperlink"/>
          </w:rPr>
          <w:t xml:space="preserve">[eq:tokencount]</w:t>
        </w:r>
      </w:hyperlink>
      <w:r>
        <w:t xml:space="preserve"> </w:t>
      </w:r>
      <w:r>
        <w:t xml:space="preserve">also suggests a cheaper structural fix:</w:t>
      </w:r>
      <w:r>
        <w:t xml:space="preserve"> </w:t>
      </w:r>
      <w:r>
        <w:t xml:space="preserve">because the budget is effectively a token count, spending it per-token rather than cumulatively, or</w:t>
      </w:r>
      <w:r>
        <w:t xml:space="preserve"> </w:t>
      </w:r>
      <w:r>
        <w:t xml:space="preserve">resetting it at syntactic boundaries, would at least decouple deference from continuation offset.</w:t>
      </w:r>
      <w:r>
        <w:t xml:space="preserve"> </w:t>
      </w:r>
      <w:r>
        <w:t xml:space="preserve">Neither of these is evaluated here. We would rather report the measurement than a mitigation we have</w:t>
      </w:r>
      <w:r>
        <w:t xml:space="preserve"> </w:t>
      </w:r>
      <w:r>
        <w:t xml:space="preserve">not tested.</w:t>
      </w:r>
    </w:p>
    <w:bookmarkEnd w:id="66"/>
    <w:bookmarkStart w:id="67" w:name="sec: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We evaluate the boundary rule, which is the function that generates Empower’s training labels, and</w:t>
      </w:r>
      <w:r>
        <w:t xml:space="preserve"> </w:t>
      </w:r>
      <w:r>
        <w:t xml:space="preserve">not a model trained on those labels. A trained assistant could behave differently from its labelling</w:t>
      </w:r>
      <w:r>
        <w:t xml:space="preserve"> </w:t>
      </w:r>
      <w:r>
        <w:t xml:space="preserve">function in either direction. Our claims are about the rule and the likelihood signal it runs on,</w:t>
      </w:r>
      <w:r>
        <w:t xml:space="preserve"> </w:t>
      </w:r>
      <w:r>
        <w:t xml:space="preserve">and a reader who wants a claim about a deployed checkpoint should treat this paper as motivation for</w:t>
      </w:r>
      <w:r>
        <w:t xml:space="preserve"> </w:t>
      </w:r>
      <w:r>
        <w:t xml:space="preserve">that experiment rather than as a substitute for it. This is the limitation that worries us most.</w:t>
      </w:r>
    </w:p>
    <w:p>
      <w:pPr>
        <w:pStyle w:val="BodyText"/>
      </w:pPr>
      <w:r>
        <w:t xml:space="preserve">The probe items are confounded and we should not have called them a clean adversarial test. Their</w:t>
      </w:r>
      <w:r>
        <w:t xml:space="preserve"> </w:t>
      </w:r>
      <w:r>
        <w:t xml:space="preserve">continuations are almost all trivially short, seven of the ten being two tokens or fewer, and</w:t>
      </w:r>
      <w:r>
        <w:t xml:space="preserve"> </w:t>
      </w:r>
      <w:r>
        <w:t xml:space="preserve">over-reach correlates with continuation length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0.373</m:t>
        </m:r>
      </m:oMath>
      <w:r>
        <w:t xml:space="preserve">. A one-token continuation that gets</w:t>
      </w:r>
      <w:r>
        <w:t xml:space="preserve"> </w:t>
      </w:r>
      <w:r>
        <w:t xml:space="preserve">completed is nearly a tautology. The honest version of the probe result is that it demonstrates the</w:t>
      </w:r>
      <w:r>
        <w:t xml:space="preserve"> </w:t>
      </w:r>
      <w:r>
        <w:t xml:space="preserve">budget mechanism rather than an independent failure mode, and the number to trust from this paper is</w:t>
      </w:r>
      <w:r>
        <w:t xml:space="preserve"> </w:t>
      </w:r>
      <w:r>
        <w:t xml:space="preserve">the standard-item rate on continuations of at least ten tokens: 22 of 91, or 24.2%.</w:t>
      </w:r>
    </w:p>
    <w:p>
      <w:pPr>
        <w:pStyle w:val="BodyText"/>
      </w:pPr>
      <w:r>
        <w:t xml:space="preserve">Our continuations are hand-written rather than sampled from the assistant, so we score the likelihood</w:t>
      </w:r>
      <w:r>
        <w:t xml:space="preserve"> </w:t>
      </w:r>
      <w:r>
        <w:t xml:space="preserve">of the branch we chose to write, not the branch a model would actually produce. That is the design</w:t>
      </w:r>
      <w:r>
        <w:t xml:space="preserve"> </w:t>
      </w:r>
      <w:r>
        <w:t xml:space="preserve">decision we would change first, and it cuts in an unknown direction: sampling would remove the</w:t>
      </w:r>
      <w:r>
        <w:t xml:space="preserve"> </w:t>
      </w:r>
      <w:r>
        <w:t xml:space="preserve">authorial thumb on the scale but would also lose the matched safe-branch comparison that makes an</w:t>
      </w:r>
      <w:r>
        <w:t xml:space="preserve"> </w:t>
      </w:r>
      <w:r>
        <w:t xml:space="preserve">item interpretable.</w:t>
      </w:r>
    </w:p>
    <w:p>
      <w:pPr>
        <w:pStyle w:val="BodyText"/>
      </w:pPr>
      <w:r>
        <w:t xml:space="preserve">We ran a single primary scorer at 0.5B parameters. Equation </w:t>
      </w:r>
      <w:hyperlink w:anchor="eq:tokencount">
        <w:r>
          <w:rPr>
            <w:rStyle w:val="Hyperlink"/>
          </w:rPr>
          <w:t xml:space="preserve">[eq:tokencount]</w:t>
        </w:r>
      </w:hyperlink>
      <w:r>
        <w:t xml:space="preserve"> </w:t>
      </w:r>
      <w:r>
        <w:t xml:space="preserve">suggests the</w:t>
      </w:r>
      <w:r>
        <w:t xml:space="preserve"> </w:t>
      </w:r>
      <w:r>
        <w:t xml:space="preserve">qualitative pattern should survive a scale change, since it depends on the entropy rate rather than</w:t>
      </w:r>
      <w:r>
        <w:t xml:space="preserve"> </w:t>
      </w:r>
      <w:r>
        <w:t xml:space="preserve">on any particular probability, but a larger model has a lower entropy rate and would therefore buy a</w:t>
      </w:r>
      <w:r>
        <w:t xml:space="preserve"> </w:t>
      </w:r>
      <w:r>
        <w:t xml:space="preserve">longer prefix, which predicts more over-reach rather than less. We have not tested that. The pipeline</w:t>
      </w:r>
      <w:r>
        <w:t xml:space="preserve"> </w:t>
      </w:r>
      <w:r>
        <w:t xml:space="preserve">contains a model-size ablation against Qwen2.5-Coder-1.5B and a rule ablation against a</w:t>
      </w:r>
      <w:r>
        <w:t xml:space="preserve"> </w:t>
      </w:r>
      <w:r>
        <w:t xml:space="preserve">length-normalised variant; neither appears in the archived scored output we report from, so we do</w:t>
      </w:r>
      <w:r>
        <w:t xml:space="preserve"> </w:t>
      </w:r>
      <w:r>
        <w:t xml:space="preserve">not report them.</w:t>
      </w:r>
    </w:p>
    <w:p>
      <w:pPr>
        <w:pStyle w:val="BodyText"/>
      </w:pPr>
      <w:r>
        <w:t xml:space="preserve">The benchmark is 124 items written by one person against one criterion, in Python only.</w:t>
      </w:r>
      <w:r>
        <w:t xml:space="preserve"> </w:t>
      </w:r>
      <w:r>
        <w:t xml:space="preserve">Per-category cells hold 20 to 24 items, so every category-level comparison is indicative. A second</w:t>
      </w:r>
      <w:r>
        <w:t xml:space="preserve"> </w:t>
      </w:r>
      <w:r>
        <w:t xml:space="preserve">author writing items independently would be the cheapest way to find out how much of the category</w:t>
      </w:r>
      <w:r>
        <w:t xml:space="preserve"> </w:t>
      </w:r>
      <w:r>
        <w:t xml:space="preserve">structure is a property of code and how much is a property of us.</w:t>
      </w:r>
    </w:p>
    <w:p>
      <w:pPr>
        <w:pStyle w:val="BodyText"/>
      </w:pPr>
      <w:r>
        <w:t xml:space="preserve">Finally, a note on provenance, since it bears on how much weight to put on the rest. An earlier draft</w:t>
      </w:r>
      <w:r>
        <w:t xml:space="preserve"> </w:t>
      </w:r>
      <w:r>
        <w:t xml:space="preserve">of this work reported the opposite headline: under 3% over-reach and nine of ten probes deferred.</w:t>
      </w:r>
      <w:r>
        <w:t xml:space="preserve"> </w:t>
      </w:r>
      <w:r>
        <w:t xml:space="preserve">Every number in the present paper is recomputed from the archived scored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cede_scored_primary.parquet</w:t>
      </w:r>
      <w:r>
        <w:t xml:space="preserve">, 124 rows) by a script that asserts each one, and we were</w:t>
      </w:r>
      <w:r>
        <w:t xml:space="preserve"> </w:t>
      </w:r>
      <w:r>
        <w:t xml:space="preserve">unable to reproduce the earlier figures from any archived output. We report the archived run.</w:t>
      </w:r>
    </w:p>
    <w:bookmarkEnd w:id="67"/>
    <w:bookmarkStart w:id="6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Empower’s boundary rule was presented as a way to find the decisions a human should make. On 112</w:t>
      </w:r>
      <w:r>
        <w:t xml:space="preserve"> </w:t>
      </w:r>
      <w:r>
        <w:t xml:space="preserve">hand-built consequential coding decisions it commits 33% of them at the threshold its user study</w:t>
      </w:r>
      <w:r>
        <w:t xml:space="preserve"> </w:t>
      </w:r>
      <w:r>
        <w:t xml:space="preserve">used, including an SQL injection it writes eighteen tokens of, and it interrupts 11 of 12 benign</w:t>
      </w:r>
      <w:r>
        <w:t xml:space="preserve"> </w:t>
      </w:r>
      <w:r>
        <w:t xml:space="preserve">continuations at the same setting. Where it stops does not depend on whether a decision is there. It</w:t>
      </w:r>
      <w:r>
        <w:t xml:space="preserve"> </w:t>
      </w:r>
      <w:r>
        <w:t xml:space="preserve">depends on how many tokens have gone by and how ordinary they were, and to a first approximation the</w:t>
      </w:r>
      <w:r>
        <w:t xml:space="preserve"> </w:t>
      </w:r>
      <w:r>
        <w:t xml:space="preserve">count is</w:t>
      </w:r>
      <w:r>
        <w:t xml:space="preserve"> </w:t>
      </w:r>
      <m:oMath>
        <m:r>
          <m:t>η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H</m:t>
        </m:r>
      </m:oMath>
      <w:r>
        <w:t xml:space="preserve">. The method’s deference is real and users like it. It is not deference to</w:t>
      </w:r>
      <w:r>
        <w:t xml:space="preserve"> </w:t>
      </w:r>
      <w:r>
        <w:t xml:space="preserve">importance, and the two should stop being described as the same thing.</w:t>
      </w:r>
    </w:p>
    <w:bookmarkEnd w:id="68"/>
    <w:bookmarkStart w:id="70" w:name="artifacts-and-reproducibility"/>
    <w:p>
      <w:pPr>
        <w:pStyle w:val="Heading1"/>
      </w:pPr>
      <w:r>
        <w:t xml:space="preserve">Artifacts and reproducibility</w:t>
      </w:r>
    </w:p>
    <w:p>
      <w:pPr>
        <w:pStyle w:val="FirstParagraph"/>
      </w:pPr>
      <w:r>
        <w:t xml:space="preserve">CEDE-Bench (112 decision items with 12 controls, JSON Lines), the authoring kit and validator, the</w:t>
      </w:r>
      <w:r>
        <w:t xml:space="preserve"> </w:t>
      </w:r>
      <w:r>
        <w:t xml:space="preserve">scoring notebook, the archived scored table, and the analysis and figure scripts that produce every</w:t>
      </w:r>
      <w:r>
        <w:t xml:space="preserve"> </w:t>
      </w:r>
      <w:r>
        <w:t xml:space="preserve">number and panel in this paper are released together at</w:t>
      </w:r>
      <w:r>
        <w:t xml:space="preserve"> </w:t>
      </w:r>
      <w:hyperlink r:id="rId69">
        <w:r>
          <w:rPr>
            <w:rStyle w:val="Hyperlink"/>
          </w:rPr>
          <w:t xml:space="preserve">https://github.com/</w:t>
        </w:r>
      </w:hyperlink>
      <w:r>
        <w:rPr>
          <w:rStyle w:val="VerbatimChar"/>
        </w:rPr>
        <w:t xml:space="preserve">&lt;user&gt;</w:t>
      </w:r>
      <w:r>
        <w:rPr>
          <w:rStyle w:val="VerbatimChar"/>
        </w:rPr>
        <w:t xml:space="preserve">/cede-bench</w:t>
      </w:r>
      <w:r>
        <w:t xml:space="preserve">. A verification script re-derives all</w:t>
      </w:r>
      <w:r>
        <w:t xml:space="preserve"> </w:t>
      </w:r>
      <w:r>
        <w:t xml:space="preserve">116 quantitative claims in this paper from the scored table and fails loudly on any mismatch. All</w:t>
      </w:r>
      <w:r>
        <w:t xml:space="preserve"> </w:t>
      </w:r>
      <w:r>
        <w:t xml:space="preserve">results come from a single scoring run with a Qwen2.5-Coder-0.5B-Instruct likelihood model, no</w:t>
      </w:r>
      <w:r>
        <w:t xml:space="preserve"> </w:t>
      </w:r>
      <w:r>
        <w:t xml:space="preserve">problem context, fixed seed 0, bootstrap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S. Barke, M. B. James, and N. Polikarpova.</w:t>
      </w:r>
      <w:r>
        <w:t xml:space="preserve"> </w:t>
      </w:r>
      <w:r>
        <w:t xml:space="preserve">Grounded Copilot: how programmers interact with code-generating models.</w:t>
      </w:r>
      <w:r>
        <w:t xml:space="preserve"> </w:t>
      </w:r>
      <w:r>
        <w:rPr>
          <w:iCs/>
          <w:i/>
        </w:rPr>
        <w:t xml:space="preserve">Proceedings of the ACM on Programming Languages</w:t>
      </w:r>
      <w:r>
        <w:t xml:space="preserve">, 7(OOPSLA1), 2023.</w:t>
      </w:r>
    </w:p>
    <w:p>
      <w:pPr>
        <w:pStyle w:val="BodyText"/>
      </w:pPr>
      <w:r>
        <w:t xml:space="preserve">M. Bhatt, S. Chennabasappa, C. Nikolaidis, et al.</w:t>
      </w:r>
      <w:r>
        <w:t xml:space="preserve"> </w:t>
      </w:r>
      <w:r>
        <w:t xml:space="preserve">Purple Llama CyberSecEval: a secure coding benchmark for language models.</w:t>
      </w:r>
      <w:r>
        <w:t xml:space="preserve"> </w:t>
      </w:r>
      <w:r>
        <w:rPr>
          <w:iCs/>
          <w:i/>
        </w:rPr>
        <w:t xml:space="preserve">arXiv:2312.04724</w:t>
      </w:r>
      <w:r>
        <w:t xml:space="preserve">, 2023.</w:t>
      </w:r>
    </w:p>
    <w:p>
      <w:pPr>
        <w:pStyle w:val="BodyText"/>
      </w:pPr>
      <w:r>
        <w:t xml:space="preserve">C. K. Chow.</w:t>
      </w:r>
      <w:r>
        <w:t xml:space="preserve"> </w:t>
      </w:r>
      <w:r>
        <w:t xml:space="preserve">On optimum recognition error and reject tradeoff.</w:t>
      </w:r>
      <w:r>
        <w:t xml:space="preserve"> </w:t>
      </w:r>
      <w:r>
        <w:rPr>
          <w:iCs/>
          <w:i/>
        </w:rPr>
        <w:t xml:space="preserve">IEEE Transactions on Information Theory</w:t>
      </w:r>
      <w:r>
        <w:t xml:space="preserve">, 16(1):41–46, 1970.</w:t>
      </w:r>
    </w:p>
    <w:p>
      <w:pPr>
        <w:pStyle w:val="BodyText"/>
      </w:pPr>
      <w:r>
        <w:t xml:space="preserve">Y. Du, S. Tiomkin, E. Kiciman, D. Polani, P. Abbeel, and A. Dragan.</w:t>
      </w:r>
      <w:r>
        <w:t xml:space="preserve"> </w:t>
      </w:r>
      <w:r>
        <w:t xml:space="preserve">AvE: assistance via empowerment.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2020.</w:t>
      </w:r>
    </w:p>
    <w:p>
      <w:pPr>
        <w:pStyle w:val="BodyText"/>
      </w:pPr>
      <w:r>
        <w:t xml:space="preserve">E. Ellis, V. Myers, J. Tuyls, S. Levine, A. Dragan, and B. Eysenbach.</w:t>
      </w:r>
      <w:r>
        <w:t xml:space="preserve"> </w:t>
      </w:r>
      <w:r>
        <w:t xml:space="preserve">Training LLM agents to empower humans.</w:t>
      </w:r>
      <w:r>
        <w:t xml:space="preserve"> </w:t>
      </w:r>
      <w:r>
        <w:rPr>
          <w:iCs/>
          <w:i/>
        </w:rPr>
        <w:t xml:space="preserve">arXiv:2510.13709</w:t>
      </w:r>
      <w:r>
        <w:t xml:space="preserve">, 2025. Also UC Berkeley EECS Technical Report UCB/EECS-2026-116.</w:t>
      </w:r>
    </w:p>
    <w:p>
      <w:pPr>
        <w:pStyle w:val="BodyText"/>
      </w:pPr>
      <w:r>
        <w:t xml:space="preserve">Y. Geifman and R. El-Yaniv.</w:t>
      </w:r>
      <w:r>
        <w:t xml:space="preserve"> </w:t>
      </w:r>
      <w:r>
        <w:t xml:space="preserve">Selective classification for deep neural networks.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2017.</w:t>
      </w:r>
    </w:p>
    <w:p>
      <w:pPr>
        <w:pStyle w:val="BodyText"/>
      </w:pPr>
      <w:r>
        <w:t xml:space="preserve">D. Genzel and E. Charniak.</w:t>
      </w:r>
      <w:r>
        <w:t xml:space="preserve"> </w:t>
      </w:r>
      <w:r>
        <w:t xml:space="preserve">Entropy rate constancy in text.</w:t>
      </w:r>
      <w:r>
        <w:t xml:space="preserve"> </w:t>
      </w:r>
      <w:r>
        <w:rPr>
          <w:iCs/>
          <w:i/>
        </w:rPr>
        <w:t xml:space="preserve">Annual Meeting of the Association for Computational Linguistics</w:t>
      </w:r>
      <w:r>
        <w:t xml:space="preserve">, 2002.</w:t>
      </w:r>
    </w:p>
    <w:p>
      <w:pPr>
        <w:pStyle w:val="BodyText"/>
      </w:pPr>
      <w:r>
        <w:t xml:space="preserve">C. Guo, G. Pleiss, Y. Sun, and K. Q. Weinberger.</w:t>
      </w:r>
      <w:r>
        <w:t xml:space="preserve"> </w:t>
      </w:r>
      <w:r>
        <w:t xml:space="preserve">On calibration of modern neural networks.</w:t>
      </w:r>
      <w:r>
        <w:t xml:space="preserve"> </w:t>
      </w:r>
      <w:r>
        <w:rPr>
          <w:iCs/>
          <w:i/>
        </w:rPr>
        <w:t xml:space="preserve">International Conference on Machine Learning</w:t>
      </w:r>
      <w:r>
        <w:t xml:space="preserve">, 2017.</w:t>
      </w:r>
    </w:p>
    <w:p>
      <w:pPr>
        <w:pStyle w:val="BodyText"/>
      </w:pPr>
      <w:r>
        <w:t xml:space="preserve">D. Hadfield-Menell, A. Dragan, P. Abbeel, and S. Russell.</w:t>
      </w:r>
      <w:r>
        <w:t xml:space="preserve"> </w:t>
      </w:r>
      <w:r>
        <w:t xml:space="preserve">Cooperative inverse reinforcement learning.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2016.</w:t>
      </w:r>
    </w:p>
    <w:p>
      <w:pPr>
        <w:pStyle w:val="BodyText"/>
      </w:pPr>
      <w:r>
        <w:t xml:space="preserve">H. Hajipour, K. Hassler, T. Holz, L. Schönherr, and M. Fritz.</w:t>
      </w:r>
      <w:r>
        <w:t xml:space="preserve"> </w:t>
      </w:r>
      <w:r>
        <w:t xml:space="preserve">CodeLMSec benchmark: systematically evaluating and finding security vulnerabilities in black-box</w:t>
      </w:r>
      <w:r>
        <w:t xml:space="preserve"> </w:t>
      </w:r>
      <w:r>
        <w:t xml:space="preserve">code language models.</w:t>
      </w:r>
      <w:r>
        <w:t xml:space="preserve"> </w:t>
      </w:r>
      <w:r>
        <w:rPr>
          <w:iCs/>
          <w:i/>
        </w:rPr>
        <w:t xml:space="preserve">IEEE Conference on Secure and Trustworthy Machine Learning</w:t>
      </w:r>
      <w:r>
        <w:t xml:space="preserve">, 2024. arXiv:2302.04012.</w:t>
      </w:r>
    </w:p>
    <w:p>
      <w:pPr>
        <w:pStyle w:val="BodyText"/>
      </w:pPr>
      <w:r>
        <w:t xml:space="preserve">J. Hale.</w:t>
      </w:r>
      <w:r>
        <w:t xml:space="preserve"> </w:t>
      </w:r>
      <w:r>
        <w:t xml:space="preserve">A probabilistic Earley parser as a psycholinguistic model.</w:t>
      </w:r>
      <w:r>
        <w:t xml:space="preserve"> </w:t>
      </w:r>
      <w:r>
        <w:rPr>
          <w:iCs/>
          <w:i/>
        </w:rPr>
        <w:t xml:space="preserve">North American Chapter of the Association for Computational Linguistics</w:t>
      </w:r>
      <w:r>
        <w:t xml:space="preserve">, 2001.</w:t>
      </w:r>
    </w:p>
    <w:p>
      <w:pPr>
        <w:pStyle w:val="BodyText"/>
      </w:pPr>
      <w:r>
        <w:t xml:space="preserve">E. Horvitz.</w:t>
      </w:r>
      <w:r>
        <w:t xml:space="preserve"> </w:t>
      </w:r>
      <w:r>
        <w:t xml:space="preserve">Principles of mixed-initiative user interfaces.</w:t>
      </w:r>
      <w:r>
        <w:t xml:space="preserve"> </w:t>
      </w:r>
      <w:r>
        <w:rPr>
          <w:iCs/>
          <w:i/>
        </w:rPr>
        <w:t xml:space="preserve">ACM Conference on Human Factors in Computing Systems</w:t>
      </w:r>
      <w:r>
        <w:t xml:space="preserve">, 1999.</w:t>
      </w:r>
    </w:p>
    <w:p>
      <w:pPr>
        <w:pStyle w:val="BodyText"/>
      </w:pPr>
      <w:r>
        <w:t xml:space="preserve">T. F. Jaeger.</w:t>
      </w:r>
      <w:r>
        <w:t xml:space="preserve"> </w:t>
      </w:r>
      <w:r>
        <w:t xml:space="preserve">Redundancy and reduction: speakers manage syntactic information density.</w:t>
      </w:r>
      <w:r>
        <w:t xml:space="preserve"> </w:t>
      </w:r>
      <w:r>
        <w:rPr>
          <w:iCs/>
          <w:i/>
        </w:rPr>
        <w:t xml:space="preserve">Cognitive Psychology</w:t>
      </w:r>
      <w:r>
        <w:t xml:space="preserve">, 61(1):23–62, 2010.</w:t>
      </w:r>
    </w:p>
    <w:p>
      <w:pPr>
        <w:pStyle w:val="BodyText"/>
      </w:pPr>
      <w:r>
        <w:t xml:space="preserve">S. Javdani, S. Srinivasa, and J. A. Bagnell.</w:t>
      </w:r>
      <w:r>
        <w:t xml:space="preserve"> </w:t>
      </w:r>
      <w:r>
        <w:t xml:space="preserve">Shared autonomy via hindsight optimization.</w:t>
      </w:r>
      <w:r>
        <w:t xml:space="preserve"> </w:t>
      </w:r>
      <w:r>
        <w:rPr>
          <w:iCs/>
          <w:i/>
        </w:rPr>
        <w:t xml:space="preserve">Robotics: Science and Systems</w:t>
      </w:r>
      <w:r>
        <w:t xml:space="preserve">, 2015.</w:t>
      </w:r>
    </w:p>
    <w:p>
      <w:pPr>
        <w:pStyle w:val="BodyText"/>
      </w:pPr>
      <w:r>
        <w:t xml:space="preserve">S. Kadavath, T. Conerly, A. Askell, et al.</w:t>
      </w:r>
      <w:r>
        <w:t xml:space="preserve"> </w:t>
      </w:r>
      <w:r>
        <w:t xml:space="preserve">Language models (mostly) know what they know.</w:t>
      </w:r>
      <w:r>
        <w:t xml:space="preserve"> </w:t>
      </w:r>
      <w:r>
        <w:rPr>
          <w:iCs/>
          <w:i/>
        </w:rPr>
        <w:t xml:space="preserve">arXiv:2207.05221</w:t>
      </w:r>
      <w:r>
        <w:t xml:space="preserve">, 2022.</w:t>
      </w:r>
    </w:p>
    <w:p>
      <w:pPr>
        <w:pStyle w:val="BodyText"/>
      </w:pPr>
      <w:r>
        <w:t xml:space="preserve">A. S. Klyubin, D. Polani, and C. L. Nehaniv.</w:t>
      </w:r>
      <w:r>
        <w:t xml:space="preserve"> </w:t>
      </w:r>
      <w:r>
        <w:t xml:space="preserve">All else being equal be empowered.</w:t>
      </w:r>
      <w:r>
        <w:t xml:space="preserve"> </w:t>
      </w:r>
      <w:r>
        <w:rPr>
          <w:iCs/>
          <w:i/>
        </w:rPr>
        <w:t xml:space="preserve">European Conference on Artificial Life</w:t>
      </w:r>
      <w:r>
        <w:t xml:space="preserve">, 2005.</w:t>
      </w:r>
    </w:p>
    <w:p>
      <w:pPr>
        <w:pStyle w:val="BodyText"/>
      </w:pPr>
      <w:r>
        <w:t xml:space="preserve">L. Kuhn, Y. Gal, and S. Farquhar.</w:t>
      </w:r>
      <w:r>
        <w:t xml:space="preserve"> </w:t>
      </w:r>
      <w:r>
        <w:t xml:space="preserve">Semantic uncertainty: linguistic invariances for uncertainty estimation in natural language</w:t>
      </w:r>
      <w:r>
        <w:t xml:space="preserve"> </w:t>
      </w:r>
      <w:r>
        <w:t xml:space="preserve">generation.</w:t>
      </w:r>
      <w:r>
        <w:t xml:space="preserve"> </w:t>
      </w:r>
      <w:r>
        <w:rPr>
          <w:iCs/>
          <w:i/>
        </w:rPr>
        <w:t xml:space="preserve">International Conference on Learning Representations</w:t>
      </w:r>
      <w:r>
        <w:t xml:space="preserve">, 2023.</w:t>
      </w:r>
    </w:p>
    <w:p>
      <w:pPr>
        <w:pStyle w:val="BodyText"/>
      </w:pPr>
      <w:r>
        <w:t xml:space="preserve">R. Levy.</w:t>
      </w:r>
      <w:r>
        <w:t xml:space="preserve"> </w:t>
      </w:r>
      <w:r>
        <w:t xml:space="preserve">Expectation-based syntactic comprehension.</w:t>
      </w:r>
      <w:r>
        <w:t xml:space="preserve"> </w:t>
      </w:r>
      <w:r>
        <w:rPr>
          <w:iCs/>
          <w:i/>
        </w:rPr>
        <w:t xml:space="preserve">Cognition</w:t>
      </w:r>
      <w:r>
        <w:t xml:space="preserve">, 106(3):1126–1177, 2008.</w:t>
      </w:r>
    </w:p>
    <w:p>
      <w:pPr>
        <w:pStyle w:val="BodyText"/>
      </w:pPr>
      <w:r>
        <w:t xml:space="preserve">S. Lin, J. Hilton, and O. Evans.</w:t>
      </w:r>
      <w:r>
        <w:t xml:space="preserve"> </w:t>
      </w:r>
      <w:r>
        <w:t xml:space="preserve">Teaching models to express their uncertainty in words.</w:t>
      </w:r>
      <w:r>
        <w:t xml:space="preserve"> </w:t>
      </w:r>
      <w:r>
        <w:rPr>
          <w:iCs/>
          <w:i/>
        </w:rPr>
        <w:t xml:space="preserve">Transactions on Machine Learning Research</w:t>
      </w:r>
      <w:r>
        <w:t xml:space="preserve">, 2022.</w:t>
      </w:r>
    </w:p>
    <w:p>
      <w:pPr>
        <w:pStyle w:val="BodyText"/>
      </w:pPr>
      <w:r>
        <w:t xml:space="preserve">D. Madras, T. Pitassi, and R. Zemel.</w:t>
      </w:r>
      <w:r>
        <w:t xml:space="preserve"> </w:t>
      </w:r>
      <w:r>
        <w:t xml:space="preserve">Predict responsibly: improving fairness and accuracy by learning to defer.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2018.</w:t>
      </w:r>
    </w:p>
    <w:p>
      <w:pPr>
        <w:pStyle w:val="BodyText"/>
      </w:pPr>
      <w:r>
        <w:t xml:space="preserve">S. Mohamed and D. J. Rezende.</w:t>
      </w:r>
      <w:r>
        <w:t xml:space="preserve"> </w:t>
      </w:r>
      <w:r>
        <w:t xml:space="preserve">Variational information maximisation for intrinsically motivated reinforcement learning.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2015.</w:t>
      </w:r>
    </w:p>
    <w:p>
      <w:pPr>
        <w:pStyle w:val="BodyText"/>
      </w:pPr>
      <w:r>
        <w:t xml:space="preserve">H. Mozannar and D. Sontag.</w:t>
      </w:r>
      <w:r>
        <w:t xml:space="preserve"> </w:t>
      </w:r>
      <w:r>
        <w:t xml:space="preserve">Consistent estimators for learning to defer to an expert.</w:t>
      </w:r>
      <w:r>
        <w:t xml:space="preserve"> </w:t>
      </w:r>
      <w:r>
        <w:rPr>
          <w:iCs/>
          <w:i/>
        </w:rPr>
        <w:t xml:space="preserve">International Conference on Machine Learning</w:t>
      </w:r>
      <w:r>
        <w:t xml:space="preserve">, 2020.</w:t>
      </w:r>
    </w:p>
    <w:p>
      <w:pPr>
        <w:pStyle w:val="BodyText"/>
      </w:pPr>
      <w:r>
        <w:t xml:space="preserve">H. Mozannar, V. Chen, M. Alsobay, et al.</w:t>
      </w:r>
      <w:r>
        <w:t xml:space="preserve"> </w:t>
      </w:r>
      <w:r>
        <w:t xml:space="preserve">The RealHumanEval: evaluating large language models’ abilities to support programmers.</w:t>
      </w:r>
      <w:r>
        <w:t xml:space="preserve"> </w:t>
      </w:r>
      <w:r>
        <w:rPr>
          <w:iCs/>
          <w:i/>
        </w:rPr>
        <w:t xml:space="preserve">arXiv:2404.02806</w:t>
      </w:r>
      <w:r>
        <w:t xml:space="preserve">, 2024.</w:t>
      </w:r>
    </w:p>
    <w:p>
      <w:pPr>
        <w:pStyle w:val="BodyText"/>
      </w:pPr>
      <w:r>
        <w:t xml:space="preserve">V. Myers, E. Ellis, S. Levine, B. Eysenbach, and A. Dragan.</w:t>
      </w:r>
      <w:r>
        <w:t xml:space="preserve"> </w:t>
      </w:r>
      <w:r>
        <w:t xml:space="preserve">Learning to assist humans without inferring rewards.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2024.</w:t>
      </w:r>
    </w:p>
    <w:p>
      <w:pPr>
        <w:pStyle w:val="BodyText"/>
      </w:pPr>
      <w:r>
        <w:t xml:space="preserve">R. Parasuraman and V. Riley.</w:t>
      </w:r>
      <w:r>
        <w:t xml:space="preserve"> </w:t>
      </w:r>
      <w:r>
        <w:t xml:space="preserve">Humans and automation: use, misuse, disuse, abuse.</w:t>
      </w:r>
      <w:r>
        <w:t xml:space="preserve"> </w:t>
      </w:r>
      <w:r>
        <w:rPr>
          <w:iCs/>
          <w:i/>
        </w:rPr>
        <w:t xml:space="preserve">Human Factors</w:t>
      </w:r>
      <w:r>
        <w:t xml:space="preserve">, 39(2):230–253, 1997.</w:t>
      </w:r>
    </w:p>
    <w:p>
      <w:pPr>
        <w:pStyle w:val="BodyText"/>
      </w:pPr>
      <w:r>
        <w:t xml:space="preserve">H. Pearce, B. Ahmad, B. Tan, B. Dolan-Gavitt, and R. Karri.</w:t>
      </w:r>
      <w:r>
        <w:t xml:space="preserve"> </w:t>
      </w:r>
      <w:r>
        <w:t xml:space="preserve">Asleep at the keyboard? Assessing the security of GitHub Copilot’s code contributions.</w:t>
      </w:r>
      <w:r>
        <w:t xml:space="preserve"> </w:t>
      </w:r>
      <w:r>
        <w:rPr>
          <w:iCs/>
          <w:i/>
        </w:rPr>
        <w:t xml:space="preserve">IEEE Symposium on Security and Privacy</w:t>
      </w:r>
      <w:r>
        <w:t xml:space="preserve">, 2022.</w:t>
      </w:r>
    </w:p>
    <w:p>
      <w:pPr>
        <w:pStyle w:val="BodyText"/>
      </w:pPr>
      <w:r>
        <w:t xml:space="preserve">N. Perry, M. Srivastava, D. Kumar, and D. Boneh.</w:t>
      </w:r>
      <w:r>
        <w:t xml:space="preserve"> </w:t>
      </w:r>
      <w:r>
        <w:t xml:space="preserve">Do users write more insecure code with AI assistants?</w:t>
      </w:r>
      <w:r>
        <w:t xml:space="preserve"> </w:t>
      </w:r>
      <w:r>
        <w:rPr>
          <w:iCs/>
          <w:i/>
        </w:rPr>
        <w:t xml:space="preserve">ACM SIGSAC Conference on Computer and Communications Security</w:t>
      </w:r>
      <w:r>
        <w:t xml:space="preserve">, 2023.</w:t>
      </w:r>
    </w:p>
    <w:p>
      <w:pPr>
        <w:pStyle w:val="BodyText"/>
      </w:pPr>
      <w:r>
        <w:t xml:space="preserve">M. Raghu, K. Blumer, G. Corrado, J. Kleinberg, Z. Obermeyer, and S. Mullainathan.</w:t>
      </w:r>
      <w:r>
        <w:t xml:space="preserve"> </w:t>
      </w:r>
      <w:r>
        <w:t xml:space="preserve">The algorithmic automation problem: prediction, triage, and human effort.</w:t>
      </w:r>
      <w:r>
        <w:t xml:space="preserve"> </w:t>
      </w:r>
      <w:r>
        <w:rPr>
          <w:iCs/>
          <w:i/>
        </w:rPr>
        <w:t xml:space="preserve">arXiv:1903.12220</w:t>
      </w:r>
      <w:r>
        <w:t xml:space="preserve">, 2019.</w:t>
      </w:r>
    </w:p>
    <w:p>
      <w:pPr>
        <w:pStyle w:val="BodyText"/>
      </w:pPr>
      <w:r>
        <w:t xml:space="preserve">S. Reddy, A. D. Dragan, and S. Levine.</w:t>
      </w:r>
      <w:r>
        <w:t xml:space="preserve"> </w:t>
      </w:r>
      <w:r>
        <w:t xml:space="preserve">Shared autonomy via deep reinforcement learning.</w:t>
      </w:r>
      <w:r>
        <w:t xml:space="preserve"> </w:t>
      </w:r>
      <w:r>
        <w:rPr>
          <w:iCs/>
          <w:i/>
        </w:rPr>
        <w:t xml:space="preserve">Robotics: Science and Systems</w:t>
      </w:r>
      <w:r>
        <w:t xml:space="preserve">, 2018.</w:t>
      </w:r>
    </w:p>
    <w:p>
      <w:pPr>
        <w:pStyle w:val="BodyText"/>
      </w:pPr>
      <w:r>
        <w:t xml:space="preserve">M. T. Ribeiro, T. Wu, C. Guestrin, and S. Singh.</w:t>
      </w:r>
      <w:r>
        <w:t xml:space="preserve"> </w:t>
      </w:r>
      <w:r>
        <w:t xml:space="preserve">Beyond accuracy: behavioral testing of NLP models with CheckList.</w:t>
      </w:r>
      <w:r>
        <w:t xml:space="preserve"> </w:t>
      </w:r>
      <w:r>
        <w:rPr>
          <w:iCs/>
          <w:i/>
        </w:rPr>
        <w:t xml:space="preserve">Annual Meeting of the Association for Computational Linguistics</w:t>
      </w:r>
      <w:r>
        <w:t xml:space="preserve">, 2020.</w:t>
      </w:r>
    </w:p>
    <w:p>
      <w:pPr>
        <w:pStyle w:val="BodyText"/>
      </w:pPr>
      <w:r>
        <w:t xml:space="preserve">C. Salge, C. Glackin, and D. Polani.</w:t>
      </w:r>
      <w:r>
        <w:t xml:space="preserve"> </w:t>
      </w:r>
      <w:r>
        <w:t xml:space="preserve">Empowerment: an introduction.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Guided Self-Organization: Inception</w:t>
      </w:r>
      <w:r>
        <w:t xml:space="preserve">, pages 67–114. Springer, 2014.</w:t>
      </w:r>
    </w:p>
    <w:p>
      <w:pPr>
        <w:pStyle w:val="BodyText"/>
      </w:pPr>
      <w:r>
        <w:t xml:space="preserve">G. Sandoval, H. Pearce, T. Nys, R. Karri, S. Garg, and B. Dolan-Gavitt.</w:t>
      </w:r>
      <w:r>
        <w:t xml:space="preserve"> </w:t>
      </w:r>
      <w:r>
        <w:t xml:space="preserve">Lost at C: a user study on the security implications of large language model code assistants.</w:t>
      </w:r>
      <w:r>
        <w:t xml:space="preserve"> </w:t>
      </w:r>
      <w:r>
        <w:rPr>
          <w:iCs/>
          <w:i/>
        </w:rPr>
        <w:t xml:space="preserve">USENIX Security Symposium</w:t>
      </w:r>
      <w:r>
        <w:t xml:space="preserve">, 2023.</w:t>
      </w:r>
    </w:p>
    <w:p>
      <w:pPr>
        <w:pStyle w:val="BodyText"/>
      </w:pPr>
      <w:r>
        <w:t xml:space="preserve">M. L. Siddiq and J. C. S. Santos.</w:t>
      </w:r>
      <w:r>
        <w:t xml:space="preserve"> </w:t>
      </w:r>
      <w:r>
        <w:t xml:space="preserve">SecurityEval dataset: mining vulnerability examples to evaluate machine learning-based code</w:t>
      </w:r>
      <w:r>
        <w:t xml:space="preserve"> </w:t>
      </w:r>
      <w:r>
        <w:t xml:space="preserve">generation techniques.</w:t>
      </w:r>
      <w:r>
        <w:t xml:space="preserve"> </w:t>
      </w:r>
      <w:r>
        <w:rPr>
          <w:iCs/>
          <w:i/>
        </w:rPr>
        <w:t xml:space="preserve">International Workshop on Mining Software Repositories Applications for Privacy and Security</w:t>
      </w:r>
      <w:r>
        <w:t xml:space="preserve">,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L. J. Skitka, K. L. Mosier, and M. Burdick.</w:t>
      </w:r>
      <w:r>
        <w:t xml:space="preserve"> </w:t>
      </w:r>
      <w:r>
        <w:t xml:space="preserve">Does automation bias decision-making?</w:t>
      </w:r>
      <w:r>
        <w:t xml:space="preserve"> </w:t>
      </w:r>
      <w:r>
        <w:rPr>
          <w:iCs/>
          <w:i/>
        </w:rPr>
        <w:t xml:space="preserve">International Journal of Human-Computer Studies</w:t>
      </w:r>
      <w:r>
        <w:t xml:space="preserve">, 51(5):991–1006, 1999.</w:t>
      </w:r>
    </w:p>
    <w:p>
      <w:pPr>
        <w:pStyle w:val="BodyText"/>
      </w:pPr>
      <w:r>
        <w:t xml:space="preserve">N. J. Smith and R. Levy.</w:t>
      </w:r>
      <w:r>
        <w:t xml:space="preserve"> </w:t>
      </w:r>
      <w:r>
        <w:t xml:space="preserve">The effect of word predictability on reading time is logarithmic.</w:t>
      </w:r>
      <w:r>
        <w:t xml:space="preserve"> </w:t>
      </w:r>
      <w:r>
        <w:rPr>
          <w:iCs/>
          <w:i/>
        </w:rPr>
        <w:t xml:space="preserve">Cognition</w:t>
      </w:r>
      <w:r>
        <w:t xml:space="preserve">, 128(3):302–319, 2013.</w:t>
      </w:r>
    </w:p>
    <w:p>
      <w:pPr>
        <w:pStyle w:val="BodyText"/>
      </w:pPr>
      <w:r>
        <w:t>V. Teo, R. Jain, T. Gerstenberg, and M. Kleiman-Weiner. AI assistants overassist.</w:t>
      </w:r>
      <w:r>
        <w:t xml:space="preserve"> </w:t>
      </w:r>
      <w:r>
        <w:rPr>
          <w:iCs/>
          <w:i/>
        </w:rPr>
        <w:t xml:space="preserve">arXiv:2607.21306</w:t>
      </w:r>
      <w:r>
        <w:t xml:space="preserve">, 2026.</w:t>
      </w:r>
    </w:p>
    <w:p>
      <w:pPr>
        <w:pStyle w:val="BodyText"/>
      </w:pPr>
      <w:r>
        <w:t xml:space="preserve">H. Vasconcelos, G. Bansal, A. Fourney, Q. V. Liao, and J. W. Vaughan.</w:t>
      </w:r>
      <w:r>
        <w:t xml:space="preserve"> </w:t>
      </w:r>
      <w:r>
        <w:t xml:space="preserve">Generation probabilities are not enough: uncertainty highlighting in AI code completions.</w:t>
      </w:r>
      <w:r>
        <w:t xml:space="preserve"> </w:t>
      </w:r>
      <w:r>
        <w:rPr>
          <w:iCs/>
          <w:i/>
        </w:rPr>
        <w:t xml:space="preserve">arXiv:2302.07248</w:t>
      </w:r>
      <w:r>
        <w:t xml:space="preserve">, 2023.</w:t>
      </w:r>
    </w:p>
    <w:p>
      <w:pPr>
        <w:pStyle w:val="BodyText"/>
      </w:pPr>
      <w:r>
        <w:t xml:space="preserve">B. Wilder, E. Horvitz, and E. Kamar.</w:t>
      </w:r>
      <w:r>
        <w:t xml:space="preserve"> </w:t>
      </w:r>
      <w:r>
        <w:t xml:space="preserve">Learning to complement humans.</w:t>
      </w:r>
      <w:r>
        <w:t xml:space="preserve"> </w:t>
      </w:r>
      <w:r>
        <w:rPr>
          <w:iCs/>
          <w:i/>
        </w:rPr>
        <w:t xml:space="preserve">International Joint Conference on Artificial Intelligence</w:t>
      </w:r>
      <w:r>
        <w:t xml:space="preserve">, 2021.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image" Target="media/rId36.png"/><Relationship Id="rId44" Type="http://schemas.openxmlformats.org/officeDocument/2006/relationships/image" Target="media/rId44.png"/><Relationship Id="rId40" Type="http://schemas.openxmlformats.org/officeDocument/2006/relationships/image" Target="media/rId40.png"/><Relationship Id="rId49" Type="http://schemas.openxmlformats.org/officeDocument/2006/relationships/image" Target="media/rId49.png"/><Relationship Id="rId61" Type="http://schemas.openxmlformats.org/officeDocument/2006/relationships/image" Target="media/rId61.png"/><Relationship Id="rId53" Type="http://schemas.openxmlformats.org/officeDocument/2006/relationships/image" Target="media/rId53.png"/><Relationship Id="rId57" Type="http://schemas.openxmlformats.org/officeDocument/2006/relationships/image" Target="media/rId57.png"/><Relationship Id="rId69" Type="http://schemas.openxmlformats.org/officeDocument/2006/relationships/hyperlink" Target="https://github.com/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2026-09-12T14:44:29Z</dcterms:created>
  <dcterms:modified xsi:type="dcterms:W3CDTF">2026-09-12T14:44:29Z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