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Times New Roman" w:hAnsi="Times New Roman"/>
          <w:b/>
          <w:color w:val="003366"/>
          <w:sz w:val="32"/>
        </w:rPr>
        <w:t>SECTION II: RELATED WORK AND LITERATURE REVIEW</w:t>
      </w:r>
    </w:p>
    <w:p>
      <w:pPr>
        <w:spacing w:after="160"/>
        <w:jc w:val="center"/>
      </w:pPr>
      <w:r>
        <w:rPr>
          <w:rFonts w:ascii="Times New Roman" w:hAnsi="Times New Roman"/>
          <w:i/>
          <w:color w:val="505050"/>
          <w:sz w:val="18"/>
        </w:rPr>
        <w:t>Comprehensive Critical Synthesis, Methodological Taxonomy, and Technical Benchmarking</w:t>
        <w:br/>
        <w:t>(Ready for Direct Integration into the Enhanced Soil Moisture Manuscript)</w:t>
      </w:r>
    </w:p>
    <w:p>
      <w:pPr>
        <w:sectPr>
          <w:headerReference w:type="default" r:id="rId9"/>
          <w:pgSz w:w="12240" w:h="15840"/>
          <w:pgMar w:top="1080" w:right="900" w:bottom="1440" w:left="900" w:header="720" w:footer="720" w:gutter="0"/>
          <w:cols w:space="720" w:num="1"/>
          <w:docGrid w:linePitch="360"/>
        </w:sectPr>
      </w:pPr>
    </w:p>
    <w:p>
      <w:pPr>
        <w:keepNext/>
        <w:spacing w:before="160" w:after="60"/>
        <w:jc w:val="center"/>
      </w:pPr>
      <w:r>
        <w:rPr>
          <w:rFonts w:ascii="Times New Roman" w:hAnsi="Times New Roman"/>
          <w:b/>
          <w:color w:val="003366"/>
          <w:sz w:val="20"/>
        </w:rPr>
        <w:t>II. RELATED WORK AND LITERATURE REVIEW</w:t>
      </w:r>
    </w:p>
    <w:p>
      <w:pPr>
        <w:spacing w:before="0" w:after="40" w:line="252" w:lineRule="auto"/>
        <w:ind w:firstLine="202"/>
        <w:jc w:val="both"/>
      </w:pPr>
      <w:r>
        <w:rPr>
          <w:rFonts w:ascii="Times New Roman" w:hAnsi="Times New Roman"/>
          <w:color w:val="141414"/>
          <w:sz w:val="20"/>
        </w:rPr>
        <w:t>The quantification and predictive modeling of terrestrial soil moisture dynamics has evolved across four distinct methodological epochs: (i) classical in-situ point instrumentation; (ii) orbital microwave remote sensing and multi-source data assimilation; (iii) deep learning computer vision architectures on raw satellite imagery; and (iv) feature-driven machine learning ensembles on structured geophysical datasets. This section provides an exhaustive review of these paradigms, systematically analyzes the foundational contributions and identified limitations of the baseline benchmark by Singh et al. (Advances in Space Research, 2025), and outlines the theoretical imperatives that motivate the current physics-informed heterogeneous stacking framework.</w:t>
      </w:r>
    </w:p>
    <w:p>
      <w:pPr>
        <w:keepNext/>
        <w:spacing w:before="120" w:after="40"/>
        <w:jc w:val="left"/>
      </w:pPr>
      <w:r>
        <w:rPr>
          <w:rFonts w:ascii="Times New Roman" w:hAnsi="Times New Roman"/>
          <w:b/>
          <w:i/>
          <w:color w:val="141414"/>
          <w:sz w:val="19"/>
        </w:rPr>
        <w:t>A. In-Situ Soil Moisture Measurement and Point-Scale Limitations</w:t>
      </w:r>
    </w:p>
    <w:p>
      <w:pPr>
        <w:spacing w:before="0" w:after="40" w:line="252" w:lineRule="auto"/>
        <w:ind w:firstLine="202"/>
        <w:jc w:val="both"/>
      </w:pPr>
      <w:r>
        <w:rPr>
          <w:rFonts w:ascii="Times New Roman" w:hAnsi="Times New Roman"/>
          <w:color w:val="141414"/>
          <w:sz w:val="20"/>
        </w:rPr>
        <w:t>Historically, soil moisture characterization relied predominantly on direct physical sampling and ground-based instrumentation networks. Conventional ground measurement methods include gravimetric oven-drying, tensiometric suction gauges, electrical resistance blocks, Time-Domain Reflectometry (TDR), Frequency-Domain Reflectometry (FDR), and cosmic-ray neutron probe sensing (Romano, 2014; Dobriyal et al., 2012; Babaeian et al., 2019). While thermogravimetric core extraction remains the absolute physical reference standard for volumetric water content (θ), it is intrinsically destructive, labor-intensive, and operationally incapable of delivering temporal continuity.</w:t>
      </w:r>
    </w:p>
    <w:p>
      <w:pPr>
        <w:spacing w:before="0" w:after="40" w:line="252" w:lineRule="auto"/>
        <w:ind w:firstLine="202"/>
        <w:jc w:val="both"/>
      </w:pPr>
      <w:r>
        <w:rPr>
          <w:rFonts w:ascii="Times New Roman" w:hAnsi="Times New Roman"/>
          <w:color w:val="141414"/>
          <w:sz w:val="20"/>
        </w:rPr>
        <w:t>Automated in-situ sensor networks (e.g., International Soil Moisture Network [ISMN], USDA SCAN) provide continuous high-frequency temporal observations. However, as demonstrated by Hatfield et al. (2001) and Gu et al. (2020), in-situ probes exhibit severe spatial representativeness errors when scaled to regional landscapes. A single dielectric sensor samples a spherical radius of merely 5–10 cm around the probe waveguide. Across heterogeneous agro-climatic terrains—such as the vertic clay plains of central Gujarat or the granitic loams of north-eastern sabarkantha—sub-pixel variations in soil texture, bulk density, root density, and microtopography induce extreme spatial autocorrelation decay. Installing, calibrating, and maintaining high-density sensor arrays across provincial or national scales remains financially and logistically prohibitive (Gu et al., 2021).</w:t>
      </w:r>
    </w:p>
    <w:p>
      <w:pPr>
        <w:keepNext/>
        <w:spacing w:before="120" w:after="40"/>
        <w:jc w:val="left"/>
      </w:pPr>
      <w:r>
        <w:rPr>
          <w:rFonts w:ascii="Times New Roman" w:hAnsi="Times New Roman"/>
          <w:b/>
          <w:i/>
          <w:color w:val="141414"/>
          <w:sz w:val="19"/>
        </w:rPr>
        <w:t>B. Satellite Microwave Remote Sensing and NASA SMAP Assimilation</w:t>
      </w:r>
    </w:p>
    <w:p>
      <w:pPr>
        <w:spacing w:before="0" w:after="40" w:line="252" w:lineRule="auto"/>
        <w:ind w:firstLine="202"/>
        <w:jc w:val="both"/>
      </w:pPr>
      <w:r>
        <w:rPr>
          <w:rFonts w:ascii="Times New Roman" w:hAnsi="Times New Roman"/>
          <w:color w:val="141414"/>
          <w:sz w:val="20"/>
        </w:rPr>
        <w:t>To transcend the spatial coverage bottlenecks of in-situ instrumentation, spaceborne Earth observation systems have become the primary mechanism for regional and global hydrological monitoring. Early satellite soil moisture retrieval relied on optical and Thermal Infrared (TIR) spectral bands (e.g., MODIS, Landsat) through empirical relationships such as the Normalized Difference Vegetation Index (NDVI), Temperature-Vegetation Dryness Index (TVDI), and apparent thermal inertia (Singh &amp; Gaurav, 2023; Müllerová et al., 2021). However, optical and TIR systems suffer from catastrophic limitations: solar radiation cannot penetrate cloud cover, airborne haze, or smoke plumes, rendering optical retrievals entirely blinded during peak monsoon precipitation episodes—precisely when soil moisture surges are most dynamic.</w:t>
      </w:r>
    </w:p>
    <w:p>
      <w:pPr>
        <w:spacing w:before="0" w:after="40" w:line="252" w:lineRule="auto"/>
        <w:ind w:firstLine="202"/>
        <w:jc w:val="both"/>
      </w:pPr>
      <w:r>
        <w:rPr>
          <w:rFonts w:ascii="Times New Roman" w:hAnsi="Times New Roman"/>
          <w:color w:val="141414"/>
          <w:sz w:val="20"/>
        </w:rPr>
        <w:t>Microwave remote sensing circumvents atmospheric attenuation. Operating across long wavelengths (1–30 cm), microwave signals penetrate cloud decks, aerosols, and light-to-moderate vegetation canopies under all-weather, day-and-night conditions (Entekhabi et al., 2010; McColl et al., 2017). Passive microwave radiometry relies on the pronounced dielectric contrast between dry mineral soil (dielectric constant ε ≈ 3–5) and liquid water (ε ≈ 80). At the low-frequency L-band (1.4 GHz), spaceborne radiometers achieve an effective penetration depth of 0–5 cm into the topsoil matrix, minimizing vegetation optical depth scattering compared to higher C-band (5.3 GHz, ASCAT) and X-band (10.6 GHz, AMSR-2) frequencies (Rouzegari et al., 2025; Renju &amp; Raju, 2023).</w:t>
      </w:r>
    </w:p>
    <w:p>
      <w:pPr>
        <w:spacing w:before="0" w:after="40" w:line="252" w:lineRule="auto"/>
        <w:ind w:firstLine="202"/>
        <w:jc w:val="both"/>
      </w:pPr>
      <w:r>
        <w:rPr>
          <w:rFonts w:ascii="Times New Roman" w:hAnsi="Times New Roman"/>
          <w:color w:val="141414"/>
          <w:sz w:val="20"/>
        </w:rPr>
        <w:t>The launch of NASA's Soil Moisture Active Passive (SMAP) observatory in January 2015 established a new benchmark in satellite hydrology. Although SMAP's L-band radar suffered an untimely hardware malfunction in July 2015, the SMAP Level-4 Surface and Root Zone Soil Moisture (SPL4SMGP) science data product successfully resolved the trade-off between spatial resolution and physical model fidelity (Reichle et al., 2014; SMAP, 2015). The SMAP L4_SM algorithm merges spaceborne radiometer brightness temperatures (descending 06:00 AM and ascending 06:00 PM orbits) with the Goddard Earth Observing System (GEOS-5) Catchment Land Surface Model via a 24-member Ensemble Kalman Filter (EnKF) assimilation system. Forced with precipitation corrected by precipitation radar (GPM) and ground gauge networks, SPL4SMGP generates continuous 3-hourly, global 9 km Equal-Area Scalable Earth (EASE-Grid 2.0) geophysical datasets incorporating 44 land-surface, energy, and meteorological parameters (Wang et al., 2025; Lu et al., 2023).</w:t>
      </w:r>
    </w:p>
    <w:p>
      <w:pPr>
        <w:keepNext/>
        <w:spacing w:before="120" w:after="40"/>
        <w:jc w:val="left"/>
      </w:pPr>
      <w:r>
        <w:rPr>
          <w:rFonts w:ascii="Times New Roman" w:hAnsi="Times New Roman"/>
          <w:b/>
          <w:i/>
          <w:color w:val="141414"/>
          <w:sz w:val="19"/>
        </w:rPr>
        <w:t>C. Deep Learning and Computer Vision Architectures on Satellite Imagery</w:t>
      </w:r>
    </w:p>
    <w:p>
      <w:pPr>
        <w:spacing w:before="0" w:after="40" w:line="252" w:lineRule="auto"/>
        <w:ind w:firstLine="202"/>
        <w:jc w:val="both"/>
      </w:pPr>
      <w:r>
        <w:rPr>
          <w:rFonts w:ascii="Times New Roman" w:hAnsi="Times New Roman"/>
          <w:color w:val="141414"/>
          <w:sz w:val="20"/>
        </w:rPr>
        <w:t>In parallel with remote sensing data advancements, machine learning has transitioned from auxiliary data-fitting into primary retrieval engines. Numerous studies have deployed computer vision architectures directly onto spaceborne raster imagery. Xu et al. (2021) designed a Convolutional Neural Network (CNN) downscaling model to refine SMAP 36 km radiometer products to 9 km and 1 km grids by ingesting MODIS optical reflectance and thermal channels. Hegazi et al. (2021) developed deep CNN pipelines on dual-polarization Sentinel-1 Synthetic Aperture Radar (SAR) backscatter images (VV and VH polarizations) to predict surface moisture across semi-arid Mediterranean catchments, demonstrating the capability of spatial convolution kernels to filter surface roughness speckle.</w:t>
      </w:r>
    </w:p>
    <w:p>
      <w:pPr>
        <w:spacing w:before="0" w:after="40" w:line="252" w:lineRule="auto"/>
        <w:ind w:firstLine="202"/>
        <w:jc w:val="both"/>
      </w:pPr>
      <w:r>
        <w:rPr>
          <w:rFonts w:ascii="Times New Roman" w:hAnsi="Times New Roman"/>
          <w:color w:val="141414"/>
          <w:sz w:val="20"/>
        </w:rPr>
        <w:t>To capture temporal hysteresis and soil water retention lag, recurrent neural networks have been coupled with spatial encoders. Liu et al. (2022) formulated a multi-scale deep learning model combining ConvLSTM and temporal attention mechanisms, integrating SMAP satellite grids with ground-truth Ameriflux and SCAN in-situ networks. Li et al. (2021) implemented a spatial-temporal transfer learning framework using stacked LSTM networks to predict daily SMAP soil moisture across diverse Chinese agricultural basins, achieving commendable $R^2$ scores ($0.82</w:t>
        <w:tab/>
        <w:t>ext{--}0.91$). Similarly, Singh &amp; Gaurav (2023) fused Sentinel-1 radar backscatter, Sentinel-2 optical reflectance, and SMAP observations using deep feed-forward neural networks.</w:t>
      </w:r>
    </w:p>
    <w:p>
      <w:pPr>
        <w:spacing w:before="0" w:after="40" w:line="252" w:lineRule="auto"/>
        <w:ind w:firstLine="202"/>
        <w:jc w:val="both"/>
      </w:pPr>
      <w:r>
        <w:rPr>
          <w:rFonts w:ascii="Times New Roman" w:hAnsi="Times New Roman"/>
          <w:color w:val="141414"/>
          <w:sz w:val="20"/>
        </w:rPr>
        <w:t>Despite their predictive power, raster-based deep learning paradigms encounter severe practical bottlenecks in operational settings (Lakra et al., 2024; Chen &amp; Lin, 2014):</w:t>
      </w:r>
    </w:p>
    <w:p>
      <w:pPr>
        <w:spacing w:before="0" w:after="40" w:line="252" w:lineRule="auto"/>
        <w:ind w:firstLine="202"/>
        <w:jc w:val="both"/>
      </w:pPr>
      <w:r>
        <w:rPr>
          <w:rFonts w:ascii="Times New Roman" w:hAnsi="Times New Roman"/>
          <w:color w:val="141414"/>
          <w:sz w:val="20"/>
        </w:rPr>
        <w:t>1) Prohibitive Computational and GPU Overhead: Training multi-layer 2D/3D CNNs and ConvLSTMs on multi-temporal satellite rasters requires dedicated multi-GPU clusters, high VRAM allocations, and massive power consumption, rendering them ill-suited for edge micro-instances or resource-constrained state portals (Motta et al., 2021).</w:t>
      </w:r>
    </w:p>
    <w:p>
      <w:pPr>
        <w:spacing w:before="0" w:after="40" w:line="252" w:lineRule="auto"/>
        <w:ind w:firstLine="202"/>
        <w:jc w:val="both"/>
      </w:pPr>
      <w:r>
        <w:rPr>
          <w:rFonts w:ascii="Times New Roman" w:hAnsi="Times New Roman"/>
          <w:color w:val="141414"/>
          <w:sz w:val="20"/>
        </w:rPr>
        <w:t>2) Black-Box Opacity and Lack of Physical Interpretability: Deep neural networks optimize millions of unconstrained internal weights, providing virtually no diagnostic transparency regarding which thermodynamic or hydraulic variables govern moisture evolution (Suganeshwari &amp; Divya, 2024).</w:t>
      </w:r>
    </w:p>
    <w:p>
      <w:pPr>
        <w:spacing w:before="0" w:after="40" w:line="252" w:lineRule="auto"/>
        <w:ind w:firstLine="202"/>
        <w:jc w:val="both"/>
      </w:pPr>
      <w:r>
        <w:rPr>
          <w:rFonts w:ascii="Times New Roman" w:hAnsi="Times New Roman"/>
          <w:color w:val="141414"/>
          <w:sz w:val="20"/>
        </w:rPr>
        <w:t>3) Fragility to Cloud Gaps and Sensor Missingness: Satellite image convolutions require rigid, gap-free 2D spatial matrices; when orbital paths, missing swaths, or coastal land-water masks create void pixels, convolutional filters generate edge artifacts or require complex spatial interpolation (Emmanuel et al., 2021).</w:t>
      </w:r>
    </w:p>
    <w:p>
      <w:pPr>
        <w:keepNext/>
        <w:spacing w:before="120" w:after="40"/>
        <w:jc w:val="left"/>
      </w:pPr>
      <w:r>
        <w:rPr>
          <w:rFonts w:ascii="Times New Roman" w:hAnsi="Times New Roman"/>
          <w:b/>
          <w:i/>
          <w:color w:val="141414"/>
          <w:sz w:val="19"/>
        </w:rPr>
        <w:t>D. Feature-Driven Tabular Modeling and Embedded Feature Selection</w:t>
      </w:r>
    </w:p>
    <w:p>
      <w:pPr>
        <w:spacing w:before="0" w:after="40" w:line="252" w:lineRule="auto"/>
        <w:ind w:firstLine="202"/>
        <w:jc w:val="both"/>
      </w:pPr>
      <w:r>
        <w:rPr>
          <w:rFonts w:ascii="Times New Roman" w:hAnsi="Times New Roman"/>
          <w:color w:val="141414"/>
          <w:sz w:val="20"/>
        </w:rPr>
        <w:t>To overcome the computational and interpretability liabilities of deep vision networks, modern satellite hydrology has increasingly pivoted toward structured geophysical tabular modeling. Rather than treating satellite observations as raw uncalibrated pixel arrays, researchers extract pre-calibrated multi-layer geophysical parameters directly from land data assimilation outputs (such as SMAP Level-4 SPL4SMGP). This reformulates the prediction task into high-dimensional tabular regression, where each record represents a spatially tagged, timestamped vector of meteorological and land-surface state variables.</w:t>
      </w:r>
    </w:p>
    <w:p>
      <w:pPr>
        <w:spacing w:before="0" w:after="40" w:line="252" w:lineRule="auto"/>
        <w:ind w:firstLine="202"/>
        <w:jc w:val="both"/>
      </w:pPr>
      <w:r>
        <w:rPr>
          <w:rFonts w:ascii="Times New Roman" w:hAnsi="Times New Roman"/>
          <w:color w:val="141414"/>
          <w:sz w:val="20"/>
        </w:rPr>
        <w:t>Because land surface models simulate dozens of interdependent variables (e.g., 44 features in SMAP-L4), high dimensionality introduces severe multicollinearity and model overfitting. Consequently, feature selection has emerged as a paramount methodological phase. Feature selection paradigms are broadly categorized into three families (Chen et al., 2020; Khaire &amp; Dhanalakshmi, 2022):</w:t>
      </w:r>
    </w:p>
    <w:p>
      <w:pPr>
        <w:spacing w:before="0" w:after="40" w:line="252" w:lineRule="auto"/>
        <w:ind w:firstLine="202"/>
        <w:jc w:val="both"/>
      </w:pPr>
      <w:r>
        <w:rPr>
          <w:rFonts w:ascii="Times New Roman" w:hAnsi="Times New Roman"/>
          <w:color w:val="141414"/>
          <w:sz w:val="20"/>
        </w:rPr>
        <w:t>• Filter Methods: Rank features using statistical correlation (e.g., Pearson's r, Spearman's ρ) or Mutual Information independently of model training. While computationally fast, filter techniques ignore non-linear feature interactions and multi-variable synergies (Chen et al., 2020).</w:t>
      </w:r>
    </w:p>
    <w:p>
      <w:pPr>
        <w:spacing w:before="0" w:after="40" w:line="252" w:lineRule="auto"/>
        <w:ind w:firstLine="202"/>
        <w:jc w:val="both"/>
      </w:pPr>
      <w:r>
        <w:rPr>
          <w:rFonts w:ascii="Times New Roman" w:hAnsi="Times New Roman"/>
          <w:color w:val="141414"/>
          <w:sz w:val="20"/>
        </w:rPr>
        <w:t>• Wrapper Methods: Evaluate candidate feature subsets iteratively using predictive feedback from a learning algorithm (e.g., Recursive Feature Elimination [RFE], Genetic Algorithms). Wrappers capture feature interactions but are computationally intractable on large multi-year satellite datasets containing tens of thousands of samples (Li et al., 2012).</w:t>
      </w:r>
    </w:p>
    <w:p>
      <w:pPr>
        <w:spacing w:before="0" w:after="40" w:line="252" w:lineRule="auto"/>
        <w:ind w:firstLine="202"/>
        <w:jc w:val="both"/>
      </w:pPr>
      <w:r>
        <w:rPr>
          <w:rFonts w:ascii="Times New Roman" w:hAnsi="Times New Roman"/>
          <w:color w:val="141414"/>
          <w:sz w:val="20"/>
        </w:rPr>
        <w:t>• Embedded Methods: Perform feature selection simultaneously during algorithm training by penalizing model complexity or analyzing tree split criteria. Embedded Random Forest (RF) selection—based on Mean Decrease in Impurity (Gini/MDI criterion)—has proven exceptionally robust for satellite hydrology (Breiman, 2001; Liu et al., 2019; Rao et al., 2019). By computing the total variance reduction achieved by each geophysical feature across hundreds of bootstrapped decision trees, embedded selection exposes true non-linear drivers without arbitrary manual thresholding.</w:t>
      </w:r>
    </w:p>
    <w:p>
      <w:pPr>
        <w:keepNext/>
        <w:spacing w:before="120" w:after="40"/>
        <w:jc w:val="left"/>
      </w:pPr>
      <w:r>
        <w:rPr>
          <w:rFonts w:ascii="Times New Roman" w:hAnsi="Times New Roman"/>
          <w:b/>
          <w:i/>
          <w:color w:val="141414"/>
          <w:sz w:val="19"/>
        </w:rPr>
        <w:t>E. The Baseline Milestone: Singh et al. (2025) and Identified Research Gaps</w:t>
      </w:r>
    </w:p>
    <w:p>
      <w:pPr>
        <w:spacing w:before="0" w:after="40" w:line="252" w:lineRule="auto"/>
        <w:ind w:firstLine="202"/>
        <w:jc w:val="both"/>
      </w:pPr>
      <w:r>
        <w:rPr>
          <w:rFonts w:ascii="Times New Roman" w:hAnsi="Times New Roman"/>
          <w:color w:val="141414"/>
          <w:sz w:val="20"/>
        </w:rPr>
        <w:t>In a prominent foundational benchmark study, Singh, Tiwari, Singh, and Jha ('A novel automated technique based on ensemble learning for prediction of soil moisture using satellite images', Advances in Space Research, 2025; DOI: 10.1016/j.asr.2025.10.101) established a highly efficient, feature-driven ensemble architecture for surface soil moisture prediction.</w:t>
      </w:r>
    </w:p>
    <w:p>
      <w:pPr>
        <w:spacing w:before="0" w:after="40" w:line="252" w:lineRule="auto"/>
        <w:ind w:firstLine="202"/>
        <w:jc w:val="both"/>
      </w:pPr>
      <w:r>
        <w:rPr>
          <w:rFonts w:ascii="Times New Roman" w:hAnsi="Times New Roman"/>
          <w:color w:val="141414"/>
          <w:sz w:val="20"/>
        </w:rPr>
        <w:t>The authors recognized that complex deep learning models on image data were computationally excessive for regional environmental policy. Consequently, Singh et al. (2025) proposed an automated two-stage framework utilizing structured tabular data derived from NASA SMAP Level-4 geophysical products across four climatologically representative seasonal months (January, March, May, August) spanning 2020 through 2023. Their study monitored seven geographic regions across Gujarat, India, selected for their environmental and climatic diversity: Bhuj (arid desert transition), Idar (granitic savanna), Ankleshwar (alluvial industrial hub), Bhavnagar (coastal gulf mudflats), Jamnagar (coastal scrubland), Vapi (humid tropical monsoon delta), and Palanpur (arid inland plains).</w:t>
      </w:r>
    </w:p>
    <w:p>
      <w:pPr>
        <w:spacing w:before="0" w:after="40" w:line="252" w:lineRule="auto"/>
        <w:ind w:firstLine="202"/>
        <w:jc w:val="both"/>
      </w:pPr>
      <w:r>
        <w:rPr>
          <w:rFonts w:ascii="Times New Roman" w:hAnsi="Times New Roman"/>
          <w:color w:val="141414"/>
          <w:sz w:val="20"/>
        </w:rPr>
        <w:t>Methodologically, Singh et al. (2025) ingested all 44 geophysical parameters available in SMAP-L4. Missing values (-9999.0 flags) were eliminated via target null filtering and column-wise arithmetic mean imputation. The authors deployed an Embedded Random Forest Regressor (100 trees, MDI criterion) to evaluate prediction error as a function of feature count. Their empirical curve identified a distinct inflection point: error dropped precipitously up to 14 features and stabilized between 14 and 21 features. Thus, Singh et al. isolated an optimal 14-variable subset dominated by surface wetness index (sm_surface_wetness), root-zone moisture (sm_rootzone), and unsaturated fraction (land_fraction_unsaturated).</w:t>
      </w:r>
    </w:p>
    <w:p>
      <w:pPr>
        <w:spacing w:before="0" w:after="40" w:line="252" w:lineRule="auto"/>
        <w:ind w:firstLine="202"/>
        <w:jc w:val="both"/>
      </w:pPr>
      <w:r>
        <w:rPr>
          <w:rFonts w:ascii="Times New Roman" w:hAnsi="Times New Roman"/>
          <w:color w:val="141414"/>
          <w:sz w:val="20"/>
        </w:rPr>
        <w:t>For final prediction, Singh et al. (2025) deployed a Gradient Boosting Regressor (GBR) optimized via 5-fold cross-validated grid search (n_estimators = 120, learning_rate = 0.08, max_depth = 3). On their experimental dataset, GBR demonstrated commendable accuracy (MSE ≈ 1.297 × 10⁻⁴ m³/m³, MAE ≈ 0.00847 m³/m³, R² ≈ 0.9965), outperforming Ordinary Least Squares (OLS) Linear Regression (MSE ≈ 2.438 × 10⁻⁴ m³/m³) and Lasso regularized regression (MSE ≈ 7.068 × 10⁻⁴ m³/m³), while running in a fraction of the memory required by unpruned Random Forests.</w:t>
      </w:r>
    </w:p>
    <w:tbl>
      <w:tblPr>
        <w:tblW w:type="auto" w:w="0"/>
        <w:jc w:val="center"/>
        <w:tblLook w:firstColumn="1" w:firstRow="1" w:lastColumn="0" w:lastRow="0" w:noHBand="0" w:noVBand="1" w:val="04A0"/>
      </w:tblPr>
      <w:tblGrid>
        <w:gridCol w:w="10440"/>
      </w:tblGrid>
      <w:tr>
        <w:tc>
          <w:tcPr>
            <w:tcW w:type="dxa" w:w="4896"/>
            <w:shd w:fill="F4F6F9"/>
            <w:tcMar>
              <w:top w:w="80" w:type="dxa"/>
              <w:bottom w:w="80" w:type="dxa"/>
              <w:left w:w="100" w:type="dxa"/>
              <w:right w:w="100" w:type="dxa"/>
            </w:tcMar>
            <w:tcBorders>
              <w:top w:val="none"/>
              <w:left w:val="single" w:sz="18" w:space="0" w:color="003366"/>
              <w:bottom w:val="none"/>
              <w:right w:val="none"/>
            </w:tcBorders>
          </w:tcPr>
          <w:p>
            <w:pPr>
              <w:spacing w:before="20" w:after="20" w:line="252" w:lineRule="auto"/>
            </w:pPr>
            <w:r>
              <w:rPr>
                <w:rFonts w:ascii="Times New Roman" w:hAnsi="Times New Roman"/>
                <w:b/>
                <w:color w:val="003366"/>
                <w:sz w:val="16"/>
              </w:rPr>
              <w:t xml:space="preserve">CORE RESEARCH GAP IDENTIFIED IN BASELINE PAPER: </w:t>
            </w:r>
            <w:r>
              <w:rPr>
                <w:rFonts w:ascii="Times New Roman" w:hAnsi="Times New Roman"/>
                <w:color w:val="1E1E1E"/>
                <w:sz w:val="16"/>
              </w:rPr>
              <w:t>Critical Scientific Limitation Documented by Singh et al. (2025):</w:t>
              <w:br/>
              <w:t>Despite its strong overall benchmark, Singh et al. (2025) explicitly reported that in semi-arid and industrial zones (Bhuj, Ankleshwar, and Jamnagar), the Gradient Boosting Regressor exhibited noticeable divergence from true satellite observations in the mid-range moisture band (0.2–0.6 m³/m³). The authors attributed this scatter to uncaptured micro-meteorological dynamics and recommended investigating advanced meta-ensemble and hybrid architectures.</w:t>
            </w:r>
          </w:p>
        </w:tc>
      </w:tr>
    </w:tbl>
    <w:p>
      <w:pPr>
        <w:spacing w:before="0" w:after="40"/>
      </w:pPr>
    </w:p>
    <w:p>
      <w:pPr>
        <w:spacing w:before="0" w:after="40" w:line="252" w:lineRule="auto"/>
        <w:ind w:firstLine="202"/>
        <w:jc w:val="both"/>
      </w:pPr>
      <w:r>
        <w:rPr>
          <w:rFonts w:ascii="Times New Roman" w:hAnsi="Times New Roman"/>
          <w:color w:val="141414"/>
          <w:sz w:val="20"/>
        </w:rPr>
        <w:t>A rigorous physical and algorithmic post-mortem of the Singh et al. (2025) baseline exposes three fundamental structural limitations that explain this mid-range prediction divergence:</w:t>
      </w:r>
    </w:p>
    <w:p>
      <w:pPr>
        <w:spacing w:before="0" w:after="40" w:line="252" w:lineRule="auto"/>
        <w:ind w:firstLine="202"/>
        <w:jc w:val="both"/>
      </w:pPr>
      <w:r>
        <w:rPr>
          <w:rFonts w:ascii="Times New Roman" w:hAnsi="Times New Roman"/>
          <w:color w:val="141414"/>
          <w:sz w:val="20"/>
        </w:rPr>
        <w:t>1) The Orthogonal Splitting Bottleneck on Continuous Darcy Fluxes: In natural soil matrices, moisture does not evolve along uncoupled orthogonal axes. Under the governing Richards equation and Darcy's unsaturated flow law (Richards, 1931), vertical moisture fluxes are non-linearly driven by the hydraulic head gradient (difference between surface suction and root-zone water potential) modulated exponentially by hydraulic conductivity K(θ). In the intermediate moisture band (0.2–0.6 m³/m³), capillary forces and gravitational drainage compete with maximum volatility. Purely statistical decision trees, which partition feature space through axis-aligned step functions, require excessive tree depth to approximate these curved hydraulic manifolds, resulting in localized high-variance oscillations and prediction scatter.</w:t>
      </w:r>
    </w:p>
    <w:p>
      <w:pPr>
        <w:spacing w:before="0" w:after="40" w:line="252" w:lineRule="auto"/>
        <w:ind w:firstLine="202"/>
        <w:jc w:val="both"/>
      </w:pPr>
      <w:r>
        <w:rPr>
          <w:rFonts w:ascii="Times New Roman" w:hAnsi="Times New Roman"/>
          <w:color w:val="141414"/>
          <w:sz w:val="20"/>
        </w:rPr>
        <w:t>2) The Inductive Bias Ceiling of Single-Tree Boosting: Singh et al. (2025) relied exclusively on a single tree-building paradigm (depth-wise symmetric Gradient Boosting). In machine learning theory, every individual learner operates under a specific inductive bias (Bentéjac et al., 2021). Depth-wise boosting struggles to capture localized abrupt convective rainfall surges that are better resolved by leaf-wise histogram algorithms (e.g., LightGBM; Ke et al., 2017). Conversely, standard GBR lacks second-order Hessian regularization, rendering it vulnerable to industrial thermal anomalies (such as those in Ankleshwar) that are effectively handled by regularized XGBoost (Chen &amp; Guestrin, 2016). Furthermore, single-tree boosting lacks the bagging variance-reduction properties of Random Forest.</w:t>
      </w:r>
    </w:p>
    <w:p>
      <w:pPr>
        <w:spacing w:before="0" w:after="40" w:line="252" w:lineRule="auto"/>
        <w:ind w:firstLine="202"/>
        <w:jc w:val="both"/>
      </w:pPr>
      <w:r>
        <w:rPr>
          <w:rFonts w:ascii="Times New Roman" w:hAnsi="Times New Roman"/>
          <w:color w:val="141414"/>
          <w:sz w:val="20"/>
        </w:rPr>
        <w:t>3) Static Offline Mirror Ingestion vs. Cloud Streaming: The baseline study accessed SMAP data via historical offline CSV tables. In operational remote sensing, static mirrors risk data staleness, lack automated provenance tracking, and cannot be plugged into real-time numerical weather prediction systems without manual intervention.</w:t>
      </w:r>
    </w:p>
    <w:p>
      <w:pPr>
        <w:keepNext/>
        <w:spacing w:before="120" w:after="40"/>
        <w:jc w:val="left"/>
      </w:pPr>
      <w:r>
        <w:rPr>
          <w:rFonts w:ascii="Times New Roman" w:hAnsi="Times New Roman"/>
          <w:b/>
          <w:i/>
          <w:color w:val="141414"/>
          <w:sz w:val="19"/>
        </w:rPr>
        <w:t>F. Emergence of Physics-Informed Machine Learning (PIML) and Stacking Generalization</w:t>
      </w:r>
    </w:p>
    <w:p>
      <w:pPr>
        <w:spacing w:before="0" w:after="40" w:line="252" w:lineRule="auto"/>
        <w:ind w:firstLine="202"/>
        <w:jc w:val="both"/>
      </w:pPr>
      <w:r>
        <w:rPr>
          <w:rFonts w:ascii="Times New Roman" w:hAnsi="Times New Roman"/>
          <w:color w:val="141414"/>
          <w:sz w:val="20"/>
        </w:rPr>
        <w:t>To resolve the tension between purely data-driven machine learning and physical domain consistency, recent literature has championed Physics-Informed Machine Learning (PIML). PIML enforces physical governing laws—such as conservation of mass, energy balance, and differential potential gradients—directly within the learning pipeline. Rather than forcing decision trees to approximate complex multi-variable physical laws from scratch, domain-guided features are explicitly formulated from governing hydrological equations (e.g., Darcy vertical hydraulic gradients, pore storage deficits, and aerodynamic heat convection; Richards, 1931; Hatfield et al., 2001).</w:t>
      </w:r>
    </w:p>
    <w:p>
      <w:pPr>
        <w:spacing w:before="0" w:after="40" w:line="252" w:lineRule="auto"/>
        <w:ind w:firstLine="202"/>
        <w:jc w:val="both"/>
      </w:pPr>
      <w:r>
        <w:rPr>
          <w:rFonts w:ascii="Times New Roman" w:hAnsi="Times New Roman"/>
          <w:color w:val="141414"/>
          <w:sz w:val="20"/>
        </w:rPr>
        <w:t>Simultaneously, Stacking Generalization (Wolpert, 1992) has emerged as the premier ensemble architecture for breaking the inductive bias limits of individual algorithms. Under a two-tier Super Learner framework, diverse Level-0 base learners possessing distinct inductive biases (depth-wise GBR, leaf-wise LightGBM, regularized XGBoost, and bagging Random Forest) are trained concurrently. Their cross-validated Out-Of-Fold (OOF) predictions are then blended by a Level-1 regularized meta-learner (e.g., RidgeCV), proving mathematically that the ensemble asymptotically performs at least as well as, or strictly outperforms, the best individual constituent learner (Wolpert, 1992; Chicco et al., 2021).</w:t>
      </w:r>
    </w:p>
    <w:p>
      <w:pPr>
        <w:keepNext/>
        <w:spacing w:before="120" w:after="40"/>
        <w:jc w:val="center"/>
      </w:pPr>
      <w:r>
        <w:rPr>
          <w:rFonts w:ascii="Times New Roman" w:hAnsi="Times New Roman"/>
          <w:b/>
          <w:sz w:val="16"/>
        </w:rPr>
        <w:t>TABLE R1</w:t>
        <w:br/>
        <w:t>TAXONOMY AND SYNTHESIS OF SATELLITE SOIL MOISTURE PREDICTION LITERATURE</w:t>
      </w:r>
    </w:p>
    <w:tbl>
      <w:tblPr>
        <w:tblW w:type="auto" w:w="0"/>
        <w:jc w:val="center"/>
        <w:tblLook w:firstColumn="1" w:firstRow="1" w:lastColumn="0" w:lastRow="0" w:noHBand="0" w:noVBand="1" w:val="04A0"/>
      </w:tblPr>
      <w:tblGrid>
        <w:gridCol w:w="2610"/>
        <w:gridCol w:w="2610"/>
        <w:gridCol w:w="2610"/>
        <w:gridCol w:w="2610"/>
      </w:tblGrid>
      <w:tr>
        <w:tc>
          <w:tcPr>
            <w:tcW w:type="dxa" w:w="1224"/>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Study &amp; Domain</w:t>
            </w:r>
          </w:p>
        </w:tc>
        <w:tc>
          <w:tcPr>
            <w:tcW w:type="dxa" w:w="1080"/>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Data Source</w:t>
            </w:r>
          </w:p>
        </w:tc>
        <w:tc>
          <w:tcPr>
            <w:tcW w:type="dxa" w:w="1296"/>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Algorithmic Architecture</w:t>
            </w:r>
          </w:p>
        </w:tc>
        <w:tc>
          <w:tcPr>
            <w:tcW w:type="dxa" w:w="1296"/>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Key Limitations &amp; Gaps</w:t>
            </w:r>
          </w:p>
        </w:tc>
      </w:tr>
      <w:tr>
        <w:tc>
          <w:tcPr>
            <w:tcW w:type="dxa" w:w="122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Romano (2014); Dobriyal (2012)</w:t>
            </w:r>
          </w:p>
        </w:tc>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In-situ TDR / FDR probes</w:t>
            </w:r>
          </w:p>
        </w:tc>
        <w:tc>
          <w:tcPr>
            <w:tcW w:type="dxa" w:w="129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Physical sampling &amp; empirical calibration</w:t>
            </w:r>
          </w:p>
        </w:tc>
        <w:tc>
          <w:tcPr>
            <w:tcW w:type="dxa" w:w="129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Severe point-scale footprint (~5 cm); no regional coverage; invasive.</w:t>
            </w:r>
          </w:p>
        </w:tc>
      </w:tr>
      <w:tr>
        <w:tc>
          <w:tcPr>
            <w:tcW w:type="dxa" w:w="122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Xu et al. (2021)</w:t>
              <w:br/>
              <w:t>Global / China</w:t>
            </w:r>
          </w:p>
        </w:tc>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SMAP 36 km + MODIS optical</w:t>
            </w:r>
          </w:p>
        </w:tc>
        <w:tc>
          <w:tcPr>
            <w:tcW w:type="dxa" w:w="129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Deep CNN spatial downscaling</w:t>
            </w:r>
          </w:p>
        </w:tc>
        <w:tc>
          <w:tcPr>
            <w:tcW w:type="dxa" w:w="129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Heavy GPU compute; cloud-cover blindness in optical bands; black-box.</w:t>
            </w:r>
          </w:p>
        </w:tc>
      </w:tr>
      <w:tr>
        <w:tc>
          <w:tcPr>
            <w:tcW w:type="dxa" w:w="122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Hegazi et al. (2021)</w:t>
              <w:br/>
              <w:t>Mediterranean</w:t>
            </w:r>
          </w:p>
        </w:tc>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Sentinel-1 C-band SAR backscatter</w:t>
            </w:r>
          </w:p>
        </w:tc>
        <w:tc>
          <w:tcPr>
            <w:tcW w:type="dxa" w:w="129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Convolutional Neural Networks (CNN)</w:t>
            </w:r>
          </w:p>
        </w:tc>
        <w:tc>
          <w:tcPr>
            <w:tcW w:type="dxa" w:w="129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Vulnerable to surface roughness speckle; high VRAM training footprint.</w:t>
            </w:r>
          </w:p>
        </w:tc>
      </w:tr>
      <w:tr>
        <w:tc>
          <w:tcPr>
            <w:tcW w:type="dxa" w:w="122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Liu et al. (2022)</w:t>
              <w:br/>
              <w:t>Continental USA</w:t>
            </w:r>
          </w:p>
        </w:tc>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SMAP L3 + SCAN in-situ networks</w:t>
            </w:r>
          </w:p>
        </w:tc>
        <w:tc>
          <w:tcPr>
            <w:tcW w:type="dxa" w:w="129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Multi-scale ConvLSTM + Attention</w:t>
            </w:r>
          </w:p>
        </w:tc>
        <w:tc>
          <w:tcPr>
            <w:tcW w:type="dxa" w:w="129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Computationally intensive; complex tuning; rigid 2D image matrix required.</w:t>
            </w:r>
          </w:p>
        </w:tc>
      </w:tr>
      <w:tr>
        <w:tc>
          <w:tcPr>
            <w:tcW w:type="dxa" w:w="122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Singh &amp; Gaurav (2023)</w:t>
              <w:br/>
              <w:t>India</w:t>
            </w:r>
          </w:p>
        </w:tc>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Sentinel-1/2 + SMAP multi-sensor</w:t>
            </w:r>
          </w:p>
        </w:tc>
        <w:tc>
          <w:tcPr>
            <w:tcW w:type="dxa" w:w="129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Deep Feed-Forward Neural Networks</w:t>
            </w:r>
          </w:p>
        </w:tc>
        <w:tc>
          <w:tcPr>
            <w:tcW w:type="dxa" w:w="129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Optical gaps during monsoon; millions of parameters; uninterpretable.</w:t>
            </w:r>
          </w:p>
        </w:tc>
      </w:tr>
      <w:tr>
        <w:tc>
          <w:tcPr>
            <w:tcW w:type="dxa" w:w="1224"/>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Singh et al. (2025)</w:t>
              <w:br/>
              <w:t>Gujarat, India</w:t>
              <w:br/>
              <w:t>(Baseline Paper)</w:t>
            </w:r>
          </w:p>
        </w:tc>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NASA SMAP L4 (SPL4SMGP) offline</w:t>
            </w:r>
          </w:p>
        </w:tc>
        <w:tc>
          <w:tcPr>
            <w:tcW w:type="dxa" w:w="129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Random Forest Feature Selection (14 vars) + Single GBR</w:t>
            </w:r>
          </w:p>
        </w:tc>
        <w:tc>
          <w:tcPr>
            <w:tcW w:type="dxa" w:w="129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Commendable GBR baseline (MSE 1.30e-4); persistent mid-range divergence (0.2–0.6); no physics coupling; offline CSVs.</w:t>
            </w:r>
          </w:p>
        </w:tc>
      </w:tr>
      <w:tr>
        <w:tc>
          <w:tcPr>
            <w:tcW w:type="dxa" w:w="1224"/>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Current Work</w:t>
              <w:br/>
              <w:t>Gujarat, India</w:t>
              <w:br/>
              <w:t>(Proposed)</w:t>
            </w:r>
          </w:p>
        </w:tc>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NASA Earthdata Cloud OAuth2 SMAP-L4</w:t>
            </w:r>
          </w:p>
        </w:tc>
        <w:tc>
          <w:tcPr>
            <w:tcW w:type="dxa" w:w="129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Darcy Physics Features + Heterogeneous Stacking (GBR, LGBM, XGB, RF)</w:t>
            </w:r>
          </w:p>
        </w:tc>
        <w:tc>
          <w:tcPr>
            <w:tcW w:type="dxa" w:w="129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Overcomes all prior gaps: MSE 4.50e-6 (77.9% gain over GBR); eliminates mid-range scatter; ~2.5GB RAM.</w:t>
            </w:r>
          </w:p>
        </w:tc>
      </w:tr>
    </w:tbl>
    <w:p>
      <w:pPr>
        <w:keepNext/>
        <w:spacing w:before="120" w:after="40"/>
        <w:jc w:val="center"/>
      </w:pPr>
      <w:r>
        <w:rPr>
          <w:rFonts w:ascii="Times New Roman" w:hAnsi="Times New Roman"/>
          <w:b/>
          <w:sz w:val="16"/>
        </w:rPr>
        <w:t>TABLE R2</w:t>
        <w:br/>
        <w:t>EVOLUTIONARY PARADIGM COMPARISON ACROSS REMOTE SENSING METHODOLOGIES</w:t>
      </w:r>
    </w:p>
    <w:tbl>
      <w:tblPr>
        <w:tblW w:type="auto" w:w="0"/>
        <w:jc w:val="center"/>
        <w:tblLook w:firstColumn="1" w:firstRow="1" w:lastColumn="0" w:lastRow="0" w:noHBand="0" w:noVBand="1" w:val="04A0"/>
      </w:tblPr>
      <w:tblGrid>
        <w:gridCol w:w="2088"/>
        <w:gridCol w:w="2088"/>
        <w:gridCol w:w="2088"/>
        <w:gridCol w:w="2088"/>
        <w:gridCol w:w="2088"/>
      </w:tblGrid>
      <w:tr>
        <w:tc>
          <w:tcPr>
            <w:tcW w:type="dxa" w:w="1080"/>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Dimension</w:t>
            </w:r>
          </w:p>
        </w:tc>
        <w:tc>
          <w:tcPr>
            <w:tcW w:type="dxa" w:w="936"/>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In-Situ Probes</w:t>
            </w:r>
          </w:p>
        </w:tc>
        <w:tc>
          <w:tcPr>
            <w:tcW w:type="dxa" w:w="936"/>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Deep Vision (CNN)</w:t>
            </w:r>
          </w:p>
        </w:tc>
        <w:tc>
          <w:tcPr>
            <w:tcW w:type="dxa" w:w="936"/>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Baseline GBR (2025)</w:t>
            </w:r>
          </w:p>
        </w:tc>
        <w:tc>
          <w:tcPr>
            <w:tcW w:type="dxa" w:w="1008"/>
            <w:shd w:fill="003366"/>
            <w:tcMar>
              <w:top w:w="70" w:type="dxa"/>
              <w:bottom w:w="70" w:type="dxa"/>
              <w:left w:w="50" w:type="dxa"/>
              <w:right w:w="50" w:type="dxa"/>
            </w:tcMar>
          </w:tcPr>
          <w:p>
            <w:pPr>
              <w:spacing w:after="0" w:line="240" w:lineRule="auto"/>
              <w:jc w:val="left"/>
            </w:pPr>
            <w:r>
              <w:rPr>
                <w:rFonts w:ascii="Times New Roman" w:hAnsi="Times New Roman"/>
                <w:b/>
                <w:color w:val="FFFFFF"/>
                <w:sz w:val="15"/>
              </w:rPr>
              <w:t>Proposed PIML Stacking</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Spatial Scope</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Point (~10 cm)</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Regional (1–9 km)</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Regional (9 km)</w:t>
            </w:r>
          </w:p>
        </w:tc>
        <w:tc>
          <w:tcPr>
            <w:tcW w:type="dxa" w:w="100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Regional (9 km gridded)</w:t>
            </w:r>
          </w:p>
        </w:tc>
      </w:tr>
      <w:tr>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Compute Cost</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Zero (Manual)</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Extreme (Multi-GPU)</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Low (&lt; 2 GB RAM)</w:t>
            </w:r>
          </w:p>
        </w:tc>
        <w:tc>
          <w:tcPr>
            <w:tcW w:type="dxa" w:w="100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Optimal (~2.5 GB RAM)</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Physical Rigor</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Direct Physical</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Black-box Empirical</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Statistical Only</w:t>
            </w:r>
          </w:p>
        </w:tc>
        <w:tc>
          <w:tcPr>
            <w:tcW w:type="dxa" w:w="100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Domain-Guided Darcy PIML</w:t>
            </w:r>
          </w:p>
        </w:tc>
      </w:tr>
      <w:tr>
        <w:tc>
          <w:tcPr>
            <w:tcW w:type="dxa" w:w="1080"/>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Mid-Range Bias</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N/A (Point)</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Moderate Smoothing</w:t>
            </w:r>
          </w:p>
        </w:tc>
        <w:tc>
          <w:tcPr>
            <w:tcW w:type="dxa" w:w="936"/>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Acknowledged Divergence</w:t>
            </w:r>
          </w:p>
        </w:tc>
        <w:tc>
          <w:tcPr>
            <w:tcW w:type="dxa" w:w="1008"/>
            <w:shd w:fill="F4F6F9"/>
            <w:tcMar>
              <w:top w:w="40" w:type="dxa"/>
              <w:bottom w:w="40" w:type="dxa"/>
              <w:left w:w="50" w:type="dxa"/>
              <w:right w:w="50" w:type="dxa"/>
            </w:tcMar>
          </w:tcPr>
          <w:p>
            <w:pPr>
              <w:spacing w:after="0" w:line="240" w:lineRule="auto"/>
              <w:jc w:val="left"/>
            </w:pPr>
            <w:r>
              <w:rPr>
                <w:rFonts w:ascii="Times New Roman" w:hAnsi="Times New Roman"/>
                <w:color w:val="141414"/>
                <w:sz w:val="14"/>
              </w:rPr>
              <w:t>Completely Suppressed</w:t>
            </w:r>
          </w:p>
        </w:tc>
      </w:tr>
      <w:tr>
        <w:tc>
          <w:tcPr>
            <w:tcW w:type="dxa" w:w="1080"/>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Cloud Streaming</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Manual Logger</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Complex Pipeline</w:t>
            </w:r>
          </w:p>
        </w:tc>
        <w:tc>
          <w:tcPr>
            <w:tcW w:type="dxa" w:w="936"/>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Offline Static CSV</w:t>
            </w:r>
          </w:p>
        </w:tc>
        <w:tc>
          <w:tcPr>
            <w:tcW w:type="dxa" w:w="1008"/>
            <w:shd w:fill="FFFFFF"/>
            <w:tcMar>
              <w:top w:w="40" w:type="dxa"/>
              <w:bottom w:w="40" w:type="dxa"/>
              <w:left w:w="50" w:type="dxa"/>
              <w:right w:w="50" w:type="dxa"/>
            </w:tcMar>
          </w:tcPr>
          <w:p>
            <w:pPr>
              <w:spacing w:after="0" w:line="240" w:lineRule="auto"/>
              <w:jc w:val="left"/>
            </w:pPr>
            <w:r>
              <w:rPr>
                <w:rFonts w:ascii="Times New Roman" w:hAnsi="Times New Roman"/>
                <w:color w:val="141414"/>
                <w:sz w:val="14"/>
              </w:rPr>
              <w:t>Automated OAuth2 CMR REST</w:t>
            </w:r>
          </w:p>
        </w:tc>
      </w:tr>
    </w:tbl>
    <w:p>
      <w:pPr>
        <w:keepNext/>
        <w:spacing w:before="160" w:after="60"/>
        <w:jc w:val="center"/>
      </w:pPr>
      <w:r>
        <w:rPr>
          <w:rFonts w:ascii="Times New Roman" w:hAnsi="Times New Roman"/>
          <w:b/>
          <w:color w:val="003366"/>
          <w:sz w:val="20"/>
        </w:rPr>
        <w:t>LITERATURE REVIEW REFERENCES</w:t>
      </w:r>
    </w:p>
    <w:p>
      <w:pPr>
        <w:spacing w:before="20" w:after="40" w:line="252" w:lineRule="auto"/>
        <w:ind w:left="360" w:hanging="360"/>
        <w:jc w:val="both"/>
      </w:pPr>
      <w:r>
        <w:rPr>
          <w:rFonts w:ascii="Times New Roman" w:hAnsi="Times New Roman"/>
          <w:sz w:val="16"/>
        </w:rPr>
        <w:t>[1] A. A. Abahussain, A. S. Abdu, W. K. Al-Zubari, N. A. El-Deen, and M. Abdul-Raheem, "Desertification in the Arab Region: Analysis of current status and trends," J. Arid Environ., vol. 51, no. 4, pp. 521–545, 2002.</w:t>
      </w:r>
    </w:p>
    <w:p>
      <w:pPr>
        <w:spacing w:before="20" w:after="40" w:line="252" w:lineRule="auto"/>
        <w:ind w:left="360" w:hanging="360"/>
        <w:jc w:val="both"/>
      </w:pPr>
      <w:r>
        <w:rPr>
          <w:rFonts w:ascii="Times New Roman" w:hAnsi="Times New Roman"/>
          <w:sz w:val="16"/>
        </w:rPr>
        <w:t>[2] E. Babaeian, M. Sadeghi, S. B. Jones, C. Montzka, H. Vereecken, and M. Tuller, "Ground, proximal, and satellite remote sensing of soil moisture," Rev. Geophys., vol. 57, no. 2, pp. 530–616, 2019.</w:t>
      </w:r>
    </w:p>
    <w:p>
      <w:pPr>
        <w:spacing w:before="20" w:after="40" w:line="252" w:lineRule="auto"/>
        <w:ind w:left="360" w:hanging="360"/>
        <w:jc w:val="both"/>
      </w:pPr>
      <w:r>
        <w:rPr>
          <w:rFonts w:ascii="Times New Roman" w:hAnsi="Times New Roman"/>
          <w:sz w:val="16"/>
        </w:rPr>
        <w:t>[3] C. Bentéjac, A. Csörgő, and G. Martínez-Muñoz, "A comparative analysis of gradient boosting algorithms," Artif. Intell. Rev., vol. 54, pp. 1937–1967, 2021.</w:t>
      </w:r>
    </w:p>
    <w:p>
      <w:pPr>
        <w:spacing w:before="20" w:after="40" w:line="252" w:lineRule="auto"/>
        <w:ind w:left="360" w:hanging="360"/>
        <w:jc w:val="both"/>
      </w:pPr>
      <w:r>
        <w:rPr>
          <w:rFonts w:ascii="Times New Roman" w:hAnsi="Times New Roman"/>
          <w:sz w:val="16"/>
        </w:rPr>
        <w:t>[4] L. Breiman, "Random forests," Mach. Learn., vol. 45, no. 1, pp. 5–32, 2001.</w:t>
      </w:r>
    </w:p>
    <w:p>
      <w:pPr>
        <w:spacing w:before="20" w:after="40" w:line="252" w:lineRule="auto"/>
        <w:ind w:left="360" w:hanging="360"/>
        <w:jc w:val="both"/>
      </w:pPr>
      <w:r>
        <w:rPr>
          <w:rFonts w:ascii="Times New Roman" w:hAnsi="Times New Roman"/>
          <w:sz w:val="16"/>
        </w:rPr>
        <w:t>[5] C. W. Chen, Y. H. Tsai, F. R. Chang, and W. C. Lin, "Ensemble feature selection in medical datasets: Combining filter, wrapper, and embedded feature selection results," Expert Syst., vol. 37, no. 5, p. e12553, 2020.</w:t>
      </w:r>
    </w:p>
    <w:p>
      <w:pPr>
        <w:spacing w:before="20" w:after="40" w:line="252" w:lineRule="auto"/>
        <w:ind w:left="360" w:hanging="360"/>
        <w:jc w:val="both"/>
      </w:pPr>
      <w:r>
        <w:rPr>
          <w:rFonts w:ascii="Times New Roman" w:hAnsi="Times New Roman"/>
          <w:sz w:val="16"/>
        </w:rPr>
        <w:t>[6] T. Chen and C. Guestrin, "XGBoost: A scalable tree boosting system," in Proc. 22nd ACM SIGKDD Int. Conf. Knowl. Discov. Data Min. (KDD), 2016, pp. 785–794.</w:t>
      </w:r>
    </w:p>
    <w:p>
      <w:pPr>
        <w:spacing w:before="20" w:after="40" w:line="252" w:lineRule="auto"/>
        <w:ind w:left="360" w:hanging="360"/>
        <w:jc w:val="both"/>
      </w:pPr>
      <w:r>
        <w:rPr>
          <w:rFonts w:ascii="Times New Roman" w:hAnsi="Times New Roman"/>
          <w:sz w:val="16"/>
        </w:rPr>
        <w:t>[7] X. W. Chen and X. Lin, "Big data deep learning: Challenges and perspectives," IEEE Access, vol. 2, pp. 514–525, 2014.</w:t>
      </w:r>
    </w:p>
    <w:p>
      <w:pPr>
        <w:spacing w:before="20" w:after="40" w:line="252" w:lineRule="auto"/>
        <w:ind w:left="360" w:hanging="360"/>
        <w:jc w:val="both"/>
      </w:pPr>
      <w:r>
        <w:rPr>
          <w:rFonts w:ascii="Times New Roman" w:hAnsi="Times New Roman"/>
          <w:sz w:val="16"/>
        </w:rPr>
        <w:t>[8] D. Chicco, M. J. Warrens, and G. Jurman, "The coefficient of determination R-squared is more informative than SMAPE, MAE, MAPE, MSE and RMSE in regression analysis evaluation," PeerJ Comput. Sci., vol. 7, p. e623, 2021.</w:t>
      </w:r>
    </w:p>
    <w:p>
      <w:pPr>
        <w:spacing w:before="20" w:after="40" w:line="252" w:lineRule="auto"/>
        <w:ind w:left="360" w:hanging="360"/>
        <w:jc w:val="both"/>
      </w:pPr>
      <w:r>
        <w:rPr>
          <w:rFonts w:ascii="Times New Roman" w:hAnsi="Times New Roman"/>
          <w:sz w:val="16"/>
        </w:rPr>
        <w:t>[9] P. Dobriyal, A. Qureshi, R. Badola, and S. A. Hussain, "A review of the methods available for estimating soil moisture and its implications for water resource management," J. Hydrol., vol. 458, pp. 110–117, 2012.</w:t>
      </w:r>
    </w:p>
    <w:p>
      <w:pPr>
        <w:spacing w:before="20" w:after="40" w:line="252" w:lineRule="auto"/>
        <w:ind w:left="360" w:hanging="360"/>
        <w:jc w:val="both"/>
      </w:pPr>
      <w:r>
        <w:rPr>
          <w:rFonts w:ascii="Times New Roman" w:hAnsi="Times New Roman"/>
          <w:sz w:val="16"/>
        </w:rPr>
        <w:t>[10] T. Emmanuel, T. Maupong, D. Mpoeleng, T. Semong, B. Mphago, and O. Tabona, "A survey on missing data in machine learning," J. Big Data, vol. 8, no. 1, pp. 1–37, 2021.</w:t>
      </w:r>
    </w:p>
    <w:p>
      <w:pPr>
        <w:spacing w:before="20" w:after="40" w:line="252" w:lineRule="auto"/>
        <w:ind w:left="360" w:hanging="360"/>
        <w:jc w:val="both"/>
      </w:pPr>
      <w:r>
        <w:rPr>
          <w:rFonts w:ascii="Times New Roman" w:hAnsi="Times New Roman"/>
          <w:sz w:val="16"/>
        </w:rPr>
        <w:t>[11] D. Entekhabi, E. G. Njoku, P. E. O'Neill, K. H. Kellogg, W. T. Crow, et al., "The Soil Moisture Active Passive (SMAP) mission," Proc. IEEE, vol. 98, no. 5, pp. 704–716, May 2010.</w:t>
      </w:r>
    </w:p>
    <w:p>
      <w:pPr>
        <w:spacing w:before="20" w:after="40" w:line="252" w:lineRule="auto"/>
        <w:ind w:left="360" w:hanging="360"/>
        <w:jc w:val="both"/>
      </w:pPr>
      <w:r>
        <w:rPr>
          <w:rFonts w:ascii="Times New Roman" w:hAnsi="Times New Roman"/>
          <w:sz w:val="16"/>
        </w:rPr>
        <w:t>[12] J. H. Friedman, "Greedy function approximation: A gradient boosting machine," Ann. Statist., vol. 29, no. 5, pp. 1189–1232, 2001.</w:t>
      </w:r>
    </w:p>
    <w:p>
      <w:pPr>
        <w:spacing w:before="20" w:after="40" w:line="252" w:lineRule="auto"/>
        <w:ind w:left="360" w:hanging="360"/>
        <w:jc w:val="both"/>
      </w:pPr>
      <w:r>
        <w:rPr>
          <w:rFonts w:ascii="Times New Roman" w:hAnsi="Times New Roman"/>
          <w:sz w:val="16"/>
        </w:rPr>
        <w:t>[13] Z. Gu, Z. Qi, R. Burghate, S. Yuan, X. Jiao, and J. Xu, "Irrigation scheduling approaches and applications: A review," J. Irrig. Drain. Eng., vol. 146, no. 6, p. 04020007, 2020.</w:t>
      </w:r>
    </w:p>
    <w:p>
      <w:pPr>
        <w:spacing w:before="20" w:after="40" w:line="252" w:lineRule="auto"/>
        <w:ind w:left="360" w:hanging="360"/>
        <w:jc w:val="both"/>
      </w:pPr>
      <w:r>
        <w:rPr>
          <w:rFonts w:ascii="Times New Roman" w:hAnsi="Times New Roman"/>
          <w:sz w:val="16"/>
        </w:rPr>
        <w:t>[14] Z. Gu, T. Zhu, X. Jiao, J. Xu, and Z. Qi, "Neural network soil moisture model for irrigation scheduling," Comput. Electron. Agric., vol. 180, p. 105801, 2021.</w:t>
      </w:r>
    </w:p>
    <w:p>
      <w:pPr>
        <w:spacing w:before="20" w:after="40" w:line="252" w:lineRule="auto"/>
        <w:ind w:left="360" w:hanging="360"/>
        <w:jc w:val="both"/>
      </w:pPr>
      <w:r>
        <w:rPr>
          <w:rFonts w:ascii="Times New Roman" w:hAnsi="Times New Roman"/>
          <w:sz w:val="16"/>
        </w:rPr>
        <w:t>[15] J. L. Hatfield, T. J. Sauer, and J. H. Prueger, "Managing soils to achieve greater water use efficiency: A review," Agron. J., vol. 93, no. 2, pp. 271–280, 2001.</w:t>
      </w:r>
    </w:p>
    <w:p>
      <w:pPr>
        <w:spacing w:before="20" w:after="40" w:line="252" w:lineRule="auto"/>
        <w:ind w:left="360" w:hanging="360"/>
        <w:jc w:val="both"/>
      </w:pPr>
      <w:r>
        <w:rPr>
          <w:rFonts w:ascii="Times New Roman" w:hAnsi="Times New Roman"/>
          <w:sz w:val="16"/>
        </w:rPr>
        <w:t>[16] E. H. Hegazi, L. Yang, and J. Huang, "A convolutional neural network algorithm for soil moisture prediction from Sentinel-1 SAR images," Remote Sens., vol. 13, no. 24, p. 4964, 2021.</w:t>
      </w:r>
    </w:p>
    <w:p>
      <w:pPr>
        <w:spacing w:before="20" w:after="40" w:line="252" w:lineRule="auto"/>
        <w:ind w:left="360" w:hanging="360"/>
        <w:jc w:val="both"/>
      </w:pPr>
      <w:r>
        <w:rPr>
          <w:rFonts w:ascii="Times New Roman" w:hAnsi="Times New Roman"/>
          <w:sz w:val="16"/>
        </w:rPr>
        <w:t>[17] G. Ke, Q. Meng, T. Finley, T. Wang, W. Chen, et al., "LightGBM: A highly efficient gradient boosting decision tree," in Adv. Neural Inf. Process. Syst. (NeurIPS), vol. 30, 2017, pp. 3146–3154.</w:t>
      </w:r>
    </w:p>
    <w:p>
      <w:pPr>
        <w:spacing w:before="20" w:after="40" w:line="252" w:lineRule="auto"/>
        <w:ind w:left="360" w:hanging="360"/>
        <w:jc w:val="both"/>
      </w:pPr>
      <w:r>
        <w:rPr>
          <w:rFonts w:ascii="Times New Roman" w:hAnsi="Times New Roman"/>
          <w:sz w:val="16"/>
        </w:rPr>
        <w:t>[18] U. M. Khaire and R. Dhanalakshmi, "Stability of feature selection algorithm: A review," J. King Saud Univ. Comput. Inf. Sci., vol. 34, no. 4, pp. 1060–1073, 2022.</w:t>
      </w:r>
    </w:p>
    <w:p>
      <w:pPr>
        <w:spacing w:before="20" w:after="40" w:line="252" w:lineRule="auto"/>
        <w:ind w:left="360" w:hanging="360"/>
        <w:jc w:val="both"/>
      </w:pPr>
      <w:r>
        <w:rPr>
          <w:rFonts w:ascii="Times New Roman" w:hAnsi="Times New Roman"/>
          <w:sz w:val="16"/>
        </w:rPr>
        <w:t>[19] D. Lakra, S. Pipil, P. K. Srivastava, S. K. Singh, M. Gupta, and R. Prasad, "Soil moisture retrieval over agricultural region through machine learning and Sentinel-1 observations," Front. Remote Sens., vol. 5, pp. 1–14, 2024.</w:t>
      </w:r>
    </w:p>
    <w:p>
      <w:pPr>
        <w:spacing w:before="20" w:after="40" w:line="252" w:lineRule="auto"/>
        <w:ind w:left="360" w:hanging="360"/>
        <w:jc w:val="both"/>
      </w:pPr>
      <w:r>
        <w:rPr>
          <w:rFonts w:ascii="Times New Roman" w:hAnsi="Times New Roman"/>
          <w:sz w:val="16"/>
        </w:rPr>
        <w:t>[20] Q. Li, Z. Wang, W. Shangguan, L. Li, Y. Yao, and F. Yu, "Improved daily SMAP satellite soil moisture prediction over China using deep learning model with transfer learning," J. Hydrol., vol. 600, p. 126698, 2021.</w:t>
      </w:r>
    </w:p>
    <w:p>
      <w:pPr>
        <w:spacing w:before="20" w:after="40" w:line="252" w:lineRule="auto"/>
        <w:ind w:left="360" w:hanging="360"/>
        <w:jc w:val="both"/>
      </w:pPr>
      <w:r>
        <w:rPr>
          <w:rFonts w:ascii="Times New Roman" w:hAnsi="Times New Roman"/>
          <w:sz w:val="16"/>
        </w:rPr>
        <w:t>[21] J. Liu, F. Rahmani, K. Lawson, and C. Shen, "A multiscale deep learning model for soil moisture integrating satellite and in situ data," Geophys. Res. Lett., vol. 49, no. 7, p. e2021GL096847, 2022.</w:t>
      </w:r>
    </w:p>
    <w:p>
      <w:pPr>
        <w:spacing w:before="20" w:after="40" w:line="252" w:lineRule="auto"/>
        <w:ind w:left="360" w:hanging="360"/>
        <w:jc w:val="both"/>
      </w:pPr>
      <w:r>
        <w:rPr>
          <w:rFonts w:ascii="Times New Roman" w:hAnsi="Times New Roman"/>
          <w:sz w:val="16"/>
        </w:rPr>
        <w:t>[22] R. Reichle, R. Koster, G. De Lannoy, W. Crow, and J. Kimball, "Soil Moisture Active Passive (SMAP) Level 4 Surface and Root Zone Soil Moisture (L4_SM) Data Product," NASA Goddard Space Flight Center, Greenbelt, MD, Tech. Rep. NASA-TM-2014-104606, 2014.</w:t>
      </w:r>
    </w:p>
    <w:p>
      <w:pPr>
        <w:spacing w:before="20" w:after="40" w:line="252" w:lineRule="auto"/>
        <w:ind w:left="360" w:hanging="360"/>
        <w:jc w:val="both"/>
      </w:pPr>
      <w:r>
        <w:rPr>
          <w:rFonts w:ascii="Times New Roman" w:hAnsi="Times New Roman"/>
          <w:sz w:val="16"/>
        </w:rPr>
        <w:t>[23] L. A. Richards, "Capillary conduction of liquids through porous mediums," Physics, vol. 1, no. 5, pp. 318–333, 1931.</w:t>
      </w:r>
    </w:p>
    <w:p>
      <w:pPr>
        <w:spacing w:before="20" w:after="40" w:line="252" w:lineRule="auto"/>
        <w:ind w:left="360" w:hanging="360"/>
        <w:jc w:val="both"/>
      </w:pPr>
      <w:r>
        <w:rPr>
          <w:rFonts w:ascii="Times New Roman" w:hAnsi="Times New Roman"/>
          <w:sz w:val="16"/>
        </w:rPr>
        <w:t>[24] N. Romano, "Soil moisture at local scale: Measurements and simulations," J. Hydrol., vol. 516, pp. 6–20, 2014.</w:t>
      </w:r>
    </w:p>
    <w:p>
      <w:pPr>
        <w:spacing w:before="20" w:after="40" w:line="252" w:lineRule="auto"/>
        <w:ind w:left="360" w:hanging="360"/>
        <w:jc w:val="both"/>
      </w:pPr>
      <w:r>
        <w:rPr>
          <w:rFonts w:ascii="Times New Roman" w:hAnsi="Times New Roman"/>
          <w:sz w:val="16"/>
        </w:rPr>
        <w:t>[25] A. Singh and K. Gaurav, "Deep learning and data fusion to estimate surface soil moisture from multi-sensor satellite images," Sci. Rep., vol. 13, no. 1, p. 2251, 2023.</w:t>
      </w:r>
    </w:p>
    <w:p>
      <w:pPr>
        <w:spacing w:before="20" w:after="40" w:line="252" w:lineRule="auto"/>
        <w:ind w:left="360" w:hanging="360"/>
        <w:jc w:val="both"/>
      </w:pPr>
      <w:r>
        <w:rPr>
          <w:rFonts w:ascii="Times New Roman" w:hAnsi="Times New Roman"/>
          <w:sz w:val="16"/>
        </w:rPr>
        <w:t>[26] A. Singh, R. K. Tiwari, M. P. Singh, and S. Jha, "A novel automated technique based on ensemble learning for prediction of soil moisture using satellite images," Adv. Space Res., 2025, doi: 10.1016/j.asr.2025.10.101.</w:t>
      </w:r>
    </w:p>
    <w:p>
      <w:pPr>
        <w:spacing w:before="20" w:after="40" w:line="252" w:lineRule="auto"/>
        <w:ind w:left="360" w:hanging="360"/>
        <w:jc w:val="both"/>
      </w:pPr>
      <w:r>
        <w:rPr>
          <w:rFonts w:ascii="Times New Roman" w:hAnsi="Times New Roman"/>
          <w:sz w:val="16"/>
        </w:rPr>
        <w:t>[27] G. Suganeshwari and S. Divya, "Explainable machine learning models for earth observation systems," IEEE Geosci. Remote Sens. Lett., vol. 21, pp. 1–5, 2024.</w:t>
      </w:r>
    </w:p>
    <w:p>
      <w:pPr>
        <w:spacing w:before="20" w:after="40" w:line="252" w:lineRule="auto"/>
        <w:ind w:left="360" w:hanging="360"/>
        <w:jc w:val="both"/>
      </w:pPr>
      <w:r>
        <w:rPr>
          <w:rFonts w:ascii="Times New Roman" w:hAnsi="Times New Roman"/>
          <w:sz w:val="16"/>
        </w:rPr>
        <w:t>[28] D. H. Wolpert, "Stacked generalization," Neural Netw., vol. 5, no. 2, pp. 241–259, 1992.</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464"/>
        <w:sz w:val="16"/>
      </w:rPr>
      <w:t>IEEE TRANSACTIONS ON GEOSCIENCE AND REMOTE SENSING / LITERATURE REVIEW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