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Calibri" w:hAnsi="Calibri"/>
          <w:b/>
          <w:color w:val="0F2E55"/>
          <w:sz w:val="40"/>
        </w:rPr>
        <w:t>A Physics-Informed Heterogeneous Stacking Ensemble for High-Precision Prediction of Surface Soil Moisture from NASA SMAP Satellite Observations</w:t>
      </w:r>
    </w:p>
    <w:p>
      <w:pPr>
        <w:spacing w:after="240"/>
      </w:pPr>
      <w:r>
        <w:rPr>
          <w:rFonts w:ascii="Calibri" w:hAnsi="Calibri"/>
          <w:i/>
          <w:color w:val="46648C"/>
          <w:sz w:val="24"/>
        </w:rPr>
        <w:t>Replication, Climatological Extension (2020–2026), and Scientific Accuracy Improvement of Advances in Space Research (2025)</w:t>
      </w:r>
    </w:p>
    <w:p>
      <w:pPr>
        <w:spacing w:after="80"/>
      </w:pPr>
      <w:r>
        <w:rPr>
          <w:b/>
          <w:sz w:val="22"/>
        </w:rPr>
        <w:t>Aryan Singh, Rohit Kumar Tiwari, Manish Pratap Singh, Sunil Jha, and Research Team</w:t>
      </w:r>
    </w:p>
    <w:p>
      <w:pPr>
        <w:spacing w:after="280"/>
      </w:pPr>
      <w:r>
        <w:rPr>
          <w:i/>
          <w:color w:val="505050"/>
          <w:sz w:val="18"/>
        </w:rPr>
        <w:t>Department of Computer Science &amp; Engineering, Advanced Geospatial Analytics Laboratory</w:t>
        <w:br/>
        <w:t>Bhaskaracharya National Institute for Space Applications and Geo-informatics (BISAG-N), Gandhinagar, Gujarat, India</w:t>
        <w:br/>
        <w:t>Direct NASA Earthdata Ingestion &amp; Enhanced Climatological Machine Learning Pipeline</w:t>
      </w:r>
    </w:p>
    <w:p>
      <w:pPr>
        <w:spacing w:after="240"/>
      </w:pPr>
      <w:r>
        <w:rPr>
          <w:color w:val="C8C8C8"/>
        </w:rPr>
        <w:t>―――――――――――――――――――――――――――――――――――――――――――――――――――――――――――――――――</w:t>
      </w:r>
    </w:p>
    <w:tbl>
      <w:tblPr>
        <w:tblW w:type="auto" w:w="0"/>
        <w:jc w:val="center"/>
        <w:tblLook w:firstColumn="1" w:firstRow="1" w:lastColumn="0" w:lastRow="0" w:noHBand="0" w:noVBand="1" w:val="04A0"/>
      </w:tblPr>
      <w:tblGrid>
        <w:gridCol w:w="9360"/>
      </w:tblGrid>
      <w:tr>
        <w:tc>
          <w:tcPr>
            <w:tcW w:type="dxa" w:w="9360"/>
            <w:shd w:fill="F2F5F8"/>
            <w:tcMar>
              <w:top w:w="140" w:type="dxa"/>
              <w:bottom w:w="140" w:type="dxa"/>
              <w:left w:w="180" w:type="dxa"/>
              <w:right w:w="180" w:type="dxa"/>
            </w:tcMar>
          </w:tcPr>
          <w:p>
            <w:pPr>
              <w:spacing w:after="80"/>
            </w:pPr>
            <w:r>
              <w:rPr>
                <w:b/>
                <w:color w:val="0F2E55"/>
                <w:sz w:val="24"/>
              </w:rPr>
              <w:t>Abstract</w:t>
            </w:r>
          </w:p>
          <w:p>
            <w:pPr>
              <w:spacing w:line="276" w:lineRule="auto" w:after="120"/>
            </w:pPr>
            <w:r>
              <w:rPr>
                <w:sz w:val="19"/>
              </w:rPr>
              <w:t>Accurate retrieval and prediction of surface soil moisture (0–5 cm depth) from spaceborne observations is essential for agro-ecological resilience, drought early warning, and hydrological governance. While NASA's Soil Moisture Active Passive (SMAP) Level-4 data provides comprehensive 3-hourly 9 km EASE-grid geophysical products, extracting high-accuracy surface moisture across heterogeneous, climatically volatile terrains remains challenging. In this study, we present an enhanced automated framework integrating physics-informed interaction features with a heterogeneous Stacking Super Learner, evaluated directly on authentic NASA SMAP Level-4 observations (SPL4SMGP V008) across seven distinct ecological zones in Gujarat, India (Bhuj, Idar, Ankleshwar, Bhavnagar, Jamnagar, Vapi, and Palanpur). Utilizing an embedded Random Forest feature selection approach across 44 candidate geophysical variables, an optimal 14-variable subset was isolated. To eliminate the mid-range moisture divergence anomaly (0.2–0.6 m³/m³) reported in the baseline Gradient Boosting Regressor (GBR) by Singh et al. (2025), we engineered five domain-specific physical coupling features governing vertical hydraulic gradients, unsaturated soil storage deficit, subsurface thermal inertia, and turbulent boundary-layer heat convection. The proposed heterogeneous ensemble integrates Gradient Boosting, LightGBM (leaf-wise histogram splits), XGBoost (second-order Hessian optimization), and Tuned Random Forest (variance stabilization) beneath a cross-validated RidgeCV meta-learner. Benchmarked on 17,145 genuine NASA satellite observations across pre-monsoon dry, peak summer, and peak monsoon seasons, the enhanced stacking ensemble achieves outstanding predictive precision (R² = 0.9997, MSE = 4.498 × 10⁻⁶ m³/m³, MAE = 0.00131 m³/m³), delivering a 77.9% overall error reduction over the baseline GBR (MSE = 2.032 × 10⁻⁵ m³/m³) and up to 87.2% regional error reduction in high-humidity coastal zones (Vapi), while keeping model serialization well under 30 MB. The results confirm that domain-guided physical coupling combined with multi-algorithm stacking effectively suppresses prediction divergence in volatile agro-climatic zones.</w:t>
            </w:r>
          </w:p>
          <w:p>
            <w:r>
              <w:rPr>
                <w:b/>
                <w:color w:val="0F2E55"/>
                <w:sz w:val="19"/>
              </w:rPr>
              <w:t xml:space="preserve">Keywords: </w:t>
            </w:r>
            <w:r>
              <w:rPr>
                <w:i/>
                <w:sz w:val="19"/>
              </w:rPr>
              <w:t>SMAP Satellite; Surface Soil Moisture; NASA Earthdata; Physics-Informed Machine Learning; Stacking Super Learner; Gradient Boosting; LightGBM; XGBoost; Gujarat Agro-Climatology.</w:t>
            </w:r>
          </w:p>
        </w:tc>
      </w:tr>
    </w:tbl>
    <w:p>
      <w:pPr>
        <w:spacing w:after="240"/>
      </w:pPr>
    </w:p>
    <w:p>
      <w:pPr>
        <w:pStyle w:val="Heading1"/>
        <w:spacing w:before="280" w:after="120"/>
      </w:pPr>
      <w:r>
        <w:t>1. Introduction</w:t>
      </w:r>
    </w:p>
    <w:p>
      <w:r>
        <w:t>Soil moisture is a pivotal land-surface variable that governs the partitioning of available net solar radiation into sensible and latent heat fluxes, modulates continental water recycling through evapotranspiration, and directly dictates agricultural crop productivity (Hatfield et al., 2001; Dobriyal et al., 2012). With anthropogenic climate warming intensifying drought severity and altering monsoon patterns across South Asia, accurate high-frequency monitoring of soil moisture dynamics has become indispensable for hydrological forecasting and water resource governance (Wang et al., 2025).</w:t>
      </w:r>
    </w:p>
    <w:p>
      <w:r>
        <w:t>NASA's Soil Moisture Active Passive (SMAP) satellite mission, launched in 2015, provides global microwave observations specifically designed to measure moisture in the top 5 cm of the soil matrix (Entekhabi et al., 2010). Operating with an L-band radiometer at 1.41 GHz, SMAP penetrates moderate vegetation cover and minimizes atmospheric scattering. To provide seamless spatial and temporal coverage, NASA's Level-4 Surface and Root Zone Soil Moisture (L4_SM) product integrates spaceborne radiometer observations with the Goddard Earth Observing System Model, Version 5 (GEOS-5) Catchment Land Surface Model. The resulting geophysical dataset (SPL4SMGP) provides global 3-hourly 9 km EASE-Grid outputs incorporating 44 geophysical parameters encompassing surface energy fluxes, multi-layer soil temperatures, and vegetation opacity (Reichle et al., 2014; Rouzegari et al., 2025).</w:t>
      </w:r>
    </w:p>
    <w:p>
      <w:r>
        <w:t>In a prominent study, Singh et al. (2025) proposed an automated tabular ensemble pipeline utilizing an embedded Random Forest (RF) feature selection method coupled with a Gradient Boosting Regressor (GBR). Evaluating seven agro-climatic stations across Gujarat, India over 2020–2023, the authors demonstrated that GBR achieved superior predictive accuracy compared to linear and deep models while consuming less than 8 GB of RAM.</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C5E8A"/>
              <w:bottom w:val="none"/>
              <w:right w:val="none"/>
            </w:tcBorders>
          </w:tcPr>
          <w:p>
            <w:pPr>
              <w:spacing w:before="40" w:after="40" w:line="276" w:lineRule="auto"/>
            </w:pPr>
            <w:r>
              <w:rPr>
                <w:rFonts w:ascii="Calibri" w:hAnsi="Calibri"/>
                <w:b/>
                <w:color w:val="2C5E8A"/>
                <w:sz w:val="20"/>
              </w:rPr>
              <w:t xml:space="preserve">IDENTIFIED RESEARCH GAP &amp; MOTIVATION: </w:t>
            </w:r>
            <w:r>
              <w:rPr>
                <w:rFonts w:ascii="Calibri" w:hAnsi="Calibri"/>
                <w:color w:val="333333"/>
                <w:sz w:val="19"/>
              </w:rPr>
              <w:t>Singh et al. (2025) identified a critical limitation in their GBR model: across semi-arid and industrial regions (Bhuj, Ankleshwar, and Jamnagar), predictions exhibited moderate divergence from ground-truth satellite observations in the mid-range moisture band (0.2–0.6 m³/m³). The authors attributed this to unpredictable micro-meteorological patterns and suggested future research explore meta-ensemble models.</w:t>
            </w:r>
          </w:p>
        </w:tc>
      </w:tr>
    </w:tbl>
    <w:p>
      <w:pPr>
        <w:spacing w:after="80"/>
      </w:pPr>
    </w:p>
    <w:p>
      <w:r>
        <w:t>To resolve this bottleneck, this paper presents a comprehensive scientific improvement over the work of Singh et al. (2025). Specifically, we introduce:</w:t>
      </w:r>
    </w:p>
    <w:p>
      <w:r>
        <w:t>1. Authentic NASA Earthdata Ingestion: Direct integration of authentic NASA SMAP Level-4 granules (SPL4SMGP V008) via Earthdata Cloud OAuth2 authentication, providing 17,145 genuine satellite observations across seven agro-climatic stations.</w:t>
      </w:r>
    </w:p>
    <w:p>
      <w:r>
        <w:t>2. Domain-Guided Physics Feature Engineering: Formulating five physical interaction terms derived from Darcy's hydraulic gradient, surface energy balance, and unsaturated storage deficit.</w:t>
      </w:r>
    </w:p>
    <w:p>
      <w:r>
        <w:t>3. Heterogeneous Stacking Ensemble (Super Learner): Combining diverse algorithmic paradigms—Gradient Boosting, LightGBM (leaf-wise histogram splits), XGBoost (second-order Hessian optimization), and Tuned Random Forest (variance stabilizer)—under a cross-validated RidgeCV meta-learner.</w:t>
      </w:r>
    </w:p>
    <w:p>
      <w:r>
        <w:t>4. Complete Mitigation of the Mid-Range Divergence Anomaly: Suppressing prediction scatter between 0.2 and 0.6 m³/m³, yielding a 77.9% reduction in overall mean squared error and up to 87.2% regional error reduction.</w:t>
      </w:r>
    </w:p>
    <w:p>
      <w:pPr>
        <w:pStyle w:val="Heading1"/>
      </w:pPr>
      <w:r>
        <w:t>2. Study Locations &amp; Regional Climatology</w:t>
      </w:r>
    </w:p>
    <w:p>
      <w:r>
        <w:t>The state of Gujarat, situated in western India, features exceptional geographic and climatic heterogeneity, ranging from coastal mudflats and tropical savannas to hyper-arid desert boundaries. Seven distinct regions were selected to benchmark model stability across contrasting environmental regimes (Table 1 and Fig. 1).</w:t>
      </w:r>
    </w:p>
    <w:p>
      <w:r>
        <w:rPr>
          <w:b/>
          <w:sz w:val="19"/>
        </w:rPr>
        <w:t>Table 1. Geographic, climatic, and environmental characteristics of the seven study locations across Gujarat, India.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F4E79"/>
            <w:tcMar>
              <w:top w:w="120" w:type="dxa"/>
              <w:bottom w:w="120" w:type="dxa"/>
              <w:left w:w="120" w:type="dxa"/>
              <w:right w:w="120" w:type="dxa"/>
            </w:tcMar>
          </w:tcPr>
          <w:p>
            <w:pPr>
              <w:jc w:val="left"/>
            </w:pPr>
            <w:r>
              <w:rPr>
                <w:rFonts w:ascii="Calibri" w:hAnsi="Calibri"/>
                <w:b/>
                <w:color w:val="FFFFFF"/>
                <w:sz w:val="19"/>
              </w:rPr>
              <w:t>Study Location</w:t>
            </w:r>
          </w:p>
        </w:tc>
        <w:tc>
          <w:tcPr>
            <w:tcW w:type="dxa" w:w="1008"/>
            <w:shd w:fill="1F4E79"/>
            <w:tcMar>
              <w:top w:w="120" w:type="dxa"/>
              <w:bottom w:w="120" w:type="dxa"/>
              <w:left w:w="120" w:type="dxa"/>
              <w:right w:w="120" w:type="dxa"/>
            </w:tcMar>
          </w:tcPr>
          <w:p>
            <w:pPr>
              <w:jc w:val="right"/>
            </w:pPr>
            <w:r>
              <w:rPr>
                <w:rFonts w:ascii="Calibri" w:hAnsi="Calibri"/>
                <w:b/>
                <w:color w:val="FFFFFF"/>
                <w:sz w:val="19"/>
              </w:rPr>
              <w:t>Lat (°N)</w:t>
            </w:r>
          </w:p>
        </w:tc>
        <w:tc>
          <w:tcPr>
            <w:tcW w:type="dxa" w:w="1008"/>
            <w:shd w:fill="1F4E79"/>
            <w:tcMar>
              <w:top w:w="120" w:type="dxa"/>
              <w:bottom w:w="120" w:type="dxa"/>
              <w:left w:w="120" w:type="dxa"/>
              <w:right w:w="120" w:type="dxa"/>
            </w:tcMar>
          </w:tcPr>
          <w:p>
            <w:pPr>
              <w:jc w:val="right"/>
            </w:pPr>
            <w:r>
              <w:rPr>
                <w:rFonts w:ascii="Calibri" w:hAnsi="Calibri"/>
                <w:b/>
                <w:color w:val="FFFFFF"/>
                <w:sz w:val="19"/>
              </w:rPr>
              <w:t>Lon (°E)</w:t>
            </w:r>
          </w:p>
        </w:tc>
        <w:tc>
          <w:tcPr>
            <w:tcW w:type="dxa" w:w="2016"/>
            <w:shd w:fill="1F4E79"/>
            <w:tcMar>
              <w:top w:w="120" w:type="dxa"/>
              <w:bottom w:w="120" w:type="dxa"/>
              <w:left w:w="120" w:type="dxa"/>
              <w:right w:w="120" w:type="dxa"/>
            </w:tcMar>
          </w:tcPr>
          <w:p>
            <w:pPr>
              <w:jc w:val="left"/>
            </w:pPr>
            <w:r>
              <w:rPr>
                <w:rFonts w:ascii="Calibri" w:hAnsi="Calibri"/>
                <w:b/>
                <w:color w:val="FFFFFF"/>
                <w:sz w:val="19"/>
              </w:rPr>
              <w:t>Geographic Terrain</w:t>
            </w:r>
          </w:p>
        </w:tc>
        <w:tc>
          <w:tcPr>
            <w:tcW w:type="dxa" w:w="1872"/>
            <w:shd w:fill="1F4E79"/>
            <w:tcMar>
              <w:top w:w="120" w:type="dxa"/>
              <w:bottom w:w="120" w:type="dxa"/>
              <w:left w:w="120" w:type="dxa"/>
              <w:right w:w="120" w:type="dxa"/>
            </w:tcMar>
          </w:tcPr>
          <w:p>
            <w:pPr>
              <w:jc w:val="left"/>
            </w:pPr>
            <w:r>
              <w:rPr>
                <w:rFonts w:ascii="Calibri" w:hAnsi="Calibri"/>
                <w:b/>
                <w:color w:val="FFFFFF"/>
                <w:sz w:val="19"/>
              </w:rPr>
              <w:t>Climatic Classification</w:t>
            </w:r>
          </w:p>
        </w:tc>
        <w:tc>
          <w:tcPr>
            <w:tcW w:type="dxa" w:w="2016"/>
            <w:shd w:fill="1F4E79"/>
            <w:tcMar>
              <w:top w:w="120" w:type="dxa"/>
              <w:bottom w:w="120" w:type="dxa"/>
              <w:left w:w="120" w:type="dxa"/>
              <w:right w:w="120" w:type="dxa"/>
            </w:tcMar>
          </w:tcPr>
          <w:p>
            <w:pPr>
              <w:jc w:val="left"/>
            </w:pPr>
            <w:r>
              <w:rPr>
                <w:rFonts w:ascii="Calibri" w:hAnsi="Calibri"/>
                <w:b/>
                <w:color w:val="FFFFFF"/>
                <w:sz w:val="19"/>
              </w:rPr>
              <w:t>Environmental Significance</w:t>
            </w:r>
          </w:p>
        </w:tc>
      </w:tr>
      <w:tr>
        <w:tc>
          <w:tcPr>
            <w:tcW w:type="dxa" w:w="1440"/>
            <w:shd w:fill="FFFFFF"/>
            <w:tcMar>
              <w:top w:w="80" w:type="dxa"/>
              <w:bottom w:w="80" w:type="dxa"/>
              <w:left w:w="120" w:type="dxa"/>
              <w:right w:w="120" w:type="dxa"/>
            </w:tcMar>
          </w:tcPr>
          <w:p>
            <w:pPr>
              <w:jc w:val="left"/>
            </w:pPr>
            <w:r>
              <w:rPr>
                <w:rFonts w:ascii="Calibri" w:hAnsi="Calibri"/>
                <w:color w:val="222222"/>
                <w:sz w:val="18"/>
              </w:rPr>
              <w:t>Bhuj</w:t>
            </w:r>
          </w:p>
        </w:tc>
        <w:tc>
          <w:tcPr>
            <w:tcW w:type="dxa" w:w="1008"/>
            <w:shd w:fill="FFFFFF"/>
            <w:tcMar>
              <w:top w:w="80" w:type="dxa"/>
              <w:bottom w:w="80" w:type="dxa"/>
              <w:left w:w="120" w:type="dxa"/>
              <w:right w:w="120" w:type="dxa"/>
            </w:tcMar>
          </w:tcPr>
          <w:p>
            <w:pPr>
              <w:jc w:val="right"/>
            </w:pPr>
            <w:r>
              <w:rPr>
                <w:rFonts w:ascii="Calibri" w:hAnsi="Calibri"/>
                <w:color w:val="222222"/>
                <w:sz w:val="18"/>
              </w:rPr>
              <w:t>23.25</w:t>
            </w:r>
          </w:p>
        </w:tc>
        <w:tc>
          <w:tcPr>
            <w:tcW w:type="dxa" w:w="1008"/>
            <w:shd w:fill="FFFFFF"/>
            <w:tcMar>
              <w:top w:w="80" w:type="dxa"/>
              <w:bottom w:w="80" w:type="dxa"/>
              <w:left w:w="120" w:type="dxa"/>
              <w:right w:w="120" w:type="dxa"/>
            </w:tcMar>
          </w:tcPr>
          <w:p>
            <w:pPr>
              <w:jc w:val="right"/>
            </w:pPr>
            <w:r>
              <w:rPr>
                <w:rFonts w:ascii="Calibri" w:hAnsi="Calibri"/>
                <w:color w:val="222222"/>
                <w:sz w:val="18"/>
              </w:rPr>
              <w:t>69.67</w:t>
            </w:r>
          </w:p>
        </w:tc>
        <w:tc>
          <w:tcPr>
            <w:tcW w:type="dxa" w:w="2016"/>
            <w:shd w:fill="FFFFFF"/>
            <w:tcMar>
              <w:top w:w="80" w:type="dxa"/>
              <w:bottom w:w="80" w:type="dxa"/>
              <w:left w:w="120" w:type="dxa"/>
              <w:right w:w="120" w:type="dxa"/>
            </w:tcMar>
          </w:tcPr>
          <w:p>
            <w:pPr>
              <w:jc w:val="left"/>
            </w:pPr>
            <w:r>
              <w:rPr>
                <w:rFonts w:ascii="Calibri" w:hAnsi="Calibri"/>
                <w:color w:val="222222"/>
                <w:sz w:val="18"/>
              </w:rPr>
              <w:t>Arid / Desert transition</w:t>
            </w:r>
          </w:p>
        </w:tc>
        <w:tc>
          <w:tcPr>
            <w:tcW w:type="dxa" w:w="1872"/>
            <w:shd w:fill="FFFFFF"/>
            <w:tcMar>
              <w:top w:w="80" w:type="dxa"/>
              <w:bottom w:w="80" w:type="dxa"/>
              <w:left w:w="120" w:type="dxa"/>
              <w:right w:w="120" w:type="dxa"/>
            </w:tcMar>
          </w:tcPr>
          <w:p>
            <w:pPr>
              <w:jc w:val="left"/>
            </w:pPr>
            <w:r>
              <w:rPr>
                <w:rFonts w:ascii="Calibri" w:hAnsi="Calibri"/>
                <w:color w:val="222222"/>
                <w:sz w:val="18"/>
              </w:rPr>
              <w:t>Hot semi-arid (BSh)</w:t>
            </w:r>
          </w:p>
        </w:tc>
        <w:tc>
          <w:tcPr>
            <w:tcW w:type="dxa" w:w="2016"/>
            <w:shd w:fill="FFFFFF"/>
            <w:tcMar>
              <w:top w:w="80" w:type="dxa"/>
              <w:bottom w:w="80" w:type="dxa"/>
              <w:left w:w="120" w:type="dxa"/>
              <w:right w:w="120" w:type="dxa"/>
            </w:tcMar>
          </w:tcPr>
          <w:p>
            <w:pPr>
              <w:jc w:val="left"/>
            </w:pPr>
            <w:r>
              <w:rPr>
                <w:rFonts w:ascii="Calibri" w:hAnsi="Calibri"/>
                <w:color w:val="222222"/>
                <w:sz w:val="18"/>
              </w:rPr>
              <w:t>Severe water scarcity, high evaporation</w:t>
            </w:r>
          </w:p>
        </w:tc>
      </w:tr>
      <w:tr>
        <w:tc>
          <w:tcPr>
            <w:tcW w:type="dxa" w:w="1440"/>
            <w:shd w:fill="F9FAFB"/>
            <w:tcMar>
              <w:top w:w="80" w:type="dxa"/>
              <w:bottom w:w="80" w:type="dxa"/>
              <w:left w:w="120" w:type="dxa"/>
              <w:right w:w="120" w:type="dxa"/>
            </w:tcMar>
          </w:tcPr>
          <w:p>
            <w:pPr>
              <w:jc w:val="left"/>
            </w:pPr>
            <w:r>
              <w:rPr>
                <w:rFonts w:ascii="Calibri" w:hAnsi="Calibri"/>
                <w:color w:val="222222"/>
                <w:sz w:val="18"/>
              </w:rPr>
              <w:t>Idar</w:t>
            </w:r>
          </w:p>
        </w:tc>
        <w:tc>
          <w:tcPr>
            <w:tcW w:type="dxa" w:w="1008"/>
            <w:shd w:fill="F9FAFB"/>
            <w:tcMar>
              <w:top w:w="80" w:type="dxa"/>
              <w:bottom w:w="80" w:type="dxa"/>
              <w:left w:w="120" w:type="dxa"/>
              <w:right w:w="120" w:type="dxa"/>
            </w:tcMar>
          </w:tcPr>
          <w:p>
            <w:pPr>
              <w:jc w:val="right"/>
            </w:pPr>
            <w:r>
              <w:rPr>
                <w:rFonts w:ascii="Calibri" w:hAnsi="Calibri"/>
                <w:color w:val="222222"/>
                <w:sz w:val="18"/>
              </w:rPr>
              <w:t>23.85</w:t>
            </w:r>
          </w:p>
        </w:tc>
        <w:tc>
          <w:tcPr>
            <w:tcW w:type="dxa" w:w="1008"/>
            <w:shd w:fill="F9FAFB"/>
            <w:tcMar>
              <w:top w:w="80" w:type="dxa"/>
              <w:bottom w:w="80" w:type="dxa"/>
              <w:left w:w="120" w:type="dxa"/>
              <w:right w:w="120" w:type="dxa"/>
            </w:tcMar>
          </w:tcPr>
          <w:p>
            <w:pPr>
              <w:jc w:val="right"/>
            </w:pPr>
            <w:r>
              <w:rPr>
                <w:rFonts w:ascii="Calibri" w:hAnsi="Calibri"/>
                <w:color w:val="222222"/>
                <w:sz w:val="18"/>
              </w:rPr>
              <w:t>73.00</w:t>
            </w:r>
          </w:p>
        </w:tc>
        <w:tc>
          <w:tcPr>
            <w:tcW w:type="dxa" w:w="2016"/>
            <w:shd w:fill="F9FAFB"/>
            <w:tcMar>
              <w:top w:w="80" w:type="dxa"/>
              <w:bottom w:w="80" w:type="dxa"/>
              <w:left w:w="120" w:type="dxa"/>
              <w:right w:w="120" w:type="dxa"/>
            </w:tcMar>
          </w:tcPr>
          <w:p>
            <w:pPr>
              <w:jc w:val="left"/>
            </w:pPr>
            <w:r>
              <w:rPr>
                <w:rFonts w:ascii="Calibri" w:hAnsi="Calibri"/>
                <w:color w:val="222222"/>
                <w:sz w:val="18"/>
              </w:rPr>
              <w:t>Rocky / Hilly savanna</w:t>
            </w:r>
          </w:p>
        </w:tc>
        <w:tc>
          <w:tcPr>
            <w:tcW w:type="dxa" w:w="1872"/>
            <w:shd w:fill="F9FAFB"/>
            <w:tcMar>
              <w:top w:w="80" w:type="dxa"/>
              <w:bottom w:w="80" w:type="dxa"/>
              <w:left w:w="120" w:type="dxa"/>
              <w:right w:w="120" w:type="dxa"/>
            </w:tcMar>
          </w:tcPr>
          <w:p>
            <w:pPr>
              <w:jc w:val="left"/>
            </w:pPr>
            <w:r>
              <w:rPr>
                <w:rFonts w:ascii="Calibri" w:hAnsi="Calibri"/>
                <w:color w:val="222222"/>
                <w:sz w:val="18"/>
              </w:rPr>
              <w:t>Tropical wet &amp; dry (Aw)</w:t>
            </w:r>
          </w:p>
        </w:tc>
        <w:tc>
          <w:tcPr>
            <w:tcW w:type="dxa" w:w="2016"/>
            <w:shd w:fill="F9FAFB"/>
            <w:tcMar>
              <w:top w:w="80" w:type="dxa"/>
              <w:bottom w:w="80" w:type="dxa"/>
              <w:left w:w="120" w:type="dxa"/>
              <w:right w:w="120" w:type="dxa"/>
            </w:tcMar>
          </w:tcPr>
          <w:p>
            <w:pPr>
              <w:jc w:val="left"/>
            </w:pPr>
            <w:r>
              <w:rPr>
                <w:rFonts w:ascii="Calibri" w:hAnsi="Calibri"/>
                <w:color w:val="222222"/>
                <w:sz w:val="18"/>
              </w:rPr>
              <w:t>Natural vegetation canopy, terrain shadowing</w:t>
            </w:r>
          </w:p>
        </w:tc>
      </w:tr>
      <w:tr>
        <w:tc>
          <w:tcPr>
            <w:tcW w:type="dxa" w:w="1440"/>
            <w:shd w:fill="FFFFFF"/>
            <w:tcMar>
              <w:top w:w="80" w:type="dxa"/>
              <w:bottom w:w="80" w:type="dxa"/>
              <w:left w:w="120" w:type="dxa"/>
              <w:right w:w="120" w:type="dxa"/>
            </w:tcMar>
          </w:tcPr>
          <w:p>
            <w:pPr>
              <w:jc w:val="left"/>
            </w:pPr>
            <w:r>
              <w:rPr>
                <w:rFonts w:ascii="Calibri" w:hAnsi="Calibri"/>
                <w:color w:val="222222"/>
                <w:sz w:val="18"/>
              </w:rPr>
              <w:t>Ankleshwar</w:t>
            </w:r>
          </w:p>
        </w:tc>
        <w:tc>
          <w:tcPr>
            <w:tcW w:type="dxa" w:w="1008"/>
            <w:shd w:fill="FFFFFF"/>
            <w:tcMar>
              <w:top w:w="80" w:type="dxa"/>
              <w:bottom w:w="80" w:type="dxa"/>
              <w:left w:w="120" w:type="dxa"/>
              <w:right w:w="120" w:type="dxa"/>
            </w:tcMar>
          </w:tcPr>
          <w:p>
            <w:pPr>
              <w:jc w:val="right"/>
            </w:pPr>
            <w:r>
              <w:rPr>
                <w:rFonts w:ascii="Calibri" w:hAnsi="Calibri"/>
                <w:color w:val="222222"/>
                <w:sz w:val="18"/>
              </w:rPr>
              <w:t>21.60</w:t>
            </w:r>
          </w:p>
        </w:tc>
        <w:tc>
          <w:tcPr>
            <w:tcW w:type="dxa" w:w="1008"/>
            <w:shd w:fill="FFFFFF"/>
            <w:tcMar>
              <w:top w:w="80" w:type="dxa"/>
              <w:bottom w:w="80" w:type="dxa"/>
              <w:left w:w="120" w:type="dxa"/>
              <w:right w:w="120" w:type="dxa"/>
            </w:tcMar>
          </w:tcPr>
          <w:p>
            <w:pPr>
              <w:jc w:val="right"/>
            </w:pPr>
            <w:r>
              <w:rPr>
                <w:rFonts w:ascii="Calibri" w:hAnsi="Calibri"/>
                <w:color w:val="222222"/>
                <w:sz w:val="18"/>
              </w:rPr>
              <w:t>73.00</w:t>
            </w:r>
          </w:p>
        </w:tc>
        <w:tc>
          <w:tcPr>
            <w:tcW w:type="dxa" w:w="2016"/>
            <w:shd w:fill="FFFFFF"/>
            <w:tcMar>
              <w:top w:w="80" w:type="dxa"/>
              <w:bottom w:w="80" w:type="dxa"/>
              <w:left w:w="120" w:type="dxa"/>
              <w:right w:w="120" w:type="dxa"/>
            </w:tcMar>
          </w:tcPr>
          <w:p>
            <w:pPr>
              <w:jc w:val="left"/>
            </w:pPr>
            <w:r>
              <w:rPr>
                <w:rFonts w:ascii="Calibri" w:hAnsi="Calibri"/>
                <w:color w:val="222222"/>
                <w:sz w:val="18"/>
              </w:rPr>
              <w:t>Alluvial plain / Industrial</w:t>
            </w:r>
          </w:p>
        </w:tc>
        <w:tc>
          <w:tcPr>
            <w:tcW w:type="dxa" w:w="1872"/>
            <w:shd w:fill="FFFFFF"/>
            <w:tcMar>
              <w:top w:w="80" w:type="dxa"/>
              <w:bottom w:w="80" w:type="dxa"/>
              <w:left w:w="120" w:type="dxa"/>
              <w:right w:w="120" w:type="dxa"/>
            </w:tcMar>
          </w:tcPr>
          <w:p>
            <w:pPr>
              <w:jc w:val="left"/>
            </w:pPr>
            <w:r>
              <w:rPr>
                <w:rFonts w:ascii="Calibri" w:hAnsi="Calibri"/>
                <w:color w:val="222222"/>
                <w:sz w:val="18"/>
              </w:rPr>
              <w:t>Hot semi-arid (BSh)</w:t>
            </w:r>
          </w:p>
        </w:tc>
        <w:tc>
          <w:tcPr>
            <w:tcW w:type="dxa" w:w="2016"/>
            <w:shd w:fill="FFFFFF"/>
            <w:tcMar>
              <w:top w:w="80" w:type="dxa"/>
              <w:bottom w:w="80" w:type="dxa"/>
              <w:left w:w="120" w:type="dxa"/>
              <w:right w:w="120" w:type="dxa"/>
            </w:tcMar>
          </w:tcPr>
          <w:p>
            <w:pPr>
              <w:jc w:val="left"/>
            </w:pPr>
            <w:r>
              <w:rPr>
                <w:rFonts w:ascii="Calibri" w:hAnsi="Calibri"/>
                <w:color w:val="222222"/>
                <w:sz w:val="18"/>
              </w:rPr>
              <w:t>Industrial heat island, soil compaction</w:t>
            </w:r>
          </w:p>
        </w:tc>
      </w:tr>
      <w:tr>
        <w:tc>
          <w:tcPr>
            <w:tcW w:type="dxa" w:w="1440"/>
            <w:shd w:fill="F9FAFB"/>
            <w:tcMar>
              <w:top w:w="80" w:type="dxa"/>
              <w:bottom w:w="80" w:type="dxa"/>
              <w:left w:w="120" w:type="dxa"/>
              <w:right w:w="120" w:type="dxa"/>
            </w:tcMar>
          </w:tcPr>
          <w:p>
            <w:pPr>
              <w:jc w:val="left"/>
            </w:pPr>
            <w:r>
              <w:rPr>
                <w:rFonts w:ascii="Calibri" w:hAnsi="Calibri"/>
                <w:color w:val="222222"/>
                <w:sz w:val="18"/>
              </w:rPr>
              <w:t>Bhavnagar</w:t>
            </w:r>
          </w:p>
        </w:tc>
        <w:tc>
          <w:tcPr>
            <w:tcW w:type="dxa" w:w="1008"/>
            <w:shd w:fill="F9FAFB"/>
            <w:tcMar>
              <w:top w:w="80" w:type="dxa"/>
              <w:bottom w:w="80" w:type="dxa"/>
              <w:left w:w="120" w:type="dxa"/>
              <w:right w:w="120" w:type="dxa"/>
            </w:tcMar>
          </w:tcPr>
          <w:p>
            <w:pPr>
              <w:jc w:val="right"/>
            </w:pPr>
            <w:r>
              <w:rPr>
                <w:rFonts w:ascii="Calibri" w:hAnsi="Calibri"/>
                <w:color w:val="222222"/>
                <w:sz w:val="18"/>
              </w:rPr>
              <w:t>21.76</w:t>
            </w:r>
          </w:p>
        </w:tc>
        <w:tc>
          <w:tcPr>
            <w:tcW w:type="dxa" w:w="1008"/>
            <w:shd w:fill="F9FAFB"/>
            <w:tcMar>
              <w:top w:w="80" w:type="dxa"/>
              <w:bottom w:w="80" w:type="dxa"/>
              <w:left w:w="120" w:type="dxa"/>
              <w:right w:w="120" w:type="dxa"/>
            </w:tcMar>
          </w:tcPr>
          <w:p>
            <w:pPr>
              <w:jc w:val="right"/>
            </w:pPr>
            <w:r>
              <w:rPr>
                <w:rFonts w:ascii="Calibri" w:hAnsi="Calibri"/>
                <w:color w:val="222222"/>
                <w:sz w:val="18"/>
              </w:rPr>
              <w:t>72.15</w:t>
            </w:r>
          </w:p>
        </w:tc>
        <w:tc>
          <w:tcPr>
            <w:tcW w:type="dxa" w:w="2016"/>
            <w:shd w:fill="F9FAFB"/>
            <w:tcMar>
              <w:top w:w="80" w:type="dxa"/>
              <w:bottom w:w="80" w:type="dxa"/>
              <w:left w:w="120" w:type="dxa"/>
              <w:right w:w="120" w:type="dxa"/>
            </w:tcMar>
          </w:tcPr>
          <w:p>
            <w:pPr>
              <w:jc w:val="left"/>
            </w:pPr>
            <w:r>
              <w:rPr>
                <w:rFonts w:ascii="Calibri" w:hAnsi="Calibri"/>
                <w:color w:val="222222"/>
                <w:sz w:val="18"/>
              </w:rPr>
              <w:t>Gulf of Khambhat coastal</w:t>
            </w:r>
          </w:p>
        </w:tc>
        <w:tc>
          <w:tcPr>
            <w:tcW w:type="dxa" w:w="1872"/>
            <w:shd w:fill="F9FAFB"/>
            <w:tcMar>
              <w:top w:w="80" w:type="dxa"/>
              <w:bottom w:w="80" w:type="dxa"/>
              <w:left w:w="120" w:type="dxa"/>
              <w:right w:w="120" w:type="dxa"/>
            </w:tcMar>
          </w:tcPr>
          <w:p>
            <w:pPr>
              <w:jc w:val="left"/>
            </w:pPr>
            <w:r>
              <w:rPr>
                <w:rFonts w:ascii="Calibri" w:hAnsi="Calibri"/>
                <w:color w:val="222222"/>
                <w:sz w:val="18"/>
              </w:rPr>
              <w:t>Semi-arid coastal (BSh)</w:t>
            </w:r>
          </w:p>
        </w:tc>
        <w:tc>
          <w:tcPr>
            <w:tcW w:type="dxa" w:w="2016"/>
            <w:shd w:fill="F9FAFB"/>
            <w:tcMar>
              <w:top w:w="80" w:type="dxa"/>
              <w:bottom w:w="80" w:type="dxa"/>
              <w:left w:w="120" w:type="dxa"/>
              <w:right w:w="120" w:type="dxa"/>
            </w:tcMar>
          </w:tcPr>
          <w:p>
            <w:pPr>
              <w:jc w:val="left"/>
            </w:pPr>
            <w:r>
              <w:rPr>
                <w:rFonts w:ascii="Calibri" w:hAnsi="Calibri"/>
                <w:color w:val="222222"/>
                <w:sz w:val="18"/>
              </w:rPr>
              <w:t>Saline intrusions, maritime humidity</w:t>
            </w:r>
          </w:p>
        </w:tc>
      </w:tr>
      <w:tr>
        <w:tc>
          <w:tcPr>
            <w:tcW w:type="dxa" w:w="1440"/>
            <w:shd w:fill="FFFFFF"/>
            <w:tcMar>
              <w:top w:w="80" w:type="dxa"/>
              <w:bottom w:w="80" w:type="dxa"/>
              <w:left w:w="120" w:type="dxa"/>
              <w:right w:w="120" w:type="dxa"/>
            </w:tcMar>
          </w:tcPr>
          <w:p>
            <w:pPr>
              <w:jc w:val="left"/>
            </w:pPr>
            <w:r>
              <w:rPr>
                <w:rFonts w:ascii="Calibri" w:hAnsi="Calibri"/>
                <w:color w:val="222222"/>
                <w:sz w:val="18"/>
              </w:rPr>
              <w:t>Jamnagar</w:t>
            </w:r>
          </w:p>
        </w:tc>
        <w:tc>
          <w:tcPr>
            <w:tcW w:type="dxa" w:w="1008"/>
            <w:shd w:fill="FFFFFF"/>
            <w:tcMar>
              <w:top w:w="80" w:type="dxa"/>
              <w:bottom w:w="80" w:type="dxa"/>
              <w:left w:w="120" w:type="dxa"/>
              <w:right w:w="120" w:type="dxa"/>
            </w:tcMar>
          </w:tcPr>
          <w:p>
            <w:pPr>
              <w:jc w:val="right"/>
            </w:pPr>
            <w:r>
              <w:rPr>
                <w:rFonts w:ascii="Calibri" w:hAnsi="Calibri"/>
                <w:color w:val="222222"/>
                <w:sz w:val="18"/>
              </w:rPr>
              <w:t>22.47</w:t>
            </w:r>
          </w:p>
        </w:tc>
        <w:tc>
          <w:tcPr>
            <w:tcW w:type="dxa" w:w="1008"/>
            <w:shd w:fill="FFFFFF"/>
            <w:tcMar>
              <w:top w:w="80" w:type="dxa"/>
              <w:bottom w:w="80" w:type="dxa"/>
              <w:left w:w="120" w:type="dxa"/>
              <w:right w:w="120" w:type="dxa"/>
            </w:tcMar>
          </w:tcPr>
          <w:p>
            <w:pPr>
              <w:jc w:val="right"/>
            </w:pPr>
            <w:r>
              <w:rPr>
                <w:rFonts w:ascii="Calibri" w:hAnsi="Calibri"/>
                <w:color w:val="222222"/>
                <w:sz w:val="18"/>
              </w:rPr>
              <w:t>70.06</w:t>
            </w:r>
          </w:p>
        </w:tc>
        <w:tc>
          <w:tcPr>
            <w:tcW w:type="dxa" w:w="2016"/>
            <w:shd w:fill="FFFFFF"/>
            <w:tcMar>
              <w:top w:w="80" w:type="dxa"/>
              <w:bottom w:w="80" w:type="dxa"/>
              <w:left w:w="120" w:type="dxa"/>
              <w:right w:w="120" w:type="dxa"/>
            </w:tcMar>
          </w:tcPr>
          <w:p>
            <w:pPr>
              <w:jc w:val="left"/>
            </w:pPr>
            <w:r>
              <w:rPr>
                <w:rFonts w:ascii="Calibri" w:hAnsi="Calibri"/>
                <w:color w:val="222222"/>
                <w:sz w:val="18"/>
              </w:rPr>
              <w:t>Coastal fringe / Lowland</w:t>
            </w:r>
          </w:p>
        </w:tc>
        <w:tc>
          <w:tcPr>
            <w:tcW w:type="dxa" w:w="1872"/>
            <w:shd w:fill="FFFFFF"/>
            <w:tcMar>
              <w:top w:w="80" w:type="dxa"/>
              <w:bottom w:w="80" w:type="dxa"/>
              <w:left w:w="120" w:type="dxa"/>
              <w:right w:w="120" w:type="dxa"/>
            </w:tcMar>
          </w:tcPr>
          <w:p>
            <w:pPr>
              <w:jc w:val="left"/>
            </w:pPr>
            <w:r>
              <w:rPr>
                <w:rFonts w:ascii="Calibri" w:hAnsi="Calibri"/>
                <w:color w:val="222222"/>
                <w:sz w:val="18"/>
              </w:rPr>
              <w:t>Semi-arid coastal (BSh)</w:t>
            </w:r>
          </w:p>
        </w:tc>
        <w:tc>
          <w:tcPr>
            <w:tcW w:type="dxa" w:w="2016"/>
            <w:shd w:fill="FFFFFF"/>
            <w:tcMar>
              <w:top w:w="80" w:type="dxa"/>
              <w:bottom w:w="80" w:type="dxa"/>
              <w:left w:w="120" w:type="dxa"/>
              <w:right w:w="120" w:type="dxa"/>
            </w:tcMar>
          </w:tcPr>
          <w:p>
            <w:pPr>
              <w:jc w:val="left"/>
            </w:pPr>
            <w:r>
              <w:rPr>
                <w:rFonts w:ascii="Calibri" w:hAnsi="Calibri"/>
                <w:color w:val="222222"/>
                <w:sz w:val="18"/>
              </w:rPr>
              <w:t>Heavy industrial corridors, erratic monsoon</w:t>
            </w:r>
          </w:p>
        </w:tc>
      </w:tr>
      <w:tr>
        <w:tc>
          <w:tcPr>
            <w:tcW w:type="dxa" w:w="1440"/>
            <w:shd w:fill="F9FAFB"/>
            <w:tcMar>
              <w:top w:w="80" w:type="dxa"/>
              <w:bottom w:w="80" w:type="dxa"/>
              <w:left w:w="120" w:type="dxa"/>
              <w:right w:w="120" w:type="dxa"/>
            </w:tcMar>
          </w:tcPr>
          <w:p>
            <w:pPr>
              <w:jc w:val="left"/>
            </w:pPr>
            <w:r>
              <w:rPr>
                <w:rFonts w:ascii="Calibri" w:hAnsi="Calibri"/>
                <w:color w:val="222222"/>
                <w:sz w:val="18"/>
              </w:rPr>
              <w:t>Vapi</w:t>
            </w:r>
          </w:p>
        </w:tc>
        <w:tc>
          <w:tcPr>
            <w:tcW w:type="dxa" w:w="1008"/>
            <w:shd w:fill="F9FAFB"/>
            <w:tcMar>
              <w:top w:w="80" w:type="dxa"/>
              <w:bottom w:w="80" w:type="dxa"/>
              <w:left w:w="120" w:type="dxa"/>
              <w:right w:w="120" w:type="dxa"/>
            </w:tcMar>
          </w:tcPr>
          <w:p>
            <w:pPr>
              <w:jc w:val="right"/>
            </w:pPr>
            <w:r>
              <w:rPr>
                <w:rFonts w:ascii="Calibri" w:hAnsi="Calibri"/>
                <w:color w:val="222222"/>
                <w:sz w:val="18"/>
              </w:rPr>
              <w:t>20.39</w:t>
            </w:r>
          </w:p>
        </w:tc>
        <w:tc>
          <w:tcPr>
            <w:tcW w:type="dxa" w:w="1008"/>
            <w:shd w:fill="F9FAFB"/>
            <w:tcMar>
              <w:top w:w="80" w:type="dxa"/>
              <w:bottom w:w="80" w:type="dxa"/>
              <w:left w:w="120" w:type="dxa"/>
              <w:right w:w="120" w:type="dxa"/>
            </w:tcMar>
          </w:tcPr>
          <w:p>
            <w:pPr>
              <w:jc w:val="right"/>
            </w:pPr>
            <w:r>
              <w:rPr>
                <w:rFonts w:ascii="Calibri" w:hAnsi="Calibri"/>
                <w:color w:val="222222"/>
                <w:sz w:val="18"/>
              </w:rPr>
              <w:t>72.91</w:t>
            </w:r>
          </w:p>
        </w:tc>
        <w:tc>
          <w:tcPr>
            <w:tcW w:type="dxa" w:w="2016"/>
            <w:shd w:fill="F9FAFB"/>
            <w:tcMar>
              <w:top w:w="80" w:type="dxa"/>
              <w:bottom w:w="80" w:type="dxa"/>
              <w:left w:w="120" w:type="dxa"/>
              <w:right w:w="120" w:type="dxa"/>
            </w:tcMar>
          </w:tcPr>
          <w:p>
            <w:pPr>
              <w:jc w:val="left"/>
            </w:pPr>
            <w:r>
              <w:rPr>
                <w:rFonts w:ascii="Calibri" w:hAnsi="Calibri"/>
                <w:color w:val="222222"/>
                <w:sz w:val="18"/>
              </w:rPr>
              <w:t>South Gujarat coastal strip</w:t>
            </w:r>
          </w:p>
        </w:tc>
        <w:tc>
          <w:tcPr>
            <w:tcW w:type="dxa" w:w="1872"/>
            <w:shd w:fill="F9FAFB"/>
            <w:tcMar>
              <w:top w:w="80" w:type="dxa"/>
              <w:bottom w:w="80" w:type="dxa"/>
              <w:left w:w="120" w:type="dxa"/>
              <w:right w:w="120" w:type="dxa"/>
            </w:tcMar>
          </w:tcPr>
          <w:p>
            <w:pPr>
              <w:jc w:val="left"/>
            </w:pPr>
            <w:r>
              <w:rPr>
                <w:rFonts w:ascii="Calibri" w:hAnsi="Calibri"/>
                <w:color w:val="222222"/>
                <w:sz w:val="18"/>
              </w:rPr>
              <w:t>Tropical monsoon (Am)</w:t>
            </w:r>
          </w:p>
        </w:tc>
        <w:tc>
          <w:tcPr>
            <w:tcW w:type="dxa" w:w="2016"/>
            <w:shd w:fill="F9FAFB"/>
            <w:tcMar>
              <w:top w:w="80" w:type="dxa"/>
              <w:bottom w:w="80" w:type="dxa"/>
              <w:left w:w="120" w:type="dxa"/>
              <w:right w:w="120" w:type="dxa"/>
            </w:tcMar>
          </w:tcPr>
          <w:p>
            <w:pPr>
              <w:jc w:val="left"/>
            </w:pPr>
            <w:r>
              <w:rPr>
                <w:rFonts w:ascii="Calibri" w:hAnsi="Calibri"/>
                <w:color w:val="222222"/>
                <w:sz w:val="18"/>
              </w:rPr>
              <w:t>Extremely heavy precipitation, waterlogging</w:t>
            </w:r>
          </w:p>
        </w:tc>
      </w:tr>
      <w:tr>
        <w:tc>
          <w:tcPr>
            <w:tcW w:type="dxa" w:w="1440"/>
            <w:shd w:fill="FFFFFF"/>
            <w:tcMar>
              <w:top w:w="80" w:type="dxa"/>
              <w:bottom w:w="80" w:type="dxa"/>
              <w:left w:w="120" w:type="dxa"/>
              <w:right w:w="120" w:type="dxa"/>
            </w:tcMar>
          </w:tcPr>
          <w:p>
            <w:pPr>
              <w:jc w:val="left"/>
            </w:pPr>
            <w:r>
              <w:rPr>
                <w:rFonts w:ascii="Calibri" w:hAnsi="Calibri"/>
                <w:color w:val="222222"/>
                <w:sz w:val="18"/>
              </w:rPr>
              <w:t>Palanpur</w:t>
            </w:r>
          </w:p>
        </w:tc>
        <w:tc>
          <w:tcPr>
            <w:tcW w:type="dxa" w:w="1008"/>
            <w:shd w:fill="FFFFFF"/>
            <w:tcMar>
              <w:top w:w="80" w:type="dxa"/>
              <w:bottom w:w="80" w:type="dxa"/>
              <w:left w:w="120" w:type="dxa"/>
              <w:right w:w="120" w:type="dxa"/>
            </w:tcMar>
          </w:tcPr>
          <w:p>
            <w:pPr>
              <w:jc w:val="right"/>
            </w:pPr>
            <w:r>
              <w:rPr>
                <w:rFonts w:ascii="Calibri" w:hAnsi="Calibri"/>
                <w:color w:val="222222"/>
                <w:sz w:val="18"/>
              </w:rPr>
              <w:t>24.17</w:t>
            </w:r>
          </w:p>
        </w:tc>
        <w:tc>
          <w:tcPr>
            <w:tcW w:type="dxa" w:w="1008"/>
            <w:shd w:fill="FFFFFF"/>
            <w:tcMar>
              <w:top w:w="80" w:type="dxa"/>
              <w:bottom w:w="80" w:type="dxa"/>
              <w:left w:w="120" w:type="dxa"/>
              <w:right w:w="120" w:type="dxa"/>
            </w:tcMar>
          </w:tcPr>
          <w:p>
            <w:pPr>
              <w:jc w:val="right"/>
            </w:pPr>
            <w:r>
              <w:rPr>
                <w:rFonts w:ascii="Calibri" w:hAnsi="Calibri"/>
                <w:color w:val="222222"/>
                <w:sz w:val="18"/>
              </w:rPr>
              <w:t>72.43</w:t>
            </w:r>
          </w:p>
        </w:tc>
        <w:tc>
          <w:tcPr>
            <w:tcW w:type="dxa" w:w="2016"/>
            <w:shd w:fill="FFFFFF"/>
            <w:tcMar>
              <w:top w:w="80" w:type="dxa"/>
              <w:bottom w:w="80" w:type="dxa"/>
              <w:left w:w="120" w:type="dxa"/>
              <w:right w:w="120" w:type="dxa"/>
            </w:tcMar>
          </w:tcPr>
          <w:p>
            <w:pPr>
              <w:jc w:val="left"/>
            </w:pPr>
            <w:r>
              <w:rPr>
                <w:rFonts w:ascii="Calibri" w:hAnsi="Calibri"/>
                <w:color w:val="222222"/>
                <w:sz w:val="18"/>
              </w:rPr>
              <w:t>Northern alluvial plain</w:t>
            </w:r>
          </w:p>
        </w:tc>
        <w:tc>
          <w:tcPr>
            <w:tcW w:type="dxa" w:w="1872"/>
            <w:shd w:fill="FFFFFF"/>
            <w:tcMar>
              <w:top w:w="80" w:type="dxa"/>
              <w:bottom w:w="80" w:type="dxa"/>
              <w:left w:w="120" w:type="dxa"/>
              <w:right w:w="120" w:type="dxa"/>
            </w:tcMar>
          </w:tcPr>
          <w:p>
            <w:pPr>
              <w:jc w:val="left"/>
            </w:pPr>
            <w:r>
              <w:rPr>
                <w:rFonts w:ascii="Calibri" w:hAnsi="Calibri"/>
                <w:color w:val="222222"/>
                <w:sz w:val="18"/>
              </w:rPr>
              <w:t>Semi-arid (BSh)</w:t>
            </w:r>
          </w:p>
        </w:tc>
        <w:tc>
          <w:tcPr>
            <w:tcW w:type="dxa" w:w="2016"/>
            <w:shd w:fill="FFFFFF"/>
            <w:tcMar>
              <w:top w:w="80" w:type="dxa"/>
              <w:bottom w:w="80" w:type="dxa"/>
              <w:left w:w="120" w:type="dxa"/>
              <w:right w:w="120" w:type="dxa"/>
            </w:tcMar>
          </w:tcPr>
          <w:p>
            <w:pPr>
              <w:jc w:val="left"/>
            </w:pPr>
            <w:r>
              <w:rPr>
                <w:rFonts w:ascii="Calibri" w:hAnsi="Calibri"/>
                <w:color w:val="222222"/>
                <w:sz w:val="18"/>
              </w:rPr>
              <w:t>Severe agricultural groundwater depletion</w:t>
            </w:r>
          </w:p>
        </w:tc>
      </w:tr>
    </w:tbl>
    <w:p>
      <w:pPr>
        <w:spacing w:after="160"/>
      </w:pPr>
    </w:p>
    <w:p>
      <w:pPr>
        <w:jc w:val="center"/>
      </w:pPr>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Fig_1_study_locations_map.png"/>
                    <pic:cNvPicPr/>
                  </pic:nvPicPr>
                  <pic:blipFill>
                    <a:blip r:embed="rId9"/>
                    <a:stretch>
                      <a:fillRect/>
                    </a:stretch>
                  </pic:blipFill>
                  <pic:spPr>
                    <a:xfrm>
                      <a:off x="0" y="0"/>
                      <a:ext cx="5303520" cy="4242816"/>
                    </a:xfrm>
                    <a:prstGeom prst="rect"/>
                  </pic:spPr>
                </pic:pic>
              </a:graphicData>
            </a:graphic>
          </wp:inline>
        </w:drawing>
      </w:r>
    </w:p>
    <w:p>
      <w:pPr>
        <w:jc w:val="center"/>
      </w:pPr>
      <w:r>
        <w:rPr>
          <w:i/>
          <w:sz w:val="18"/>
        </w:rPr>
        <w:t>Fig. 1. Geographic map of Gujarat, India illustrating the seven study locations with distinct climatic regimes.</w:t>
      </w:r>
    </w:p>
    <w:p>
      <w:pPr>
        <w:pStyle w:val="Heading1"/>
      </w:pPr>
      <w:r>
        <w:t>3. Methodology &amp; Theoretical Formulation</w:t>
      </w:r>
    </w:p>
    <w:p>
      <w:pPr>
        <w:pStyle w:val="Heading2"/>
      </w:pPr>
      <w:r>
        <w:t>3.1 NASA SMAP Level-4 Geophysical Dataset Ingestion</w:t>
      </w:r>
    </w:p>
    <w:p>
      <w:r>
        <w:t>The NASA SMAP L4_SM global 3-hourly 9 km EASE-Grid Surface and Root Zone Soil Moisture Geophysical Data product (SPL4SMGP V008) provides 44 continuous environmental parameters. Target surface soil moisture (sm_surface) is measured in m³/m³ within the top 0–5 cm layer. The data ingestion engine identifies nearest EASE-grid cells for each monitoring station and applies rigorous quality checks.</w:t>
      </w:r>
    </w:p>
    <w:p>
      <w:pPr>
        <w:pStyle w:val="Heading2"/>
      </w:pPr>
      <w:r>
        <w:t>3.2 Two-Stage Data Preprocessing &amp; Mean Imputation</w:t>
      </w:r>
    </w:p>
    <w:p>
      <w:r>
        <w:t>Raw spaceborne radiometer retrievals occasionally suffer from incomplete orbital passes or radio frequency interference (RFI), indicated by the NASA missing value marker (-9999.0). As specified in Singh et al. (2025), data cleaning follows two strict sequential steps:</w:t>
      </w:r>
    </w:p>
    <w:p>
      <w:r>
        <w:t>1. Target Filtering: Any observation row where sm_surface is missing (-9999.0 or NaN) or negative is discarded entirely.</w:t>
      </w:r>
    </w:p>
    <w:p>
      <w:r>
        <w:t>2. Column-Wise Mean Imputation: Missing values in any of the 44 input features are replaced with the column-wise arithmetic mean:</w:t>
      </w:r>
    </w:p>
    <w:p>
      <w:pPr>
        <w:jc w:val="center"/>
      </w:pPr>
      <w:r>
        <w:rPr>
          <w:i/>
        </w:rPr>
        <w:t>x̄_j = (1 / N_valid) * ∑_{i=1}^{N_valid} x_{i,j}          (1)</w:t>
      </w:r>
    </w:p>
    <w:p>
      <w:pPr>
        <w:pStyle w:val="Heading2"/>
      </w:pPr>
      <w:r>
        <w:t>3.3 Embedded Random Forest Feature Selection</w:t>
      </w:r>
    </w:p>
    <w:p>
      <w:r>
        <w:t>To eliminate redundant, noisy, and uninformative features, an embedded feature selection technique using Random Forest Regressor (100 estimators, max_features='sqrt') was implemented. Feature importance scores are computed based on Mean Decrease in Impurity (Gini/MDI criterion):</w:t>
      </w:r>
    </w:p>
    <w:p>
      <w:pPr>
        <w:jc w:val="center"/>
      </w:pPr>
      <w:r>
        <w:rPr>
          <w:i/>
        </w:rPr>
        <w:t>MDI(X_j) = (1 / N_trees) * ∑_{t=1}^{N_trees} ∑_{node ∈ t, v(node)=j} p(node) * Δi(node)          (2)</w:t>
      </w:r>
    </w:p>
    <w:p>
      <w:pPr>
        <w:jc w:val="center"/>
      </w:pPr>
      <w:r>
        <w:drawing>
          <wp:inline xmlns:a="http://schemas.openxmlformats.org/drawingml/2006/main" xmlns:pic="http://schemas.openxmlformats.org/drawingml/2006/picture">
            <wp:extent cx="5029200" cy="2263140"/>
            <wp:docPr id="2" name="Picture 2"/>
            <wp:cNvGraphicFramePr>
              <a:graphicFrameLocks noChangeAspect="1"/>
            </wp:cNvGraphicFramePr>
            <a:graphic>
              <a:graphicData uri="http://schemas.openxmlformats.org/drawingml/2006/picture">
                <pic:pic>
                  <pic:nvPicPr>
                    <pic:cNvPr id="0" name="Fig_2_feature_selection_schematic.png"/>
                    <pic:cNvPicPr/>
                  </pic:nvPicPr>
                  <pic:blipFill>
                    <a:blip r:embed="rId10"/>
                    <a:stretch>
                      <a:fillRect/>
                    </a:stretch>
                  </pic:blipFill>
                  <pic:spPr>
                    <a:xfrm>
                      <a:off x="0" y="0"/>
                      <a:ext cx="5029200" cy="2263140"/>
                    </a:xfrm>
                    <a:prstGeom prst="rect"/>
                  </pic:spPr>
                </pic:pic>
              </a:graphicData>
            </a:graphic>
          </wp:inline>
        </w:drawing>
      </w:r>
    </w:p>
    <w:p>
      <w:pPr>
        <w:jc w:val="center"/>
      </w:pPr>
      <w:r>
        <w:rPr>
          <w:i/>
          <w:sz w:val="18"/>
        </w:rPr>
        <w:t>Fig. 2. Conceptual schematic of the Embedded Random Forest feature selection methodology.</w:t>
      </w:r>
    </w:p>
    <w:p>
      <w:r>
        <w:rPr>
          <w:b/>
          <w:sz w:val="19"/>
        </w:rPr>
        <w:t>Table 2. List of 14 key features selected for surface soil moisture prediction via Random Forest on authentic NASA data.</w:t>
      </w:r>
    </w:p>
    <w:tbl>
      <w:tblPr>
        <w:tblW w:type="auto" w:w="0"/>
        <w:jc w:val="center"/>
        <w:tblLook w:firstColumn="1" w:firstRow="1" w:lastColumn="0" w:lastRow="0" w:noHBand="0" w:noVBand="1" w:val="04A0"/>
      </w:tblPr>
      <w:tblGrid>
        <w:gridCol w:w="2340"/>
        <w:gridCol w:w="2340"/>
        <w:gridCol w:w="2340"/>
        <w:gridCol w:w="2340"/>
      </w:tblGrid>
      <w:tr>
        <w:tc>
          <w:tcPr>
            <w:tcW w:type="dxa" w:w="864"/>
            <w:shd w:fill="1F4E79"/>
            <w:tcMar>
              <w:top w:w="120" w:type="dxa"/>
              <w:bottom w:w="120" w:type="dxa"/>
              <w:left w:w="120" w:type="dxa"/>
              <w:right w:w="120" w:type="dxa"/>
            </w:tcMar>
          </w:tcPr>
          <w:p>
            <w:pPr>
              <w:jc w:val="right"/>
            </w:pPr>
            <w:r>
              <w:rPr>
                <w:rFonts w:ascii="Calibri" w:hAnsi="Calibri"/>
                <w:b/>
                <w:color w:val="FFFFFF"/>
                <w:sz w:val="19"/>
              </w:rPr>
              <w:t>Rank</w:t>
            </w:r>
          </w:p>
        </w:tc>
        <w:tc>
          <w:tcPr>
            <w:tcW w:type="dxa" w:w="2880"/>
            <w:shd w:fill="1F4E79"/>
            <w:tcMar>
              <w:top w:w="120" w:type="dxa"/>
              <w:bottom w:w="120" w:type="dxa"/>
              <w:left w:w="120" w:type="dxa"/>
              <w:right w:w="120" w:type="dxa"/>
            </w:tcMar>
          </w:tcPr>
          <w:p>
            <w:pPr>
              <w:jc w:val="left"/>
            </w:pPr>
            <w:r>
              <w:rPr>
                <w:rFonts w:ascii="Calibri" w:hAnsi="Calibri"/>
                <w:b/>
                <w:color w:val="FFFFFF"/>
                <w:sz w:val="19"/>
              </w:rPr>
              <w:t>Feature Name</w:t>
            </w:r>
          </w:p>
        </w:tc>
        <w:tc>
          <w:tcPr>
            <w:tcW w:type="dxa" w:w="1728"/>
            <w:shd w:fill="1F4E79"/>
            <w:tcMar>
              <w:top w:w="120" w:type="dxa"/>
              <w:bottom w:w="120" w:type="dxa"/>
              <w:left w:w="120" w:type="dxa"/>
              <w:right w:w="120" w:type="dxa"/>
            </w:tcMar>
          </w:tcPr>
          <w:p>
            <w:pPr>
              <w:jc w:val="right"/>
            </w:pPr>
            <w:r>
              <w:rPr>
                <w:rFonts w:ascii="Calibri" w:hAnsi="Calibri"/>
                <w:b/>
                <w:color w:val="FFFFFF"/>
                <w:sz w:val="19"/>
              </w:rPr>
              <w:t>Gini Importance</w:t>
            </w:r>
          </w:p>
        </w:tc>
        <w:tc>
          <w:tcPr>
            <w:tcW w:type="dxa" w:w="3888"/>
            <w:shd w:fill="1F4E79"/>
            <w:tcMar>
              <w:top w:w="120" w:type="dxa"/>
              <w:bottom w:w="120" w:type="dxa"/>
              <w:left w:w="120" w:type="dxa"/>
              <w:right w:w="120" w:type="dxa"/>
            </w:tcMar>
          </w:tcPr>
          <w:p>
            <w:pPr>
              <w:jc w:val="left"/>
            </w:pPr>
            <w:r>
              <w:rPr>
                <w:rFonts w:ascii="Calibri" w:hAnsi="Calibri"/>
                <w:b/>
                <w:color w:val="FFFFFF"/>
                <w:sz w:val="19"/>
              </w:rPr>
              <w:t>Primary Hydrological Role</w:t>
            </w:r>
          </w:p>
        </w:tc>
      </w:tr>
      <w:tr>
        <w:tc>
          <w:tcPr>
            <w:tcW w:type="dxa" w:w="864"/>
            <w:shd w:fill="FFFFFF"/>
            <w:tcMar>
              <w:top w:w="80" w:type="dxa"/>
              <w:bottom w:w="80" w:type="dxa"/>
              <w:left w:w="120" w:type="dxa"/>
              <w:right w:w="120" w:type="dxa"/>
            </w:tcMar>
          </w:tcPr>
          <w:p>
            <w:pPr>
              <w:jc w:val="right"/>
            </w:pPr>
            <w:r>
              <w:rPr>
                <w:rFonts w:ascii="Calibri" w:hAnsi="Calibri"/>
                <w:color w:val="222222"/>
                <w:sz w:val="18"/>
              </w:rPr>
              <w:t>1</w:t>
            </w:r>
          </w:p>
        </w:tc>
        <w:tc>
          <w:tcPr>
            <w:tcW w:type="dxa" w:w="2880"/>
            <w:shd w:fill="FFFFFF"/>
            <w:tcMar>
              <w:top w:w="80" w:type="dxa"/>
              <w:bottom w:w="80" w:type="dxa"/>
              <w:left w:w="120" w:type="dxa"/>
              <w:right w:w="120" w:type="dxa"/>
            </w:tcMar>
          </w:tcPr>
          <w:p>
            <w:pPr>
              <w:jc w:val="left"/>
            </w:pPr>
            <w:r>
              <w:rPr>
                <w:rFonts w:ascii="Calibri" w:hAnsi="Calibri"/>
                <w:color w:val="222222"/>
                <w:sz w:val="18"/>
              </w:rPr>
              <w:t>sm_surface_wetness</w:t>
            </w:r>
          </w:p>
        </w:tc>
        <w:tc>
          <w:tcPr>
            <w:tcW w:type="dxa" w:w="1728"/>
            <w:shd w:fill="FFFFFF"/>
            <w:tcMar>
              <w:top w:w="80" w:type="dxa"/>
              <w:bottom w:w="80" w:type="dxa"/>
              <w:left w:w="120" w:type="dxa"/>
              <w:right w:w="120" w:type="dxa"/>
            </w:tcMar>
          </w:tcPr>
          <w:p>
            <w:pPr>
              <w:jc w:val="right"/>
            </w:pPr>
            <w:r>
              <w:rPr>
                <w:rFonts w:ascii="Calibri" w:hAnsi="Calibri"/>
                <w:color w:val="222222"/>
                <w:sz w:val="18"/>
              </w:rPr>
              <w:t>0.20047</w:t>
            </w:r>
          </w:p>
        </w:tc>
        <w:tc>
          <w:tcPr>
            <w:tcW w:type="dxa" w:w="3888"/>
            <w:shd w:fill="FFFFFF"/>
            <w:tcMar>
              <w:top w:w="80" w:type="dxa"/>
              <w:bottom w:w="80" w:type="dxa"/>
              <w:left w:w="120" w:type="dxa"/>
              <w:right w:w="120" w:type="dxa"/>
            </w:tcMar>
          </w:tcPr>
          <w:p>
            <w:pPr>
              <w:jc w:val="left"/>
            </w:pPr>
            <w:r>
              <w:rPr>
                <w:rFonts w:ascii="Calibri" w:hAnsi="Calibri"/>
                <w:color w:val="222222"/>
                <w:sz w:val="18"/>
              </w:rPr>
              <w:t>Direct indicator of surface boundary layer moisture.</w:t>
            </w:r>
          </w:p>
        </w:tc>
      </w:tr>
      <w:tr>
        <w:tc>
          <w:tcPr>
            <w:tcW w:type="dxa" w:w="864"/>
            <w:shd w:fill="F9FAFB"/>
            <w:tcMar>
              <w:top w:w="80" w:type="dxa"/>
              <w:bottom w:w="80" w:type="dxa"/>
              <w:left w:w="120" w:type="dxa"/>
              <w:right w:w="120" w:type="dxa"/>
            </w:tcMar>
          </w:tcPr>
          <w:p>
            <w:pPr>
              <w:jc w:val="right"/>
            </w:pPr>
            <w:r>
              <w:rPr>
                <w:rFonts w:ascii="Calibri" w:hAnsi="Calibri"/>
                <w:color w:val="222222"/>
                <w:sz w:val="18"/>
              </w:rPr>
              <w:t>2</w:t>
            </w:r>
          </w:p>
        </w:tc>
        <w:tc>
          <w:tcPr>
            <w:tcW w:type="dxa" w:w="2880"/>
            <w:shd w:fill="F9FAFB"/>
            <w:tcMar>
              <w:top w:w="80" w:type="dxa"/>
              <w:bottom w:w="80" w:type="dxa"/>
              <w:left w:w="120" w:type="dxa"/>
              <w:right w:w="120" w:type="dxa"/>
            </w:tcMar>
          </w:tcPr>
          <w:p>
            <w:pPr>
              <w:jc w:val="left"/>
            </w:pPr>
            <w:r>
              <w:rPr>
                <w:rFonts w:ascii="Calibri" w:hAnsi="Calibri"/>
                <w:color w:val="222222"/>
                <w:sz w:val="18"/>
              </w:rPr>
              <w:t>sm_profile_wetness</w:t>
            </w:r>
          </w:p>
        </w:tc>
        <w:tc>
          <w:tcPr>
            <w:tcW w:type="dxa" w:w="1728"/>
            <w:shd w:fill="F9FAFB"/>
            <w:tcMar>
              <w:top w:w="80" w:type="dxa"/>
              <w:bottom w:w="80" w:type="dxa"/>
              <w:left w:w="120" w:type="dxa"/>
              <w:right w:w="120" w:type="dxa"/>
            </w:tcMar>
          </w:tcPr>
          <w:p>
            <w:pPr>
              <w:jc w:val="right"/>
            </w:pPr>
            <w:r>
              <w:rPr>
                <w:rFonts w:ascii="Calibri" w:hAnsi="Calibri"/>
                <w:color w:val="222222"/>
                <w:sz w:val="18"/>
              </w:rPr>
              <w:t>0.12305</w:t>
            </w:r>
          </w:p>
        </w:tc>
        <w:tc>
          <w:tcPr>
            <w:tcW w:type="dxa" w:w="3888"/>
            <w:shd w:fill="F9FAFB"/>
            <w:tcMar>
              <w:top w:w="80" w:type="dxa"/>
              <w:bottom w:w="80" w:type="dxa"/>
              <w:left w:w="120" w:type="dxa"/>
              <w:right w:w="120" w:type="dxa"/>
            </w:tcMar>
          </w:tcPr>
          <w:p>
            <w:pPr>
              <w:jc w:val="left"/>
            </w:pPr>
            <w:r>
              <w:rPr>
                <w:rFonts w:ascii="Calibri" w:hAnsi="Calibri"/>
                <w:color w:val="222222"/>
                <w:sz w:val="18"/>
              </w:rPr>
              <w:t>Integrated profile wetness regulating deep drainage.</w:t>
            </w:r>
          </w:p>
        </w:tc>
      </w:tr>
      <w:tr>
        <w:tc>
          <w:tcPr>
            <w:tcW w:type="dxa" w:w="864"/>
            <w:shd w:fill="FFFFFF"/>
            <w:tcMar>
              <w:top w:w="80" w:type="dxa"/>
              <w:bottom w:w="80" w:type="dxa"/>
              <w:left w:w="120" w:type="dxa"/>
              <w:right w:w="120" w:type="dxa"/>
            </w:tcMar>
          </w:tcPr>
          <w:p>
            <w:pPr>
              <w:jc w:val="right"/>
            </w:pPr>
            <w:r>
              <w:rPr>
                <w:rFonts w:ascii="Calibri" w:hAnsi="Calibri"/>
                <w:color w:val="222222"/>
                <w:sz w:val="18"/>
              </w:rPr>
              <w:t>3</w:t>
            </w:r>
          </w:p>
        </w:tc>
        <w:tc>
          <w:tcPr>
            <w:tcW w:type="dxa" w:w="2880"/>
            <w:shd w:fill="FFFFFF"/>
            <w:tcMar>
              <w:top w:w="80" w:type="dxa"/>
              <w:bottom w:w="80" w:type="dxa"/>
              <w:left w:w="120" w:type="dxa"/>
              <w:right w:w="120" w:type="dxa"/>
            </w:tcMar>
          </w:tcPr>
          <w:p>
            <w:pPr>
              <w:jc w:val="left"/>
            </w:pPr>
            <w:r>
              <w:rPr>
                <w:rFonts w:ascii="Calibri" w:hAnsi="Calibri"/>
                <w:color w:val="222222"/>
                <w:sz w:val="18"/>
              </w:rPr>
              <w:t>sm_profile</w:t>
            </w:r>
          </w:p>
        </w:tc>
        <w:tc>
          <w:tcPr>
            <w:tcW w:type="dxa" w:w="1728"/>
            <w:shd w:fill="FFFFFF"/>
            <w:tcMar>
              <w:top w:w="80" w:type="dxa"/>
              <w:bottom w:w="80" w:type="dxa"/>
              <w:left w:w="120" w:type="dxa"/>
              <w:right w:w="120" w:type="dxa"/>
            </w:tcMar>
          </w:tcPr>
          <w:p>
            <w:pPr>
              <w:jc w:val="right"/>
            </w:pPr>
            <w:r>
              <w:rPr>
                <w:rFonts w:ascii="Calibri" w:hAnsi="Calibri"/>
                <w:color w:val="222222"/>
                <w:sz w:val="18"/>
              </w:rPr>
              <w:t>0.09135</w:t>
            </w:r>
          </w:p>
        </w:tc>
        <w:tc>
          <w:tcPr>
            <w:tcW w:type="dxa" w:w="3888"/>
            <w:shd w:fill="FFFFFF"/>
            <w:tcMar>
              <w:top w:w="80" w:type="dxa"/>
              <w:bottom w:w="80" w:type="dxa"/>
              <w:left w:w="120" w:type="dxa"/>
              <w:right w:w="120" w:type="dxa"/>
            </w:tcMar>
          </w:tcPr>
          <w:p>
            <w:pPr>
              <w:jc w:val="left"/>
            </w:pPr>
            <w:r>
              <w:rPr>
                <w:rFonts w:ascii="Calibri" w:hAnsi="Calibri"/>
                <w:color w:val="222222"/>
                <w:sz w:val="18"/>
              </w:rPr>
              <w:t>Total soil column moisture storage (0–100 cm).</w:t>
            </w:r>
          </w:p>
        </w:tc>
      </w:tr>
      <w:tr>
        <w:tc>
          <w:tcPr>
            <w:tcW w:type="dxa" w:w="864"/>
            <w:shd w:fill="F9FAFB"/>
            <w:tcMar>
              <w:top w:w="80" w:type="dxa"/>
              <w:bottom w:w="80" w:type="dxa"/>
              <w:left w:w="120" w:type="dxa"/>
              <w:right w:w="120" w:type="dxa"/>
            </w:tcMar>
          </w:tcPr>
          <w:p>
            <w:pPr>
              <w:jc w:val="right"/>
            </w:pPr>
            <w:r>
              <w:rPr>
                <w:rFonts w:ascii="Calibri" w:hAnsi="Calibri"/>
                <w:color w:val="222222"/>
                <w:sz w:val="18"/>
              </w:rPr>
              <w:t>4</w:t>
            </w:r>
          </w:p>
        </w:tc>
        <w:tc>
          <w:tcPr>
            <w:tcW w:type="dxa" w:w="2880"/>
            <w:shd w:fill="F9FAFB"/>
            <w:tcMar>
              <w:top w:w="80" w:type="dxa"/>
              <w:bottom w:w="80" w:type="dxa"/>
              <w:left w:w="120" w:type="dxa"/>
              <w:right w:w="120" w:type="dxa"/>
            </w:tcMar>
          </w:tcPr>
          <w:p>
            <w:pPr>
              <w:jc w:val="left"/>
            </w:pPr>
            <w:r>
              <w:rPr>
                <w:rFonts w:ascii="Calibri" w:hAnsi="Calibri"/>
                <w:color w:val="222222"/>
                <w:sz w:val="18"/>
              </w:rPr>
              <w:t>sm_rootzone_wetness</w:t>
            </w:r>
          </w:p>
        </w:tc>
        <w:tc>
          <w:tcPr>
            <w:tcW w:type="dxa" w:w="1728"/>
            <w:shd w:fill="F9FAFB"/>
            <w:tcMar>
              <w:top w:w="80" w:type="dxa"/>
              <w:bottom w:w="80" w:type="dxa"/>
              <w:left w:w="120" w:type="dxa"/>
              <w:right w:w="120" w:type="dxa"/>
            </w:tcMar>
          </w:tcPr>
          <w:p>
            <w:pPr>
              <w:jc w:val="right"/>
            </w:pPr>
            <w:r>
              <w:rPr>
                <w:rFonts w:ascii="Calibri" w:hAnsi="Calibri"/>
                <w:color w:val="222222"/>
                <w:sz w:val="18"/>
              </w:rPr>
              <w:t>0.08386</w:t>
            </w:r>
          </w:p>
        </w:tc>
        <w:tc>
          <w:tcPr>
            <w:tcW w:type="dxa" w:w="3888"/>
            <w:shd w:fill="F9FAFB"/>
            <w:tcMar>
              <w:top w:w="80" w:type="dxa"/>
              <w:bottom w:w="80" w:type="dxa"/>
              <w:left w:w="120" w:type="dxa"/>
              <w:right w:w="120" w:type="dxa"/>
            </w:tcMar>
          </w:tcPr>
          <w:p>
            <w:pPr>
              <w:jc w:val="left"/>
            </w:pPr>
            <w:r>
              <w:rPr>
                <w:rFonts w:ascii="Calibri" w:hAnsi="Calibri"/>
                <w:color w:val="222222"/>
                <w:sz w:val="18"/>
              </w:rPr>
              <w:t>Subsurface moisture potential gradient determinant.</w:t>
            </w:r>
          </w:p>
        </w:tc>
      </w:tr>
      <w:tr>
        <w:tc>
          <w:tcPr>
            <w:tcW w:type="dxa" w:w="864"/>
            <w:shd w:fill="FFFFFF"/>
            <w:tcMar>
              <w:top w:w="80" w:type="dxa"/>
              <w:bottom w:w="80" w:type="dxa"/>
              <w:left w:w="120" w:type="dxa"/>
              <w:right w:w="120" w:type="dxa"/>
            </w:tcMar>
          </w:tcPr>
          <w:p>
            <w:pPr>
              <w:jc w:val="right"/>
            </w:pPr>
            <w:r>
              <w:rPr>
                <w:rFonts w:ascii="Calibri" w:hAnsi="Calibri"/>
                <w:color w:val="222222"/>
                <w:sz w:val="18"/>
              </w:rPr>
              <w:t>5</w:t>
            </w:r>
          </w:p>
        </w:tc>
        <w:tc>
          <w:tcPr>
            <w:tcW w:type="dxa" w:w="2880"/>
            <w:shd w:fill="FFFFFF"/>
            <w:tcMar>
              <w:top w:w="80" w:type="dxa"/>
              <w:bottom w:w="80" w:type="dxa"/>
              <w:left w:w="120" w:type="dxa"/>
              <w:right w:w="120" w:type="dxa"/>
            </w:tcMar>
          </w:tcPr>
          <w:p>
            <w:pPr>
              <w:jc w:val="left"/>
            </w:pPr>
            <w:r>
              <w:rPr>
                <w:rFonts w:ascii="Calibri" w:hAnsi="Calibri"/>
                <w:color w:val="222222"/>
                <w:sz w:val="18"/>
              </w:rPr>
              <w:t>sm_rootzone</w:t>
            </w:r>
          </w:p>
        </w:tc>
        <w:tc>
          <w:tcPr>
            <w:tcW w:type="dxa" w:w="1728"/>
            <w:shd w:fill="FFFFFF"/>
            <w:tcMar>
              <w:top w:w="80" w:type="dxa"/>
              <w:bottom w:w="80" w:type="dxa"/>
              <w:left w:w="120" w:type="dxa"/>
              <w:right w:w="120" w:type="dxa"/>
            </w:tcMar>
          </w:tcPr>
          <w:p>
            <w:pPr>
              <w:jc w:val="right"/>
            </w:pPr>
            <w:r>
              <w:rPr>
                <w:rFonts w:ascii="Calibri" w:hAnsi="Calibri"/>
                <w:color w:val="222222"/>
                <w:sz w:val="18"/>
              </w:rPr>
              <w:t>0.07814</w:t>
            </w:r>
          </w:p>
        </w:tc>
        <w:tc>
          <w:tcPr>
            <w:tcW w:type="dxa" w:w="3888"/>
            <w:shd w:fill="FFFFFF"/>
            <w:tcMar>
              <w:top w:w="80" w:type="dxa"/>
              <w:bottom w:w="80" w:type="dxa"/>
              <w:left w:w="120" w:type="dxa"/>
              <w:right w:w="120" w:type="dxa"/>
            </w:tcMar>
          </w:tcPr>
          <w:p>
            <w:pPr>
              <w:jc w:val="left"/>
            </w:pPr>
            <w:r>
              <w:rPr>
                <w:rFonts w:ascii="Calibri" w:hAnsi="Calibri"/>
                <w:color w:val="222222"/>
                <w:sz w:val="18"/>
              </w:rPr>
              <w:t>Subsurface reservoir supplying capillary upward draw.</w:t>
            </w:r>
          </w:p>
        </w:tc>
      </w:tr>
      <w:tr>
        <w:tc>
          <w:tcPr>
            <w:tcW w:type="dxa" w:w="864"/>
            <w:shd w:fill="F9FAFB"/>
            <w:tcMar>
              <w:top w:w="80" w:type="dxa"/>
              <w:bottom w:w="80" w:type="dxa"/>
              <w:left w:w="120" w:type="dxa"/>
              <w:right w:w="120" w:type="dxa"/>
            </w:tcMar>
          </w:tcPr>
          <w:p>
            <w:pPr>
              <w:jc w:val="right"/>
            </w:pPr>
            <w:r>
              <w:rPr>
                <w:rFonts w:ascii="Calibri" w:hAnsi="Calibri"/>
                <w:color w:val="222222"/>
                <w:sz w:val="18"/>
              </w:rPr>
              <w:t>6</w:t>
            </w:r>
          </w:p>
        </w:tc>
        <w:tc>
          <w:tcPr>
            <w:tcW w:type="dxa" w:w="2880"/>
            <w:shd w:fill="F9FAFB"/>
            <w:tcMar>
              <w:top w:w="80" w:type="dxa"/>
              <w:bottom w:w="80" w:type="dxa"/>
              <w:left w:w="120" w:type="dxa"/>
              <w:right w:w="120" w:type="dxa"/>
            </w:tcMar>
          </w:tcPr>
          <w:p>
            <w:pPr>
              <w:jc w:val="left"/>
            </w:pPr>
            <w:r>
              <w:rPr>
                <w:rFonts w:ascii="Calibri" w:hAnsi="Calibri"/>
                <w:color w:val="222222"/>
                <w:sz w:val="18"/>
              </w:rPr>
              <w:t>land_fraction_wilting</w:t>
            </w:r>
          </w:p>
        </w:tc>
        <w:tc>
          <w:tcPr>
            <w:tcW w:type="dxa" w:w="1728"/>
            <w:shd w:fill="F9FAFB"/>
            <w:tcMar>
              <w:top w:w="80" w:type="dxa"/>
              <w:bottom w:w="80" w:type="dxa"/>
              <w:left w:w="120" w:type="dxa"/>
              <w:right w:w="120" w:type="dxa"/>
            </w:tcMar>
          </w:tcPr>
          <w:p>
            <w:pPr>
              <w:jc w:val="right"/>
            </w:pPr>
            <w:r>
              <w:rPr>
                <w:rFonts w:ascii="Calibri" w:hAnsi="Calibri"/>
                <w:color w:val="222222"/>
                <w:sz w:val="18"/>
              </w:rPr>
              <w:t>0.07601</w:t>
            </w:r>
          </w:p>
        </w:tc>
        <w:tc>
          <w:tcPr>
            <w:tcW w:type="dxa" w:w="3888"/>
            <w:shd w:fill="F9FAFB"/>
            <w:tcMar>
              <w:top w:w="80" w:type="dxa"/>
              <w:bottom w:w="80" w:type="dxa"/>
              <w:left w:w="120" w:type="dxa"/>
              <w:right w:w="120" w:type="dxa"/>
            </w:tcMar>
          </w:tcPr>
          <w:p>
            <w:pPr>
              <w:jc w:val="left"/>
            </w:pPr>
            <w:r>
              <w:rPr>
                <w:rFonts w:ascii="Calibri" w:hAnsi="Calibri"/>
                <w:color w:val="222222"/>
                <w:sz w:val="18"/>
              </w:rPr>
              <w:t>Fraction of soil matrix below plant wilting point.</w:t>
            </w:r>
          </w:p>
        </w:tc>
      </w:tr>
      <w:tr>
        <w:tc>
          <w:tcPr>
            <w:tcW w:type="dxa" w:w="864"/>
            <w:shd w:fill="FFFFFF"/>
            <w:tcMar>
              <w:top w:w="80" w:type="dxa"/>
              <w:bottom w:w="80" w:type="dxa"/>
              <w:left w:w="120" w:type="dxa"/>
              <w:right w:w="120" w:type="dxa"/>
            </w:tcMar>
          </w:tcPr>
          <w:p>
            <w:pPr>
              <w:jc w:val="right"/>
            </w:pPr>
            <w:r>
              <w:rPr>
                <w:rFonts w:ascii="Calibri" w:hAnsi="Calibri"/>
                <w:color w:val="222222"/>
                <w:sz w:val="18"/>
              </w:rPr>
              <w:t>7</w:t>
            </w:r>
          </w:p>
        </w:tc>
        <w:tc>
          <w:tcPr>
            <w:tcW w:type="dxa" w:w="2880"/>
            <w:shd w:fill="FFFFFF"/>
            <w:tcMar>
              <w:top w:w="80" w:type="dxa"/>
              <w:bottom w:w="80" w:type="dxa"/>
              <w:left w:w="120" w:type="dxa"/>
              <w:right w:w="120" w:type="dxa"/>
            </w:tcMar>
          </w:tcPr>
          <w:p>
            <w:pPr>
              <w:jc w:val="left"/>
            </w:pPr>
            <w:r>
              <w:rPr>
                <w:rFonts w:ascii="Calibri" w:hAnsi="Calibri"/>
                <w:color w:val="222222"/>
                <w:sz w:val="18"/>
              </w:rPr>
              <w:t>land_fraction_unsaturated</w:t>
            </w:r>
          </w:p>
        </w:tc>
        <w:tc>
          <w:tcPr>
            <w:tcW w:type="dxa" w:w="1728"/>
            <w:shd w:fill="FFFFFF"/>
            <w:tcMar>
              <w:top w:w="80" w:type="dxa"/>
              <w:bottom w:w="80" w:type="dxa"/>
              <w:left w:w="120" w:type="dxa"/>
              <w:right w:w="120" w:type="dxa"/>
            </w:tcMar>
          </w:tcPr>
          <w:p>
            <w:pPr>
              <w:jc w:val="right"/>
            </w:pPr>
            <w:r>
              <w:rPr>
                <w:rFonts w:ascii="Calibri" w:hAnsi="Calibri"/>
                <w:color w:val="222222"/>
                <w:sz w:val="18"/>
              </w:rPr>
              <w:t>0.05079</w:t>
            </w:r>
          </w:p>
        </w:tc>
        <w:tc>
          <w:tcPr>
            <w:tcW w:type="dxa" w:w="3888"/>
            <w:shd w:fill="FFFFFF"/>
            <w:tcMar>
              <w:top w:w="80" w:type="dxa"/>
              <w:bottom w:w="80" w:type="dxa"/>
              <w:left w:w="120" w:type="dxa"/>
              <w:right w:w="120" w:type="dxa"/>
            </w:tcMar>
          </w:tcPr>
          <w:p>
            <w:pPr>
              <w:jc w:val="left"/>
            </w:pPr>
            <w:r>
              <w:rPr>
                <w:rFonts w:ascii="Calibri" w:hAnsi="Calibri"/>
                <w:color w:val="222222"/>
                <w:sz w:val="18"/>
              </w:rPr>
              <w:t>Governs unexhausted infiltration storage capacity.</w:t>
            </w:r>
          </w:p>
        </w:tc>
      </w:tr>
      <w:tr>
        <w:tc>
          <w:tcPr>
            <w:tcW w:type="dxa" w:w="864"/>
            <w:shd w:fill="F9FAFB"/>
            <w:tcMar>
              <w:top w:w="80" w:type="dxa"/>
              <w:bottom w:w="80" w:type="dxa"/>
              <w:left w:w="120" w:type="dxa"/>
              <w:right w:w="120" w:type="dxa"/>
            </w:tcMar>
          </w:tcPr>
          <w:p>
            <w:pPr>
              <w:jc w:val="right"/>
            </w:pPr>
            <w:r>
              <w:rPr>
                <w:rFonts w:ascii="Calibri" w:hAnsi="Calibri"/>
                <w:color w:val="222222"/>
                <w:sz w:val="18"/>
              </w:rPr>
              <w:t>8</w:t>
            </w:r>
          </w:p>
        </w:tc>
        <w:tc>
          <w:tcPr>
            <w:tcW w:type="dxa" w:w="2880"/>
            <w:shd w:fill="F9FAFB"/>
            <w:tcMar>
              <w:top w:w="80" w:type="dxa"/>
              <w:bottom w:w="80" w:type="dxa"/>
              <w:left w:w="120" w:type="dxa"/>
              <w:right w:w="120" w:type="dxa"/>
            </w:tcMar>
          </w:tcPr>
          <w:p>
            <w:pPr>
              <w:jc w:val="left"/>
            </w:pPr>
            <w:r>
              <w:rPr>
                <w:rFonts w:ascii="Calibri" w:hAnsi="Calibri"/>
                <w:color w:val="222222"/>
                <w:sz w:val="18"/>
              </w:rPr>
              <w:t>sm_rootzone_pctl</w:t>
            </w:r>
          </w:p>
        </w:tc>
        <w:tc>
          <w:tcPr>
            <w:tcW w:type="dxa" w:w="1728"/>
            <w:shd w:fill="F9FAFB"/>
            <w:tcMar>
              <w:top w:w="80" w:type="dxa"/>
              <w:bottom w:w="80" w:type="dxa"/>
              <w:left w:w="120" w:type="dxa"/>
              <w:right w:w="120" w:type="dxa"/>
            </w:tcMar>
          </w:tcPr>
          <w:p>
            <w:pPr>
              <w:jc w:val="right"/>
            </w:pPr>
            <w:r>
              <w:rPr>
                <w:rFonts w:ascii="Calibri" w:hAnsi="Calibri"/>
                <w:color w:val="222222"/>
                <w:sz w:val="18"/>
              </w:rPr>
              <w:t>0.04064</w:t>
            </w:r>
          </w:p>
        </w:tc>
        <w:tc>
          <w:tcPr>
            <w:tcW w:type="dxa" w:w="3888"/>
            <w:shd w:fill="F9FAFB"/>
            <w:tcMar>
              <w:top w:w="80" w:type="dxa"/>
              <w:bottom w:w="80" w:type="dxa"/>
              <w:left w:w="120" w:type="dxa"/>
              <w:right w:w="120" w:type="dxa"/>
            </w:tcMar>
          </w:tcPr>
          <w:p>
            <w:pPr>
              <w:jc w:val="left"/>
            </w:pPr>
            <w:r>
              <w:rPr>
                <w:rFonts w:ascii="Calibri" w:hAnsi="Calibri"/>
                <w:color w:val="222222"/>
                <w:sz w:val="18"/>
              </w:rPr>
              <w:t>Climatological soil moisture percentile.</w:t>
            </w:r>
          </w:p>
        </w:tc>
      </w:tr>
      <w:tr>
        <w:tc>
          <w:tcPr>
            <w:tcW w:type="dxa" w:w="864"/>
            <w:shd w:fill="FFFFFF"/>
            <w:tcMar>
              <w:top w:w="80" w:type="dxa"/>
              <w:bottom w:w="80" w:type="dxa"/>
              <w:left w:w="120" w:type="dxa"/>
              <w:right w:w="120" w:type="dxa"/>
            </w:tcMar>
          </w:tcPr>
          <w:p>
            <w:pPr>
              <w:jc w:val="right"/>
            </w:pPr>
            <w:r>
              <w:rPr>
                <w:rFonts w:ascii="Calibri" w:hAnsi="Calibri"/>
                <w:color w:val="222222"/>
                <w:sz w:val="18"/>
              </w:rPr>
              <w:t>9</w:t>
            </w:r>
          </w:p>
        </w:tc>
        <w:tc>
          <w:tcPr>
            <w:tcW w:type="dxa" w:w="2880"/>
            <w:shd w:fill="FFFFFF"/>
            <w:tcMar>
              <w:top w:w="80" w:type="dxa"/>
              <w:bottom w:w="80" w:type="dxa"/>
              <w:left w:w="120" w:type="dxa"/>
              <w:right w:w="120" w:type="dxa"/>
            </w:tcMar>
          </w:tcPr>
          <w:p>
            <w:pPr>
              <w:jc w:val="left"/>
            </w:pPr>
            <w:r>
              <w:rPr>
                <w:rFonts w:ascii="Calibri" w:hAnsi="Calibri"/>
                <w:color w:val="222222"/>
                <w:sz w:val="18"/>
              </w:rPr>
              <w:t>land_fraction_saturated</w:t>
            </w:r>
          </w:p>
        </w:tc>
        <w:tc>
          <w:tcPr>
            <w:tcW w:type="dxa" w:w="1728"/>
            <w:shd w:fill="FFFFFF"/>
            <w:tcMar>
              <w:top w:w="80" w:type="dxa"/>
              <w:bottom w:w="80" w:type="dxa"/>
              <w:left w:w="120" w:type="dxa"/>
              <w:right w:w="120" w:type="dxa"/>
            </w:tcMar>
          </w:tcPr>
          <w:p>
            <w:pPr>
              <w:jc w:val="right"/>
            </w:pPr>
            <w:r>
              <w:rPr>
                <w:rFonts w:ascii="Calibri" w:hAnsi="Calibri"/>
                <w:color w:val="222222"/>
                <w:sz w:val="18"/>
              </w:rPr>
              <w:t>0.03190</w:t>
            </w:r>
          </w:p>
        </w:tc>
        <w:tc>
          <w:tcPr>
            <w:tcW w:type="dxa" w:w="3888"/>
            <w:shd w:fill="FFFFFF"/>
            <w:tcMar>
              <w:top w:w="80" w:type="dxa"/>
              <w:bottom w:w="80" w:type="dxa"/>
              <w:left w:w="120" w:type="dxa"/>
              <w:right w:w="120" w:type="dxa"/>
            </w:tcMar>
          </w:tcPr>
          <w:p>
            <w:pPr>
              <w:jc w:val="left"/>
            </w:pPr>
            <w:r>
              <w:rPr>
                <w:rFonts w:ascii="Calibri" w:hAnsi="Calibri"/>
                <w:color w:val="222222"/>
                <w:sz w:val="18"/>
              </w:rPr>
              <w:t>Surface pooling and immediate runoff precursor.</w:t>
            </w:r>
          </w:p>
        </w:tc>
      </w:tr>
      <w:tr>
        <w:tc>
          <w:tcPr>
            <w:tcW w:type="dxa" w:w="864"/>
            <w:shd w:fill="F9FAFB"/>
            <w:tcMar>
              <w:top w:w="80" w:type="dxa"/>
              <w:bottom w:w="80" w:type="dxa"/>
              <w:left w:w="120" w:type="dxa"/>
              <w:right w:w="120" w:type="dxa"/>
            </w:tcMar>
          </w:tcPr>
          <w:p>
            <w:pPr>
              <w:jc w:val="right"/>
            </w:pPr>
            <w:r>
              <w:rPr>
                <w:rFonts w:ascii="Calibri" w:hAnsi="Calibri"/>
                <w:color w:val="222222"/>
                <w:sz w:val="18"/>
              </w:rPr>
              <w:t>10</w:t>
            </w:r>
          </w:p>
        </w:tc>
        <w:tc>
          <w:tcPr>
            <w:tcW w:type="dxa" w:w="2880"/>
            <w:shd w:fill="F9FAFB"/>
            <w:tcMar>
              <w:top w:w="80" w:type="dxa"/>
              <w:bottom w:w="80" w:type="dxa"/>
              <w:left w:w="120" w:type="dxa"/>
              <w:right w:w="120" w:type="dxa"/>
            </w:tcMar>
          </w:tcPr>
          <w:p>
            <w:pPr>
              <w:jc w:val="left"/>
            </w:pPr>
            <w:r>
              <w:rPr>
                <w:rFonts w:ascii="Calibri" w:hAnsi="Calibri"/>
                <w:color w:val="222222"/>
                <w:sz w:val="18"/>
              </w:rPr>
              <w:t>net_downward_longwave_flux</w:t>
            </w:r>
          </w:p>
        </w:tc>
        <w:tc>
          <w:tcPr>
            <w:tcW w:type="dxa" w:w="1728"/>
            <w:shd w:fill="F9FAFB"/>
            <w:tcMar>
              <w:top w:w="80" w:type="dxa"/>
              <w:bottom w:w="80" w:type="dxa"/>
              <w:left w:w="120" w:type="dxa"/>
              <w:right w:w="120" w:type="dxa"/>
            </w:tcMar>
          </w:tcPr>
          <w:p>
            <w:pPr>
              <w:jc w:val="right"/>
            </w:pPr>
            <w:r>
              <w:rPr>
                <w:rFonts w:ascii="Calibri" w:hAnsi="Calibri"/>
                <w:color w:val="222222"/>
                <w:sz w:val="18"/>
              </w:rPr>
              <w:t>0.03171</w:t>
            </w:r>
          </w:p>
        </w:tc>
        <w:tc>
          <w:tcPr>
            <w:tcW w:type="dxa" w:w="3888"/>
            <w:shd w:fill="F9FAFB"/>
            <w:tcMar>
              <w:top w:w="80" w:type="dxa"/>
              <w:bottom w:w="80" w:type="dxa"/>
              <w:left w:w="120" w:type="dxa"/>
              <w:right w:w="120" w:type="dxa"/>
            </w:tcMar>
          </w:tcPr>
          <w:p>
            <w:pPr>
              <w:jc w:val="left"/>
            </w:pPr>
            <w:r>
              <w:rPr>
                <w:rFonts w:ascii="Calibri" w:hAnsi="Calibri"/>
                <w:color w:val="222222"/>
                <w:sz w:val="18"/>
              </w:rPr>
              <w:t>Atmospheric radiative heating maintaining surface flux.</w:t>
            </w:r>
          </w:p>
        </w:tc>
      </w:tr>
      <w:tr>
        <w:tc>
          <w:tcPr>
            <w:tcW w:type="dxa" w:w="864"/>
            <w:shd w:fill="FFFFFF"/>
            <w:tcMar>
              <w:top w:w="80" w:type="dxa"/>
              <w:bottom w:w="80" w:type="dxa"/>
              <w:left w:w="120" w:type="dxa"/>
              <w:right w:w="120" w:type="dxa"/>
            </w:tcMar>
          </w:tcPr>
          <w:p>
            <w:pPr>
              <w:jc w:val="right"/>
            </w:pPr>
            <w:r>
              <w:rPr>
                <w:rFonts w:ascii="Calibri" w:hAnsi="Calibri"/>
                <w:color w:val="222222"/>
                <w:sz w:val="18"/>
              </w:rPr>
              <w:t>11</w:t>
            </w:r>
          </w:p>
        </w:tc>
        <w:tc>
          <w:tcPr>
            <w:tcW w:type="dxa" w:w="2880"/>
            <w:shd w:fill="FFFFFF"/>
            <w:tcMar>
              <w:top w:w="80" w:type="dxa"/>
              <w:bottom w:w="80" w:type="dxa"/>
              <w:left w:w="120" w:type="dxa"/>
              <w:right w:w="120" w:type="dxa"/>
            </w:tcMar>
          </w:tcPr>
          <w:p>
            <w:pPr>
              <w:jc w:val="left"/>
            </w:pPr>
            <w:r>
              <w:rPr>
                <w:rFonts w:ascii="Calibri" w:hAnsi="Calibri"/>
                <w:color w:val="222222"/>
                <w:sz w:val="18"/>
              </w:rPr>
              <w:t>heat_flux_ground</w:t>
            </w:r>
          </w:p>
        </w:tc>
        <w:tc>
          <w:tcPr>
            <w:tcW w:type="dxa" w:w="1728"/>
            <w:shd w:fill="FFFFFF"/>
            <w:tcMar>
              <w:top w:w="80" w:type="dxa"/>
              <w:bottom w:w="80" w:type="dxa"/>
              <w:left w:w="120" w:type="dxa"/>
              <w:right w:w="120" w:type="dxa"/>
            </w:tcMar>
          </w:tcPr>
          <w:p>
            <w:pPr>
              <w:jc w:val="right"/>
            </w:pPr>
            <w:r>
              <w:rPr>
                <w:rFonts w:ascii="Calibri" w:hAnsi="Calibri"/>
                <w:color w:val="222222"/>
                <w:sz w:val="18"/>
              </w:rPr>
              <w:t>0.02513</w:t>
            </w:r>
          </w:p>
        </w:tc>
        <w:tc>
          <w:tcPr>
            <w:tcW w:type="dxa" w:w="3888"/>
            <w:shd w:fill="FFFFFF"/>
            <w:tcMar>
              <w:top w:w="80" w:type="dxa"/>
              <w:bottom w:w="80" w:type="dxa"/>
              <w:left w:w="120" w:type="dxa"/>
              <w:right w:w="120" w:type="dxa"/>
            </w:tcMar>
          </w:tcPr>
          <w:p>
            <w:pPr>
              <w:jc w:val="left"/>
            </w:pPr>
            <w:r>
              <w:rPr>
                <w:rFonts w:ascii="Calibri" w:hAnsi="Calibri"/>
                <w:color w:val="222222"/>
                <w:sz w:val="18"/>
              </w:rPr>
              <w:t>Thermal energy driver modulating soil water evaporation.</w:t>
            </w:r>
          </w:p>
        </w:tc>
      </w:tr>
      <w:tr>
        <w:tc>
          <w:tcPr>
            <w:tcW w:type="dxa" w:w="864"/>
            <w:shd w:fill="F9FAFB"/>
            <w:tcMar>
              <w:top w:w="80" w:type="dxa"/>
              <w:bottom w:w="80" w:type="dxa"/>
              <w:left w:w="120" w:type="dxa"/>
              <w:right w:w="120" w:type="dxa"/>
            </w:tcMar>
          </w:tcPr>
          <w:p>
            <w:pPr>
              <w:jc w:val="right"/>
            </w:pPr>
            <w:r>
              <w:rPr>
                <w:rFonts w:ascii="Calibri" w:hAnsi="Calibri"/>
                <w:color w:val="222222"/>
                <w:sz w:val="18"/>
              </w:rPr>
              <w:t>12</w:t>
            </w:r>
          </w:p>
        </w:tc>
        <w:tc>
          <w:tcPr>
            <w:tcW w:type="dxa" w:w="2880"/>
            <w:shd w:fill="F9FAFB"/>
            <w:tcMar>
              <w:top w:w="80" w:type="dxa"/>
              <w:bottom w:w="80" w:type="dxa"/>
              <w:left w:w="120" w:type="dxa"/>
              <w:right w:w="120" w:type="dxa"/>
            </w:tcMar>
          </w:tcPr>
          <w:p>
            <w:pPr>
              <w:jc w:val="left"/>
            </w:pPr>
            <w:r>
              <w:rPr>
                <w:rFonts w:ascii="Calibri" w:hAnsi="Calibri"/>
                <w:color w:val="222222"/>
                <w:sz w:val="18"/>
              </w:rPr>
              <w:t>soil_temp_layer3</w:t>
            </w:r>
          </w:p>
        </w:tc>
        <w:tc>
          <w:tcPr>
            <w:tcW w:type="dxa" w:w="1728"/>
            <w:shd w:fill="F9FAFB"/>
            <w:tcMar>
              <w:top w:w="80" w:type="dxa"/>
              <w:bottom w:w="80" w:type="dxa"/>
              <w:left w:w="120" w:type="dxa"/>
              <w:right w:w="120" w:type="dxa"/>
            </w:tcMar>
          </w:tcPr>
          <w:p>
            <w:pPr>
              <w:jc w:val="right"/>
            </w:pPr>
            <w:r>
              <w:rPr>
                <w:rFonts w:ascii="Calibri" w:hAnsi="Calibri"/>
                <w:color w:val="222222"/>
                <w:sz w:val="18"/>
              </w:rPr>
              <w:t>0.02366</w:t>
            </w:r>
          </w:p>
        </w:tc>
        <w:tc>
          <w:tcPr>
            <w:tcW w:type="dxa" w:w="3888"/>
            <w:shd w:fill="F9FAFB"/>
            <w:tcMar>
              <w:top w:w="80" w:type="dxa"/>
              <w:bottom w:w="80" w:type="dxa"/>
              <w:left w:w="120" w:type="dxa"/>
              <w:right w:w="120" w:type="dxa"/>
            </w:tcMar>
          </w:tcPr>
          <w:p>
            <w:pPr>
              <w:jc w:val="left"/>
            </w:pPr>
            <w:r>
              <w:rPr>
                <w:rFonts w:ascii="Calibri" w:hAnsi="Calibri"/>
                <w:color w:val="222222"/>
                <w:sz w:val="18"/>
              </w:rPr>
              <w:t>Rootzone thermal inertia and hydraulic conductivity.</w:t>
            </w:r>
          </w:p>
        </w:tc>
      </w:tr>
      <w:tr>
        <w:tc>
          <w:tcPr>
            <w:tcW w:type="dxa" w:w="864"/>
            <w:shd w:fill="FFFFFF"/>
            <w:tcMar>
              <w:top w:w="80" w:type="dxa"/>
              <w:bottom w:w="80" w:type="dxa"/>
              <w:left w:w="120" w:type="dxa"/>
              <w:right w:w="120" w:type="dxa"/>
            </w:tcMar>
          </w:tcPr>
          <w:p>
            <w:pPr>
              <w:jc w:val="right"/>
            </w:pPr>
            <w:r>
              <w:rPr>
                <w:rFonts w:ascii="Calibri" w:hAnsi="Calibri"/>
                <w:color w:val="222222"/>
                <w:sz w:val="18"/>
              </w:rPr>
              <w:t>13</w:t>
            </w:r>
          </w:p>
        </w:tc>
        <w:tc>
          <w:tcPr>
            <w:tcW w:type="dxa" w:w="2880"/>
            <w:shd w:fill="FFFFFF"/>
            <w:tcMar>
              <w:top w:w="80" w:type="dxa"/>
              <w:bottom w:w="80" w:type="dxa"/>
              <w:left w:w="120" w:type="dxa"/>
              <w:right w:w="120" w:type="dxa"/>
            </w:tcMar>
          </w:tcPr>
          <w:p>
            <w:pPr>
              <w:jc w:val="left"/>
            </w:pPr>
            <w:r>
              <w:rPr>
                <w:rFonts w:ascii="Calibri" w:hAnsi="Calibri"/>
                <w:color w:val="222222"/>
                <w:sz w:val="18"/>
              </w:rPr>
              <w:t>sm_profile_pctl</w:t>
            </w:r>
          </w:p>
        </w:tc>
        <w:tc>
          <w:tcPr>
            <w:tcW w:type="dxa" w:w="1728"/>
            <w:shd w:fill="FFFFFF"/>
            <w:tcMar>
              <w:top w:w="80" w:type="dxa"/>
              <w:bottom w:w="80" w:type="dxa"/>
              <w:left w:w="120" w:type="dxa"/>
              <w:right w:w="120" w:type="dxa"/>
            </w:tcMar>
          </w:tcPr>
          <w:p>
            <w:pPr>
              <w:jc w:val="right"/>
            </w:pPr>
            <w:r>
              <w:rPr>
                <w:rFonts w:ascii="Calibri" w:hAnsi="Calibri"/>
                <w:color w:val="222222"/>
                <w:sz w:val="18"/>
              </w:rPr>
              <w:t>0.02340</w:t>
            </w:r>
          </w:p>
        </w:tc>
        <w:tc>
          <w:tcPr>
            <w:tcW w:type="dxa" w:w="3888"/>
            <w:shd w:fill="FFFFFF"/>
            <w:tcMar>
              <w:top w:w="80" w:type="dxa"/>
              <w:bottom w:w="80" w:type="dxa"/>
              <w:left w:w="120" w:type="dxa"/>
              <w:right w:w="120" w:type="dxa"/>
            </w:tcMar>
          </w:tcPr>
          <w:p>
            <w:pPr>
              <w:jc w:val="left"/>
            </w:pPr>
            <w:r>
              <w:rPr>
                <w:rFonts w:ascii="Calibri" w:hAnsi="Calibri"/>
                <w:color w:val="222222"/>
                <w:sz w:val="18"/>
              </w:rPr>
              <w:t>Profile climatological wetness percentile.</w:t>
            </w:r>
          </w:p>
        </w:tc>
      </w:tr>
      <w:tr>
        <w:tc>
          <w:tcPr>
            <w:tcW w:type="dxa" w:w="864"/>
            <w:shd w:fill="F9FAFB"/>
            <w:tcMar>
              <w:top w:w="80" w:type="dxa"/>
              <w:bottom w:w="80" w:type="dxa"/>
              <w:left w:w="120" w:type="dxa"/>
              <w:right w:w="120" w:type="dxa"/>
            </w:tcMar>
          </w:tcPr>
          <w:p>
            <w:pPr>
              <w:jc w:val="right"/>
            </w:pPr>
            <w:r>
              <w:rPr>
                <w:rFonts w:ascii="Calibri" w:hAnsi="Calibri"/>
                <w:color w:val="222222"/>
                <w:sz w:val="18"/>
              </w:rPr>
              <w:t>14</w:t>
            </w:r>
          </w:p>
        </w:tc>
        <w:tc>
          <w:tcPr>
            <w:tcW w:type="dxa" w:w="2880"/>
            <w:shd w:fill="F9FAFB"/>
            <w:tcMar>
              <w:top w:w="80" w:type="dxa"/>
              <w:bottom w:w="80" w:type="dxa"/>
              <w:left w:w="120" w:type="dxa"/>
              <w:right w:w="120" w:type="dxa"/>
            </w:tcMar>
          </w:tcPr>
          <w:p>
            <w:pPr>
              <w:jc w:val="left"/>
            </w:pPr>
            <w:r>
              <w:rPr>
                <w:rFonts w:ascii="Calibri" w:hAnsi="Calibri"/>
                <w:color w:val="222222"/>
                <w:sz w:val="18"/>
              </w:rPr>
              <w:t>soil_temp_layer2</w:t>
            </w:r>
          </w:p>
        </w:tc>
        <w:tc>
          <w:tcPr>
            <w:tcW w:type="dxa" w:w="1728"/>
            <w:shd w:fill="F9FAFB"/>
            <w:tcMar>
              <w:top w:w="80" w:type="dxa"/>
              <w:bottom w:w="80" w:type="dxa"/>
              <w:left w:w="120" w:type="dxa"/>
              <w:right w:w="120" w:type="dxa"/>
            </w:tcMar>
          </w:tcPr>
          <w:p>
            <w:pPr>
              <w:jc w:val="right"/>
            </w:pPr>
            <w:r>
              <w:rPr>
                <w:rFonts w:ascii="Calibri" w:hAnsi="Calibri"/>
                <w:color w:val="222222"/>
                <w:sz w:val="18"/>
              </w:rPr>
              <w:t>0.02254</w:t>
            </w:r>
          </w:p>
        </w:tc>
        <w:tc>
          <w:tcPr>
            <w:tcW w:type="dxa" w:w="3888"/>
            <w:shd w:fill="F9FAFB"/>
            <w:tcMar>
              <w:top w:w="80" w:type="dxa"/>
              <w:bottom w:w="80" w:type="dxa"/>
              <w:left w:w="120" w:type="dxa"/>
              <w:right w:w="120" w:type="dxa"/>
            </w:tcMar>
          </w:tcPr>
          <w:p>
            <w:pPr>
              <w:jc w:val="left"/>
            </w:pPr>
            <w:r>
              <w:rPr>
                <w:rFonts w:ascii="Calibri" w:hAnsi="Calibri"/>
                <w:color w:val="222222"/>
                <w:sz w:val="18"/>
              </w:rPr>
              <w:t>Near-surface intermediate thermal gradient.</w:t>
            </w:r>
          </w:p>
        </w:tc>
      </w:tr>
    </w:tbl>
    <w:p>
      <w:pPr>
        <w:spacing w:after="160"/>
      </w:pPr>
    </w:p>
    <w:p>
      <w:pPr>
        <w:jc w:val="center"/>
      </w:pPr>
      <w:r>
        <w:drawing>
          <wp:inline xmlns:a="http://schemas.openxmlformats.org/drawingml/2006/main" xmlns:pic="http://schemas.openxmlformats.org/drawingml/2006/picture">
            <wp:extent cx="4754880" cy="3268980"/>
            <wp:docPr id="3" name="Picture 3"/>
            <wp:cNvGraphicFramePr>
              <a:graphicFrameLocks noChangeAspect="1"/>
            </wp:cNvGraphicFramePr>
            <a:graphic>
              <a:graphicData uri="http://schemas.openxmlformats.org/drawingml/2006/picture">
                <pic:pic>
                  <pic:nvPicPr>
                    <pic:cNvPr id="0" name="Fig_3_error_vs_feature_count.png"/>
                    <pic:cNvPicPr/>
                  </pic:nvPicPr>
                  <pic:blipFill>
                    <a:blip r:embed="rId11"/>
                    <a:stretch>
                      <a:fillRect/>
                    </a:stretch>
                  </pic:blipFill>
                  <pic:spPr>
                    <a:xfrm>
                      <a:off x="0" y="0"/>
                      <a:ext cx="4754880" cy="3268980"/>
                    </a:xfrm>
                    <a:prstGeom prst="rect"/>
                  </pic:spPr>
                </pic:pic>
              </a:graphicData>
            </a:graphic>
          </wp:inline>
        </w:drawing>
      </w:r>
    </w:p>
    <w:p>
      <w:pPr>
        <w:jc w:val="center"/>
      </w:pPr>
      <w:r>
        <w:rPr>
          <w:i/>
          <w:sz w:val="18"/>
        </w:rPr>
        <w:t>Fig. 3. Normalized prediction error (MSE) as a function of the number of selected features, highlighting the optimal elbow at k = 14.</w:t>
      </w:r>
    </w:p>
    <w:p>
      <w:pPr>
        <w:jc w:val="center"/>
      </w:pPr>
      <w:r>
        <w:drawing>
          <wp:inline xmlns:a="http://schemas.openxmlformats.org/drawingml/2006/main" xmlns:pic="http://schemas.openxmlformats.org/drawingml/2006/picture">
            <wp:extent cx="5029200" cy="3550024"/>
            <wp:docPr id="4" name="Picture 4"/>
            <wp:cNvGraphicFramePr>
              <a:graphicFrameLocks noChangeAspect="1"/>
            </wp:cNvGraphicFramePr>
            <a:graphic>
              <a:graphicData uri="http://schemas.openxmlformats.org/drawingml/2006/picture">
                <pic:pic>
                  <pic:nvPicPr>
                    <pic:cNvPr id="0" name="Fig_4_feature_correlations_with_target.png"/>
                    <pic:cNvPicPr/>
                  </pic:nvPicPr>
                  <pic:blipFill>
                    <a:blip r:embed="rId12"/>
                    <a:stretch>
                      <a:fillRect/>
                    </a:stretch>
                  </pic:blipFill>
                  <pic:spPr>
                    <a:xfrm>
                      <a:off x="0" y="0"/>
                      <a:ext cx="5029200" cy="3550024"/>
                    </a:xfrm>
                    <a:prstGeom prst="rect"/>
                  </pic:spPr>
                </pic:pic>
              </a:graphicData>
            </a:graphic>
          </wp:inline>
        </w:drawing>
      </w:r>
    </w:p>
    <w:p>
      <w:pPr>
        <w:jc w:val="center"/>
      </w:pPr>
      <w:r>
        <w:rPr>
          <w:i/>
          <w:sz w:val="18"/>
        </w:rPr>
        <w:t>Fig. 4. Pearson correlation values between the top 14 selected features and target surface soil moisture (sm_surface).</w:t>
      </w:r>
    </w:p>
    <w:p>
      <w:pPr>
        <w:pStyle w:val="Heading2"/>
      </w:pPr>
      <w:r>
        <w:t>3.4 Domain-Guided Physics Feature Engineering</w:t>
      </w:r>
    </w:p>
    <w:p>
      <w:r>
        <w:t>A major limitation of classical tabular machine learning models in remote sensing is treating geophysical variables as disconnected statistical features. To address the mid-range divergence anomaly (0.2–0.6 m³/m³) documented in Singh et al. (2025), five physics-informed interaction features were formulated based on soil hydrology and surface energy principles:</w:t>
      </w:r>
    </w:p>
    <w:p>
      <w:r>
        <w:t>1. Vertical Hydraulic Moisture Gradient Ratio (phy_moisture_ratio):</w:t>
      </w:r>
    </w:p>
    <w:p>
      <w:pPr>
        <w:jc w:val="center"/>
      </w:pPr>
      <w:r>
        <w:rPr>
          <w:i/>
        </w:rPr>
        <w:t>phy_moisture_ratio = sm_surface_wetness / (sm_rootzone_wetness + 1e-4)          (3)</w:t>
      </w:r>
    </w:p>
    <w:p>
      <w:r>
        <w:t>Governed by Darcy's Law, this ratio reflects the vertical hydraulic head difference, distinguishing between active downward gravity drainage (infiltration front) and upward capillary draw under strong evaporative demand.</w:t>
      </w:r>
    </w:p>
    <w:p>
      <w:r>
        <w:t>2. Unsaturated Soil Storage Deficit (phy_saturation_deficit):</w:t>
      </w:r>
    </w:p>
    <w:p>
      <w:pPr>
        <w:jc w:val="center"/>
      </w:pPr>
      <w:r>
        <w:rPr>
          <w:i/>
        </w:rPr>
        <w:t>phy_saturation_deficit = land_fraction_unsaturated - land_fraction_saturated          (4)</w:t>
      </w:r>
    </w:p>
    <w:p>
      <w:r>
        <w:t>Represents the net unexhausted soil pore storage capacity available before surface saturation and pooling occur.</w:t>
      </w:r>
    </w:p>
    <w:p>
      <w:r>
        <w:t>3. Subsurface Vertical Thermal Gradient (phy_thermal_gradient):</w:t>
      </w:r>
    </w:p>
    <w:p>
      <w:pPr>
        <w:jc w:val="center"/>
      </w:pPr>
      <w:r>
        <w:rPr>
          <w:i/>
        </w:rPr>
        <w:t>phy_thermal_gradient = soil_temp_layer5 - soil_temp_layer3          (5)</w:t>
      </w:r>
    </w:p>
    <w:p>
      <w:r>
        <w:t>Measures the vertical temperature differential between deep soil (60–100 cm) and rootzone (15–35 cm), serving as a proxy for subsurface thermal damping and moisture retention.</w:t>
      </w:r>
    </w:p>
    <w:p>
      <w:r>
        <w:t>4. Effective Surface Infiltration Flux (phy_effective_precipitation):</w:t>
      </w:r>
    </w:p>
    <w:p>
      <w:pPr>
        <w:jc w:val="center"/>
      </w:pPr>
      <w:r>
        <w:rPr>
          <w:i/>
        </w:rPr>
        <w:t>phy_effective_precipitation = max(0, precipitation_total_surface_flux - overland_runoff_flux)          (6)</w:t>
      </w:r>
    </w:p>
    <w:p>
      <w:r>
        <w:t>Isolates the net precipitation volume actively entering the soil matrix after overland runoff losses.</w:t>
      </w:r>
    </w:p>
    <w:p>
      <w:r>
        <w:t>5. Aerodynamically Modulated Ground Heat Convection (phy_thermal_convection):</w:t>
      </w:r>
    </w:p>
    <w:p>
      <w:pPr>
        <w:jc w:val="center"/>
      </w:pPr>
      <w:r>
        <w:rPr>
          <w:i/>
        </w:rPr>
        <w:t>phy_thermal_convection = heat_flux_ground / (windspeed_lowatmmodlay + 0.5)          (7)</w:t>
      </w:r>
    </w:p>
    <w:p>
      <w:r>
        <w:t>Captures ground heat exchange modulated by surface boundary-layer turbulent wind ventilation.</w:t>
      </w:r>
    </w:p>
    <w:p>
      <w:pPr>
        <w:pStyle w:val="Heading2"/>
      </w:pPr>
      <w:r>
        <w:t>3.5 Heterogeneous Stacking Ensemble Architecture (Super Learner)</w:t>
      </w:r>
    </w:p>
    <w:p>
      <w:r>
        <w:t>To achieve optimal bias-variance equilibrium and eradicate mid-range divergence, we engineered a two-tier Stacking Super Learner:</w:t>
      </w:r>
    </w:p>
    <w:p>
      <w:r>
        <w:t>• Level-0 Diverse Base Learners:</w:t>
      </w:r>
    </w:p>
    <w:p>
      <w:r>
        <w:t xml:space="preserve">   - GradientBoostingRegressor (120 trees, depth=3, lr=0.08) - paper baseline model.</w:t>
      </w:r>
    </w:p>
    <w:p>
      <w:r>
        <w:t xml:space="preserve">   - LightGBM Regressor (150 trees, leaf-wise splits, num_leaves=31) - rapid histogram splits capturing subtle threshold transitions.</w:t>
      </w:r>
    </w:p>
    <w:p>
      <w:r>
        <w:t xml:space="preserve">   - XGBoost Regressor (120 trees, depth=4, lr=0.08) - second-order Hessian regularization preventing overfitting.</w:t>
      </w:r>
    </w:p>
    <w:p>
      <w:r>
        <w:t xml:space="preserve">   - Tuned Random Forest (80 trees, depth=12) - variance stabilization across extreme moisture values.</w:t>
      </w:r>
    </w:p>
    <w:p>
      <w:r>
        <w:t>• Level-1 Meta-Learner: RidgeCV with cross-validated L2 penalty across 20 log-spaced alphas, trained exclusively on 5-fold Out-Of-Fold (OOF) cross-validation predictions (Fig. 6 and Fig. 7).</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_5_gbr_architecture.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18"/>
        </w:rPr>
        <w:t>Fig. 5. Gradient Boosting Regressor (GBR) sequential additive tree boosting architecture.</w:t>
      </w:r>
    </w:p>
    <w:p>
      <w:pPr>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Fig_6_gridsearchcv_kfold.png"/>
                    <pic:cNvPicPr/>
                  </pic:nvPicPr>
                  <pic:blipFill>
                    <a:blip r:embed="rId14"/>
                    <a:stretch>
                      <a:fillRect/>
                    </a:stretch>
                  </pic:blipFill>
                  <pic:spPr>
                    <a:xfrm>
                      <a:off x="0" y="0"/>
                      <a:ext cx="5029200" cy="2794000"/>
                    </a:xfrm>
                    <a:prstGeom prst="rect"/>
                  </pic:spPr>
                </pic:pic>
              </a:graphicData>
            </a:graphic>
          </wp:inline>
        </w:drawing>
      </w:r>
    </w:p>
    <w:p>
      <w:pPr>
        <w:jc w:val="center"/>
      </w:pPr>
      <w:r>
        <w:rPr>
          <w:i/>
          <w:sz w:val="18"/>
        </w:rPr>
        <w:t>Fig. 6. Five-fold cross-validation scheme utilized for systematic hyperparameter tuning via GridSearchCV.</w:t>
      </w:r>
    </w:p>
    <w:p>
      <w:pPr>
        <w:jc w:val="center"/>
      </w:pPr>
      <w:r>
        <w:drawing>
          <wp:inline xmlns:a="http://schemas.openxmlformats.org/drawingml/2006/main" xmlns:pic="http://schemas.openxmlformats.org/drawingml/2006/picture">
            <wp:extent cx="5303520" cy="3447288"/>
            <wp:docPr id="7" name="Picture 7"/>
            <wp:cNvGraphicFramePr>
              <a:graphicFrameLocks noChangeAspect="1"/>
            </wp:cNvGraphicFramePr>
            <a:graphic>
              <a:graphicData uri="http://schemas.openxmlformats.org/drawingml/2006/picture">
                <pic:pic>
                  <pic:nvPicPr>
                    <pic:cNvPr id="0" name="Fig_7_workflow_proposed_model.png"/>
                    <pic:cNvPicPr/>
                  </pic:nvPicPr>
                  <pic:blipFill>
                    <a:blip r:embed="rId15"/>
                    <a:stretch>
                      <a:fillRect/>
                    </a:stretch>
                  </pic:blipFill>
                  <pic:spPr>
                    <a:xfrm>
                      <a:off x="0" y="0"/>
                      <a:ext cx="5303520" cy="3447288"/>
                    </a:xfrm>
                    <a:prstGeom prst="rect"/>
                  </pic:spPr>
                </pic:pic>
              </a:graphicData>
            </a:graphic>
          </wp:inline>
        </w:drawing>
      </w:r>
    </w:p>
    <w:p>
      <w:pPr>
        <w:jc w:val="center"/>
      </w:pPr>
      <w:r>
        <w:rPr>
          <w:i/>
          <w:sz w:val="18"/>
        </w:rPr>
        <w:t>Fig. 7. Complete end-to-end 8-step workflow of the proposed soil moisture estimation framework.</w:t>
      </w:r>
    </w:p>
    <w:p>
      <w:pPr>
        <w:pStyle w:val="Heading1"/>
      </w:pPr>
      <w:r>
        <w:t>4. Experimental Setup &amp; Evaluation Metrics</w:t>
      </w:r>
    </w:p>
    <w:p>
      <w:r>
        <w:t>Models were trained using an 80:20 train-test split with 5-fold cross-validation. Performance was evaluated using three standard regression metrics:</w:t>
      </w:r>
    </w:p>
    <w:p>
      <w:pPr>
        <w:jc w:val="center"/>
      </w:pPr>
      <w:r>
        <w:rPr>
          <w:i/>
        </w:rPr>
        <w:t>MSE = (1 / n) * ∑_{i=1}^{n} (y_i - ŷ_i)²          (8)</w:t>
      </w:r>
    </w:p>
    <w:p>
      <w:pPr>
        <w:jc w:val="center"/>
      </w:pPr>
      <w:r>
        <w:rPr>
          <w:i/>
        </w:rPr>
        <w:t>MAE = (1 / n) * ∑_{i=1}^{n} |y_i - ŷ_i|          (9)</w:t>
      </w:r>
    </w:p>
    <w:p>
      <w:pPr>
        <w:jc w:val="center"/>
      </w:pPr>
      <w:r>
        <w:rPr>
          <w:i/>
        </w:rPr>
        <w:t>R² = 1 - [ ∑_{i=1}^{n} (y_i - ŷ_i)² / ∑_{i=1}^{n} (y_i - ȳ)² ]          (10)</w:t>
      </w:r>
    </w:p>
    <w:p>
      <w:pPr>
        <w:pStyle w:val="Heading1"/>
      </w:pPr>
      <w:r>
        <w:t>5. Results &amp; Comparative Benchmarking</w:t>
      </w:r>
    </w:p>
    <w:p>
      <w:pPr>
        <w:jc w:val="center"/>
      </w:pPr>
      <w:r>
        <w:drawing>
          <wp:inline xmlns:a="http://schemas.openxmlformats.org/drawingml/2006/main" xmlns:pic="http://schemas.openxmlformats.org/drawingml/2006/picture">
            <wp:extent cx="5029200" cy="3550024"/>
            <wp:docPr id="8" name="Picture 8"/>
            <wp:cNvGraphicFramePr>
              <a:graphicFrameLocks noChangeAspect="1"/>
            </wp:cNvGraphicFramePr>
            <a:graphic>
              <a:graphicData uri="http://schemas.openxmlformats.org/drawingml/2006/picture">
                <pic:pic>
                  <pic:nvPicPr>
                    <pic:cNvPr id="0" name="Fig_8_feature_importance_scores.png"/>
                    <pic:cNvPicPr/>
                  </pic:nvPicPr>
                  <pic:blipFill>
                    <a:blip r:embed="rId16"/>
                    <a:stretch>
                      <a:fillRect/>
                    </a:stretch>
                  </pic:blipFill>
                  <pic:spPr>
                    <a:xfrm>
                      <a:off x="0" y="0"/>
                      <a:ext cx="5029200" cy="3550024"/>
                    </a:xfrm>
                    <a:prstGeom prst="rect"/>
                  </pic:spPr>
                </pic:pic>
              </a:graphicData>
            </a:graphic>
          </wp:inline>
        </w:drawing>
      </w:r>
    </w:p>
    <w:p>
      <w:pPr>
        <w:jc w:val="center"/>
      </w:pPr>
      <w:r>
        <w:rPr>
          <w:i/>
          <w:sz w:val="18"/>
        </w:rPr>
        <w:t>Fig. 8. Feature importance ranking (Gini criterion) for the top 14 selected geophysical variables.</w:t>
      </w:r>
    </w:p>
    <w:p>
      <w:pPr>
        <w:jc w:val="center"/>
      </w:pPr>
      <w:r>
        <w:drawing>
          <wp:inline xmlns:a="http://schemas.openxmlformats.org/drawingml/2006/main" xmlns:pic="http://schemas.openxmlformats.org/drawingml/2006/picture">
            <wp:extent cx="5029200" cy="4499811"/>
            <wp:docPr id="9" name="Picture 9"/>
            <wp:cNvGraphicFramePr>
              <a:graphicFrameLocks noChangeAspect="1"/>
            </wp:cNvGraphicFramePr>
            <a:graphic>
              <a:graphicData uri="http://schemas.openxmlformats.org/drawingml/2006/picture">
                <pic:pic>
                  <pic:nvPicPr>
                    <pic:cNvPr id="0" name="Fig_9_correlation_heatmap.png"/>
                    <pic:cNvPicPr/>
                  </pic:nvPicPr>
                  <pic:blipFill>
                    <a:blip r:embed="rId17"/>
                    <a:stretch>
                      <a:fillRect/>
                    </a:stretch>
                  </pic:blipFill>
                  <pic:spPr>
                    <a:xfrm>
                      <a:off x="0" y="0"/>
                      <a:ext cx="5029200" cy="4499811"/>
                    </a:xfrm>
                    <a:prstGeom prst="rect"/>
                  </pic:spPr>
                </pic:pic>
              </a:graphicData>
            </a:graphic>
          </wp:inline>
        </w:drawing>
      </w:r>
    </w:p>
    <w:p>
      <w:pPr>
        <w:jc w:val="center"/>
      </w:pPr>
      <w:r>
        <w:rPr>
          <w:i/>
          <w:sz w:val="18"/>
        </w:rPr>
        <w:t>Fig. 9. Pearson correlation heatmap of the 14 selected geophysical predictors.</w:t>
      </w:r>
    </w:p>
    <w:p>
      <w:pPr>
        <w:pStyle w:val="Heading2"/>
      </w:pPr>
      <w:r>
        <w:t>5.1 Benchmark Comparison Across Regression Architectures</w:t>
      </w:r>
    </w:p>
    <w:p>
      <w:r>
        <w:t>Table 3 presents the comparative benchmark across Linear Regression, LassoCV, Random Forest Regressor, the original paper's GBR, and our Enhanced Stacking Ensemble evaluated on 17,145 authentic NASA SMAP observations.</w:t>
      </w:r>
    </w:p>
    <w:p>
      <w:r>
        <w:rPr>
          <w:b/>
          <w:sz w:val="19"/>
        </w:rPr>
        <w:t>Table 3. Comparative performance of regression architectures on authentic NASA SMAP unseen test data.</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F4E79"/>
            <w:tcMar>
              <w:top w:w="120" w:type="dxa"/>
              <w:bottom w:w="120" w:type="dxa"/>
              <w:left w:w="120" w:type="dxa"/>
              <w:right w:w="120" w:type="dxa"/>
            </w:tcMar>
          </w:tcPr>
          <w:p>
            <w:pPr>
              <w:jc w:val="left"/>
            </w:pPr>
            <w:r>
              <w:rPr>
                <w:rFonts w:ascii="Calibri" w:hAnsi="Calibri"/>
                <w:b/>
                <w:color w:val="FFFFFF"/>
                <w:sz w:val="19"/>
              </w:rPr>
              <w:t>Model Architecture</w:t>
            </w:r>
          </w:p>
        </w:tc>
        <w:tc>
          <w:tcPr>
            <w:tcW w:type="dxa" w:w="1872"/>
            <w:shd w:fill="1F4E79"/>
            <w:tcMar>
              <w:top w:w="120" w:type="dxa"/>
              <w:bottom w:w="120" w:type="dxa"/>
              <w:left w:w="120" w:type="dxa"/>
              <w:right w:w="120" w:type="dxa"/>
            </w:tcMar>
          </w:tcPr>
          <w:p>
            <w:pPr>
              <w:jc w:val="right"/>
            </w:pPr>
            <w:r>
              <w:rPr>
                <w:rFonts w:ascii="Calibri" w:hAnsi="Calibri"/>
                <w:b/>
                <w:color w:val="FFFFFF"/>
                <w:sz w:val="19"/>
              </w:rPr>
              <w:t>MSE (m³/m³)</w:t>
            </w:r>
          </w:p>
        </w:tc>
        <w:tc>
          <w:tcPr>
            <w:tcW w:type="dxa" w:w="1584"/>
            <w:shd w:fill="1F4E79"/>
            <w:tcMar>
              <w:top w:w="120" w:type="dxa"/>
              <w:bottom w:w="120" w:type="dxa"/>
              <w:left w:w="120" w:type="dxa"/>
              <w:right w:w="120" w:type="dxa"/>
            </w:tcMar>
          </w:tcPr>
          <w:p>
            <w:pPr>
              <w:jc w:val="right"/>
            </w:pPr>
            <w:r>
              <w:rPr>
                <w:rFonts w:ascii="Calibri" w:hAnsi="Calibri"/>
                <w:b/>
                <w:color w:val="FFFFFF"/>
                <w:sz w:val="19"/>
              </w:rPr>
              <w:t>MAE (m³/m³)</w:t>
            </w:r>
          </w:p>
        </w:tc>
        <w:tc>
          <w:tcPr>
            <w:tcW w:type="dxa" w:w="1296"/>
            <w:shd w:fill="1F4E79"/>
            <w:tcMar>
              <w:top w:w="120" w:type="dxa"/>
              <w:bottom w:w="120" w:type="dxa"/>
              <w:left w:w="120" w:type="dxa"/>
              <w:right w:w="120" w:type="dxa"/>
            </w:tcMar>
          </w:tcPr>
          <w:p>
            <w:pPr>
              <w:jc w:val="right"/>
            </w:pPr>
            <w:r>
              <w:rPr>
                <w:rFonts w:ascii="Calibri" w:hAnsi="Calibri"/>
                <w:b/>
                <w:color w:val="FFFFFF"/>
                <w:sz w:val="19"/>
              </w:rPr>
              <w:t>R² Score</w:t>
            </w:r>
          </w:p>
        </w:tc>
        <w:tc>
          <w:tcPr>
            <w:tcW w:type="dxa" w:w="1440"/>
            <w:shd w:fill="1F4E79"/>
            <w:tcMar>
              <w:top w:w="120" w:type="dxa"/>
              <w:bottom w:w="120" w:type="dxa"/>
              <w:left w:w="120" w:type="dxa"/>
              <w:right w:w="120" w:type="dxa"/>
            </w:tcMar>
          </w:tcPr>
          <w:p>
            <w:pPr>
              <w:jc w:val="right"/>
            </w:pPr>
            <w:r>
              <w:rPr>
                <w:rFonts w:ascii="Calibri" w:hAnsi="Calibri"/>
                <w:b/>
                <w:color w:val="FFFFFF"/>
                <w:sz w:val="19"/>
              </w:rPr>
              <w:t>Model Size</w:t>
            </w:r>
          </w:p>
        </w:tc>
      </w:tr>
      <w:tr>
        <w:tc>
          <w:tcPr>
            <w:tcW w:type="dxa" w:w="3168"/>
            <w:shd w:fill="FFFFFF"/>
            <w:tcMar>
              <w:top w:w="80" w:type="dxa"/>
              <w:bottom w:w="80" w:type="dxa"/>
              <w:left w:w="120" w:type="dxa"/>
              <w:right w:w="120" w:type="dxa"/>
            </w:tcMar>
          </w:tcPr>
          <w:p>
            <w:pPr>
              <w:jc w:val="left"/>
            </w:pPr>
            <w:r>
              <w:rPr>
                <w:rFonts w:ascii="Calibri" w:hAnsi="Calibri"/>
                <w:color w:val="222222"/>
                <w:sz w:val="18"/>
              </w:rPr>
              <w:t>Linear Regression (OLS)</w:t>
            </w:r>
          </w:p>
        </w:tc>
        <w:tc>
          <w:tcPr>
            <w:tcW w:type="dxa" w:w="1872"/>
            <w:shd w:fill="FFFFFF"/>
            <w:tcMar>
              <w:top w:w="80" w:type="dxa"/>
              <w:bottom w:w="80" w:type="dxa"/>
              <w:left w:w="120" w:type="dxa"/>
              <w:right w:w="120" w:type="dxa"/>
            </w:tcMar>
          </w:tcPr>
          <w:p>
            <w:pPr>
              <w:jc w:val="right"/>
            </w:pPr>
            <w:r>
              <w:rPr>
                <w:rFonts w:ascii="Calibri" w:hAnsi="Calibri"/>
                <w:color w:val="222222"/>
                <w:sz w:val="18"/>
              </w:rPr>
              <w:t>2.00458 × 10⁻⁵</w:t>
            </w:r>
          </w:p>
        </w:tc>
        <w:tc>
          <w:tcPr>
            <w:tcW w:type="dxa" w:w="1584"/>
            <w:shd w:fill="FFFFFF"/>
            <w:tcMar>
              <w:top w:w="80" w:type="dxa"/>
              <w:bottom w:w="80" w:type="dxa"/>
              <w:left w:w="120" w:type="dxa"/>
              <w:right w:w="120" w:type="dxa"/>
            </w:tcMar>
          </w:tcPr>
          <w:p>
            <w:pPr>
              <w:jc w:val="right"/>
            </w:pPr>
            <w:r>
              <w:rPr>
                <w:rFonts w:ascii="Calibri" w:hAnsi="Calibri"/>
                <w:color w:val="222222"/>
                <w:sz w:val="18"/>
              </w:rPr>
              <w:t>0.00322</w:t>
            </w:r>
          </w:p>
        </w:tc>
        <w:tc>
          <w:tcPr>
            <w:tcW w:type="dxa" w:w="1296"/>
            <w:shd w:fill="FFFFFF"/>
            <w:tcMar>
              <w:top w:w="80" w:type="dxa"/>
              <w:bottom w:w="80" w:type="dxa"/>
              <w:left w:w="120" w:type="dxa"/>
              <w:right w:w="120" w:type="dxa"/>
            </w:tcMar>
          </w:tcPr>
          <w:p>
            <w:pPr>
              <w:jc w:val="right"/>
            </w:pPr>
            <w:r>
              <w:rPr>
                <w:rFonts w:ascii="Calibri" w:hAnsi="Calibri"/>
                <w:color w:val="222222"/>
                <w:sz w:val="18"/>
              </w:rPr>
              <w:t>0.9988</w:t>
            </w:r>
          </w:p>
        </w:tc>
        <w:tc>
          <w:tcPr>
            <w:tcW w:type="dxa" w:w="1440"/>
            <w:shd w:fill="FFFFFF"/>
            <w:tcMar>
              <w:top w:w="80" w:type="dxa"/>
              <w:bottom w:w="80" w:type="dxa"/>
              <w:left w:w="120" w:type="dxa"/>
              <w:right w:w="120" w:type="dxa"/>
            </w:tcMar>
          </w:tcPr>
          <w:p>
            <w:pPr>
              <w:jc w:val="right"/>
            </w:pPr>
            <w:r>
              <w:rPr>
                <w:rFonts w:ascii="Calibri" w:hAnsi="Calibri"/>
                <w:color w:val="222222"/>
                <w:sz w:val="18"/>
              </w:rPr>
              <w:t>&lt; 1 KB</w:t>
            </w:r>
          </w:p>
        </w:tc>
      </w:tr>
      <w:tr>
        <w:tc>
          <w:tcPr>
            <w:tcW w:type="dxa" w:w="3168"/>
            <w:shd w:fill="F9FAFB"/>
            <w:tcMar>
              <w:top w:w="80" w:type="dxa"/>
              <w:bottom w:w="80" w:type="dxa"/>
              <w:left w:w="120" w:type="dxa"/>
              <w:right w:w="120" w:type="dxa"/>
            </w:tcMar>
          </w:tcPr>
          <w:p>
            <w:pPr>
              <w:jc w:val="left"/>
            </w:pPr>
            <w:r>
              <w:rPr>
                <w:rFonts w:ascii="Calibri" w:hAnsi="Calibri"/>
                <w:color w:val="222222"/>
                <w:sz w:val="18"/>
              </w:rPr>
              <w:t>Lasso Regression (LassoCV)</w:t>
            </w:r>
          </w:p>
        </w:tc>
        <w:tc>
          <w:tcPr>
            <w:tcW w:type="dxa" w:w="1872"/>
            <w:shd w:fill="F9FAFB"/>
            <w:tcMar>
              <w:top w:w="80" w:type="dxa"/>
              <w:bottom w:w="80" w:type="dxa"/>
              <w:left w:w="120" w:type="dxa"/>
              <w:right w:w="120" w:type="dxa"/>
            </w:tcMar>
          </w:tcPr>
          <w:p>
            <w:pPr>
              <w:jc w:val="right"/>
            </w:pPr>
            <w:r>
              <w:rPr>
                <w:rFonts w:ascii="Calibri" w:hAnsi="Calibri"/>
                <w:color w:val="222222"/>
                <w:sz w:val="18"/>
              </w:rPr>
              <w:t>1.21498 × 10⁻³</w:t>
            </w:r>
          </w:p>
        </w:tc>
        <w:tc>
          <w:tcPr>
            <w:tcW w:type="dxa" w:w="1584"/>
            <w:shd w:fill="F9FAFB"/>
            <w:tcMar>
              <w:top w:w="80" w:type="dxa"/>
              <w:bottom w:w="80" w:type="dxa"/>
              <w:left w:w="120" w:type="dxa"/>
              <w:right w:w="120" w:type="dxa"/>
            </w:tcMar>
          </w:tcPr>
          <w:p>
            <w:pPr>
              <w:jc w:val="right"/>
            </w:pPr>
            <w:r>
              <w:rPr>
                <w:rFonts w:ascii="Calibri" w:hAnsi="Calibri"/>
                <w:color w:val="222222"/>
                <w:sz w:val="18"/>
              </w:rPr>
              <w:t>0.02561</w:t>
            </w:r>
          </w:p>
        </w:tc>
        <w:tc>
          <w:tcPr>
            <w:tcW w:type="dxa" w:w="1296"/>
            <w:shd w:fill="F9FAFB"/>
            <w:tcMar>
              <w:top w:w="80" w:type="dxa"/>
              <w:bottom w:w="80" w:type="dxa"/>
              <w:left w:w="120" w:type="dxa"/>
              <w:right w:w="120" w:type="dxa"/>
            </w:tcMar>
          </w:tcPr>
          <w:p>
            <w:pPr>
              <w:jc w:val="right"/>
            </w:pPr>
            <w:r>
              <w:rPr>
                <w:rFonts w:ascii="Calibri" w:hAnsi="Calibri"/>
                <w:color w:val="222222"/>
                <w:sz w:val="18"/>
              </w:rPr>
              <w:t>0.9293</w:t>
            </w:r>
          </w:p>
        </w:tc>
        <w:tc>
          <w:tcPr>
            <w:tcW w:type="dxa" w:w="1440"/>
            <w:shd w:fill="F9FAFB"/>
            <w:tcMar>
              <w:top w:w="80" w:type="dxa"/>
              <w:bottom w:w="80" w:type="dxa"/>
              <w:left w:w="120" w:type="dxa"/>
              <w:right w:w="120" w:type="dxa"/>
            </w:tcMar>
          </w:tcPr>
          <w:p>
            <w:pPr>
              <w:jc w:val="right"/>
            </w:pPr>
            <w:r>
              <w:rPr>
                <w:rFonts w:ascii="Calibri" w:hAnsi="Calibri"/>
                <w:color w:val="222222"/>
                <w:sz w:val="18"/>
              </w:rPr>
              <w:t>5.6 KB</w:t>
            </w:r>
          </w:p>
        </w:tc>
      </w:tr>
      <w:tr>
        <w:tc>
          <w:tcPr>
            <w:tcW w:type="dxa" w:w="3168"/>
            <w:shd w:fill="FFFFFF"/>
            <w:tcMar>
              <w:top w:w="80" w:type="dxa"/>
              <w:bottom w:w="80" w:type="dxa"/>
              <w:left w:w="120" w:type="dxa"/>
              <w:right w:w="120" w:type="dxa"/>
            </w:tcMar>
          </w:tcPr>
          <w:p>
            <w:pPr>
              <w:jc w:val="left"/>
            </w:pPr>
            <w:r>
              <w:rPr>
                <w:rFonts w:ascii="Calibri" w:hAnsi="Calibri"/>
                <w:color w:val="222222"/>
                <w:sz w:val="18"/>
              </w:rPr>
              <w:t>Random Forest Regressor (Paper)</w:t>
            </w:r>
          </w:p>
        </w:tc>
        <w:tc>
          <w:tcPr>
            <w:tcW w:type="dxa" w:w="1872"/>
            <w:shd w:fill="FFFFFF"/>
            <w:tcMar>
              <w:top w:w="80" w:type="dxa"/>
              <w:bottom w:w="80" w:type="dxa"/>
              <w:left w:w="120" w:type="dxa"/>
              <w:right w:w="120" w:type="dxa"/>
            </w:tcMar>
          </w:tcPr>
          <w:p>
            <w:pPr>
              <w:jc w:val="right"/>
            </w:pPr>
            <w:r>
              <w:rPr>
                <w:rFonts w:ascii="Calibri" w:hAnsi="Calibri"/>
                <w:color w:val="222222"/>
                <w:sz w:val="18"/>
              </w:rPr>
              <w:t>8.32912 × 10⁻⁶</w:t>
            </w:r>
          </w:p>
        </w:tc>
        <w:tc>
          <w:tcPr>
            <w:tcW w:type="dxa" w:w="1584"/>
            <w:shd w:fill="FFFFFF"/>
            <w:tcMar>
              <w:top w:w="80" w:type="dxa"/>
              <w:bottom w:w="80" w:type="dxa"/>
              <w:left w:w="120" w:type="dxa"/>
              <w:right w:w="120" w:type="dxa"/>
            </w:tcMar>
          </w:tcPr>
          <w:p>
            <w:pPr>
              <w:jc w:val="right"/>
            </w:pPr>
            <w:r>
              <w:rPr>
                <w:rFonts w:ascii="Calibri" w:hAnsi="Calibri"/>
                <w:color w:val="222222"/>
                <w:sz w:val="18"/>
              </w:rPr>
              <w:t>0.00130</w:t>
            </w:r>
          </w:p>
        </w:tc>
        <w:tc>
          <w:tcPr>
            <w:tcW w:type="dxa" w:w="1296"/>
            <w:shd w:fill="FFFFFF"/>
            <w:tcMar>
              <w:top w:w="80" w:type="dxa"/>
              <w:bottom w:w="80" w:type="dxa"/>
              <w:left w:w="120" w:type="dxa"/>
              <w:right w:w="120" w:type="dxa"/>
            </w:tcMar>
          </w:tcPr>
          <w:p>
            <w:pPr>
              <w:jc w:val="right"/>
            </w:pPr>
            <w:r>
              <w:rPr>
                <w:rFonts w:ascii="Calibri" w:hAnsi="Calibri"/>
                <w:color w:val="222222"/>
                <w:sz w:val="18"/>
              </w:rPr>
              <w:t>0.9995</w:t>
            </w:r>
          </w:p>
        </w:tc>
        <w:tc>
          <w:tcPr>
            <w:tcW w:type="dxa" w:w="1440"/>
            <w:shd w:fill="FFFFFF"/>
            <w:tcMar>
              <w:top w:w="80" w:type="dxa"/>
              <w:bottom w:w="80" w:type="dxa"/>
              <w:left w:w="120" w:type="dxa"/>
              <w:right w:w="120" w:type="dxa"/>
            </w:tcMar>
          </w:tcPr>
          <w:p>
            <w:pPr>
              <w:jc w:val="right"/>
            </w:pPr>
            <w:r>
              <w:rPr>
                <w:rFonts w:ascii="Calibri" w:hAnsi="Calibri"/>
                <w:color w:val="222222"/>
                <w:sz w:val="18"/>
              </w:rPr>
              <w:t>28.1 MB</w:t>
            </w:r>
          </w:p>
        </w:tc>
      </w:tr>
      <w:tr>
        <w:tc>
          <w:tcPr>
            <w:tcW w:type="dxa" w:w="3168"/>
            <w:shd w:fill="F9FAFB"/>
            <w:tcMar>
              <w:top w:w="80" w:type="dxa"/>
              <w:bottom w:w="80" w:type="dxa"/>
              <w:left w:w="120" w:type="dxa"/>
              <w:right w:w="120" w:type="dxa"/>
            </w:tcMar>
          </w:tcPr>
          <w:p>
            <w:pPr>
              <w:jc w:val="left"/>
            </w:pPr>
            <w:r>
              <w:rPr>
                <w:rFonts w:ascii="Calibri" w:hAnsi="Calibri"/>
                <w:color w:val="222222"/>
                <w:sz w:val="18"/>
              </w:rPr>
              <w:t>Gradient Boosting Regressor (Paper Baseline)</w:t>
            </w:r>
          </w:p>
        </w:tc>
        <w:tc>
          <w:tcPr>
            <w:tcW w:type="dxa" w:w="1872"/>
            <w:shd w:fill="F9FAFB"/>
            <w:tcMar>
              <w:top w:w="80" w:type="dxa"/>
              <w:bottom w:w="80" w:type="dxa"/>
              <w:left w:w="120" w:type="dxa"/>
              <w:right w:w="120" w:type="dxa"/>
            </w:tcMar>
          </w:tcPr>
          <w:p>
            <w:pPr>
              <w:jc w:val="right"/>
            </w:pPr>
            <w:r>
              <w:rPr>
                <w:rFonts w:ascii="Calibri" w:hAnsi="Calibri"/>
                <w:color w:val="222222"/>
                <w:sz w:val="18"/>
              </w:rPr>
              <w:t>2.03237 × 10⁻⁵</w:t>
            </w:r>
          </w:p>
        </w:tc>
        <w:tc>
          <w:tcPr>
            <w:tcW w:type="dxa" w:w="1584"/>
            <w:shd w:fill="F9FAFB"/>
            <w:tcMar>
              <w:top w:w="80" w:type="dxa"/>
              <w:bottom w:w="80" w:type="dxa"/>
              <w:left w:w="120" w:type="dxa"/>
              <w:right w:w="120" w:type="dxa"/>
            </w:tcMar>
          </w:tcPr>
          <w:p>
            <w:pPr>
              <w:jc w:val="right"/>
            </w:pPr>
            <w:r>
              <w:rPr>
                <w:rFonts w:ascii="Calibri" w:hAnsi="Calibri"/>
                <w:color w:val="222222"/>
                <w:sz w:val="18"/>
              </w:rPr>
              <w:t>0.00303</w:t>
            </w:r>
          </w:p>
        </w:tc>
        <w:tc>
          <w:tcPr>
            <w:tcW w:type="dxa" w:w="1296"/>
            <w:shd w:fill="F9FAFB"/>
            <w:tcMar>
              <w:top w:w="80" w:type="dxa"/>
              <w:bottom w:w="80" w:type="dxa"/>
              <w:left w:w="120" w:type="dxa"/>
              <w:right w:w="120" w:type="dxa"/>
            </w:tcMar>
          </w:tcPr>
          <w:p>
            <w:pPr>
              <w:jc w:val="right"/>
            </w:pPr>
            <w:r>
              <w:rPr>
                <w:rFonts w:ascii="Calibri" w:hAnsi="Calibri"/>
                <w:color w:val="222222"/>
                <w:sz w:val="18"/>
              </w:rPr>
              <w:t>0.9988</w:t>
            </w:r>
          </w:p>
        </w:tc>
        <w:tc>
          <w:tcPr>
            <w:tcW w:type="dxa" w:w="1440"/>
            <w:shd w:fill="F9FAFB"/>
            <w:tcMar>
              <w:top w:w="80" w:type="dxa"/>
              <w:bottom w:w="80" w:type="dxa"/>
              <w:left w:w="120" w:type="dxa"/>
              <w:right w:w="120" w:type="dxa"/>
            </w:tcMar>
          </w:tcPr>
          <w:p>
            <w:pPr>
              <w:jc w:val="right"/>
            </w:pPr>
            <w:r>
              <w:rPr>
                <w:rFonts w:ascii="Calibri" w:hAnsi="Calibri"/>
                <w:color w:val="222222"/>
                <w:sz w:val="18"/>
              </w:rPr>
              <w:t>47.0 KB</w:t>
            </w:r>
          </w:p>
        </w:tc>
      </w:tr>
      <w:tr>
        <w:tc>
          <w:tcPr>
            <w:tcW w:type="dxa" w:w="3168"/>
            <w:shd w:fill="FFFFFF"/>
            <w:tcMar>
              <w:top w:w="80" w:type="dxa"/>
              <w:bottom w:w="80" w:type="dxa"/>
              <w:left w:w="120" w:type="dxa"/>
              <w:right w:w="120" w:type="dxa"/>
            </w:tcMar>
          </w:tcPr>
          <w:p>
            <w:pPr>
              <w:jc w:val="left"/>
            </w:pPr>
            <w:r>
              <w:rPr>
                <w:rFonts w:ascii="Calibri" w:hAnsi="Calibri"/>
                <w:color w:val="222222"/>
                <w:sz w:val="18"/>
              </w:rPr>
              <w:t>Enhanced Stacking Super Learner (Ours)</w:t>
            </w:r>
          </w:p>
        </w:tc>
        <w:tc>
          <w:tcPr>
            <w:tcW w:type="dxa" w:w="1872"/>
            <w:shd w:fill="FFFFFF"/>
            <w:tcMar>
              <w:top w:w="80" w:type="dxa"/>
              <w:bottom w:w="80" w:type="dxa"/>
              <w:left w:w="120" w:type="dxa"/>
              <w:right w:w="120" w:type="dxa"/>
            </w:tcMar>
          </w:tcPr>
          <w:p>
            <w:pPr>
              <w:jc w:val="right"/>
            </w:pPr>
            <w:r>
              <w:rPr>
                <w:rFonts w:ascii="Calibri" w:hAnsi="Calibri"/>
                <w:color w:val="222222"/>
                <w:sz w:val="18"/>
              </w:rPr>
              <w:t>4.49845 × 10⁻⁶</w:t>
            </w:r>
          </w:p>
        </w:tc>
        <w:tc>
          <w:tcPr>
            <w:tcW w:type="dxa" w:w="1584"/>
            <w:shd w:fill="FFFFFF"/>
            <w:tcMar>
              <w:top w:w="80" w:type="dxa"/>
              <w:bottom w:w="80" w:type="dxa"/>
              <w:left w:w="120" w:type="dxa"/>
              <w:right w:w="120" w:type="dxa"/>
            </w:tcMar>
          </w:tcPr>
          <w:p>
            <w:pPr>
              <w:jc w:val="right"/>
            </w:pPr>
            <w:r>
              <w:rPr>
                <w:rFonts w:ascii="Calibri" w:hAnsi="Calibri"/>
                <w:color w:val="222222"/>
                <w:sz w:val="18"/>
              </w:rPr>
              <w:t>0.00131</w:t>
            </w:r>
          </w:p>
        </w:tc>
        <w:tc>
          <w:tcPr>
            <w:tcW w:type="dxa" w:w="1296"/>
            <w:shd w:fill="FFFFFF"/>
            <w:tcMar>
              <w:top w:w="80" w:type="dxa"/>
              <w:bottom w:w="80" w:type="dxa"/>
              <w:left w:w="120" w:type="dxa"/>
              <w:right w:w="120" w:type="dxa"/>
            </w:tcMar>
          </w:tcPr>
          <w:p>
            <w:pPr>
              <w:jc w:val="right"/>
            </w:pPr>
            <w:r>
              <w:rPr>
                <w:rFonts w:ascii="Calibri" w:hAnsi="Calibri"/>
                <w:color w:val="222222"/>
                <w:sz w:val="18"/>
              </w:rPr>
              <w:t>0.9997</w:t>
            </w:r>
          </w:p>
        </w:tc>
        <w:tc>
          <w:tcPr>
            <w:tcW w:type="dxa" w:w="1440"/>
            <w:shd w:fill="FFFFFF"/>
            <w:tcMar>
              <w:top w:w="80" w:type="dxa"/>
              <w:bottom w:w="80" w:type="dxa"/>
              <w:left w:w="120" w:type="dxa"/>
              <w:right w:w="120" w:type="dxa"/>
            </w:tcMar>
          </w:tcPr>
          <w:p>
            <w:pPr>
              <w:jc w:val="right"/>
            </w:pPr>
            <w:r>
              <w:rPr>
                <w:rFonts w:ascii="Calibri" w:hAnsi="Calibri"/>
                <w:color w:val="222222"/>
                <w:sz w:val="18"/>
              </w:rPr>
              <w:t>7.3 MB</w:t>
            </w:r>
          </w:p>
        </w:tc>
      </w:tr>
    </w:tbl>
    <w:p>
      <w:pPr>
        <w:spacing w:after="160"/>
      </w:pPr>
    </w:p>
    <w:p>
      <w:pPr>
        <w:pStyle w:val="Heading2"/>
      </w:pPr>
      <w:r>
        <w:t>5.2 Station-by-Station Accuracy Enhancement &amp; Anomaly Mitigation</w:t>
      </w:r>
    </w:p>
    <w:p>
      <w:r>
        <w:t>Table 4 provides the station-by-station performance breakdown across all seven Gujarat monitoring regions. In every single region, our Enhanced Stacking Ensemble delivers dramatic error reductions ranging from +74.4% to +87.2% over the paper's baseline GBR.</w:t>
      </w:r>
    </w:p>
    <w:p>
      <w:r>
        <w:rPr>
          <w:b/>
          <w:sz w:val="19"/>
        </w:rPr>
        <w:t>Table 4. Station-by-station performance comparison between Paper GBR and Enhanced Stacking Super Learner.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F4E79"/>
            <w:tcMar>
              <w:top w:w="120" w:type="dxa"/>
              <w:bottom w:w="120" w:type="dxa"/>
              <w:left w:w="120" w:type="dxa"/>
              <w:right w:w="120" w:type="dxa"/>
            </w:tcMar>
          </w:tcPr>
          <w:p>
            <w:pPr>
              <w:jc w:val="left"/>
            </w:pPr>
            <w:r>
              <w:rPr>
                <w:rFonts w:ascii="Calibri" w:hAnsi="Calibri"/>
                <w:b/>
                <w:color w:val="FFFFFF"/>
                <w:sz w:val="19"/>
              </w:rPr>
              <w:t>Study Station</w:t>
            </w:r>
          </w:p>
        </w:tc>
        <w:tc>
          <w:tcPr>
            <w:tcW w:type="dxa" w:w="1728"/>
            <w:shd w:fill="1F4E79"/>
            <w:tcMar>
              <w:top w:w="120" w:type="dxa"/>
              <w:bottom w:w="120" w:type="dxa"/>
              <w:left w:w="120" w:type="dxa"/>
              <w:right w:w="120" w:type="dxa"/>
            </w:tcMar>
          </w:tcPr>
          <w:p>
            <w:pPr>
              <w:jc w:val="right"/>
            </w:pPr>
            <w:r>
              <w:rPr>
                <w:rFonts w:ascii="Calibri" w:hAnsi="Calibri"/>
                <w:b/>
                <w:color w:val="FFFFFF"/>
                <w:sz w:val="19"/>
              </w:rPr>
              <w:t>Paper GBR MSE</w:t>
            </w:r>
          </w:p>
        </w:tc>
        <w:tc>
          <w:tcPr>
            <w:tcW w:type="dxa" w:w="1440"/>
            <w:shd w:fill="1F4E79"/>
            <w:tcMar>
              <w:top w:w="120" w:type="dxa"/>
              <w:bottom w:w="120" w:type="dxa"/>
              <w:left w:w="120" w:type="dxa"/>
              <w:right w:w="120" w:type="dxa"/>
            </w:tcMar>
          </w:tcPr>
          <w:p>
            <w:pPr>
              <w:jc w:val="right"/>
            </w:pPr>
            <w:r>
              <w:rPr>
                <w:rFonts w:ascii="Calibri" w:hAnsi="Calibri"/>
                <w:b/>
                <w:color w:val="FFFFFF"/>
                <w:sz w:val="19"/>
              </w:rPr>
              <w:t>Paper GBR R²</w:t>
            </w:r>
          </w:p>
        </w:tc>
        <w:tc>
          <w:tcPr>
            <w:tcW w:type="dxa" w:w="1728"/>
            <w:shd w:fill="1F4E79"/>
            <w:tcMar>
              <w:top w:w="120" w:type="dxa"/>
              <w:bottom w:w="120" w:type="dxa"/>
              <w:left w:w="120" w:type="dxa"/>
              <w:right w:w="120" w:type="dxa"/>
            </w:tcMar>
          </w:tcPr>
          <w:p>
            <w:pPr>
              <w:jc w:val="right"/>
            </w:pPr>
            <w:r>
              <w:rPr>
                <w:rFonts w:ascii="Calibri" w:hAnsi="Calibri"/>
                <w:b/>
                <w:color w:val="FFFFFF"/>
                <w:sz w:val="19"/>
              </w:rPr>
              <w:t>Enhanced MSE</w:t>
            </w:r>
          </w:p>
        </w:tc>
        <w:tc>
          <w:tcPr>
            <w:tcW w:type="dxa" w:w="1440"/>
            <w:shd w:fill="1F4E79"/>
            <w:tcMar>
              <w:top w:w="120" w:type="dxa"/>
              <w:bottom w:w="120" w:type="dxa"/>
              <w:left w:w="120" w:type="dxa"/>
              <w:right w:w="120" w:type="dxa"/>
            </w:tcMar>
          </w:tcPr>
          <w:p>
            <w:pPr>
              <w:jc w:val="right"/>
            </w:pPr>
            <w:r>
              <w:rPr>
                <w:rFonts w:ascii="Calibri" w:hAnsi="Calibri"/>
                <w:b/>
                <w:color w:val="FFFFFF"/>
                <w:sz w:val="19"/>
              </w:rPr>
              <w:t>Enhanced R²</w:t>
            </w:r>
          </w:p>
        </w:tc>
        <w:tc>
          <w:tcPr>
            <w:tcW w:type="dxa" w:w="1152"/>
            <w:shd w:fill="1F4E79"/>
            <w:tcMar>
              <w:top w:w="120" w:type="dxa"/>
              <w:bottom w:w="120" w:type="dxa"/>
              <w:left w:w="120" w:type="dxa"/>
              <w:right w:w="120" w:type="dxa"/>
            </w:tcMar>
          </w:tcPr>
          <w:p>
            <w:pPr>
              <w:jc w:val="right"/>
            </w:pPr>
            <w:r>
              <w:rPr>
                <w:rFonts w:ascii="Calibri" w:hAnsi="Calibri"/>
                <w:b/>
                <w:color w:val="FFFFFF"/>
                <w:sz w:val="19"/>
              </w:rPr>
              <w:t>MSE Gain</w:t>
            </w:r>
          </w:p>
        </w:tc>
      </w:tr>
      <w:tr>
        <w:tc>
          <w:tcPr>
            <w:tcW w:type="dxa" w:w="1872"/>
            <w:shd w:fill="FFFFFF"/>
            <w:tcMar>
              <w:top w:w="80" w:type="dxa"/>
              <w:bottom w:w="80" w:type="dxa"/>
              <w:left w:w="120" w:type="dxa"/>
              <w:right w:w="120" w:type="dxa"/>
            </w:tcMar>
          </w:tcPr>
          <w:p>
            <w:pPr>
              <w:jc w:val="left"/>
            </w:pPr>
            <w:r>
              <w:rPr>
                <w:rFonts w:ascii="Calibri" w:hAnsi="Calibri"/>
                <w:color w:val="222222"/>
                <w:sz w:val="18"/>
              </w:rPr>
              <w:t>Bhuj</w:t>
            </w:r>
          </w:p>
        </w:tc>
        <w:tc>
          <w:tcPr>
            <w:tcW w:type="dxa" w:w="1728"/>
            <w:shd w:fill="FFFFFF"/>
            <w:tcMar>
              <w:top w:w="80" w:type="dxa"/>
              <w:bottom w:w="80" w:type="dxa"/>
              <w:left w:w="120" w:type="dxa"/>
              <w:right w:w="120" w:type="dxa"/>
            </w:tcMar>
          </w:tcPr>
          <w:p>
            <w:pPr>
              <w:jc w:val="right"/>
            </w:pPr>
            <w:r>
              <w:rPr>
                <w:rFonts w:ascii="Calibri" w:hAnsi="Calibri"/>
                <w:color w:val="222222"/>
                <w:sz w:val="18"/>
              </w:rPr>
              <w:t>1.25686 × 10⁻⁵</w:t>
            </w:r>
          </w:p>
        </w:tc>
        <w:tc>
          <w:tcPr>
            <w:tcW w:type="dxa" w:w="1440"/>
            <w:shd w:fill="FFFFFF"/>
            <w:tcMar>
              <w:top w:w="80" w:type="dxa"/>
              <w:bottom w:w="80" w:type="dxa"/>
              <w:left w:w="120" w:type="dxa"/>
              <w:right w:w="120" w:type="dxa"/>
            </w:tcMar>
          </w:tcPr>
          <w:p>
            <w:pPr>
              <w:jc w:val="right"/>
            </w:pPr>
            <w:r>
              <w:rPr>
                <w:rFonts w:ascii="Calibri" w:hAnsi="Calibri"/>
                <w:color w:val="222222"/>
                <w:sz w:val="18"/>
              </w:rPr>
              <w:t>0.9982</w:t>
            </w:r>
          </w:p>
        </w:tc>
        <w:tc>
          <w:tcPr>
            <w:tcW w:type="dxa" w:w="1728"/>
            <w:shd w:fill="FFFFFF"/>
            <w:tcMar>
              <w:top w:w="80" w:type="dxa"/>
              <w:bottom w:w="80" w:type="dxa"/>
              <w:left w:w="120" w:type="dxa"/>
              <w:right w:w="120" w:type="dxa"/>
            </w:tcMar>
          </w:tcPr>
          <w:p>
            <w:pPr>
              <w:jc w:val="right"/>
            </w:pPr>
            <w:r>
              <w:rPr>
                <w:rFonts w:ascii="Calibri" w:hAnsi="Calibri"/>
                <w:color w:val="222222"/>
                <w:sz w:val="18"/>
              </w:rPr>
              <w:t>3.10173 × 10⁻⁶</w:t>
            </w:r>
          </w:p>
        </w:tc>
        <w:tc>
          <w:tcPr>
            <w:tcW w:type="dxa" w:w="1440"/>
            <w:shd w:fill="FFFFFF"/>
            <w:tcMar>
              <w:top w:w="80" w:type="dxa"/>
              <w:bottom w:w="80" w:type="dxa"/>
              <w:left w:w="120" w:type="dxa"/>
              <w:right w:w="120" w:type="dxa"/>
            </w:tcMar>
          </w:tcPr>
          <w:p>
            <w:pPr>
              <w:jc w:val="right"/>
            </w:pPr>
            <w:r>
              <w:rPr>
                <w:rFonts w:ascii="Calibri" w:hAnsi="Calibri"/>
                <w:color w:val="222222"/>
                <w:sz w:val="18"/>
              </w:rPr>
              <w:t>0.9996</w:t>
            </w:r>
          </w:p>
        </w:tc>
        <w:tc>
          <w:tcPr>
            <w:tcW w:type="dxa" w:w="1152"/>
            <w:shd w:fill="FFFFFF"/>
            <w:tcMar>
              <w:top w:w="80" w:type="dxa"/>
              <w:bottom w:w="80" w:type="dxa"/>
              <w:left w:w="120" w:type="dxa"/>
              <w:right w:w="120" w:type="dxa"/>
            </w:tcMar>
          </w:tcPr>
          <w:p>
            <w:pPr>
              <w:jc w:val="right"/>
            </w:pPr>
            <w:r>
              <w:rPr>
                <w:rFonts w:ascii="Calibri" w:hAnsi="Calibri"/>
                <w:color w:val="222222"/>
                <w:sz w:val="18"/>
              </w:rPr>
              <w:t>+75.3%</w:t>
            </w:r>
          </w:p>
        </w:tc>
      </w:tr>
      <w:tr>
        <w:tc>
          <w:tcPr>
            <w:tcW w:type="dxa" w:w="1872"/>
            <w:shd w:fill="F9FAFB"/>
            <w:tcMar>
              <w:top w:w="80" w:type="dxa"/>
              <w:bottom w:w="80" w:type="dxa"/>
              <w:left w:w="120" w:type="dxa"/>
              <w:right w:w="120" w:type="dxa"/>
            </w:tcMar>
          </w:tcPr>
          <w:p>
            <w:pPr>
              <w:jc w:val="left"/>
            </w:pPr>
            <w:r>
              <w:rPr>
                <w:rFonts w:ascii="Calibri" w:hAnsi="Calibri"/>
                <w:color w:val="222222"/>
                <w:sz w:val="18"/>
              </w:rPr>
              <w:t>Palanpur</w:t>
            </w:r>
          </w:p>
        </w:tc>
        <w:tc>
          <w:tcPr>
            <w:tcW w:type="dxa" w:w="1728"/>
            <w:shd w:fill="F9FAFB"/>
            <w:tcMar>
              <w:top w:w="80" w:type="dxa"/>
              <w:bottom w:w="80" w:type="dxa"/>
              <w:left w:w="120" w:type="dxa"/>
              <w:right w:w="120" w:type="dxa"/>
            </w:tcMar>
          </w:tcPr>
          <w:p>
            <w:pPr>
              <w:jc w:val="right"/>
            </w:pPr>
            <w:r>
              <w:rPr>
                <w:rFonts w:ascii="Calibri" w:hAnsi="Calibri"/>
                <w:color w:val="222222"/>
                <w:sz w:val="18"/>
              </w:rPr>
              <w:t>9.80113 × 10⁻⁶</w:t>
            </w:r>
          </w:p>
        </w:tc>
        <w:tc>
          <w:tcPr>
            <w:tcW w:type="dxa" w:w="1440"/>
            <w:shd w:fill="F9FAFB"/>
            <w:tcMar>
              <w:top w:w="80" w:type="dxa"/>
              <w:bottom w:w="80" w:type="dxa"/>
              <w:left w:w="120" w:type="dxa"/>
              <w:right w:w="120" w:type="dxa"/>
            </w:tcMar>
          </w:tcPr>
          <w:p>
            <w:pPr>
              <w:jc w:val="right"/>
            </w:pPr>
            <w:r>
              <w:rPr>
                <w:rFonts w:ascii="Calibri" w:hAnsi="Calibri"/>
                <w:color w:val="222222"/>
                <w:sz w:val="18"/>
              </w:rPr>
              <w:t>0.9990</w:t>
            </w:r>
          </w:p>
        </w:tc>
        <w:tc>
          <w:tcPr>
            <w:tcW w:type="dxa" w:w="1728"/>
            <w:shd w:fill="F9FAFB"/>
            <w:tcMar>
              <w:top w:w="80" w:type="dxa"/>
              <w:bottom w:w="80" w:type="dxa"/>
              <w:left w:w="120" w:type="dxa"/>
              <w:right w:w="120" w:type="dxa"/>
            </w:tcMar>
          </w:tcPr>
          <w:p>
            <w:pPr>
              <w:jc w:val="right"/>
            </w:pPr>
            <w:r>
              <w:rPr>
                <w:rFonts w:ascii="Calibri" w:hAnsi="Calibri"/>
                <w:color w:val="222222"/>
                <w:sz w:val="18"/>
              </w:rPr>
              <w:t>2.51294 × 10⁻⁶</w:t>
            </w:r>
          </w:p>
        </w:tc>
        <w:tc>
          <w:tcPr>
            <w:tcW w:type="dxa" w:w="1440"/>
            <w:shd w:fill="F9FAFB"/>
            <w:tcMar>
              <w:top w:w="80" w:type="dxa"/>
              <w:bottom w:w="80" w:type="dxa"/>
              <w:left w:w="120" w:type="dxa"/>
              <w:right w:w="120" w:type="dxa"/>
            </w:tcMar>
          </w:tcPr>
          <w:p>
            <w:pPr>
              <w:jc w:val="right"/>
            </w:pPr>
            <w:r>
              <w:rPr>
                <w:rFonts w:ascii="Calibri" w:hAnsi="Calibri"/>
                <w:color w:val="222222"/>
                <w:sz w:val="18"/>
              </w:rPr>
              <w:t>0.9997</w:t>
            </w:r>
          </w:p>
        </w:tc>
        <w:tc>
          <w:tcPr>
            <w:tcW w:type="dxa" w:w="1152"/>
            <w:shd w:fill="F9FAFB"/>
            <w:tcMar>
              <w:top w:w="80" w:type="dxa"/>
              <w:bottom w:w="80" w:type="dxa"/>
              <w:left w:w="120" w:type="dxa"/>
              <w:right w:w="120" w:type="dxa"/>
            </w:tcMar>
          </w:tcPr>
          <w:p>
            <w:pPr>
              <w:jc w:val="right"/>
            </w:pPr>
            <w:r>
              <w:rPr>
                <w:rFonts w:ascii="Calibri" w:hAnsi="Calibri"/>
                <w:color w:val="222222"/>
                <w:sz w:val="18"/>
              </w:rPr>
              <w:t>+74.4%</w:t>
            </w:r>
          </w:p>
        </w:tc>
      </w:tr>
      <w:tr>
        <w:tc>
          <w:tcPr>
            <w:tcW w:type="dxa" w:w="1872"/>
            <w:shd w:fill="FFFFFF"/>
            <w:tcMar>
              <w:top w:w="80" w:type="dxa"/>
              <w:bottom w:w="80" w:type="dxa"/>
              <w:left w:w="120" w:type="dxa"/>
              <w:right w:w="120" w:type="dxa"/>
            </w:tcMar>
          </w:tcPr>
          <w:p>
            <w:pPr>
              <w:jc w:val="left"/>
            </w:pPr>
            <w:r>
              <w:rPr>
                <w:rFonts w:ascii="Calibri" w:hAnsi="Calibri"/>
                <w:color w:val="222222"/>
                <w:sz w:val="18"/>
              </w:rPr>
              <w:t>Idar</w:t>
            </w:r>
          </w:p>
        </w:tc>
        <w:tc>
          <w:tcPr>
            <w:tcW w:type="dxa" w:w="1728"/>
            <w:shd w:fill="FFFFFF"/>
            <w:tcMar>
              <w:top w:w="80" w:type="dxa"/>
              <w:bottom w:w="80" w:type="dxa"/>
              <w:left w:w="120" w:type="dxa"/>
              <w:right w:w="120" w:type="dxa"/>
            </w:tcMar>
          </w:tcPr>
          <w:p>
            <w:pPr>
              <w:jc w:val="right"/>
            </w:pPr>
            <w:r>
              <w:rPr>
                <w:rFonts w:ascii="Calibri" w:hAnsi="Calibri"/>
                <w:color w:val="222222"/>
                <w:sz w:val="18"/>
              </w:rPr>
              <w:t>2.02637 × 10⁻⁵</w:t>
            </w:r>
          </w:p>
        </w:tc>
        <w:tc>
          <w:tcPr>
            <w:tcW w:type="dxa" w:w="1440"/>
            <w:shd w:fill="FFFFFF"/>
            <w:tcMar>
              <w:top w:w="80" w:type="dxa"/>
              <w:bottom w:w="80" w:type="dxa"/>
              <w:left w:w="120" w:type="dxa"/>
              <w:right w:w="120" w:type="dxa"/>
            </w:tcMar>
          </w:tcPr>
          <w:p>
            <w:pPr>
              <w:jc w:val="right"/>
            </w:pPr>
            <w:r>
              <w:rPr>
                <w:rFonts w:ascii="Calibri" w:hAnsi="Calibri"/>
                <w:color w:val="222222"/>
                <w:sz w:val="18"/>
              </w:rPr>
              <w:t>0.9984</w:t>
            </w:r>
          </w:p>
        </w:tc>
        <w:tc>
          <w:tcPr>
            <w:tcW w:type="dxa" w:w="1728"/>
            <w:shd w:fill="FFFFFF"/>
            <w:tcMar>
              <w:top w:w="80" w:type="dxa"/>
              <w:bottom w:w="80" w:type="dxa"/>
              <w:left w:w="120" w:type="dxa"/>
              <w:right w:w="120" w:type="dxa"/>
            </w:tcMar>
          </w:tcPr>
          <w:p>
            <w:pPr>
              <w:jc w:val="right"/>
            </w:pPr>
            <w:r>
              <w:rPr>
                <w:rFonts w:ascii="Calibri" w:hAnsi="Calibri"/>
                <w:color w:val="222222"/>
                <w:sz w:val="18"/>
              </w:rPr>
              <w:t>4.55976 × 10⁻⁶</w:t>
            </w:r>
          </w:p>
        </w:tc>
        <w:tc>
          <w:tcPr>
            <w:tcW w:type="dxa" w:w="1440"/>
            <w:shd w:fill="FFFFFF"/>
            <w:tcMar>
              <w:top w:w="80" w:type="dxa"/>
              <w:bottom w:w="80" w:type="dxa"/>
              <w:left w:w="120" w:type="dxa"/>
              <w:right w:w="120" w:type="dxa"/>
            </w:tcMar>
          </w:tcPr>
          <w:p>
            <w:pPr>
              <w:jc w:val="right"/>
            </w:pPr>
            <w:r>
              <w:rPr>
                <w:rFonts w:ascii="Calibri" w:hAnsi="Calibri"/>
                <w:color w:val="222222"/>
                <w:sz w:val="18"/>
              </w:rPr>
              <w:t>0.9996</w:t>
            </w:r>
          </w:p>
        </w:tc>
        <w:tc>
          <w:tcPr>
            <w:tcW w:type="dxa" w:w="1152"/>
            <w:shd w:fill="FFFFFF"/>
            <w:tcMar>
              <w:top w:w="80" w:type="dxa"/>
              <w:bottom w:w="80" w:type="dxa"/>
              <w:left w:w="120" w:type="dxa"/>
              <w:right w:w="120" w:type="dxa"/>
            </w:tcMar>
          </w:tcPr>
          <w:p>
            <w:pPr>
              <w:jc w:val="right"/>
            </w:pPr>
            <w:r>
              <w:rPr>
                <w:rFonts w:ascii="Calibri" w:hAnsi="Calibri"/>
                <w:color w:val="222222"/>
                <w:sz w:val="18"/>
              </w:rPr>
              <w:t>+77.5%</w:t>
            </w:r>
          </w:p>
        </w:tc>
      </w:tr>
      <w:tr>
        <w:tc>
          <w:tcPr>
            <w:tcW w:type="dxa" w:w="1872"/>
            <w:shd w:fill="F9FAFB"/>
            <w:tcMar>
              <w:top w:w="80" w:type="dxa"/>
              <w:bottom w:w="80" w:type="dxa"/>
              <w:left w:w="120" w:type="dxa"/>
              <w:right w:w="120" w:type="dxa"/>
            </w:tcMar>
          </w:tcPr>
          <w:p>
            <w:pPr>
              <w:jc w:val="left"/>
            </w:pPr>
            <w:r>
              <w:rPr>
                <w:rFonts w:ascii="Calibri" w:hAnsi="Calibri"/>
                <w:color w:val="222222"/>
                <w:sz w:val="18"/>
              </w:rPr>
              <w:t>Jamnagar</w:t>
            </w:r>
          </w:p>
        </w:tc>
        <w:tc>
          <w:tcPr>
            <w:tcW w:type="dxa" w:w="1728"/>
            <w:shd w:fill="F9FAFB"/>
            <w:tcMar>
              <w:top w:w="80" w:type="dxa"/>
              <w:bottom w:w="80" w:type="dxa"/>
              <w:left w:w="120" w:type="dxa"/>
              <w:right w:w="120" w:type="dxa"/>
            </w:tcMar>
          </w:tcPr>
          <w:p>
            <w:pPr>
              <w:jc w:val="right"/>
            </w:pPr>
            <w:r>
              <w:rPr>
                <w:rFonts w:ascii="Calibri" w:hAnsi="Calibri"/>
                <w:color w:val="222222"/>
                <w:sz w:val="18"/>
              </w:rPr>
              <w:t>2.39160 × 10⁻⁵</w:t>
            </w:r>
          </w:p>
        </w:tc>
        <w:tc>
          <w:tcPr>
            <w:tcW w:type="dxa" w:w="1440"/>
            <w:shd w:fill="F9FAFB"/>
            <w:tcMar>
              <w:top w:w="80" w:type="dxa"/>
              <w:bottom w:w="80" w:type="dxa"/>
              <w:left w:w="120" w:type="dxa"/>
              <w:right w:w="120" w:type="dxa"/>
            </w:tcMar>
          </w:tcPr>
          <w:p>
            <w:pPr>
              <w:jc w:val="right"/>
            </w:pPr>
            <w:r>
              <w:rPr>
                <w:rFonts w:ascii="Calibri" w:hAnsi="Calibri"/>
                <w:color w:val="222222"/>
                <w:sz w:val="18"/>
              </w:rPr>
              <w:t>0.9986</w:t>
            </w:r>
          </w:p>
        </w:tc>
        <w:tc>
          <w:tcPr>
            <w:tcW w:type="dxa" w:w="1728"/>
            <w:shd w:fill="F9FAFB"/>
            <w:tcMar>
              <w:top w:w="80" w:type="dxa"/>
              <w:bottom w:w="80" w:type="dxa"/>
              <w:left w:w="120" w:type="dxa"/>
              <w:right w:w="120" w:type="dxa"/>
            </w:tcMar>
          </w:tcPr>
          <w:p>
            <w:pPr>
              <w:jc w:val="right"/>
            </w:pPr>
            <w:r>
              <w:rPr>
                <w:rFonts w:ascii="Calibri" w:hAnsi="Calibri"/>
                <w:color w:val="222222"/>
                <w:sz w:val="18"/>
              </w:rPr>
              <w:t>5.79484 × 10⁻⁶</w:t>
            </w:r>
          </w:p>
        </w:tc>
        <w:tc>
          <w:tcPr>
            <w:tcW w:type="dxa" w:w="1440"/>
            <w:shd w:fill="F9FAFB"/>
            <w:tcMar>
              <w:top w:w="80" w:type="dxa"/>
              <w:bottom w:w="80" w:type="dxa"/>
              <w:left w:w="120" w:type="dxa"/>
              <w:right w:w="120" w:type="dxa"/>
            </w:tcMar>
          </w:tcPr>
          <w:p>
            <w:pPr>
              <w:jc w:val="right"/>
            </w:pPr>
            <w:r>
              <w:rPr>
                <w:rFonts w:ascii="Calibri" w:hAnsi="Calibri"/>
                <w:color w:val="222222"/>
                <w:sz w:val="18"/>
              </w:rPr>
              <w:t>0.9997</w:t>
            </w:r>
          </w:p>
        </w:tc>
        <w:tc>
          <w:tcPr>
            <w:tcW w:type="dxa" w:w="1152"/>
            <w:shd w:fill="F9FAFB"/>
            <w:tcMar>
              <w:top w:w="80" w:type="dxa"/>
              <w:bottom w:w="80" w:type="dxa"/>
              <w:left w:w="120" w:type="dxa"/>
              <w:right w:w="120" w:type="dxa"/>
            </w:tcMar>
          </w:tcPr>
          <w:p>
            <w:pPr>
              <w:jc w:val="right"/>
            </w:pPr>
            <w:r>
              <w:rPr>
                <w:rFonts w:ascii="Calibri" w:hAnsi="Calibri"/>
                <w:color w:val="222222"/>
                <w:sz w:val="18"/>
              </w:rPr>
              <w:t>+75.8%</w:t>
            </w:r>
          </w:p>
        </w:tc>
      </w:tr>
      <w:tr>
        <w:tc>
          <w:tcPr>
            <w:tcW w:type="dxa" w:w="1872"/>
            <w:shd w:fill="FFFFFF"/>
            <w:tcMar>
              <w:top w:w="80" w:type="dxa"/>
              <w:bottom w:w="80" w:type="dxa"/>
              <w:left w:w="120" w:type="dxa"/>
              <w:right w:w="120" w:type="dxa"/>
            </w:tcMar>
          </w:tcPr>
          <w:p>
            <w:pPr>
              <w:jc w:val="left"/>
            </w:pPr>
            <w:r>
              <w:rPr>
                <w:rFonts w:ascii="Calibri" w:hAnsi="Calibri"/>
                <w:color w:val="222222"/>
                <w:sz w:val="18"/>
              </w:rPr>
              <w:t>Bhavnagar</w:t>
            </w:r>
          </w:p>
        </w:tc>
        <w:tc>
          <w:tcPr>
            <w:tcW w:type="dxa" w:w="1728"/>
            <w:shd w:fill="FFFFFF"/>
            <w:tcMar>
              <w:top w:w="80" w:type="dxa"/>
              <w:bottom w:w="80" w:type="dxa"/>
              <w:left w:w="120" w:type="dxa"/>
              <w:right w:w="120" w:type="dxa"/>
            </w:tcMar>
          </w:tcPr>
          <w:p>
            <w:pPr>
              <w:jc w:val="right"/>
            </w:pPr>
            <w:r>
              <w:rPr>
                <w:rFonts w:ascii="Calibri" w:hAnsi="Calibri"/>
                <w:color w:val="222222"/>
                <w:sz w:val="18"/>
              </w:rPr>
              <w:t>2.37924 × 10⁻⁵</w:t>
            </w:r>
          </w:p>
        </w:tc>
        <w:tc>
          <w:tcPr>
            <w:tcW w:type="dxa" w:w="1440"/>
            <w:shd w:fill="FFFFFF"/>
            <w:tcMar>
              <w:top w:w="80" w:type="dxa"/>
              <w:bottom w:w="80" w:type="dxa"/>
              <w:left w:w="120" w:type="dxa"/>
              <w:right w:w="120" w:type="dxa"/>
            </w:tcMar>
          </w:tcPr>
          <w:p>
            <w:pPr>
              <w:jc w:val="right"/>
            </w:pPr>
            <w:r>
              <w:rPr>
                <w:rFonts w:ascii="Calibri" w:hAnsi="Calibri"/>
                <w:color w:val="222222"/>
                <w:sz w:val="18"/>
              </w:rPr>
              <w:t>0.9986</w:t>
            </w:r>
          </w:p>
        </w:tc>
        <w:tc>
          <w:tcPr>
            <w:tcW w:type="dxa" w:w="1728"/>
            <w:shd w:fill="FFFFFF"/>
            <w:tcMar>
              <w:top w:w="80" w:type="dxa"/>
              <w:bottom w:w="80" w:type="dxa"/>
              <w:left w:w="120" w:type="dxa"/>
              <w:right w:w="120" w:type="dxa"/>
            </w:tcMar>
          </w:tcPr>
          <w:p>
            <w:pPr>
              <w:jc w:val="right"/>
            </w:pPr>
            <w:r>
              <w:rPr>
                <w:rFonts w:ascii="Calibri" w:hAnsi="Calibri"/>
                <w:color w:val="222222"/>
                <w:sz w:val="18"/>
              </w:rPr>
              <w:t>5.84372 × 10⁻⁶</w:t>
            </w:r>
          </w:p>
        </w:tc>
        <w:tc>
          <w:tcPr>
            <w:tcW w:type="dxa" w:w="1440"/>
            <w:shd w:fill="FFFFFF"/>
            <w:tcMar>
              <w:top w:w="80" w:type="dxa"/>
              <w:bottom w:w="80" w:type="dxa"/>
              <w:left w:w="120" w:type="dxa"/>
              <w:right w:w="120" w:type="dxa"/>
            </w:tcMar>
          </w:tcPr>
          <w:p>
            <w:pPr>
              <w:jc w:val="right"/>
            </w:pPr>
            <w:r>
              <w:rPr>
                <w:rFonts w:ascii="Calibri" w:hAnsi="Calibri"/>
                <w:color w:val="222222"/>
                <w:sz w:val="18"/>
              </w:rPr>
              <w:t>0.9996</w:t>
            </w:r>
          </w:p>
        </w:tc>
        <w:tc>
          <w:tcPr>
            <w:tcW w:type="dxa" w:w="1152"/>
            <w:shd w:fill="FFFFFF"/>
            <w:tcMar>
              <w:top w:w="80" w:type="dxa"/>
              <w:bottom w:w="80" w:type="dxa"/>
              <w:left w:w="120" w:type="dxa"/>
              <w:right w:w="120" w:type="dxa"/>
            </w:tcMar>
          </w:tcPr>
          <w:p>
            <w:pPr>
              <w:jc w:val="right"/>
            </w:pPr>
            <w:r>
              <w:rPr>
                <w:rFonts w:ascii="Calibri" w:hAnsi="Calibri"/>
                <w:color w:val="222222"/>
                <w:sz w:val="18"/>
              </w:rPr>
              <w:t>+75.4%</w:t>
            </w:r>
          </w:p>
        </w:tc>
      </w:tr>
      <w:tr>
        <w:tc>
          <w:tcPr>
            <w:tcW w:type="dxa" w:w="1872"/>
            <w:shd w:fill="F9FAFB"/>
            <w:tcMar>
              <w:top w:w="80" w:type="dxa"/>
              <w:bottom w:w="80" w:type="dxa"/>
              <w:left w:w="120" w:type="dxa"/>
              <w:right w:w="120" w:type="dxa"/>
            </w:tcMar>
          </w:tcPr>
          <w:p>
            <w:pPr>
              <w:jc w:val="left"/>
            </w:pPr>
            <w:r>
              <w:rPr>
                <w:rFonts w:ascii="Calibri" w:hAnsi="Calibri"/>
                <w:color w:val="222222"/>
                <w:sz w:val="18"/>
              </w:rPr>
              <w:t>Ankleshwar</w:t>
            </w:r>
          </w:p>
        </w:tc>
        <w:tc>
          <w:tcPr>
            <w:tcW w:type="dxa" w:w="1728"/>
            <w:shd w:fill="F9FAFB"/>
            <w:tcMar>
              <w:top w:w="80" w:type="dxa"/>
              <w:bottom w:w="80" w:type="dxa"/>
              <w:left w:w="120" w:type="dxa"/>
              <w:right w:w="120" w:type="dxa"/>
            </w:tcMar>
          </w:tcPr>
          <w:p>
            <w:pPr>
              <w:jc w:val="right"/>
            </w:pPr>
            <w:r>
              <w:rPr>
                <w:rFonts w:ascii="Calibri" w:hAnsi="Calibri"/>
                <w:color w:val="222222"/>
                <w:sz w:val="18"/>
              </w:rPr>
              <w:t>2.39743 × 10⁻⁵</w:t>
            </w:r>
          </w:p>
        </w:tc>
        <w:tc>
          <w:tcPr>
            <w:tcW w:type="dxa" w:w="1440"/>
            <w:shd w:fill="F9FAFB"/>
            <w:tcMar>
              <w:top w:w="80" w:type="dxa"/>
              <w:bottom w:w="80" w:type="dxa"/>
              <w:left w:w="120" w:type="dxa"/>
              <w:right w:w="120" w:type="dxa"/>
            </w:tcMar>
          </w:tcPr>
          <w:p>
            <w:pPr>
              <w:jc w:val="right"/>
            </w:pPr>
            <w:r>
              <w:rPr>
                <w:rFonts w:ascii="Calibri" w:hAnsi="Calibri"/>
                <w:color w:val="222222"/>
                <w:sz w:val="18"/>
              </w:rPr>
              <w:t>0.9992</w:t>
            </w:r>
          </w:p>
        </w:tc>
        <w:tc>
          <w:tcPr>
            <w:tcW w:type="dxa" w:w="1728"/>
            <w:shd w:fill="F9FAFB"/>
            <w:tcMar>
              <w:top w:w="80" w:type="dxa"/>
              <w:bottom w:w="80" w:type="dxa"/>
              <w:left w:w="120" w:type="dxa"/>
              <w:right w:w="120" w:type="dxa"/>
            </w:tcMar>
          </w:tcPr>
          <w:p>
            <w:pPr>
              <w:jc w:val="right"/>
            </w:pPr>
            <w:r>
              <w:rPr>
                <w:rFonts w:ascii="Calibri" w:hAnsi="Calibri"/>
                <w:color w:val="222222"/>
                <w:sz w:val="18"/>
              </w:rPr>
              <w:t>5.51055 × 10⁻⁶</w:t>
            </w:r>
          </w:p>
        </w:tc>
        <w:tc>
          <w:tcPr>
            <w:tcW w:type="dxa" w:w="1440"/>
            <w:shd w:fill="F9FAFB"/>
            <w:tcMar>
              <w:top w:w="80" w:type="dxa"/>
              <w:bottom w:w="80" w:type="dxa"/>
              <w:left w:w="120" w:type="dxa"/>
              <w:right w:w="120" w:type="dxa"/>
            </w:tcMar>
          </w:tcPr>
          <w:p>
            <w:pPr>
              <w:jc w:val="right"/>
            </w:pPr>
            <w:r>
              <w:rPr>
                <w:rFonts w:ascii="Calibri" w:hAnsi="Calibri"/>
                <w:color w:val="222222"/>
                <w:sz w:val="18"/>
              </w:rPr>
              <w:t>0.9998</w:t>
            </w:r>
          </w:p>
        </w:tc>
        <w:tc>
          <w:tcPr>
            <w:tcW w:type="dxa" w:w="1152"/>
            <w:shd w:fill="F9FAFB"/>
            <w:tcMar>
              <w:top w:w="80" w:type="dxa"/>
              <w:bottom w:w="80" w:type="dxa"/>
              <w:left w:w="120" w:type="dxa"/>
              <w:right w:w="120" w:type="dxa"/>
            </w:tcMar>
          </w:tcPr>
          <w:p>
            <w:pPr>
              <w:jc w:val="right"/>
            </w:pPr>
            <w:r>
              <w:rPr>
                <w:rFonts w:ascii="Calibri" w:hAnsi="Calibri"/>
                <w:color w:val="222222"/>
                <w:sz w:val="18"/>
              </w:rPr>
              <w:t>+77.0%</w:t>
            </w:r>
          </w:p>
        </w:tc>
      </w:tr>
      <w:tr>
        <w:tc>
          <w:tcPr>
            <w:tcW w:type="dxa" w:w="1872"/>
            <w:shd w:fill="FFFFFF"/>
            <w:tcMar>
              <w:top w:w="80" w:type="dxa"/>
              <w:bottom w:w="80" w:type="dxa"/>
              <w:left w:w="120" w:type="dxa"/>
              <w:right w:w="120" w:type="dxa"/>
            </w:tcMar>
          </w:tcPr>
          <w:p>
            <w:pPr>
              <w:jc w:val="left"/>
            </w:pPr>
            <w:r>
              <w:rPr>
                <w:rFonts w:ascii="Calibri" w:hAnsi="Calibri"/>
                <w:color w:val="222222"/>
                <w:sz w:val="18"/>
              </w:rPr>
              <w:t>Vapi</w:t>
            </w:r>
          </w:p>
        </w:tc>
        <w:tc>
          <w:tcPr>
            <w:tcW w:type="dxa" w:w="1728"/>
            <w:shd w:fill="FFFFFF"/>
            <w:tcMar>
              <w:top w:w="80" w:type="dxa"/>
              <w:bottom w:w="80" w:type="dxa"/>
              <w:left w:w="120" w:type="dxa"/>
              <w:right w:w="120" w:type="dxa"/>
            </w:tcMar>
          </w:tcPr>
          <w:p>
            <w:pPr>
              <w:jc w:val="right"/>
            </w:pPr>
            <w:r>
              <w:rPr>
                <w:rFonts w:ascii="Calibri" w:hAnsi="Calibri"/>
                <w:color w:val="222222"/>
                <w:sz w:val="18"/>
              </w:rPr>
              <w:t>4.70666 × 10⁻⁵</w:t>
            </w:r>
          </w:p>
        </w:tc>
        <w:tc>
          <w:tcPr>
            <w:tcW w:type="dxa" w:w="1440"/>
            <w:shd w:fill="FFFFFF"/>
            <w:tcMar>
              <w:top w:w="80" w:type="dxa"/>
              <w:bottom w:w="80" w:type="dxa"/>
              <w:left w:w="120" w:type="dxa"/>
              <w:right w:w="120" w:type="dxa"/>
            </w:tcMar>
          </w:tcPr>
          <w:p>
            <w:pPr>
              <w:jc w:val="right"/>
            </w:pPr>
            <w:r>
              <w:rPr>
                <w:rFonts w:ascii="Calibri" w:hAnsi="Calibri"/>
                <w:color w:val="222222"/>
                <w:sz w:val="18"/>
              </w:rPr>
              <w:t>0.9979</w:t>
            </w:r>
          </w:p>
        </w:tc>
        <w:tc>
          <w:tcPr>
            <w:tcW w:type="dxa" w:w="1728"/>
            <w:shd w:fill="FFFFFF"/>
            <w:tcMar>
              <w:top w:w="80" w:type="dxa"/>
              <w:bottom w:w="80" w:type="dxa"/>
              <w:left w:w="120" w:type="dxa"/>
              <w:right w:w="120" w:type="dxa"/>
            </w:tcMar>
          </w:tcPr>
          <w:p>
            <w:pPr>
              <w:jc w:val="right"/>
            </w:pPr>
            <w:r>
              <w:rPr>
                <w:rFonts w:ascii="Calibri" w:hAnsi="Calibri"/>
                <w:color w:val="222222"/>
                <w:sz w:val="18"/>
              </w:rPr>
              <w:t>6.04038 × 10⁻⁶</w:t>
            </w:r>
          </w:p>
        </w:tc>
        <w:tc>
          <w:tcPr>
            <w:tcW w:type="dxa" w:w="1440"/>
            <w:shd w:fill="FFFFFF"/>
            <w:tcMar>
              <w:top w:w="80" w:type="dxa"/>
              <w:bottom w:w="80" w:type="dxa"/>
              <w:left w:w="120" w:type="dxa"/>
              <w:right w:w="120" w:type="dxa"/>
            </w:tcMar>
          </w:tcPr>
          <w:p>
            <w:pPr>
              <w:jc w:val="right"/>
            </w:pPr>
            <w:r>
              <w:rPr>
                <w:rFonts w:ascii="Calibri" w:hAnsi="Calibri"/>
                <w:color w:val="222222"/>
                <w:sz w:val="18"/>
              </w:rPr>
              <w:t>0.9997</w:t>
            </w:r>
          </w:p>
        </w:tc>
        <w:tc>
          <w:tcPr>
            <w:tcW w:type="dxa" w:w="1152"/>
            <w:shd w:fill="FFFFFF"/>
            <w:tcMar>
              <w:top w:w="80" w:type="dxa"/>
              <w:bottom w:w="80" w:type="dxa"/>
              <w:left w:w="120" w:type="dxa"/>
              <w:right w:w="120" w:type="dxa"/>
            </w:tcMar>
          </w:tcPr>
          <w:p>
            <w:pPr>
              <w:jc w:val="right"/>
            </w:pPr>
            <w:r>
              <w:rPr>
                <w:rFonts w:ascii="Calibri" w:hAnsi="Calibri"/>
                <w:color w:val="222222"/>
                <w:sz w:val="18"/>
              </w:rPr>
              <w:t>+87.2%</w:t>
            </w:r>
          </w:p>
        </w:tc>
      </w:tr>
    </w:tbl>
    <w:p>
      <w:pPr>
        <w:spacing w:after="160"/>
      </w:pPr>
    </w:p>
    <w:p>
      <w:pPr>
        <w:jc w:val="center"/>
      </w:pPr>
      <w:r>
        <w:drawing>
          <wp:inline xmlns:a="http://schemas.openxmlformats.org/drawingml/2006/main" xmlns:pic="http://schemas.openxmlformats.org/drawingml/2006/picture">
            <wp:extent cx="5303520" cy="4339244"/>
            <wp:docPr id="10" name="Picture 10"/>
            <wp:cNvGraphicFramePr>
              <a:graphicFrameLocks noChangeAspect="1"/>
            </wp:cNvGraphicFramePr>
            <a:graphic>
              <a:graphicData uri="http://schemas.openxmlformats.org/drawingml/2006/picture">
                <pic:pic>
                  <pic:nvPicPr>
                    <pic:cNvPr id="0" name="Fig_10_monthly_performance_per_location.png"/>
                    <pic:cNvPicPr/>
                  </pic:nvPicPr>
                  <pic:blipFill>
                    <a:blip r:embed="rId18"/>
                    <a:stretch>
                      <a:fillRect/>
                    </a:stretch>
                  </pic:blipFill>
                  <pic:spPr>
                    <a:xfrm>
                      <a:off x="0" y="0"/>
                      <a:ext cx="5303520" cy="4339244"/>
                    </a:xfrm>
                    <a:prstGeom prst="rect"/>
                  </pic:spPr>
                </pic:pic>
              </a:graphicData>
            </a:graphic>
          </wp:inline>
        </w:drawing>
      </w:r>
    </w:p>
    <w:p>
      <w:pPr>
        <w:jc w:val="center"/>
      </w:pPr>
      <w:r>
        <w:rPr>
          <w:i/>
          <w:sz w:val="18"/>
        </w:rPr>
        <w:t>Fig. 10. Monthly performance metrics (MSE, MAE, R²) across all seven locations across testing seasons.</w:t>
      </w:r>
    </w:p>
    <w:p>
      <w:pPr>
        <w:jc w:val="center"/>
      </w:pPr>
      <w:r>
        <w:drawing>
          <wp:inline xmlns:a="http://schemas.openxmlformats.org/drawingml/2006/main" xmlns:pic="http://schemas.openxmlformats.org/drawingml/2006/picture">
            <wp:extent cx="5669280" cy="1771650"/>
            <wp:docPr id="11" name="Picture 11"/>
            <wp:cNvGraphicFramePr>
              <a:graphicFrameLocks noChangeAspect="1"/>
            </wp:cNvGraphicFramePr>
            <a:graphic>
              <a:graphicData uri="http://schemas.openxmlformats.org/drawingml/2006/picture">
                <pic:pic>
                  <pic:nvPicPr>
                    <pic:cNvPr id="0" name="Fig_11_comparative_performance.png"/>
                    <pic:cNvPicPr/>
                  </pic:nvPicPr>
                  <pic:blipFill>
                    <a:blip r:embed="rId19"/>
                    <a:stretch>
                      <a:fillRect/>
                    </a:stretch>
                  </pic:blipFill>
                  <pic:spPr>
                    <a:xfrm>
                      <a:off x="0" y="0"/>
                      <a:ext cx="5669280" cy="1771650"/>
                    </a:xfrm>
                    <a:prstGeom prst="rect"/>
                  </pic:spPr>
                </pic:pic>
              </a:graphicData>
            </a:graphic>
          </wp:inline>
        </w:drawing>
      </w:r>
    </w:p>
    <w:p>
      <w:pPr>
        <w:jc w:val="center"/>
      </w:pPr>
      <w:r>
        <w:rPr>
          <w:i/>
          <w:sz w:val="18"/>
        </w:rPr>
        <w:t>Fig. 11. Multi-panel comparative analysis of GBR vs. Linear Regression, Lasso, and Random Forest across 16 temporal datasets for (a) MSE, (b) MAE, and (c) R².</w:t>
      </w:r>
    </w:p>
    <w:p>
      <w:pPr>
        <w:jc w:val="center"/>
      </w:pPr>
      <w:r>
        <w:drawing>
          <wp:inline xmlns:a="http://schemas.openxmlformats.org/drawingml/2006/main" xmlns:pic="http://schemas.openxmlformats.org/drawingml/2006/picture">
            <wp:extent cx="5486400" cy="3526971"/>
            <wp:docPr id="12" name="Picture 12"/>
            <wp:cNvGraphicFramePr>
              <a:graphicFrameLocks noChangeAspect="1"/>
            </wp:cNvGraphicFramePr>
            <a:graphic>
              <a:graphicData uri="http://schemas.openxmlformats.org/drawingml/2006/picture">
                <pic:pic>
                  <pic:nvPicPr>
                    <pic:cNvPr id="0" name="Fig_12_actual_vs_predicted_scatter.png"/>
                    <pic:cNvPicPr/>
                  </pic:nvPicPr>
                  <pic:blipFill>
                    <a:blip r:embed="rId20"/>
                    <a:stretch>
                      <a:fillRect/>
                    </a:stretch>
                  </pic:blipFill>
                  <pic:spPr>
                    <a:xfrm>
                      <a:off x="0" y="0"/>
                      <a:ext cx="5486400" cy="3526971"/>
                    </a:xfrm>
                    <a:prstGeom prst="rect"/>
                  </pic:spPr>
                </pic:pic>
              </a:graphicData>
            </a:graphic>
          </wp:inline>
        </w:drawing>
      </w:r>
    </w:p>
    <w:p>
      <w:pPr>
        <w:jc w:val="center"/>
      </w:pPr>
      <w:r>
        <w:rPr>
          <w:i/>
          <w:sz w:val="18"/>
        </w:rPr>
        <w:t>Fig. 12. Actual vs. predicted surface soil moisture scatter plots (m³/m³) with 1:1 parity line for (a) Bhuj, (b) Idar, (c) Ankleshwar, (d) Bhavnagar, (e) Jamnagar, and (f) Vapi.</w:t>
      </w:r>
    </w:p>
    <w:p>
      <w:pPr>
        <w:jc w:val="center"/>
      </w:pPr>
      <w:r>
        <w:drawing>
          <wp:inline xmlns:a="http://schemas.openxmlformats.org/drawingml/2006/main" xmlns:pic="http://schemas.openxmlformats.org/drawingml/2006/picture">
            <wp:extent cx="5029200" cy="2057400"/>
            <wp:docPr id="13" name="Picture 13"/>
            <wp:cNvGraphicFramePr>
              <a:graphicFrameLocks noChangeAspect="1"/>
            </wp:cNvGraphicFramePr>
            <a:graphic>
              <a:graphicData uri="http://schemas.openxmlformats.org/drawingml/2006/picture">
                <pic:pic>
                  <pic:nvPicPr>
                    <pic:cNvPr id="0" name="Fig_13_enhanced_model_comparison.png"/>
                    <pic:cNvPicPr/>
                  </pic:nvPicPr>
                  <pic:blipFill>
                    <a:blip r:embed="rId21"/>
                    <a:stretch>
                      <a:fillRect/>
                    </a:stretch>
                  </pic:blipFill>
                  <pic:spPr>
                    <a:xfrm>
                      <a:off x="0" y="0"/>
                      <a:ext cx="5029200" cy="2057400"/>
                    </a:xfrm>
                    <a:prstGeom prst="rect"/>
                  </pic:spPr>
                </pic:pic>
              </a:graphicData>
            </a:graphic>
          </wp:inline>
        </w:drawing>
      </w:r>
    </w:p>
    <w:p>
      <w:pPr>
        <w:jc w:val="center"/>
      </w:pPr>
      <w:r>
        <w:rPr>
          <w:i/>
          <w:sz w:val="18"/>
        </w:rPr>
        <w:t>Fig. 13. Direct benchmark comparison between Paper Baseline GBR and our Enhanced Stacking Super Learner, displaying MSE error reduction and R² improvement.</w:t>
      </w:r>
    </w:p>
    <w:p>
      <w:pPr>
        <w:jc w:val="center"/>
      </w:pPr>
      <w:r>
        <w:drawing>
          <wp:inline xmlns:a="http://schemas.openxmlformats.org/drawingml/2006/main" xmlns:pic="http://schemas.openxmlformats.org/drawingml/2006/picture">
            <wp:extent cx="5303520" cy="2209800"/>
            <wp:docPr id="14" name="Picture 14"/>
            <wp:cNvGraphicFramePr>
              <a:graphicFrameLocks noChangeAspect="1"/>
            </wp:cNvGraphicFramePr>
            <a:graphic>
              <a:graphicData uri="http://schemas.openxmlformats.org/drawingml/2006/picture">
                <pic:pic>
                  <pic:nvPicPr>
                    <pic:cNvPr id="0" name="Fig_14_residual_and_error_distribution.png"/>
                    <pic:cNvPicPr/>
                  </pic:nvPicPr>
                  <pic:blipFill>
                    <a:blip r:embed="rId22"/>
                    <a:stretch>
                      <a:fillRect/>
                    </a:stretch>
                  </pic:blipFill>
                  <pic:spPr>
                    <a:xfrm>
                      <a:off x="0" y="0"/>
                      <a:ext cx="5303520" cy="2209800"/>
                    </a:xfrm>
                    <a:prstGeom prst="rect"/>
                  </pic:spPr>
                </pic:pic>
              </a:graphicData>
            </a:graphic>
          </wp:inline>
        </w:drawing>
      </w:r>
    </w:p>
    <w:p>
      <w:pPr>
        <w:jc w:val="center"/>
      </w:pPr>
      <w:r>
        <w:rPr>
          <w:i/>
          <w:sz w:val="18"/>
        </w:rPr>
        <w:t>Fig. 14. Residual error diagnostics: Residuals vs. Fitted values and probability density distributions (KDE), showing centered zero-bias and narrow error variance.</w:t>
      </w:r>
    </w:p>
    <w:p>
      <w:pPr>
        <w:pStyle w:val="Heading1"/>
      </w:pPr>
      <w:r>
        <w:t>6. Discussion</w:t>
      </w:r>
    </w:p>
    <w:p>
      <w:r>
        <w:t>The experimental results provide clear empirical confirmation of the superiority of physics-informed heterogeneous stacking over single-algorithm predictors. While Singh et al. (2025) successfully established the efficiency of tabular GBR over deep ConvLSTM models, their reliance on a single tree booster left the model vulnerable to micro-meteorological volatility.</w:t>
      </w:r>
    </w:p>
    <w:p>
      <w:r>
        <w:t>By injecting the vertical hydraulic moisture ratio (phy_moisture_ratio) and unsaturated storage deficit (phy_saturation_deficit), the decision trees gained explicit physical cues regarding whether the soil column was undergoing active gravity drainage or upward capillary draw. This physical grounding directly resolves the 0.2–0.6 m³/m³ divergence band observed in Bhuj, Ankleshwar, and Jamnagar.</w:t>
      </w:r>
    </w:p>
    <w:p>
      <w:r>
        <w:t>From an operational standpoint, our compressed model weights provide compelling validation of the authors' initial findings regarding deployment practicality. The standalone Random Forest model produced a file footprint of 28.1 MB, the baseline GBR required 47 KB, and our Enhanced Stacking Super Learner required only 7.3 MB and operated within ~2.5 GB of RAM. This confirms that heterogeneous stacking provides the ideal operational compromise: achieving state-of-the-art predictive precision without exceeding cloud memory limits.</w:t>
      </w:r>
    </w:p>
    <w:p>
      <w:pPr>
        <w:pStyle w:val="Heading1"/>
      </w:pPr>
      <w:r>
        <w:t>7. Conclusion &amp; Future Work</w:t>
      </w:r>
    </w:p>
    <w:p>
      <w:r>
        <w:t>This research presents a substantial scientific advancement over the baseline SMAP soil moisture prediction technique of Singh et al. (2025). By introducing domain-guided physical coupling features and architecting a heterogeneous Stacking Super Learner (GBR + LightGBM + XGBoost + Random Forest with RidgeCV meta-learning), we systematically eliminated the mid-range moisture divergence bottleneck and achieved superior predictive performance (R² = 0.9997, MSE = 4.498 × 10⁻⁶ m³/m³) across all seven agro-climatic stations in Gujarat, India.</w:t>
      </w:r>
    </w:p>
    <w:p>
      <w:pPr>
        <w:pStyle w:val="Heading1"/>
      </w:pPr>
      <w:r>
        <w:t>References</w:t>
      </w:r>
    </w:p>
    <w:p>
      <w:pPr>
        <w:spacing w:after="80"/>
        <w:ind w:left="432" w:hanging="432"/>
      </w:pPr>
      <w:r>
        <w:rPr>
          <w:sz w:val="18"/>
        </w:rPr>
        <w:t>Albano, R., Lacava, T., Mazzariello, A., Manfreda, S., Adamowski, J., &amp; Sole, A. (2024). How can seasonality influence the performance of recent microwave satellite soil moisture products? Remote Sensing, 16(16), 3044.</w:t>
      </w:r>
    </w:p>
    <w:p>
      <w:pPr>
        <w:spacing w:after="80"/>
        <w:ind w:left="432" w:hanging="432"/>
      </w:pPr>
      <w:r>
        <w:rPr>
          <w:sz w:val="18"/>
        </w:rPr>
        <w:t>Bentéjac, C., Csörgő, A., &amp; Martínez-Muñoz, G. (2021). A comparative analysis of gradient boosting algorithms. Artificial Intelligence Review, 54, 1937–1967.</w:t>
      </w:r>
    </w:p>
    <w:p>
      <w:pPr>
        <w:spacing w:after="80"/>
        <w:ind w:left="432" w:hanging="432"/>
      </w:pPr>
      <w:r>
        <w:rPr>
          <w:sz w:val="18"/>
        </w:rPr>
        <w:t>BISAG-N. (2023). Bhaskaracharya National Institute for Space Applications and Geo-informatics Geographic Portal. https://bisag-n.gov.in</w:t>
      </w:r>
    </w:p>
    <w:p>
      <w:pPr>
        <w:spacing w:after="80"/>
        <w:ind w:left="432" w:hanging="432"/>
      </w:pPr>
      <w:r>
        <w:rPr>
          <w:sz w:val="18"/>
        </w:rPr>
        <w:t>Dobriyal, P., Qureshi, A., Badola, R., &amp; Hussain, S. A. (2012). A review of the methods available for estimating soil moisture and its implications for water resource management. Journal of Hydrology, 458, 110–117.</w:t>
      </w:r>
    </w:p>
    <w:p>
      <w:pPr>
        <w:spacing w:after="80"/>
        <w:ind w:left="432" w:hanging="432"/>
      </w:pPr>
      <w:r>
        <w:rPr>
          <w:sz w:val="18"/>
        </w:rPr>
        <w:t>Entekhabi, D., Njoku, E. G., O'Neill, P. E., Kellogg, K. H., Crow, W. T., et al. (2010). The Soil Moisture Active Passive (SMAP) mission. Proceedings of the IEEE, 98(5), 704–716.</w:t>
      </w:r>
    </w:p>
    <w:p>
      <w:pPr>
        <w:spacing w:after="80"/>
        <w:ind w:left="432" w:hanging="432"/>
      </w:pPr>
      <w:r>
        <w:rPr>
          <w:sz w:val="18"/>
        </w:rPr>
        <w:t>Hatfield, J. L., Sauer, T. J., &amp; Prueger, J. H. (2001). Managing soils to achieve greater water use efficiency: A review. Agronomy Journal, 93(2), 271–280.</w:t>
      </w:r>
    </w:p>
    <w:p>
      <w:pPr>
        <w:spacing w:after="80"/>
        <w:ind w:left="432" w:hanging="432"/>
      </w:pPr>
      <w:r>
        <w:rPr>
          <w:sz w:val="18"/>
        </w:rPr>
        <w:t>Liu, J., Rahmani, F., Lawson, K., &amp; Shen, C. (2022). A multiscale deep learning model for soil moisture integrating satellite and in situ data. Geophysical Research Letters, 49(7), e2021GL096847.</w:t>
      </w:r>
    </w:p>
    <w:p>
      <w:pPr>
        <w:spacing w:after="80"/>
        <w:ind w:left="432" w:hanging="432"/>
      </w:pPr>
      <w:r>
        <w:rPr>
          <w:sz w:val="18"/>
        </w:rPr>
        <w:t>Reichle, R., Koster, R., De Lannoy, G., Crow, W., &amp; Kimball, J. (2014). Soil Moisture Active Passive (SMAP) Level 4 Surface and Root Zone Soil Moisture (L4_SM) Data Product. NASA Goddard Space Flight Center.</w:t>
      </w:r>
    </w:p>
    <w:p>
      <w:pPr>
        <w:spacing w:after="80"/>
        <w:ind w:left="432" w:hanging="432"/>
      </w:pPr>
      <w:r>
        <w:rPr>
          <w:sz w:val="18"/>
        </w:rPr>
        <w:t>Rouzegari, M., et al. (2025). Large-scale soil moisture estimation using hybrid land surface assimilation. Remote Sensing of Environment, 305, 114022.</w:t>
      </w:r>
    </w:p>
    <w:p>
      <w:pPr>
        <w:spacing w:after="80"/>
        <w:ind w:left="432" w:hanging="432"/>
      </w:pPr>
      <w:r>
        <w:rPr>
          <w:sz w:val="18"/>
        </w:rPr>
        <w:t>Singh, A., Tiwari, R. K., Singh, M. P., &amp; Jha, S. (2025). A novel automated technique based on ensemble learning for prediction of soil moisture using satellite images. Advances in Space Research. https://doi.org/10.1016/j.asr.2025.10.101</w:t>
      </w:r>
    </w:p>
    <w:p>
      <w:pPr>
        <w:spacing w:after="80"/>
        <w:ind w:left="432" w:hanging="432"/>
      </w:pPr>
      <w:r>
        <w:rPr>
          <w:sz w:val="18"/>
        </w:rPr>
        <w:t>Wang, A., Chen, Y., Li, M., Gao, Y., &amp; Ma, X. (2025). A review of soil moisture data: Definitions, sources, and applications in hydrometeorology. Bulletin of the American Meteorological Society, 106(6), E1108–E1129.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