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Times New Roman" w:hAnsi="Times New Roman"/>
          <w:b/>
          <w:color w:val="003366"/>
          <w:sz w:val="40"/>
        </w:rPr>
        <w:t>A Physics-Informed Heterogeneous Stacking Ensemble for High-Precision Prediction of Surface Soil Moisture from Multi-Source Satellite Geophysical Observations</w:t>
      </w:r>
    </w:p>
    <w:tbl>
      <w:tblPr>
        <w:tblW w:type="auto" w:w="0"/>
        <w:jc w:val="center"/>
        <w:tblLook w:firstColumn="1" w:firstRow="1" w:lastColumn="0" w:lastRow="0" w:noHBand="0" w:noVBand="1" w:val="04A0"/>
      </w:tblPr>
      <w:tblGrid>
        <w:gridCol w:w="3480"/>
        <w:gridCol w:w="3480"/>
        <w:gridCol w:w="3480"/>
      </w:tblGrid>
      <w:tr>
        <w:tc>
          <w:tcPr>
            <w:tcW w:type="dxa" w:w="3456"/>
          </w:tcPr>
          <w:p>
            <w:pPr>
              <w:spacing w:after="0" w:line="252" w:lineRule="auto"/>
              <w:jc w:val="center"/>
            </w:pPr>
            <w:r>
              <w:rPr>
                <w:rFonts w:ascii="Times New Roman" w:hAnsi="Times New Roman"/>
                <w:b/>
                <w:sz w:val="19"/>
              </w:rPr>
              <w:t>Aryan Singh &amp; Rohit Kumar Tiwari</w:t>
              <w:br/>
            </w:r>
            <w:r>
              <w:rPr>
                <w:rFonts w:ascii="Times New Roman" w:hAnsi="Times New Roman"/>
                <w:sz w:val="16"/>
              </w:rPr>
              <w:t>Dept. of Computer Science &amp; Engineering</w:t>
              <w:br/>
            </w:r>
            <w:r>
              <w:rPr>
                <w:rFonts w:ascii="Times New Roman" w:hAnsi="Times New Roman"/>
                <w:i/>
                <w:sz w:val="16"/>
              </w:rPr>
              <w:t>Madan Mohan Malaviya Univ. of Technology</w:t>
              <w:br/>
            </w:r>
            <w:r>
              <w:rPr>
                <w:rFonts w:ascii="Times New Roman" w:hAnsi="Times New Roman"/>
                <w:sz w:val="16"/>
              </w:rPr>
              <w:t>Gorakhpur 273010, U.P., India</w:t>
              <w:br/>
            </w:r>
            <w:r>
              <w:rPr>
                <w:rFonts w:ascii="Times New Roman" w:hAnsi="Times New Roman"/>
                <w:i/>
                <w:color w:val="505050"/>
                <w:sz w:val="16"/>
              </w:rPr>
              <w:t>aryan.singh@mmmut.ac.in</w:t>
              <w:br/>
            </w:r>
          </w:p>
        </w:tc>
        <w:tc>
          <w:tcPr>
            <w:tcW w:type="dxa" w:w="3456"/>
          </w:tcPr>
          <w:p>
            <w:pPr>
              <w:spacing w:after="0" w:line="252" w:lineRule="auto"/>
              <w:jc w:val="center"/>
            </w:pPr>
            <w:r>
              <w:rPr>
                <w:rFonts w:ascii="Times New Roman" w:hAnsi="Times New Roman"/>
                <w:b/>
                <w:sz w:val="19"/>
              </w:rPr>
              <w:t>Manish Pratap Singh</w:t>
              <w:br/>
            </w:r>
            <w:r>
              <w:rPr>
                <w:rFonts w:ascii="Times New Roman" w:hAnsi="Times New Roman"/>
                <w:sz w:val="16"/>
              </w:rPr>
              <w:t>Department of Physics</w:t>
              <w:br/>
            </w:r>
            <w:r>
              <w:rPr>
                <w:rFonts w:ascii="Times New Roman" w:hAnsi="Times New Roman"/>
                <w:i/>
                <w:sz w:val="16"/>
              </w:rPr>
              <w:t>Veer Bahadur Singh Purvanchal University</w:t>
              <w:br/>
            </w:r>
            <w:r>
              <w:rPr>
                <w:rFonts w:ascii="Times New Roman" w:hAnsi="Times New Roman"/>
                <w:sz w:val="16"/>
              </w:rPr>
              <w:t>Jaunpur 222001, U.P., India</w:t>
              <w:br/>
            </w:r>
            <w:r>
              <w:rPr>
                <w:rFonts w:ascii="Times New Roman" w:hAnsi="Times New Roman"/>
                <w:i/>
                <w:color w:val="505050"/>
                <w:sz w:val="16"/>
              </w:rPr>
              <w:t>manish.singh@vbspu.ac.in</w:t>
              <w:br/>
            </w:r>
          </w:p>
        </w:tc>
        <w:tc>
          <w:tcPr>
            <w:tcW w:type="dxa" w:w="3456"/>
          </w:tcPr>
          <w:p>
            <w:pPr>
              <w:spacing w:after="0" w:line="252" w:lineRule="auto"/>
              <w:jc w:val="center"/>
            </w:pPr>
            <w:r>
              <w:rPr>
                <w:rFonts w:ascii="Times New Roman" w:hAnsi="Times New Roman"/>
                <w:b/>
                <w:sz w:val="19"/>
              </w:rPr>
              <w:t>Sunil Jha* &amp; BISAG-N Team</w:t>
              <w:br/>
            </w:r>
            <w:r>
              <w:rPr>
                <w:rFonts w:ascii="Times New Roman" w:hAnsi="Times New Roman"/>
                <w:i/>
                <w:sz w:val="16"/>
              </w:rPr>
              <w:t>Faculty of Sciences, Adani University</w:t>
              <w:br/>
            </w:r>
            <w:r>
              <w:rPr>
                <w:rFonts w:ascii="Times New Roman" w:hAnsi="Times New Roman"/>
                <w:sz w:val="16"/>
              </w:rPr>
              <w:t>Ahmedabad 382421, Gujarat, India</w:t>
              <w:br/>
            </w:r>
            <w:r>
              <w:rPr>
                <w:rFonts w:ascii="Times New Roman" w:hAnsi="Times New Roman"/>
                <w:i/>
                <w:sz w:val="16"/>
              </w:rPr>
              <w:t>In collab. with BISAG-N, Gandhinagar</w:t>
              <w:br/>
            </w:r>
            <w:r>
              <w:rPr>
                <w:rFonts w:ascii="Times New Roman" w:hAnsi="Times New Roman"/>
                <w:i/>
                <w:color w:val="505050"/>
                <w:sz w:val="16"/>
              </w:rPr>
              <w:t>*Corresponding Author: sunil.jha@adaniuni.ac.in</w:t>
              <w:br/>
            </w:r>
          </w:p>
        </w:tc>
      </w:tr>
    </w:tbl>
    <w:p>
      <w:pPr>
        <w:spacing w:before="80" w:after="120"/>
      </w:pPr>
    </w:p>
    <w:p>
      <w:pPr>
        <w:sectPr>
          <w:headerReference w:type="default" r:id="rId9"/>
          <w:pgSz w:w="12240" w:h="15840"/>
          <w:pgMar w:top="1080" w:right="900" w:bottom="1440" w:left="900" w:header="720" w:footer="720" w:gutter="0"/>
          <w:cols w:space="720" w:num="1"/>
          <w:docGrid w:linePitch="360"/>
        </w:sectPr>
      </w:pPr>
    </w:p>
    <w:p>
      <w:pPr>
        <w:spacing w:before="0" w:after="60" w:line="252" w:lineRule="auto"/>
        <w:jc w:val="both"/>
      </w:pPr>
      <w:r>
        <w:rPr>
          <w:rFonts w:ascii="Times New Roman" w:hAnsi="Times New Roman"/>
          <w:b/>
          <w:sz w:val="18"/>
        </w:rPr>
        <w:t xml:space="preserve">Abstract— </w:t>
      </w:r>
      <w:r>
        <w:rPr>
          <w:rFonts w:ascii="Times New Roman" w:hAnsi="Times New Roman"/>
          <w:sz w:val="17"/>
        </w:rPr>
        <w:t>Accurate estimation of surface soil moisture (0–5 cm depth) is essential for agro-ecological resilience, numerical weather forecasting, and hydrological drought early warning. While NASA's Soil Moisture Active Passive (SMAP) Level-4 data product provides 3-hourly 9 km EASE-grid geophysical assimilations, extracting high-accuracy surface moisture across climatically volatile terrains presents non-linear challenges. In a foundational benchmark study (Singh et al., Advances in Space Research, 2025), a Gradient Boosting Regressor (GBR) coupled with an embedded Random Forest feature selector was demonstrated. However, validation revealed two critical limitations: (i) an inductive bias ceiling in single-tree boosting that induced prediction divergence in the mid-range moisture band (0.2–0.6 m³/m³) across semi-arid and industrial zones, and (ii) the omission of governing vertical hydraulic gradients and surface energy balance dynamics. In this research, we develop a comprehensive physics-informed machine learning architecture that systematically overcomes these limitations. First, domain-guided physical feature engineering introduces five vertical hydraulic and thermodynamic interaction terms derived from Darcy's unsaturated flow law, storage deficits, and aerodynamic heat fluxes. Second, a multi-tier Heterogeneous Stacking Ensemble (Super Learner) combines Gradient Boosting, LightGBM (leaf-wise histogram splits), XGBoost (second-order Hessian optimization), and a variance-stabilizing Random Forest beneath a cross-validated RidgeCV meta-learner. Evaluated across 17,145 authentic NASA Earthdata observations spanning seven distinct agro-climatic stations in Gujarat, India (Bhuj, Idar, Ankleshwar, Bhavnagar, Jamnagar, Vapi, and Palanpur), the proposed enhanced architecture achieves remarkable performance: MSE = 4.49845 × 10⁻⁶ m³/m³, MAE = 0.00131 m³/m³, and R² = 0.9997. This delivers a substantial 77.87% reduction in MSE and a 56.77% reduction in MAE over the baseline GBR model, while completely eliminating the mid-range divergence anomaly. Furthermore, the stacking ensemble operates with an optimal memory footprint (~2.5 GB RAM compared to &gt;10 GB for unpruned Random Forests), establishing an ideal framework for real-time operational satellite observation pipelines.</w:t>
      </w:r>
    </w:p>
    <w:p>
      <w:pPr>
        <w:spacing w:before="40" w:after="120" w:line="252" w:lineRule="auto"/>
        <w:jc w:val="both"/>
      </w:pPr>
      <w:r>
        <w:rPr>
          <w:rFonts w:ascii="Times New Roman" w:hAnsi="Times New Roman"/>
          <w:b/>
          <w:sz w:val="18"/>
        </w:rPr>
        <w:t xml:space="preserve">Index Terms— </w:t>
      </w:r>
      <w:r>
        <w:rPr>
          <w:rFonts w:ascii="Times New Roman" w:hAnsi="Times New Roman"/>
          <w:i/>
          <w:sz w:val="17"/>
        </w:rPr>
        <w:t>NASA SMAP satellite, surface soil moisture, physics-informed machine learning, Darcy's law, heterogeneous stacking ensemble, Super Learner, Gradient Boosting, LightGBM, XGBoost, Gujarat agro-climatology.</w:t>
      </w:r>
    </w:p>
    <w:p>
      <w:pPr>
        <w:keepNext/>
        <w:spacing w:before="160" w:after="60"/>
        <w:jc w:val="center"/>
      </w:pPr>
      <w:r>
        <w:rPr>
          <w:rFonts w:ascii="Times New Roman" w:hAnsi="Times New Roman"/>
          <w:b/>
          <w:color w:val="003366"/>
          <w:sz w:val="20"/>
        </w:rPr>
        <w:t>I. INTRODUCTION</w:t>
      </w:r>
    </w:p>
    <w:p>
      <w:pPr>
        <w:spacing w:before="0" w:after="40" w:line="252" w:lineRule="auto"/>
        <w:ind w:firstLine="202"/>
        <w:jc w:val="both"/>
      </w:pPr>
      <w:r>
        <w:rPr>
          <w:rFonts w:ascii="Times New Roman" w:hAnsi="Times New Roman"/>
          <w:color w:val="141414"/>
          <w:sz w:val="20"/>
        </w:rPr>
        <w:t>Soil moisture is a pivotal state variable in the terrestrial water cycle, modulating the partition of incoming solar net radiation into sensible and latent heat fluxes, governing evapotranspiration rates, and directly driving agricultural crop productivity and groundwater recharge (Hatfield et al., 2001; Dobriyal et al., 2012). In recent decades, anthropogenic climate warming and altered monsoon circulation patterns have intensified hydrological extremes across South Asia, manifesting as unseasonal torrential downpours, flash floods, and prolonged agricultural droughts. Consequently, high-frequency, reliable, and continuous spatial-temporal monitoring of surface soil moisture (0–5 cm depth) has emerged as an indispensable requirement for disaster mitigation, irrigation scheduling, and climate adaptation policies.</w:t>
      </w:r>
    </w:p>
    <w:p>
      <w:pPr>
        <w:spacing w:before="0" w:after="40" w:line="252" w:lineRule="auto"/>
        <w:ind w:firstLine="202"/>
        <w:jc w:val="both"/>
      </w:pPr>
      <w:r>
        <w:rPr>
          <w:rFonts w:ascii="Times New Roman" w:hAnsi="Times New Roman"/>
          <w:color w:val="141414"/>
          <w:sz w:val="20"/>
        </w:rPr>
        <w:t>Spaceborne remote sensing provides an unmatched capability to observe terrestrial surface dynamics at regional and global scales. In particular, microwave radiometry and radar operating within the low-frequency L-band (1.4 GHz) have become the gold standard for soil moisture retrieval due to their unique physical capacity to penetrate cloud cover, light precipitation, and moderate vegetation canopies under all-weather day-and-night conditions (Entekhabi et al., 2010). NASA's Soil Moisture Active Passive (SMAP) satellite mission, launched in 2015, represents a landmark achievement in orbital microwave remote sensing. Utilizing an advanced Ensemble Kalman Filter (EnKF) land data assimilation system, the SMAP Level-4 Surface and Root Zone Soil Moisture (SPL4SMGP) product merges L-band brightness temperatures with the Goddard Earth Observing System (GEOS-5) Catchment Land Surface Model, generating 3-hourly globally gridded estimates of surface and root-zone soil moisture at a 9 km Equal-Area Scalable Earth (EASE-Grid 2.0) resolution (Reichle et al., 2014).</w:t>
      </w:r>
    </w:p>
    <w:p>
      <w:pPr>
        <w:spacing w:before="0" w:after="40" w:line="252" w:lineRule="auto"/>
        <w:ind w:firstLine="202"/>
        <w:jc w:val="both"/>
      </w:pPr>
      <w:r>
        <w:rPr>
          <w:rFonts w:ascii="Times New Roman" w:hAnsi="Times New Roman"/>
          <w:color w:val="141414"/>
          <w:sz w:val="20"/>
        </w:rPr>
        <w:t>Despite the extensive availability of NASA SMAP assimilations, direct application of raw satellite observations to localized agro-ecological monitoring encounters several challenges. Spaceborne microwave measurements are inherently susceptible to radio-frequency interference (RFI), dense vegetation attenuation, variable surface roughness, and sub-pixel topographic heterogeneity. Consequently, substantial efforts have been directed toward post-processing, calibration, and predictive modeling using data-driven machine learning algorithms (Suganeshwari and Divya, 2024; Rouzegari et al., 2025).</w:t>
      </w:r>
    </w:p>
    <w:p>
      <w:pPr>
        <w:spacing w:before="0" w:after="40" w:line="252" w:lineRule="auto"/>
        <w:ind w:firstLine="202"/>
        <w:jc w:val="both"/>
      </w:pPr>
      <w:r>
        <w:rPr>
          <w:rFonts w:ascii="Times New Roman" w:hAnsi="Times New Roman"/>
          <w:color w:val="141414"/>
          <w:sz w:val="20"/>
        </w:rPr>
        <w:t>In a prominent baseline study, Singh et al. (Advances in Space Research, 2025; DOI: 10.1016/j.asr.2025.10.101) developed an automated prediction framework utilizing 44 geophysical parameters extracted from NASA SMAP Level-4 products across seven distinct geographic regions in Gujarat, India (Bhuj, Idar, Ankleshwar, Bhavnagar, Jamnagar, Vapi, and Palanpur). The authors applied an embedded Random Forest feature selection technique to isolate an optimal 14-variable subset, followed by a Gradient Boosting Regressor (GBR) optimized via 5-fold cross-validated grid search. Their reported results demonstrated commendable performance, achieving an MSE of ~1.297 × 10⁻⁴ m³/m³ and an R² of 0.9965, outperforming standard Ordinary Least Squares (OLS) and Lasso regularized regression.</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IDENTIFIED GAP FROM BASELINE PAPER: </w:t>
            </w:r>
            <w:r>
              <w:rPr>
                <w:rFonts w:ascii="Times New Roman" w:hAnsi="Times New Roman"/>
                <w:color w:val="1E1E1E"/>
                <w:sz w:val="16"/>
              </w:rPr>
              <w:t>Singh et al. (2025) explicitly acknowledged a critical technical limitation: 'In semi-arid, industrial, and coastal regions (specifically Bhuj, Ankleshwar, and Jamnagar), the Gradient Boosting Regressor exhibited moderate divergence from true satellite observations within the mid-range moisture band (0.2–0.6 m³/m³).' The authors recommended investigating advanced meta-ensemble and hybrid architectures in future work.</w:t>
            </w:r>
          </w:p>
        </w:tc>
      </w:tr>
    </w:tbl>
    <w:p>
      <w:pPr>
        <w:spacing w:before="0" w:after="40"/>
      </w:pPr>
    </w:p>
    <w:p>
      <w:pPr>
        <w:spacing w:before="0" w:after="40" w:line="252" w:lineRule="auto"/>
        <w:ind w:firstLine="202"/>
        <w:jc w:val="both"/>
      </w:pPr>
      <w:r>
        <w:rPr>
          <w:rFonts w:ascii="Times New Roman" w:hAnsi="Times New Roman"/>
          <w:color w:val="141414"/>
          <w:sz w:val="20"/>
        </w:rPr>
        <w:t>A rigorous scientific autopsy of the baseline GBR framework reveals three fundamental deficiencies that explain this mid-range divergence:</w:t>
      </w:r>
    </w:p>
    <w:p>
      <w:pPr>
        <w:spacing w:before="0" w:after="40" w:line="252" w:lineRule="auto"/>
        <w:ind w:firstLine="202"/>
        <w:jc w:val="both"/>
      </w:pPr>
      <w:r>
        <w:rPr>
          <w:rFonts w:ascii="Times New Roman" w:hAnsi="Times New Roman"/>
          <w:color w:val="141414"/>
          <w:sz w:val="20"/>
        </w:rPr>
        <w:t>1) Absence of Domain-Guided Physical Interaction Terms: Purely statistical regressors treat geophysical parameters as decoupled orthogonal dimensions, ignoring Darcy's law of unsaturated porous flow, vertical hydraulic suction gradients, and boundary-layer thermal ventilation.</w:t>
      </w:r>
    </w:p>
    <w:p>
      <w:pPr>
        <w:spacing w:before="0" w:after="40" w:line="252" w:lineRule="auto"/>
        <w:ind w:firstLine="202"/>
        <w:jc w:val="both"/>
      </w:pPr>
      <w:r>
        <w:rPr>
          <w:rFonts w:ascii="Times New Roman" w:hAnsi="Times New Roman"/>
          <w:color w:val="141414"/>
          <w:sz w:val="20"/>
        </w:rPr>
        <w:t>2) Inductive Bias Ceiling of Single-Tree Boosting: Gradient Boosting builds trees sequentially via greedy axis-aligned orthogonal splits. While effective at reducing bias, single-tree boosting exhibits high sensitivity to regional covariate shift and lacks architectural diversity on complex non-linear response surfaces.</w:t>
      </w:r>
    </w:p>
    <w:p>
      <w:pPr>
        <w:spacing w:before="0" w:after="40" w:line="252" w:lineRule="auto"/>
        <w:ind w:firstLine="202"/>
        <w:jc w:val="both"/>
      </w:pPr>
      <w:r>
        <w:rPr>
          <w:rFonts w:ascii="Times New Roman" w:hAnsi="Times New Roman"/>
          <w:color w:val="141414"/>
          <w:sz w:val="20"/>
        </w:rPr>
        <w:t>3) Reliance on Static Offline Data: Historical analyses relied on pre-downloaded, static CSV extractions lacking automated synchronization with NASA Earthdata Cloud systems, preventing operational assimilation.</w:t>
      </w:r>
    </w:p>
    <w:p>
      <w:pPr>
        <w:spacing w:before="0" w:after="40" w:line="252" w:lineRule="auto"/>
        <w:ind w:firstLine="202"/>
        <w:jc w:val="both"/>
      </w:pPr>
      <w:r>
        <w:rPr>
          <w:rFonts w:ascii="Times New Roman" w:hAnsi="Times New Roman"/>
          <w:color w:val="141414"/>
          <w:sz w:val="20"/>
        </w:rPr>
        <w:t>To systematically address these bottlenecks, this paper presents an end-to-end enhanced framework featuring three major contributions: (i) Domain-guided physical feature engineering injecting Darcy hydraulic and surface energy coupling terms; (ii) A Heterogeneous Stacking Super Learner combining GBR, LightGBM, XGBoost, and Random Forest beneath a RidgeCV meta-learner; and (iii) 100% authentic NASA Earthdata Cloud OAuth2 data ingestion evaluated across 17,145 genuine observations.</w:t>
      </w:r>
    </w:p>
    <w:p>
      <w:pPr>
        <w:keepNext/>
        <w:spacing w:before="160" w:after="60"/>
        <w:jc w:val="center"/>
      </w:pPr>
      <w:r>
        <w:rPr>
          <w:rFonts w:ascii="Times New Roman" w:hAnsi="Times New Roman"/>
          <w:b/>
          <w:color w:val="003366"/>
          <w:sz w:val="20"/>
        </w:rPr>
        <w:t>II. STUDY LOCATIONS AND REGIONAL CLIMATOLOGY</w:t>
      </w:r>
    </w:p>
    <w:p>
      <w:pPr>
        <w:spacing w:before="0" w:after="40" w:line="252" w:lineRule="auto"/>
        <w:ind w:firstLine="202"/>
        <w:jc w:val="both"/>
      </w:pPr>
      <w:r>
        <w:rPr>
          <w:rFonts w:ascii="Times New Roman" w:hAnsi="Times New Roman"/>
          <w:color w:val="141414"/>
          <w:sz w:val="20"/>
        </w:rPr>
        <w:t>The state of Gujarat, situated on the western coast of India, provides a uniquely demanding testbed for satellite soil moisture modeling. Gujarat encompasses diverse geographic terrains, ranging from hyper-arid salt flats and desert transition zones in the north and northwest, to fertile alluvial central plains, rugged granitic uplands in the northeast, and humid coastal river deltas in the south. To ensure comprehensive validation across heterogeneous environmental regimes, seven distinct geographic stations were selected following the exact spatial protocol of Singh et al. (2025) (Table I and Fig. 1).</w:t>
      </w:r>
    </w:p>
    <w:p>
      <w:pPr>
        <w:spacing w:before="0" w:after="40" w:line="252" w:lineRule="auto"/>
        <w:ind w:firstLine="202"/>
        <w:jc w:val="both"/>
      </w:pPr>
      <w:r>
        <w:rPr>
          <w:rFonts w:ascii="Times New Roman" w:hAnsi="Times New Roman"/>
          <w:color w:val="141414"/>
          <w:sz w:val="20"/>
        </w:rPr>
        <w:t>1) Bhuj (23.2531°N, 69.6693°E): Located in the Kutch district, Bhuj is characterized by arid to semi-arid lowlands bordered by the Great Rann of Kutch. The regional climate is marked by intense summer solar radiation, low annual precipitation (&lt;350 mm), and high evaporative demand. The soil consists predominantly of sandy loam with low organic content, resulting in rapid moisture depletion following episodic monsoon rain events.</w:t>
      </w:r>
    </w:p>
    <w:p>
      <w:pPr>
        <w:spacing w:before="0" w:after="40" w:line="252" w:lineRule="auto"/>
        <w:ind w:firstLine="202"/>
        <w:jc w:val="both"/>
      </w:pPr>
      <w:r>
        <w:rPr>
          <w:rFonts w:ascii="Times New Roman" w:hAnsi="Times New Roman"/>
          <w:color w:val="141414"/>
          <w:sz w:val="20"/>
        </w:rPr>
        <w:t>2) Idar (23.8481°N, 73.0024°E): Situated in the Sabarkantha district, Idar features rugged granitic topography, elevated rock formations, and tropical savanna vegetation. Annual precipitation averages ~750 mm. The surrounding agricultural valleys possess well-drained loamy soils capable of maintaining sustained root-zone water storage.</w:t>
      </w:r>
    </w:p>
    <w:p>
      <w:pPr>
        <w:spacing w:before="0" w:after="40" w:line="252" w:lineRule="auto"/>
        <w:ind w:firstLine="202"/>
        <w:jc w:val="both"/>
      </w:pPr>
      <w:r>
        <w:rPr>
          <w:rFonts w:ascii="Times New Roman" w:hAnsi="Times New Roman"/>
          <w:color w:val="141414"/>
          <w:sz w:val="20"/>
        </w:rPr>
        <w:t>3) Ankleshwar (21.6019°N, 73.0032°E): Positioned in the Narmada-Tapi alluvial basin, Ankleshwar is a globally recognized industrial hub with dense chemical complexes. The landscape comprises flat alluvial plains with deep vertic black cotton soils exhibiting high clay content, notable swelling-shrinkage cycles, and modified micro-meteorological surface heat fluxes.</w:t>
      </w:r>
    </w:p>
    <w:p>
      <w:pPr>
        <w:spacing w:before="0" w:after="40" w:line="252" w:lineRule="auto"/>
        <w:ind w:firstLine="202"/>
        <w:jc w:val="both"/>
      </w:pPr>
      <w:r>
        <w:rPr>
          <w:rFonts w:ascii="Times New Roman" w:hAnsi="Times New Roman"/>
          <w:color w:val="141414"/>
          <w:sz w:val="20"/>
        </w:rPr>
        <w:t>4) Bhavnagar (21.7645°N, 72.1519°E): Located on the western shore of the Gulf of Khambhat, Bhavnagar features coastal semi-arid plains influenced by maritime boundary-layer humidity, tidal mudflats, and moderate precipitation (~600 mm). Soil profiles exhibit varying salinity levels and rapid surface moisture flux exchanges.</w:t>
      </w:r>
    </w:p>
    <w:p>
      <w:pPr>
        <w:spacing w:before="0" w:after="40" w:line="252" w:lineRule="auto"/>
        <w:ind w:firstLine="202"/>
        <w:jc w:val="both"/>
      </w:pPr>
      <w:r>
        <w:rPr>
          <w:rFonts w:ascii="Times New Roman" w:hAnsi="Times New Roman"/>
          <w:color w:val="141414"/>
          <w:sz w:val="20"/>
        </w:rPr>
        <w:t>5) Jamnagar (22.4707°N, 70.0577°E): Situated on the southern coast of the Gulf of Kutch, Jamnagar encompasses coastal wetlands, mangrove fringes, and semi-arid scrublands. Rainfall is highly irregular and punctuated by violent cyclonic depressions from the Arabian Sea, creating sharp moisture transients.</w:t>
      </w:r>
    </w:p>
    <w:p>
      <w:pPr>
        <w:spacing w:before="0" w:after="40" w:line="252" w:lineRule="auto"/>
        <w:ind w:firstLine="202"/>
        <w:jc w:val="both"/>
      </w:pPr>
      <w:r>
        <w:rPr>
          <w:rFonts w:ascii="Times New Roman" w:hAnsi="Times New Roman"/>
          <w:color w:val="141414"/>
          <w:sz w:val="20"/>
        </w:rPr>
        <w:t>6) Vapi (20.3893°N, 72.9112°E): Located in the southernmost tip of Gujarat near the Daman border, Vapi is characterized by a humid tropical monsoon climate receiving high annual precipitation exceeding 2,000 mm. The terrain consists of coastal lowlands traversed by tidal estuaries with dense clay-loam soils and heavy seasonal saturation.</w:t>
      </w:r>
    </w:p>
    <w:p>
      <w:pPr>
        <w:spacing w:before="0" w:after="40" w:line="252" w:lineRule="auto"/>
        <w:ind w:firstLine="202"/>
        <w:jc w:val="both"/>
      </w:pPr>
      <w:r>
        <w:rPr>
          <w:rFonts w:ascii="Times New Roman" w:hAnsi="Times New Roman"/>
          <w:color w:val="141414"/>
          <w:sz w:val="20"/>
        </w:rPr>
        <w:t>7) Palanpur (24.1721°N, 72.4286°E): Located in northern Gujarat near the Rajasthan border, Palanpur occupies an arid inland alluvial plain near the Aravalli hills. The region faces severe groundwater table depletion, high summer temperatures (&gt;45°C), and coarse sandy soils with minimal water-holding capacity.</w:t>
      </w:r>
    </w:p>
    <w:p>
      <w:pPr>
        <w:keepNext/>
        <w:spacing w:before="120" w:after="40"/>
        <w:jc w:val="center"/>
      </w:pPr>
      <w:r>
        <w:rPr>
          <w:rFonts w:ascii="Times New Roman" w:hAnsi="Times New Roman"/>
          <w:b/>
          <w:sz w:val="16"/>
        </w:rPr>
        <w:t>TABLE I</w:t>
        <w:br/>
        <w:t>GEOGRAPHIC AND ENVIRONMENTAL PROFILE OF STUDY LOCATIONS</w:t>
      </w:r>
    </w:p>
    <w:tbl>
      <w:tblPr>
        <w:tblW w:type="auto" w:w="0"/>
        <w:jc w:val="center"/>
        <w:tblLook w:firstColumn="1" w:firstRow="1" w:lastColumn="0" w:lastRow="0" w:noHBand="0" w:noVBand="1" w:val="04A0"/>
      </w:tblPr>
      <w:tblGrid>
        <w:gridCol w:w="3480"/>
        <w:gridCol w:w="3480"/>
        <w:gridCol w:w="3480"/>
      </w:tblGrid>
      <w:tr>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Station</w:t>
            </w:r>
          </w:p>
        </w:tc>
        <w:tc>
          <w:tcPr>
            <w:tcW w:type="dxa" w:w="136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Coordinates</w:t>
            </w:r>
          </w:p>
        </w:tc>
        <w:tc>
          <w:tcPr>
            <w:tcW w:type="dxa" w:w="244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Climate, Soil &amp; Hydrological Significance</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Bhuj</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23.25°N, 69.67°E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Arid lowland; sandy loam; rapid hyper-evaporative drying.</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Idar</w:t>
            </w:r>
          </w:p>
        </w:tc>
        <w:tc>
          <w:tcPr>
            <w:tcW w:type="dxa" w:w="136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23.85°N, 73.00°E</w:t>
            </w:r>
          </w:p>
        </w:tc>
        <w:tc>
          <w:tcPr>
            <w:tcW w:type="dxa" w:w="24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Tropical savanna; granitic hills; stable root-zone storage.</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Ankleshwar</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21.60°N, 73.00°E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Hot semi-arid; vertic clay; industrial modified thermal fluxes.</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Bhavnagar</w:t>
            </w:r>
          </w:p>
        </w:tc>
        <w:tc>
          <w:tcPr>
            <w:tcW w:type="dxa" w:w="136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21.76°N, 72.15°E</w:t>
            </w:r>
          </w:p>
        </w:tc>
        <w:tc>
          <w:tcPr>
            <w:tcW w:type="dxa" w:w="24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Coastal semi-arid; saline mudflats; maritime humidity.</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Jamnagar</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22.47°N, 70.06°E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Hot semi-arid; cyclonic rainfall pulses; coastal fringe.</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Vapi</w:t>
            </w:r>
          </w:p>
        </w:tc>
        <w:tc>
          <w:tcPr>
            <w:tcW w:type="dxa" w:w="136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20.39°N, 72.91°E</w:t>
            </w:r>
          </w:p>
        </w:tc>
        <w:tc>
          <w:tcPr>
            <w:tcW w:type="dxa" w:w="24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Tropical monsoon (&gt;2000 mm); dense clay; heavy saturation.</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Palanpur</w:t>
            </w:r>
          </w:p>
        </w:tc>
        <w:tc>
          <w:tcPr>
            <w:tcW w:type="dxa" w:w="136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24.17°N, 72.43°E</w:t>
            </w:r>
          </w:p>
        </w:tc>
        <w:tc>
          <w:tcPr>
            <w:tcW w:type="dxa" w:w="24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Arid transition; deep groundwater drawdown; sandy drainage.</w:t>
            </w:r>
          </w:p>
        </w:tc>
      </w:tr>
    </w:tbl>
    <w:p>
      <w:pPr>
        <w:keepNext/>
        <w:spacing w:before="120" w:after="40"/>
        <w:jc w:val="center"/>
      </w:pPr>
      <w:r>
        <w:drawing>
          <wp:inline xmlns:a="http://schemas.openxmlformats.org/drawingml/2006/main" xmlns:pic="http://schemas.openxmlformats.org/drawingml/2006/picture">
            <wp:extent cx="3108960" cy="2487168"/>
            <wp:docPr id="1" name="Picture 1"/>
            <wp:cNvGraphicFramePr>
              <a:graphicFrameLocks noChangeAspect="1"/>
            </wp:cNvGraphicFramePr>
            <a:graphic>
              <a:graphicData uri="http://schemas.openxmlformats.org/drawingml/2006/picture">
                <pic:pic>
                  <pic:nvPicPr>
                    <pic:cNvPr id="0" name="Fig_1_study_locations_map.png"/>
                    <pic:cNvPicPr/>
                  </pic:nvPicPr>
                  <pic:blipFill>
                    <a:blip r:embed="rId10"/>
                    <a:stretch>
                      <a:fillRect/>
                    </a:stretch>
                  </pic:blipFill>
                  <pic:spPr>
                    <a:xfrm>
                      <a:off x="0" y="0"/>
                      <a:ext cx="3108960" cy="2487168"/>
                    </a:xfrm>
                    <a:prstGeom prst="rect"/>
                  </pic:spPr>
                </pic:pic>
              </a:graphicData>
            </a:graphic>
          </wp:inline>
        </w:drawing>
      </w:r>
    </w:p>
    <w:p>
      <w:pPr>
        <w:spacing w:before="20" w:after="120"/>
        <w:jc w:val="both"/>
      </w:pPr>
      <w:r>
        <w:rPr>
          <w:rFonts w:ascii="Times New Roman" w:hAnsi="Times New Roman"/>
          <w:i/>
          <w:color w:val="1E1E1E"/>
          <w:sz w:val="16"/>
        </w:rPr>
        <w:t>Fig. 1. Spatial distribution of the seven monitored study locations across Gujarat, India, illustrating regional agro-climatic zones and maritime gulfs.</w:t>
      </w:r>
    </w:p>
    <w:p>
      <w:pPr>
        <w:keepNext/>
        <w:spacing w:before="160" w:after="60"/>
        <w:jc w:val="center"/>
      </w:pPr>
      <w:r>
        <w:rPr>
          <w:rFonts w:ascii="Times New Roman" w:hAnsi="Times New Roman"/>
          <w:b/>
          <w:color w:val="003366"/>
          <w:sz w:val="20"/>
        </w:rPr>
        <w:t>III. METHODOLOGY AND THEORETICAL FORMULATION</w:t>
      </w:r>
    </w:p>
    <w:p>
      <w:pPr>
        <w:keepNext/>
        <w:spacing w:before="120" w:after="40"/>
        <w:jc w:val="left"/>
      </w:pPr>
      <w:r>
        <w:rPr>
          <w:rFonts w:ascii="Times New Roman" w:hAnsi="Times New Roman"/>
          <w:b/>
          <w:i/>
          <w:color w:val="141414"/>
          <w:sz w:val="19"/>
        </w:rPr>
        <w:t>A. NASA SMAP Dataset and OAuth2 Cloud Ingestion Pipeline</w:t>
      </w:r>
    </w:p>
    <w:p>
      <w:pPr>
        <w:spacing w:before="0" w:after="40" w:line="252" w:lineRule="auto"/>
        <w:ind w:firstLine="202"/>
        <w:jc w:val="both"/>
      </w:pPr>
      <w:r>
        <w:rPr>
          <w:rFonts w:ascii="Times New Roman" w:hAnsi="Times New Roman"/>
          <w:color w:val="141414"/>
          <w:sz w:val="20"/>
        </w:rPr>
        <w:t>NASA SMAP Level-4 Global 3-hourly 9 km EASE-Grid Surface and Root Zone Soil Moisture Analysis data (SPL4SMGP V008) constitutes the primary observational foundation of this research. The L4_SM algorithm assimilates L-band brightness temperatures from descending (06:00 AM) and ascending (06:00 PM) orbital half-orbits into the Catchment Land Surface Model forced with observation-corrected surface meteorological fluxes (Reichle et al., 2014). Each granule contains 44 distinct geophysical parameters across 1-D geophysical arrays (see Appendix A for the complete 44-feature catalog).</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PIPELINE IMPROVEMENT: AUTHENTIC NASA CLOUD INGESTION: </w:t>
            </w:r>
            <w:r>
              <w:rPr>
                <w:rFonts w:ascii="Times New Roman" w:hAnsi="Times New Roman"/>
                <w:color w:val="1E1E1E"/>
                <w:sz w:val="16"/>
              </w:rPr>
              <w:t>Original Limitation: Baseline research accessed SMAP granules via historical offline downloads without documented authentication protocols.</w:t>
              <w:br/>
              <w:t>Technical Enhancement: We engineered an automated cloud ingestion client (smap_data_engine.py) interfacing NASA Earthdata Cloud via OAuth2 bearer token authentication and the Common Metadata Repository (CMR) REST API, enabling deterministic streaming of validated granules directly into memory.</w:t>
            </w:r>
          </w:p>
        </w:tc>
      </w:tr>
    </w:tbl>
    <w:p>
      <w:pPr>
        <w:spacing w:before="0" w:after="40"/>
      </w:pPr>
    </w:p>
    <w:p>
      <w:pPr>
        <w:keepNext/>
        <w:spacing w:before="120" w:after="40"/>
        <w:jc w:val="left"/>
      </w:pPr>
      <w:r>
        <w:rPr>
          <w:rFonts w:ascii="Times New Roman" w:hAnsi="Times New Roman"/>
          <w:b/>
          <w:i/>
          <w:color w:val="141414"/>
          <w:sz w:val="19"/>
        </w:rPr>
        <w:t>B. Data Preprocessing and Imputation Protocol</w:t>
      </w:r>
    </w:p>
    <w:p>
      <w:pPr>
        <w:spacing w:before="0" w:after="40" w:line="252" w:lineRule="auto"/>
        <w:ind w:firstLine="202"/>
        <w:jc w:val="both"/>
      </w:pPr>
      <w:r>
        <w:rPr>
          <w:rFonts w:ascii="Times New Roman" w:hAnsi="Times New Roman"/>
          <w:color w:val="141414"/>
          <w:sz w:val="20"/>
        </w:rPr>
        <w:t>Raw spaceborne HDF5 datasets contain invalid values and sensor artifacts designated by the missing data flag -9999.0. Consistent with rigorous remote sensing standards and the foundational protocol established by Singh et al. (2025), a standardized two-step preprocessing procedure is enforced: (1) Target Null Filtering: Any record where surface volumetric soil moisture (sm_surface, 0–5 cm depth) is equal to -9999.0 or is NaN is strictly dropped; and (2) Column-Wise Arithmetic Mean Imputation: Missing predictor values are imputed using column-wise arithmetic means (Eq. 1):</w:t>
      </w:r>
    </w:p>
    <w:p>
      <w:pPr>
        <w:spacing w:before="60" w:after="60" w:line="252" w:lineRule="auto"/>
        <w:jc w:val="center"/>
      </w:pPr>
      <w:r>
        <w:rPr>
          <w:rFonts w:ascii="Times New Roman" w:hAnsi="Times New Roman"/>
          <w:i/>
          <w:sz w:val="18"/>
        </w:rPr>
        <w:t xml:space="preserve">  x̄_j = (1 / n_valid) * ∑_{i=1}^{n_valid} x_{i,j}</w:t>
      </w:r>
      <w:r>
        <w:rPr>
          <w:rFonts w:ascii="Times New Roman" w:hAnsi="Times New Roman"/>
          <w:b/>
          <w:i w:val="0"/>
          <w:sz w:val="18"/>
        </w:rPr>
        <w:t xml:space="preserve">    (1)</w:t>
      </w:r>
    </w:p>
    <w:p>
      <w:pPr>
        <w:keepNext/>
        <w:spacing w:before="120" w:after="40"/>
        <w:jc w:val="left"/>
      </w:pPr>
      <w:r>
        <w:rPr>
          <w:rFonts w:ascii="Times New Roman" w:hAnsi="Times New Roman"/>
          <w:b/>
          <w:i/>
          <w:color w:val="141414"/>
          <w:sz w:val="19"/>
        </w:rPr>
        <w:t>C. Embedded Random Forest Feature Selection</w:t>
      </w:r>
    </w:p>
    <w:p>
      <w:pPr>
        <w:spacing w:before="0" w:after="40" w:line="252" w:lineRule="auto"/>
        <w:ind w:firstLine="202"/>
        <w:jc w:val="both"/>
      </w:pPr>
      <w:r>
        <w:rPr>
          <w:rFonts w:ascii="Times New Roman" w:hAnsi="Times New Roman"/>
          <w:color w:val="141414"/>
          <w:sz w:val="20"/>
        </w:rPr>
        <w:t>To identify the most influential geophysical drivers of surface soil moisture and eliminate collinear noise from the 44-dimensional feature space, an Embedded Random Forest Regressor was deployed. Random Forest is an ensemble of decorrelated decision trees constructed through bootstrap aggregating (bagging) with random feature subspace selection (Breiman, 2001).</w:t>
      </w:r>
    </w:p>
    <w:p>
      <w:pPr>
        <w:spacing w:before="0" w:after="40" w:line="252" w:lineRule="auto"/>
        <w:ind w:firstLine="202"/>
        <w:jc w:val="both"/>
      </w:pPr>
      <w:r>
        <w:rPr>
          <w:rFonts w:ascii="Times New Roman" w:hAnsi="Times New Roman"/>
          <w:color w:val="141414"/>
          <w:sz w:val="20"/>
        </w:rPr>
        <w:t>Each constituent decision tree partitions the continuous multi-dimensional input space into L mutually exclusive orthogonal regions R_l (Eq. 2):</w:t>
      </w:r>
    </w:p>
    <w:p>
      <w:pPr>
        <w:spacing w:before="60" w:after="60" w:line="252" w:lineRule="auto"/>
        <w:jc w:val="center"/>
      </w:pPr>
      <w:r>
        <w:rPr>
          <w:rFonts w:ascii="Times New Roman" w:hAnsi="Times New Roman"/>
          <w:i/>
          <w:sz w:val="18"/>
        </w:rPr>
        <w:t xml:space="preserve">  f_tree(x) = ∑_{l=1}^{L} c_l * I(x ∈ R_l)</w:t>
      </w:r>
      <w:r>
        <w:rPr>
          <w:rFonts w:ascii="Times New Roman" w:hAnsi="Times New Roman"/>
          <w:b/>
          <w:i w:val="0"/>
          <w:sz w:val="18"/>
        </w:rPr>
        <w:t xml:space="preserve">    (2)</w:t>
      </w:r>
    </w:p>
    <w:p>
      <w:pPr>
        <w:spacing w:before="0" w:after="40" w:line="252" w:lineRule="auto"/>
        <w:ind w:firstLine="202"/>
        <w:jc w:val="both"/>
      </w:pPr>
      <w:r>
        <w:rPr>
          <w:rFonts w:ascii="Times New Roman" w:hAnsi="Times New Roman"/>
          <w:color w:val="141414"/>
          <w:sz w:val="20"/>
        </w:rPr>
        <w:t>where I(·) is the indicator function returning 1 if x falls into region R_l, and c_l is the modeled constant value. The split criterion at each internal node minimizes the variance (impurity) of the target response:</w:t>
      </w:r>
    </w:p>
    <w:p>
      <w:pPr>
        <w:spacing w:before="60" w:after="60" w:line="252" w:lineRule="auto"/>
        <w:jc w:val="center"/>
      </w:pPr>
      <w:r>
        <w:rPr>
          <w:rFonts w:ascii="Times New Roman" w:hAnsi="Times New Roman"/>
          <w:i/>
          <w:sz w:val="18"/>
        </w:rPr>
        <w:t xml:space="preserve">  ΔI(v) = Var(S) - [ (|S_L| / |S|) * Var(S_L) + (|S_R| / |S|) * Var(S_R) ]</w:t>
      </w:r>
      <w:r>
        <w:rPr>
          <w:rFonts w:ascii="Times New Roman" w:hAnsi="Times New Roman"/>
          <w:b/>
          <w:i w:val="0"/>
          <w:sz w:val="18"/>
        </w:rPr>
        <w:t xml:space="preserve">    (3)</w:t>
      </w:r>
    </w:p>
    <w:p>
      <w:pPr>
        <w:spacing w:before="0" w:after="40" w:line="252" w:lineRule="auto"/>
        <w:ind w:firstLine="202"/>
        <w:jc w:val="both"/>
      </w:pPr>
      <w:r>
        <w:rPr>
          <w:rFonts w:ascii="Times New Roman" w:hAnsi="Times New Roman"/>
          <w:color w:val="141414"/>
          <w:sz w:val="20"/>
        </w:rPr>
        <w:t>Feature importance scores are computed via Mean Decrease in Impurity (MDI). Evaluating prediction error as a function of feature count (Fig. 2 and Fig. 3) reveals an initial sharp drop in Mean Squared Error as the number of features increases from 1 to 14, followed by an error plateau between 14 and 21 features. Consistent with the Pareto principle of model parsimony and the exact findings of Singh et al. (2025), an optimal 14-variable subset was isolated (Table II).</w:t>
      </w:r>
    </w:p>
    <w:p>
      <w:pPr>
        <w:keepNext/>
        <w:spacing w:before="120" w:after="40"/>
        <w:jc w:val="center"/>
      </w:pPr>
      <w:r>
        <w:drawing>
          <wp:inline xmlns:a="http://schemas.openxmlformats.org/drawingml/2006/main" xmlns:pic="http://schemas.openxmlformats.org/drawingml/2006/picture">
            <wp:extent cx="3108960" cy="1399032"/>
            <wp:docPr id="2" name="Picture 2"/>
            <wp:cNvGraphicFramePr>
              <a:graphicFrameLocks noChangeAspect="1"/>
            </wp:cNvGraphicFramePr>
            <a:graphic>
              <a:graphicData uri="http://schemas.openxmlformats.org/drawingml/2006/picture">
                <pic:pic>
                  <pic:nvPicPr>
                    <pic:cNvPr id="0" name="Fig_2_feature_selection_schematic.png"/>
                    <pic:cNvPicPr/>
                  </pic:nvPicPr>
                  <pic:blipFill>
                    <a:blip r:embed="rId11"/>
                    <a:stretch>
                      <a:fillRect/>
                    </a:stretch>
                  </pic:blipFill>
                  <pic:spPr>
                    <a:xfrm>
                      <a:off x="0" y="0"/>
                      <a:ext cx="3108960" cy="1399032"/>
                    </a:xfrm>
                    <a:prstGeom prst="rect"/>
                  </pic:spPr>
                </pic:pic>
              </a:graphicData>
            </a:graphic>
          </wp:inline>
        </w:drawing>
      </w:r>
    </w:p>
    <w:p>
      <w:pPr>
        <w:spacing w:before="20" w:after="120"/>
        <w:jc w:val="both"/>
      </w:pPr>
      <w:r>
        <w:rPr>
          <w:rFonts w:ascii="Times New Roman" w:hAnsi="Times New Roman"/>
          <w:i/>
          <w:color w:val="1E1E1E"/>
          <w:sz w:val="16"/>
        </w:rPr>
        <w:t>Fig. 2. Methodological schematic of Embedded Random Forest feature selection based on Mean Decrease in Impurity (MDI).</w:t>
      </w:r>
    </w:p>
    <w:p>
      <w:pPr>
        <w:keepNext/>
        <w:spacing w:before="120" w:after="40"/>
        <w:jc w:val="center"/>
      </w:pPr>
      <w:r>
        <w:drawing>
          <wp:inline xmlns:a="http://schemas.openxmlformats.org/drawingml/2006/main" xmlns:pic="http://schemas.openxmlformats.org/drawingml/2006/picture">
            <wp:extent cx="3108960" cy="2137410"/>
            <wp:docPr id="3" name="Picture 3"/>
            <wp:cNvGraphicFramePr>
              <a:graphicFrameLocks noChangeAspect="1"/>
            </wp:cNvGraphicFramePr>
            <a:graphic>
              <a:graphicData uri="http://schemas.openxmlformats.org/drawingml/2006/picture">
                <pic:pic>
                  <pic:nvPicPr>
                    <pic:cNvPr id="0" name="Fig_3_error_vs_feature_count.png"/>
                    <pic:cNvPicPr/>
                  </pic:nvPicPr>
                  <pic:blipFill>
                    <a:blip r:embed="rId12"/>
                    <a:stretch>
                      <a:fillRect/>
                    </a:stretch>
                  </pic:blipFill>
                  <pic:spPr>
                    <a:xfrm>
                      <a:off x="0" y="0"/>
                      <a:ext cx="3108960" cy="2137410"/>
                    </a:xfrm>
                    <a:prstGeom prst="rect"/>
                  </pic:spPr>
                </pic:pic>
              </a:graphicData>
            </a:graphic>
          </wp:inline>
        </w:drawing>
      </w:r>
    </w:p>
    <w:p>
      <w:pPr>
        <w:spacing w:before="20" w:after="120"/>
        <w:jc w:val="both"/>
      </w:pPr>
      <w:r>
        <w:rPr>
          <w:rFonts w:ascii="Times New Roman" w:hAnsi="Times New Roman"/>
          <w:i/>
          <w:color w:val="1E1E1E"/>
          <w:sz w:val="16"/>
        </w:rPr>
        <w:t>Fig. 3. Prediction error (MSE) as a function of feature count, demonstrating error minimization and stabilization at 14 variables.</w:t>
      </w:r>
    </w:p>
    <w:p>
      <w:pPr>
        <w:keepNext/>
        <w:spacing w:before="120" w:after="40"/>
        <w:jc w:val="center"/>
      </w:pPr>
      <w:r>
        <w:drawing>
          <wp:inline xmlns:a="http://schemas.openxmlformats.org/drawingml/2006/main" xmlns:pic="http://schemas.openxmlformats.org/drawingml/2006/picture">
            <wp:extent cx="3108960" cy="2194560"/>
            <wp:docPr id="4" name="Picture 4"/>
            <wp:cNvGraphicFramePr>
              <a:graphicFrameLocks noChangeAspect="1"/>
            </wp:cNvGraphicFramePr>
            <a:graphic>
              <a:graphicData uri="http://schemas.openxmlformats.org/drawingml/2006/picture">
                <pic:pic>
                  <pic:nvPicPr>
                    <pic:cNvPr id="0" name="Fig_4_feature_correlations_with_target.png"/>
                    <pic:cNvPicPr/>
                  </pic:nvPicPr>
                  <pic:blipFill>
                    <a:blip r:embed="rId13"/>
                    <a:stretch>
                      <a:fillRect/>
                    </a:stretch>
                  </pic:blipFill>
                  <pic:spPr>
                    <a:xfrm>
                      <a:off x="0" y="0"/>
                      <a:ext cx="3108960" cy="2194560"/>
                    </a:xfrm>
                    <a:prstGeom prst="rect"/>
                  </pic:spPr>
                </pic:pic>
              </a:graphicData>
            </a:graphic>
          </wp:inline>
        </w:drawing>
      </w:r>
    </w:p>
    <w:p>
      <w:pPr>
        <w:spacing w:before="20" w:after="120"/>
        <w:jc w:val="both"/>
      </w:pPr>
      <w:r>
        <w:rPr>
          <w:rFonts w:ascii="Times New Roman" w:hAnsi="Times New Roman"/>
          <w:i/>
          <w:color w:val="1E1E1E"/>
          <w:sz w:val="16"/>
        </w:rPr>
        <w:t>Fig. 4. Pearson correlation coefficients of candidate geophysical variables with surface soil moisture (sm_surface).</w:t>
      </w:r>
    </w:p>
    <w:p>
      <w:pPr>
        <w:keepNext/>
        <w:spacing w:before="120" w:after="40"/>
        <w:jc w:val="center"/>
      </w:pPr>
      <w:r>
        <w:rPr>
          <w:rFonts w:ascii="Times New Roman" w:hAnsi="Times New Roman"/>
          <w:b/>
          <w:sz w:val="16"/>
        </w:rPr>
        <w:t>TABLE II</w:t>
        <w:br/>
        <w:t>TOP 14 SELECTED GEOPHYSICAL PREDICTORS IDENTIFIED VIA RANDOM FOREST</w:t>
      </w:r>
    </w:p>
    <w:tbl>
      <w:tblPr>
        <w:tblW w:type="auto" w:w="0"/>
        <w:jc w:val="center"/>
        <w:tblLook w:firstColumn="1" w:firstRow="1" w:lastColumn="0" w:lastRow="0" w:noHBand="0" w:noVBand="1" w:val="04A0"/>
      </w:tblPr>
      <w:tblGrid>
        <w:gridCol w:w="3480"/>
        <w:gridCol w:w="3480"/>
        <w:gridCol w:w="3480"/>
      </w:tblGrid>
      <w:tr>
        <w:tc>
          <w:tcPr>
            <w:tcW w:type="dxa" w:w="1872"/>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Variable Key</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Units</w:t>
            </w:r>
          </w:p>
        </w:tc>
        <w:tc>
          <w:tcPr>
            <w:tcW w:type="dxa" w:w="208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Primary Hydrological Role</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sm_surface_wetness</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Surface boundary-layer saturation state.</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land_fraction_unsaturated</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Unexhausted infiltration storage capacity.</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sm_rootzone</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m³/m³</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Subsurface reservoir supplying capillary draw.</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overland_runoff_flux</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kg/m²/s</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Surface water loss preventing infiltration.</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precipitation_total_surface_flux</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kg/m²/s</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Primary external episodic water influx.</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windspeed_lowatmmodlay</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m/s</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Aerodynamic vapor transfer &amp; drying.</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heat_flux_ground</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Thermal energy driver modulating evaporation.</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vegetation_greenness_fraction</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Canopy interception and transpiration.</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soil_temp_layer3</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Root-zone thermal inertia at 15–35 cm.</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soil_temp_layer5</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Deep thermal damping at 60–100 cm.</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net_downward_longwave_flux</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Atmospheric radiative heating balance.</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sm_rootzone_wetness</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Subsurface hydraulic potential determinant.</w:t>
            </w:r>
          </w:p>
        </w:tc>
      </w:tr>
      <w:tr>
        <w:tc>
          <w:tcPr>
            <w:tcW w:type="dxa" w:w="187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depth_to_water_table_from_surface_in_peat</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w:t>
            </w:r>
          </w:p>
        </w:tc>
        <w:tc>
          <w:tcPr>
            <w:tcW w:type="dxa" w:w="208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saturation and drainage control.</w:t>
            </w:r>
          </w:p>
        </w:tc>
      </w:tr>
      <w:tr>
        <w:tc>
          <w:tcPr>
            <w:tcW w:type="dxa" w:w="187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land_fraction_saturated</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w:t>
            </w:r>
          </w:p>
        </w:tc>
        <w:tc>
          <w:tcPr>
            <w:tcW w:type="dxa" w:w="208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Surface pooling and runoff precursor.</w:t>
            </w:r>
          </w:p>
        </w:tc>
      </w:tr>
    </w:tbl>
    <w:p>
      <w:pPr>
        <w:keepNext/>
        <w:spacing w:before="120" w:after="40"/>
        <w:jc w:val="left"/>
      </w:pPr>
      <w:r>
        <w:rPr>
          <w:rFonts w:ascii="Times New Roman" w:hAnsi="Times New Roman"/>
          <w:b/>
          <w:i/>
          <w:color w:val="141414"/>
          <w:sz w:val="19"/>
        </w:rPr>
        <w:t>D. Domain-Guided Physics-Informed Feature Engineering</w:t>
      </w:r>
    </w:p>
    <w:p>
      <w:pPr>
        <w:spacing w:before="0" w:after="40" w:line="252" w:lineRule="auto"/>
        <w:ind w:firstLine="202"/>
        <w:jc w:val="both"/>
      </w:pPr>
      <w:r>
        <w:rPr>
          <w:rFonts w:ascii="Times New Roman" w:hAnsi="Times New Roman"/>
          <w:color w:val="141414"/>
          <w:sz w:val="20"/>
        </w:rPr>
        <w:t>A critical limitation in Singh et al. (2025) is that statistical regression algorithms treat geophysical variables as decoupled orthogonal dimensions. In natural porous media, however, water and energy fluxes are strictly constrained by the conservation of mass and Darcy's law of unsaturated porous flow (Richards, 1931). In the intermediate moisture band (0.2–0.6 m³/m³), hydraulic conductivity K(θ) exhibits highly non-linear exponential sensitivity to capillary pressure head. Orthogonal decision trees experience high variance when modeling these curved response surfaces without explicit physical coupling terms.</w:t>
      </w:r>
    </w:p>
    <w:p>
      <w:pPr>
        <w:spacing w:before="0" w:after="40" w:line="252" w:lineRule="auto"/>
        <w:ind w:firstLine="202"/>
        <w:jc w:val="both"/>
      </w:pPr>
      <w:r>
        <w:rPr>
          <w:rFonts w:ascii="Times New Roman" w:hAnsi="Times New Roman"/>
          <w:color w:val="141414"/>
          <w:sz w:val="20"/>
        </w:rPr>
        <w:t>To resolve this fundamental gap, we formulated and injected five domain-guided physical interaction features into the feature matrix:</w:t>
      </w:r>
    </w:p>
    <w:p>
      <w:pPr>
        <w:keepNext/>
        <w:spacing w:before="80" w:after="20"/>
        <w:jc w:val="left"/>
      </w:pPr>
      <w:r>
        <w:rPr>
          <w:rFonts w:ascii="Times New Roman" w:hAnsi="Times New Roman"/>
          <w:i/>
          <w:color w:val="1E1E1E"/>
          <w:sz w:val="18"/>
        </w:rPr>
        <w:t>1) Vertical Hydraulic Potential Gradient (Darcy's Law Proxy):</w:t>
      </w:r>
    </w:p>
    <w:p>
      <w:pPr>
        <w:spacing w:before="0" w:after="40" w:line="252" w:lineRule="auto"/>
        <w:ind w:firstLine="202"/>
        <w:jc w:val="both"/>
      </w:pPr>
      <w:r>
        <w:rPr>
          <w:rFonts w:ascii="Times New Roman" w:hAnsi="Times New Roman"/>
          <w:color w:val="141414"/>
          <w:sz w:val="20"/>
        </w:rPr>
        <w:t>Vertical moisture flux q_z between subsurface and surface layers is driven by the total hydraulic potential gradient ∇Ψ:</w:t>
      </w:r>
    </w:p>
    <w:p>
      <w:pPr>
        <w:spacing w:before="60" w:after="60" w:line="252" w:lineRule="auto"/>
        <w:jc w:val="center"/>
      </w:pPr>
      <w:r>
        <w:rPr>
          <w:rFonts w:ascii="Times New Roman" w:hAnsi="Times New Roman"/>
          <w:i/>
          <w:sz w:val="18"/>
        </w:rPr>
        <w:t xml:space="preserve">  phy_hydraulic_gradient = (sm_rootzone - sm_surface_wetness) / Δz_eff</w:t>
      </w:r>
      <w:r>
        <w:rPr>
          <w:rFonts w:ascii="Times New Roman" w:hAnsi="Times New Roman"/>
          <w:b/>
          <w:i w:val="0"/>
          <w:sz w:val="18"/>
        </w:rPr>
        <w:t xml:space="preserve">    (4)</w:t>
      </w:r>
    </w:p>
    <w:p>
      <w:pPr>
        <w:spacing w:before="0" w:after="40" w:line="252" w:lineRule="auto"/>
        <w:ind w:firstLine="202"/>
        <w:jc w:val="both"/>
      </w:pPr>
      <w:r>
        <w:rPr>
          <w:rFonts w:ascii="Times New Roman" w:hAnsi="Times New Roman"/>
          <w:color w:val="141414"/>
          <w:sz w:val="20"/>
        </w:rPr>
        <w:t>where Δz_eff is the effective depth differential between rootzone (~50 cm) and surface (~2.5 cm). This term provides an explicit physics vector indicating whether moisture is percolating downward via gravity (positive gradient) or ascending via capillary suction (negative gradient).</w:t>
      </w:r>
    </w:p>
    <w:p>
      <w:pPr>
        <w:keepNext/>
        <w:spacing w:before="80" w:after="20"/>
        <w:jc w:val="left"/>
      </w:pPr>
      <w:r>
        <w:rPr>
          <w:rFonts w:ascii="Times New Roman" w:hAnsi="Times New Roman"/>
          <w:i/>
          <w:color w:val="1E1E1E"/>
          <w:sz w:val="18"/>
        </w:rPr>
        <w:t>2) Unsaturated Moisture Storage Deficit:</w:t>
      </w:r>
    </w:p>
    <w:p>
      <w:pPr>
        <w:spacing w:before="0" w:after="40" w:line="252" w:lineRule="auto"/>
        <w:ind w:firstLine="202"/>
        <w:jc w:val="both"/>
      </w:pPr>
      <w:r>
        <w:rPr>
          <w:rFonts w:ascii="Times New Roman" w:hAnsi="Times New Roman"/>
          <w:color w:val="141414"/>
          <w:sz w:val="20"/>
        </w:rPr>
        <w:t>The capacity of topsoil to absorb precipitation without generating immediate Hortonian overland runoff is dictated by unsaturated storage capacity:</w:t>
      </w:r>
    </w:p>
    <w:p>
      <w:pPr>
        <w:spacing w:before="60" w:after="60" w:line="252" w:lineRule="auto"/>
        <w:jc w:val="center"/>
      </w:pPr>
      <w:r>
        <w:rPr>
          <w:rFonts w:ascii="Times New Roman" w:hAnsi="Times New Roman"/>
          <w:i/>
          <w:sz w:val="18"/>
        </w:rPr>
        <w:t xml:space="preserve">  phy_moisture_deficit = land_fraction_unsaturated * (1.0 - sm_surface_wetness)</w:t>
      </w:r>
      <w:r>
        <w:rPr>
          <w:rFonts w:ascii="Times New Roman" w:hAnsi="Times New Roman"/>
          <w:b/>
          <w:i w:val="0"/>
          <w:sz w:val="18"/>
        </w:rPr>
        <w:t xml:space="preserve">    (5)</w:t>
      </w:r>
    </w:p>
    <w:p>
      <w:pPr>
        <w:keepNext/>
        <w:spacing w:before="80" w:after="20"/>
        <w:jc w:val="left"/>
      </w:pPr>
      <w:r>
        <w:rPr>
          <w:rFonts w:ascii="Times New Roman" w:hAnsi="Times New Roman"/>
          <w:i/>
          <w:color w:val="1E1E1E"/>
          <w:sz w:val="18"/>
        </w:rPr>
        <w:t>3) Subsurface Vertical Thermal Potential Gradient:</w:t>
      </w:r>
    </w:p>
    <w:p>
      <w:pPr>
        <w:spacing w:before="0" w:after="40" w:line="252" w:lineRule="auto"/>
        <w:ind w:firstLine="202"/>
        <w:jc w:val="both"/>
      </w:pPr>
      <w:r>
        <w:rPr>
          <w:rFonts w:ascii="Times New Roman" w:hAnsi="Times New Roman"/>
          <w:color w:val="141414"/>
          <w:sz w:val="20"/>
        </w:rPr>
        <w:t>Thermal conduction through soil layers modulates water viscosity and vapor pressure:</w:t>
      </w:r>
    </w:p>
    <w:p>
      <w:pPr>
        <w:spacing w:before="60" w:after="60" w:line="252" w:lineRule="auto"/>
        <w:jc w:val="center"/>
      </w:pPr>
      <w:r>
        <w:rPr>
          <w:rFonts w:ascii="Times New Roman" w:hAnsi="Times New Roman"/>
          <w:i/>
          <w:sz w:val="18"/>
        </w:rPr>
        <w:t xml:space="preserve">  phy_thermal_gradient = soil_temp_layer5 - soil_temp_layer3</w:t>
      </w:r>
      <w:r>
        <w:rPr>
          <w:rFonts w:ascii="Times New Roman" w:hAnsi="Times New Roman"/>
          <w:b/>
          <w:i w:val="0"/>
          <w:sz w:val="18"/>
        </w:rPr>
        <w:t xml:space="preserve">    (6)</w:t>
      </w:r>
    </w:p>
    <w:p>
      <w:pPr>
        <w:keepNext/>
        <w:spacing w:before="80" w:after="20"/>
        <w:jc w:val="left"/>
      </w:pPr>
      <w:r>
        <w:rPr>
          <w:rFonts w:ascii="Times New Roman" w:hAnsi="Times New Roman"/>
          <w:i/>
          <w:color w:val="1E1E1E"/>
          <w:sz w:val="18"/>
        </w:rPr>
        <w:t>4) Effective Net Surface Infiltration Influx:</w:t>
      </w:r>
    </w:p>
    <w:p>
      <w:pPr>
        <w:spacing w:before="0" w:after="40" w:line="252" w:lineRule="auto"/>
        <w:ind w:firstLine="202"/>
        <w:jc w:val="both"/>
      </w:pPr>
      <w:r>
        <w:rPr>
          <w:rFonts w:ascii="Times New Roman" w:hAnsi="Times New Roman"/>
          <w:color w:val="141414"/>
          <w:sz w:val="20"/>
        </w:rPr>
        <w:t>Isolating precipitation that actively penetrates the soil matrix after overland runoff losses:</w:t>
      </w:r>
    </w:p>
    <w:p>
      <w:pPr>
        <w:spacing w:before="60" w:after="60" w:line="252" w:lineRule="auto"/>
        <w:jc w:val="center"/>
      </w:pPr>
      <w:r>
        <w:rPr>
          <w:rFonts w:ascii="Times New Roman" w:hAnsi="Times New Roman"/>
          <w:i/>
          <w:sz w:val="18"/>
        </w:rPr>
        <w:t xml:space="preserve">  phy_effective_precipitation = max(0, precipitation_total_surface_flux - overland_runoff_flux)</w:t>
      </w:r>
      <w:r>
        <w:rPr>
          <w:rFonts w:ascii="Times New Roman" w:hAnsi="Times New Roman"/>
          <w:b/>
          <w:i w:val="0"/>
          <w:sz w:val="18"/>
        </w:rPr>
        <w:t xml:space="preserve">    (7)</w:t>
      </w:r>
    </w:p>
    <w:p>
      <w:pPr>
        <w:keepNext/>
        <w:spacing w:before="80" w:after="20"/>
        <w:jc w:val="left"/>
      </w:pPr>
      <w:r>
        <w:rPr>
          <w:rFonts w:ascii="Times New Roman" w:hAnsi="Times New Roman"/>
          <w:i/>
          <w:color w:val="1E1E1E"/>
          <w:sz w:val="18"/>
        </w:rPr>
        <w:t>5) Aerodynamically Modulated Ground Heat Convection:</w:t>
      </w:r>
    </w:p>
    <w:p>
      <w:pPr>
        <w:spacing w:before="0" w:after="40" w:line="252" w:lineRule="auto"/>
        <w:ind w:firstLine="202"/>
        <w:jc w:val="both"/>
      </w:pPr>
      <w:r>
        <w:rPr>
          <w:rFonts w:ascii="Times New Roman" w:hAnsi="Times New Roman"/>
          <w:color w:val="141414"/>
          <w:sz w:val="20"/>
        </w:rPr>
        <w:t>Surface boundary-layer turbulent heat exchange modulated by wind ventilation:</w:t>
      </w:r>
    </w:p>
    <w:p>
      <w:pPr>
        <w:spacing w:before="60" w:after="60" w:line="252" w:lineRule="auto"/>
        <w:jc w:val="center"/>
      </w:pPr>
      <w:r>
        <w:rPr>
          <w:rFonts w:ascii="Times New Roman" w:hAnsi="Times New Roman"/>
          <w:i/>
          <w:sz w:val="18"/>
        </w:rPr>
        <w:t xml:space="preserve">  phy_thermal_convection = heat_flux_ground / (windspeed_lowatmmodlay + 0.5)</w:t>
      </w:r>
      <w:r>
        <w:rPr>
          <w:rFonts w:ascii="Times New Roman" w:hAnsi="Times New Roman"/>
          <w:b/>
          <w:i w:val="0"/>
          <w:sz w:val="18"/>
        </w:rPr>
        <w:t xml:space="preserve">    (8)</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NEED &amp; RATIONALE: PHYSICS-INFORMED COUPLING: </w:t>
            </w:r>
            <w:r>
              <w:rPr>
                <w:rFonts w:ascii="Times New Roman" w:hAnsi="Times New Roman"/>
                <w:color w:val="1E1E1E"/>
                <w:sz w:val="16"/>
              </w:rPr>
              <w:t>Supplying these five domain-specific physical coupling equations (Eq. 4–8) directly into the feature space eliminates the need for decision trees to approximate complex non-linear differential equations through orthogonal splits alone, suppressing the mid-range divergence anomaly.</w:t>
            </w:r>
          </w:p>
        </w:tc>
      </w:tr>
    </w:tbl>
    <w:p>
      <w:pPr>
        <w:spacing w:before="0" w:after="40"/>
      </w:pPr>
    </w:p>
    <w:p>
      <w:pPr>
        <w:keepNext/>
        <w:spacing w:before="120" w:after="40"/>
        <w:jc w:val="left"/>
      </w:pPr>
      <w:r>
        <w:rPr>
          <w:rFonts w:ascii="Times New Roman" w:hAnsi="Times New Roman"/>
          <w:b/>
          <w:i/>
          <w:color w:val="141414"/>
          <w:sz w:val="19"/>
        </w:rPr>
        <w:t>E. Baseline Gradient Boosting Regressor (Singh et al., 2025)</w:t>
      </w:r>
    </w:p>
    <w:p>
      <w:pPr>
        <w:spacing w:before="0" w:after="40" w:line="252" w:lineRule="auto"/>
        <w:ind w:firstLine="202"/>
        <w:jc w:val="both"/>
      </w:pPr>
      <w:r>
        <w:rPr>
          <w:rFonts w:ascii="Times New Roman" w:hAnsi="Times New Roman"/>
          <w:color w:val="141414"/>
          <w:sz w:val="20"/>
        </w:rPr>
        <w:t>Gradient Boosting builds an additive ensemble of weak decision trees sequentially through functional gradient descent in pseudo-residual space (Friedman, 2001). Given training samples {(x_i, y_i)}_{i=1}^N, the algorithm minimizes a differentiable loss function L(y, F(x)) = (1/2)(y - F(x))²:</w:t>
      </w:r>
    </w:p>
    <w:p>
      <w:pPr>
        <w:spacing w:before="60" w:after="60" w:line="252" w:lineRule="auto"/>
        <w:jc w:val="center"/>
      </w:pPr>
      <w:r>
        <w:rPr>
          <w:rFonts w:ascii="Times New Roman" w:hAnsi="Times New Roman"/>
          <w:i/>
          <w:sz w:val="18"/>
        </w:rPr>
        <w:t xml:space="preserve">  F_m(x) = F_{m-1}(x) + ν * ∑_{j=1}^{J_m} γ_{jm} * I(x ∈ R_{jm})</w:t>
      </w:r>
      <w:r>
        <w:rPr>
          <w:rFonts w:ascii="Times New Roman" w:hAnsi="Times New Roman"/>
          <w:b/>
          <w:i w:val="0"/>
          <w:sz w:val="18"/>
        </w:rPr>
        <w:t xml:space="preserve">    (9)</w:t>
      </w:r>
    </w:p>
    <w:p>
      <w:pPr>
        <w:spacing w:before="0" w:after="40" w:line="252" w:lineRule="auto"/>
        <w:ind w:firstLine="202"/>
        <w:jc w:val="both"/>
      </w:pPr>
      <w:r>
        <w:rPr>
          <w:rFonts w:ascii="Times New Roman" w:hAnsi="Times New Roman"/>
          <w:color w:val="141414"/>
          <w:sz w:val="20"/>
        </w:rPr>
        <w:t>where ν is the learning rate, J_m is terminal leaf count, and γ_{jm} is the step size computed from pseudo-residuals:</w:t>
      </w:r>
    </w:p>
    <w:p>
      <w:pPr>
        <w:spacing w:before="60" w:after="60" w:line="252" w:lineRule="auto"/>
        <w:jc w:val="center"/>
      </w:pPr>
      <w:r>
        <w:rPr>
          <w:rFonts w:ascii="Times New Roman" w:hAnsi="Times New Roman"/>
          <w:i/>
          <w:sz w:val="18"/>
        </w:rPr>
        <w:t xml:space="preserve">  r_{im} = - [ ∂L(y_i, F(x_i)) / ∂F(x_i) ]_{F = F_{m-1}} = y_i - F_{m-1}(x_i)</w:t>
      </w:r>
      <w:r>
        <w:rPr>
          <w:rFonts w:ascii="Times New Roman" w:hAnsi="Times New Roman"/>
          <w:b/>
          <w:i w:val="0"/>
          <w:sz w:val="18"/>
        </w:rPr>
        <w:t xml:space="preserve">    (10)</w:t>
      </w:r>
    </w:p>
    <w:p>
      <w:pPr>
        <w:spacing w:before="0" w:after="40" w:line="252" w:lineRule="auto"/>
        <w:ind w:firstLine="202"/>
        <w:jc w:val="both"/>
      </w:pPr>
      <w:r>
        <w:rPr>
          <w:rFonts w:ascii="Times New Roman" w:hAnsi="Times New Roman"/>
          <w:color w:val="141414"/>
          <w:sz w:val="20"/>
        </w:rPr>
        <w:t>In the baseline framework, hyperparameter tuning via GridSearchCV with 5-fold cross-validation yielded: n_estimators = 120, learning_rate = 0.08, max_depth = 3, and min_samples_split = 2 (Fig. 5 and Fig. 6).</w:t>
      </w:r>
    </w:p>
    <w:p>
      <w:pPr>
        <w:keepNext/>
        <w:spacing w:before="120" w:after="40"/>
        <w:jc w:val="center"/>
      </w:pPr>
      <w:r>
        <w:drawing>
          <wp:inline xmlns:a="http://schemas.openxmlformats.org/drawingml/2006/main" xmlns:pic="http://schemas.openxmlformats.org/drawingml/2006/picture">
            <wp:extent cx="3108960" cy="1554480"/>
            <wp:docPr id="5" name="Picture 5"/>
            <wp:cNvGraphicFramePr>
              <a:graphicFrameLocks noChangeAspect="1"/>
            </wp:cNvGraphicFramePr>
            <a:graphic>
              <a:graphicData uri="http://schemas.openxmlformats.org/drawingml/2006/picture">
                <pic:pic>
                  <pic:nvPicPr>
                    <pic:cNvPr id="0" name="Fig_5_gbr_architecture.png"/>
                    <pic:cNvPicPr/>
                  </pic:nvPicPr>
                  <pic:blipFill>
                    <a:blip r:embed="rId14"/>
                    <a:stretch>
                      <a:fillRect/>
                    </a:stretch>
                  </pic:blipFill>
                  <pic:spPr>
                    <a:xfrm>
                      <a:off x="0" y="0"/>
                      <a:ext cx="3108960" cy="1554480"/>
                    </a:xfrm>
                    <a:prstGeom prst="rect"/>
                  </pic:spPr>
                </pic:pic>
              </a:graphicData>
            </a:graphic>
          </wp:inline>
        </w:drawing>
      </w:r>
    </w:p>
    <w:p>
      <w:pPr>
        <w:spacing w:before="20" w:after="120"/>
        <w:jc w:val="both"/>
      </w:pPr>
      <w:r>
        <w:rPr>
          <w:rFonts w:ascii="Times New Roman" w:hAnsi="Times New Roman"/>
          <w:i/>
          <w:color w:val="1E1E1E"/>
          <w:sz w:val="16"/>
        </w:rPr>
        <w:t>Fig. 5. Sequential additive tree boosting architecture of the Gradient Boosting Regressor (GBR).</w:t>
      </w:r>
    </w:p>
    <w:p>
      <w:pPr>
        <w:keepNext/>
        <w:spacing w:before="120" w:after="40"/>
        <w:jc w:val="center"/>
      </w:pPr>
      <w:r>
        <w:drawing>
          <wp:inline xmlns:a="http://schemas.openxmlformats.org/drawingml/2006/main" xmlns:pic="http://schemas.openxmlformats.org/drawingml/2006/picture">
            <wp:extent cx="3108960" cy="1727200"/>
            <wp:docPr id="6" name="Picture 6"/>
            <wp:cNvGraphicFramePr>
              <a:graphicFrameLocks noChangeAspect="1"/>
            </wp:cNvGraphicFramePr>
            <a:graphic>
              <a:graphicData uri="http://schemas.openxmlformats.org/drawingml/2006/picture">
                <pic:pic>
                  <pic:nvPicPr>
                    <pic:cNvPr id="0" name="Fig_6_gridsearchcv_kfold.png"/>
                    <pic:cNvPicPr/>
                  </pic:nvPicPr>
                  <pic:blipFill>
                    <a:blip r:embed="rId15"/>
                    <a:stretch>
                      <a:fillRect/>
                    </a:stretch>
                  </pic:blipFill>
                  <pic:spPr>
                    <a:xfrm>
                      <a:off x="0" y="0"/>
                      <a:ext cx="3108960" cy="1727200"/>
                    </a:xfrm>
                    <a:prstGeom prst="rect"/>
                  </pic:spPr>
                </pic:pic>
              </a:graphicData>
            </a:graphic>
          </wp:inline>
        </w:drawing>
      </w:r>
    </w:p>
    <w:p>
      <w:pPr>
        <w:spacing w:before="20" w:after="120"/>
        <w:jc w:val="both"/>
      </w:pPr>
      <w:r>
        <w:rPr>
          <w:rFonts w:ascii="Times New Roman" w:hAnsi="Times New Roman"/>
          <w:i/>
          <w:color w:val="1E1E1E"/>
          <w:sz w:val="16"/>
        </w:rPr>
        <w:t>Fig. 6. Five-fold cross-validation scheme utilized for systematic hyperparameter tuning via GridSearchCV.</w:t>
      </w:r>
    </w:p>
    <w:p>
      <w:pPr>
        <w:keepNext/>
        <w:spacing w:before="120" w:after="40"/>
        <w:jc w:val="left"/>
      </w:pPr>
      <w:r>
        <w:rPr>
          <w:rFonts w:ascii="Times New Roman" w:hAnsi="Times New Roman"/>
          <w:b/>
          <w:i/>
          <w:color w:val="141414"/>
          <w:sz w:val="19"/>
        </w:rPr>
        <w:t>F. Heterogeneous Stacking Ensemble Architecture (Super Learner)</w:t>
      </w:r>
    </w:p>
    <w:p>
      <w:pPr>
        <w:spacing w:before="0" w:after="40" w:line="252" w:lineRule="auto"/>
        <w:ind w:firstLine="202"/>
        <w:jc w:val="both"/>
      </w:pPr>
      <w:r>
        <w:rPr>
          <w:rFonts w:ascii="Times New Roman" w:hAnsi="Times New Roman"/>
          <w:color w:val="141414"/>
          <w:sz w:val="20"/>
        </w:rPr>
        <w:t>While Gradient Boosting effectively minimizes empirical training bias, relying exclusively on a single tree-building paradigm creates an inductive bias bottleneck. Decision tree algorithms differ fundamentally in how they traverse feature space: Standard GBR grows trees depth-wise; LightGBM utilizes leaf-wise histogram-based splits (Ke et al., 2017); XGBoost applies second-order Hessian regularization with column subsampling (Chen &amp; Guestrin, 2016); and Random Forest utilizes bagging for variance reduction.</w:t>
      </w:r>
    </w:p>
    <w:p>
      <w:pPr>
        <w:spacing w:before="0" w:after="40" w:line="252" w:lineRule="auto"/>
        <w:ind w:firstLine="202"/>
        <w:jc w:val="both"/>
      </w:pPr>
      <w:r>
        <w:rPr>
          <w:rFonts w:ascii="Times New Roman" w:hAnsi="Times New Roman"/>
          <w:color w:val="141414"/>
          <w:sz w:val="20"/>
        </w:rPr>
        <w:t>To combine these diverse inductive strengths, we designed a two-tier Heterogeneous Stacking Super Learner (Wolpert, 1992):</w:t>
      </w:r>
    </w:p>
    <w:p>
      <w:pPr>
        <w:spacing w:before="0" w:after="40" w:line="252" w:lineRule="auto"/>
        <w:ind w:firstLine="202"/>
        <w:jc w:val="both"/>
      </w:pPr>
      <w:r>
        <w:rPr>
          <w:rFonts w:ascii="Times New Roman" w:hAnsi="Times New Roman"/>
          <w:color w:val="141414"/>
          <w:sz w:val="20"/>
        </w:rPr>
        <w:t>1) Tier-1 Base Estimators: Four heterogeneous models trained concurrently on the 19-dimensional physics-augmented feature space: (i) Depth-wise GBR (120 trees, depth=3), (ii) Leaf-wise LightGBM (150 trees, num_leaves=31), (iii) Regularized XGBoost (120 trees, depth=4), and (iv) Variance-stabilizing Random Forest (80 trees, depth=12).</w:t>
      </w:r>
    </w:p>
    <w:p>
      <w:pPr>
        <w:spacing w:before="0" w:after="40" w:line="252" w:lineRule="auto"/>
        <w:ind w:firstLine="202"/>
        <w:jc w:val="both"/>
      </w:pPr>
      <w:r>
        <w:rPr>
          <w:rFonts w:ascii="Times New Roman" w:hAnsi="Times New Roman"/>
          <w:color w:val="141414"/>
          <w:sz w:val="20"/>
        </w:rPr>
        <w:t>2) Out-Of-Fold (OOF) Prediction Matrix: Base learners generate cross-validated predictions using a strict 5-fold K-Fold split, forming a meta-feature matrix Z ∈ R^{N × 4} without target leakage.</w:t>
      </w:r>
    </w:p>
    <w:p>
      <w:pPr>
        <w:spacing w:before="0" w:after="40" w:line="252" w:lineRule="auto"/>
        <w:ind w:firstLine="202"/>
        <w:jc w:val="both"/>
      </w:pPr>
      <w:r>
        <w:rPr>
          <w:rFonts w:ascii="Times New Roman" w:hAnsi="Times New Roman"/>
          <w:color w:val="141414"/>
          <w:sz w:val="20"/>
        </w:rPr>
        <w:t>3) Tier-2 Meta-Learner (RidgeCV): An L2-regularized Ridge Regression meta-learner fits Z to estimate optimal combination weights w* (Eq. 11):</w:t>
      </w:r>
    </w:p>
    <w:p>
      <w:pPr>
        <w:spacing w:before="60" w:after="60" w:line="252" w:lineRule="auto"/>
        <w:jc w:val="center"/>
      </w:pPr>
      <w:r>
        <w:rPr>
          <w:rFonts w:ascii="Times New Roman" w:hAnsi="Times New Roman"/>
          <w:i/>
          <w:sz w:val="18"/>
        </w:rPr>
        <w:t xml:space="preserve">  w* = argmin_w [ || y - Z w ||_2^2 + α || w ||_2^2 ]</w:t>
      </w:r>
      <w:r>
        <w:rPr>
          <w:rFonts w:ascii="Times New Roman" w:hAnsi="Times New Roman"/>
          <w:b/>
          <w:i w:val="0"/>
          <w:sz w:val="18"/>
        </w:rPr>
        <w:t xml:space="preserve">    (11)</w:t>
      </w:r>
    </w:p>
    <w:p>
      <w:pPr>
        <w:spacing w:before="0" w:after="40" w:line="252" w:lineRule="auto"/>
        <w:ind w:firstLine="202"/>
        <w:jc w:val="both"/>
      </w:pPr>
      <w:r>
        <w:rPr>
          <w:rFonts w:ascii="Times New Roman" w:hAnsi="Times New Roman"/>
          <w:color w:val="141414"/>
          <w:sz w:val="20"/>
        </w:rPr>
        <w:t>where α is tuned across 20 log-spaced values via internal cross-validation. The final ensemble prediction is (Eq. 12):</w:t>
      </w:r>
    </w:p>
    <w:p>
      <w:pPr>
        <w:spacing w:before="60" w:after="60" w:line="252" w:lineRule="auto"/>
        <w:jc w:val="center"/>
      </w:pPr>
      <w:r>
        <w:rPr>
          <w:rFonts w:ascii="Times New Roman" w:hAnsi="Times New Roman"/>
          <w:i/>
          <w:sz w:val="18"/>
        </w:rPr>
        <w:t xml:space="preserve">  ŷ_ensemble(x*) = w_0 + ∑_{k=1}^{4} w_k * f_k(x*)</w:t>
      </w:r>
      <w:r>
        <w:rPr>
          <w:rFonts w:ascii="Times New Roman" w:hAnsi="Times New Roman"/>
          <w:b/>
          <w:i w:val="0"/>
          <w:sz w:val="18"/>
        </w:rPr>
        <w:t xml:space="preserve">    (12)</w:t>
      </w:r>
    </w:p>
    <w:p>
      <w:pPr>
        <w:keepNext/>
        <w:spacing w:before="120" w:after="40"/>
        <w:jc w:val="center"/>
      </w:pPr>
      <w:r>
        <w:drawing>
          <wp:inline xmlns:a="http://schemas.openxmlformats.org/drawingml/2006/main" xmlns:pic="http://schemas.openxmlformats.org/drawingml/2006/picture">
            <wp:extent cx="3108960" cy="2020824"/>
            <wp:docPr id="7" name="Picture 7"/>
            <wp:cNvGraphicFramePr>
              <a:graphicFrameLocks noChangeAspect="1"/>
            </wp:cNvGraphicFramePr>
            <a:graphic>
              <a:graphicData uri="http://schemas.openxmlformats.org/drawingml/2006/picture">
                <pic:pic>
                  <pic:nvPicPr>
                    <pic:cNvPr id="0" name="Fig_7_workflow_proposed_model.png"/>
                    <pic:cNvPicPr/>
                  </pic:nvPicPr>
                  <pic:blipFill>
                    <a:blip r:embed="rId16"/>
                    <a:stretch>
                      <a:fillRect/>
                    </a:stretch>
                  </pic:blipFill>
                  <pic:spPr>
                    <a:xfrm>
                      <a:off x="0" y="0"/>
                      <a:ext cx="3108960" cy="2020824"/>
                    </a:xfrm>
                    <a:prstGeom prst="rect"/>
                  </pic:spPr>
                </pic:pic>
              </a:graphicData>
            </a:graphic>
          </wp:inline>
        </w:drawing>
      </w:r>
    </w:p>
    <w:p>
      <w:pPr>
        <w:spacing w:before="20" w:after="120"/>
        <w:jc w:val="both"/>
      </w:pPr>
      <w:r>
        <w:rPr>
          <w:rFonts w:ascii="Times New Roman" w:hAnsi="Times New Roman"/>
          <w:i/>
          <w:color w:val="1E1E1E"/>
          <w:sz w:val="16"/>
        </w:rPr>
        <w:t>Fig. 7. Complete end-to-end 8-step workflow of the proposed physics-informed satellite soil moisture estimation framework.</w:t>
      </w:r>
    </w:p>
    <w:p>
      <w:pPr>
        <w:keepNext/>
        <w:spacing w:before="120" w:after="40"/>
        <w:jc w:val="left"/>
      </w:pPr>
      <w:r>
        <w:rPr>
          <w:rFonts w:ascii="Times New Roman" w:hAnsi="Times New Roman"/>
          <w:b/>
          <w:i/>
          <w:color w:val="141414"/>
          <w:sz w:val="19"/>
        </w:rPr>
        <w:t>G. Implementation and Resource Optimization</w:t>
      </w:r>
    </w:p>
    <w:p>
      <w:pPr>
        <w:spacing w:before="0" w:after="40" w:line="252" w:lineRule="auto"/>
        <w:ind w:firstLine="202"/>
        <w:jc w:val="both"/>
      </w:pPr>
      <w:r>
        <w:rPr>
          <w:rFonts w:ascii="Times New Roman" w:hAnsi="Times New Roman"/>
          <w:color w:val="141414"/>
          <w:sz w:val="20"/>
        </w:rPr>
        <w:t>All models were implemented in Python 3.11 utilizing Scikit-learn, LightGBM, and XGBoost libraries. Following Singh et al. (2025), an 80:20 train-test ratio with 5-fold cross-validation was used. While standalone unpruned Random Forest consumed over 10 GB RAM, our Heterogeneous Stacking Ensemble operates within ~2.5 GB RAM, ensuring high feasibility for operational deployment.</w:t>
      </w:r>
    </w:p>
    <w:p>
      <w:pPr>
        <w:keepNext/>
        <w:spacing w:before="160" w:after="60"/>
        <w:jc w:val="center"/>
      </w:pPr>
      <w:r>
        <w:rPr>
          <w:rFonts w:ascii="Times New Roman" w:hAnsi="Times New Roman"/>
          <w:b/>
          <w:color w:val="003366"/>
          <w:sz w:val="20"/>
        </w:rPr>
        <w:t>IV. SOIL MOISTURE PREDICTION PROCESS AND WORKFLOW</w:t>
      </w:r>
    </w:p>
    <w:p>
      <w:pPr>
        <w:spacing w:before="0" w:after="40" w:line="252" w:lineRule="auto"/>
        <w:ind w:firstLine="202"/>
        <w:jc w:val="both"/>
      </w:pPr>
      <w:r>
        <w:rPr>
          <w:rFonts w:ascii="Times New Roman" w:hAnsi="Times New Roman"/>
          <w:color w:val="141414"/>
          <w:sz w:val="20"/>
        </w:rPr>
        <w:t>The operational workflow is structured into eight sequential stages (illustrated in Fig. 7):</w:t>
      </w:r>
    </w:p>
    <w:p>
      <w:pPr>
        <w:spacing w:before="0" w:after="40" w:line="252" w:lineRule="auto"/>
        <w:ind w:firstLine="202"/>
        <w:jc w:val="both"/>
      </w:pPr>
      <w:r>
        <w:rPr>
          <w:rFonts w:ascii="Times New Roman" w:hAnsi="Times New Roman"/>
          <w:color w:val="141414"/>
          <w:sz w:val="20"/>
        </w:rPr>
        <w:t>Step 1: Automated granule ingestion from NASA Earthdata Cloud via OAuth2 authentication.</w:t>
      </w:r>
    </w:p>
    <w:p>
      <w:pPr>
        <w:spacing w:before="0" w:after="40" w:line="252" w:lineRule="auto"/>
        <w:ind w:firstLine="202"/>
        <w:jc w:val="both"/>
      </w:pPr>
      <w:r>
        <w:rPr>
          <w:rFonts w:ascii="Times New Roman" w:hAnsi="Times New Roman"/>
          <w:color w:val="141414"/>
          <w:sz w:val="20"/>
        </w:rPr>
        <w:t>Step 2: Geophysical attribute extraction across 44 parameters with spatial masking for Gujarat.</w:t>
      </w:r>
    </w:p>
    <w:p>
      <w:pPr>
        <w:spacing w:before="0" w:after="40" w:line="252" w:lineRule="auto"/>
        <w:ind w:firstLine="202"/>
        <w:jc w:val="both"/>
      </w:pPr>
      <w:r>
        <w:rPr>
          <w:rFonts w:ascii="Times New Roman" w:hAnsi="Times New Roman"/>
          <w:color w:val="141414"/>
          <w:sz w:val="20"/>
        </w:rPr>
        <w:t>Step 3: Quality filtering (removal of -9999.0 null flags in sm_surface) and column-wise mean imputation.</w:t>
      </w:r>
    </w:p>
    <w:p>
      <w:pPr>
        <w:spacing w:before="0" w:after="40" w:line="252" w:lineRule="auto"/>
        <w:ind w:firstLine="202"/>
        <w:jc w:val="both"/>
      </w:pPr>
      <w:r>
        <w:rPr>
          <w:rFonts w:ascii="Times New Roman" w:hAnsi="Times New Roman"/>
          <w:color w:val="141414"/>
          <w:sz w:val="20"/>
        </w:rPr>
        <w:t>Step 4: Embedded Random Forest feature selection isolating the top 14 dominant predictors.</w:t>
      </w:r>
    </w:p>
    <w:p>
      <w:pPr>
        <w:spacing w:before="0" w:after="40" w:line="252" w:lineRule="auto"/>
        <w:ind w:firstLine="202"/>
        <w:jc w:val="both"/>
      </w:pPr>
      <w:r>
        <w:rPr>
          <w:rFonts w:ascii="Times New Roman" w:hAnsi="Times New Roman"/>
          <w:color w:val="141414"/>
          <w:sz w:val="20"/>
        </w:rPr>
        <w:t>Step 5: Physics-informed feature engineering injecting five Darcy hydraulic and energy terms (Eq. 4–8).</w:t>
      </w:r>
    </w:p>
    <w:p>
      <w:pPr>
        <w:spacing w:before="0" w:after="40" w:line="252" w:lineRule="auto"/>
        <w:ind w:firstLine="202"/>
        <w:jc w:val="both"/>
      </w:pPr>
      <w:r>
        <w:rPr>
          <w:rFonts w:ascii="Times New Roman" w:hAnsi="Times New Roman"/>
          <w:color w:val="141414"/>
          <w:sz w:val="20"/>
        </w:rPr>
        <w:t>Step 6: Heterogeneous base learner training (GBR, LightGBM, XGBoost, Random Forest) with 5-fold CV.</w:t>
      </w:r>
    </w:p>
    <w:p>
      <w:pPr>
        <w:spacing w:before="0" w:after="40" w:line="252" w:lineRule="auto"/>
        <w:ind w:firstLine="202"/>
        <w:jc w:val="both"/>
      </w:pPr>
      <w:r>
        <w:rPr>
          <w:rFonts w:ascii="Times New Roman" w:hAnsi="Times New Roman"/>
          <w:color w:val="141414"/>
          <w:sz w:val="20"/>
        </w:rPr>
        <w:t>Step 7: Level-1 RidgeCV meta-learner blending to determine optimal cross-algorithmic weights.</w:t>
      </w:r>
    </w:p>
    <w:p>
      <w:pPr>
        <w:spacing w:before="0" w:after="40" w:line="252" w:lineRule="auto"/>
        <w:ind w:firstLine="202"/>
        <w:jc w:val="both"/>
      </w:pPr>
      <w:r>
        <w:rPr>
          <w:rFonts w:ascii="Times New Roman" w:hAnsi="Times New Roman"/>
          <w:color w:val="141414"/>
          <w:sz w:val="20"/>
        </w:rPr>
        <w:t>Step 8: Final test set evaluation, station-by-station residual diagnostic verification, and automated mapping.</w:t>
      </w:r>
    </w:p>
    <w:p>
      <w:pPr>
        <w:keepNext/>
        <w:spacing w:before="160" w:after="60"/>
        <w:jc w:val="center"/>
      </w:pPr>
      <w:r>
        <w:rPr>
          <w:rFonts w:ascii="Times New Roman" w:hAnsi="Times New Roman"/>
          <w:b/>
          <w:color w:val="003366"/>
          <w:sz w:val="20"/>
        </w:rPr>
        <w:t>V. PERFORMANCE ANALYSIS AND MODEL EVALUATION</w:t>
      </w:r>
    </w:p>
    <w:p>
      <w:pPr>
        <w:keepNext/>
        <w:spacing w:before="120" w:after="40"/>
        <w:jc w:val="left"/>
      </w:pPr>
      <w:r>
        <w:rPr>
          <w:rFonts w:ascii="Times New Roman" w:hAnsi="Times New Roman"/>
          <w:b/>
          <w:i/>
          <w:color w:val="141414"/>
          <w:sz w:val="19"/>
        </w:rPr>
        <w:t>A. Evaluation Metrics</w:t>
      </w:r>
    </w:p>
    <w:p>
      <w:pPr>
        <w:spacing w:before="0" w:after="40" w:line="252" w:lineRule="auto"/>
        <w:ind w:firstLine="202"/>
        <w:jc w:val="both"/>
      </w:pPr>
      <w:r>
        <w:rPr>
          <w:rFonts w:ascii="Times New Roman" w:hAnsi="Times New Roman"/>
          <w:color w:val="141414"/>
          <w:sz w:val="20"/>
        </w:rPr>
        <w:t>To rigorously quantify predictive fidelity and benchmark against Singh et al. (2025), three standard regression metrics are computed on the unseen test dataset:</w:t>
      </w:r>
    </w:p>
    <w:p>
      <w:pPr>
        <w:spacing w:before="0" w:after="40" w:line="252" w:lineRule="auto"/>
        <w:ind w:firstLine="202"/>
        <w:jc w:val="both"/>
      </w:pPr>
      <w:r>
        <w:rPr>
          <w:rFonts w:ascii="Times New Roman" w:hAnsi="Times New Roman"/>
          <w:color w:val="141414"/>
          <w:sz w:val="20"/>
        </w:rPr>
        <w:t>1) Mean Squared Error (MSE):</w:t>
      </w:r>
    </w:p>
    <w:p>
      <w:pPr>
        <w:spacing w:before="60" w:after="60" w:line="252" w:lineRule="auto"/>
        <w:jc w:val="center"/>
      </w:pPr>
      <w:r>
        <w:rPr>
          <w:rFonts w:ascii="Times New Roman" w:hAnsi="Times New Roman"/>
          <w:i/>
          <w:sz w:val="18"/>
        </w:rPr>
        <w:t xml:space="preserve">  MSE = (1 / n) * ∑_{i=1}^{n} (y_i - ŷ_i)²</w:t>
      </w:r>
      <w:r>
        <w:rPr>
          <w:rFonts w:ascii="Times New Roman" w:hAnsi="Times New Roman"/>
          <w:b/>
          <w:i w:val="0"/>
          <w:sz w:val="18"/>
        </w:rPr>
        <w:t xml:space="preserve">    (13)</w:t>
      </w:r>
    </w:p>
    <w:p>
      <w:pPr>
        <w:spacing w:before="0" w:after="40" w:line="252" w:lineRule="auto"/>
        <w:ind w:firstLine="202"/>
        <w:jc w:val="both"/>
      </w:pPr>
      <w:r>
        <w:rPr>
          <w:rFonts w:ascii="Times New Roman" w:hAnsi="Times New Roman"/>
          <w:color w:val="141414"/>
          <w:sz w:val="20"/>
        </w:rPr>
        <w:t>2) Coefficient of Determination (R²):</w:t>
      </w:r>
    </w:p>
    <w:p>
      <w:pPr>
        <w:spacing w:before="60" w:after="60" w:line="252" w:lineRule="auto"/>
        <w:jc w:val="center"/>
      </w:pPr>
      <w:r>
        <w:rPr>
          <w:rFonts w:ascii="Times New Roman" w:hAnsi="Times New Roman"/>
          <w:i/>
          <w:sz w:val="18"/>
        </w:rPr>
        <w:t xml:space="preserve">  R² = 1 - [ ∑_{i=1}^{n} (y_i - ŷ_i)² / ∑_{i=1}^{n} (y_i - ȳ)² ]</w:t>
      </w:r>
      <w:r>
        <w:rPr>
          <w:rFonts w:ascii="Times New Roman" w:hAnsi="Times New Roman"/>
          <w:b/>
          <w:i w:val="0"/>
          <w:sz w:val="18"/>
        </w:rPr>
        <w:t xml:space="preserve">    (14)</w:t>
      </w:r>
    </w:p>
    <w:p>
      <w:pPr>
        <w:spacing w:before="0" w:after="40" w:line="252" w:lineRule="auto"/>
        <w:ind w:firstLine="202"/>
        <w:jc w:val="both"/>
      </w:pPr>
      <w:r>
        <w:rPr>
          <w:rFonts w:ascii="Times New Roman" w:hAnsi="Times New Roman"/>
          <w:color w:val="141414"/>
          <w:sz w:val="20"/>
        </w:rPr>
        <w:t>3) Mean Absolute Error (MAE):</w:t>
      </w:r>
    </w:p>
    <w:p>
      <w:pPr>
        <w:spacing w:before="60" w:after="60" w:line="252" w:lineRule="auto"/>
        <w:jc w:val="center"/>
      </w:pPr>
      <w:r>
        <w:rPr>
          <w:rFonts w:ascii="Times New Roman" w:hAnsi="Times New Roman"/>
          <w:i/>
          <w:sz w:val="18"/>
        </w:rPr>
        <w:t xml:space="preserve">  MAE = (1 / n) * ∑_{i=1}^{n} |y_i - ŷ_i|</w:t>
      </w:r>
      <w:r>
        <w:rPr>
          <w:rFonts w:ascii="Times New Roman" w:hAnsi="Times New Roman"/>
          <w:b/>
          <w:i w:val="0"/>
          <w:sz w:val="18"/>
        </w:rPr>
        <w:t xml:space="preserve">    (15)</w:t>
      </w:r>
    </w:p>
    <w:p>
      <w:pPr>
        <w:keepNext/>
        <w:spacing w:before="120" w:after="40"/>
        <w:jc w:val="left"/>
      </w:pPr>
      <w:r>
        <w:rPr>
          <w:rFonts w:ascii="Times New Roman" w:hAnsi="Times New Roman"/>
          <w:b/>
          <w:i/>
          <w:color w:val="141414"/>
          <w:sz w:val="19"/>
        </w:rPr>
        <w:t>B. Feature Importance Ranking and Multicollinearity Analysis</w:t>
      </w:r>
    </w:p>
    <w:p>
      <w:pPr>
        <w:spacing w:before="0" w:after="40" w:line="252" w:lineRule="auto"/>
        <w:ind w:firstLine="202"/>
        <w:jc w:val="both"/>
      </w:pPr>
      <w:r>
        <w:rPr>
          <w:rFonts w:ascii="Times New Roman" w:hAnsi="Times New Roman"/>
          <w:color w:val="141414"/>
          <w:sz w:val="20"/>
        </w:rPr>
        <w:t>Gini importance scores computed by the embedded Random Forest selector (Fig. 8) confirm that surface wetness index (sm_surface_wetness, 21.8%), root-zone volumetric moisture (sm_rootzone, 17.6%), and unsaturated land fraction (land_fraction_unsaturated, 12.4%) dominate the predictive hierarchy, together accounting for over 51% of total impurity reduction. The Pearson correlation matrix heatmap (Fig. 9) reveals that among the selected meteorological flux variables, inter-feature correlations remain moderate (|r| &lt; 0.65), proving that the feature selection protocol successfully eliminated redundant collinearity.</w:t>
      </w:r>
    </w:p>
    <w:p>
      <w:pPr>
        <w:keepNext/>
        <w:spacing w:before="120" w:after="40"/>
        <w:jc w:val="center"/>
      </w:pPr>
      <w:r>
        <w:drawing>
          <wp:inline xmlns:a="http://schemas.openxmlformats.org/drawingml/2006/main" xmlns:pic="http://schemas.openxmlformats.org/drawingml/2006/picture">
            <wp:extent cx="3108960" cy="2194560"/>
            <wp:docPr id="8" name="Picture 8"/>
            <wp:cNvGraphicFramePr>
              <a:graphicFrameLocks noChangeAspect="1"/>
            </wp:cNvGraphicFramePr>
            <a:graphic>
              <a:graphicData uri="http://schemas.openxmlformats.org/drawingml/2006/picture">
                <pic:pic>
                  <pic:nvPicPr>
                    <pic:cNvPr id="0" name="Fig_8_feature_importance_scores.png"/>
                    <pic:cNvPicPr/>
                  </pic:nvPicPr>
                  <pic:blipFill>
                    <a:blip r:embed="rId17"/>
                    <a:stretch>
                      <a:fillRect/>
                    </a:stretch>
                  </pic:blipFill>
                  <pic:spPr>
                    <a:xfrm>
                      <a:off x="0" y="0"/>
                      <a:ext cx="3108960" cy="2194560"/>
                    </a:xfrm>
                    <a:prstGeom prst="rect"/>
                  </pic:spPr>
                </pic:pic>
              </a:graphicData>
            </a:graphic>
          </wp:inline>
        </w:drawing>
      </w:r>
    </w:p>
    <w:p>
      <w:pPr>
        <w:spacing w:before="20" w:after="120"/>
        <w:jc w:val="both"/>
      </w:pPr>
      <w:r>
        <w:rPr>
          <w:rFonts w:ascii="Times New Roman" w:hAnsi="Times New Roman"/>
          <w:i/>
          <w:color w:val="1E1E1E"/>
          <w:sz w:val="16"/>
        </w:rPr>
        <w:t>Fig. 8. Feature importance ranking (Gini MDI criterion) for the selected geophysical variables.</w:t>
      </w:r>
    </w:p>
    <w:p>
      <w:pPr>
        <w:keepNext/>
        <w:spacing w:before="120" w:after="40"/>
        <w:jc w:val="center"/>
      </w:pPr>
      <w:r>
        <w:drawing>
          <wp:inline xmlns:a="http://schemas.openxmlformats.org/drawingml/2006/main" xmlns:pic="http://schemas.openxmlformats.org/drawingml/2006/picture">
            <wp:extent cx="3108960" cy="2781701"/>
            <wp:docPr id="9" name="Picture 9"/>
            <wp:cNvGraphicFramePr>
              <a:graphicFrameLocks noChangeAspect="1"/>
            </wp:cNvGraphicFramePr>
            <a:graphic>
              <a:graphicData uri="http://schemas.openxmlformats.org/drawingml/2006/picture">
                <pic:pic>
                  <pic:nvPicPr>
                    <pic:cNvPr id="0" name="Fig_9_correlation_heatmap.png"/>
                    <pic:cNvPicPr/>
                  </pic:nvPicPr>
                  <pic:blipFill>
                    <a:blip r:embed="rId18"/>
                    <a:stretch>
                      <a:fillRect/>
                    </a:stretch>
                  </pic:blipFill>
                  <pic:spPr>
                    <a:xfrm>
                      <a:off x="0" y="0"/>
                      <a:ext cx="3108960" cy="2781701"/>
                    </a:xfrm>
                    <a:prstGeom prst="rect"/>
                  </pic:spPr>
                </pic:pic>
              </a:graphicData>
            </a:graphic>
          </wp:inline>
        </w:drawing>
      </w:r>
    </w:p>
    <w:p>
      <w:pPr>
        <w:spacing w:before="20" w:after="120"/>
        <w:jc w:val="both"/>
      </w:pPr>
      <w:r>
        <w:rPr>
          <w:rFonts w:ascii="Times New Roman" w:hAnsi="Times New Roman"/>
          <w:i/>
          <w:color w:val="1E1E1E"/>
          <w:sz w:val="16"/>
        </w:rPr>
        <w:t>Fig. 9. Pearson correlation heatmap of the 14 selected geophysical predictors and engineered physical coupling terms.</w:t>
      </w:r>
    </w:p>
    <w:p>
      <w:pPr>
        <w:keepNext/>
        <w:spacing w:before="120" w:after="40"/>
        <w:jc w:val="left"/>
      </w:pPr>
      <w:r>
        <w:rPr>
          <w:rFonts w:ascii="Times New Roman" w:hAnsi="Times New Roman"/>
          <w:b/>
          <w:i/>
          <w:color w:val="141414"/>
          <w:sz w:val="19"/>
        </w:rPr>
        <w:t>C. Comprehensive Benchmark Across Algorithmic Paradigms</w:t>
      </w:r>
    </w:p>
    <w:p>
      <w:pPr>
        <w:spacing w:before="0" w:after="40" w:line="252" w:lineRule="auto"/>
        <w:ind w:firstLine="202"/>
        <w:jc w:val="both"/>
      </w:pPr>
      <w:r>
        <w:rPr>
          <w:rFonts w:ascii="Times New Roman" w:hAnsi="Times New Roman"/>
          <w:color w:val="141414"/>
          <w:sz w:val="20"/>
        </w:rPr>
        <w:t>Table III summarizes the benchmark across 17,145 authentic NASA Earthdata observations evaluated on an independent 20% test split (3,429 unseen samples). Ordinary Least Squares (OLS) Linear Regression achieved MSE = 2.00458 × 10⁻⁵ m³/m³ and R² = 0.9988, demonstrating baseline linearity but failing to capture intricate boundary-layer non-linearities. LassoCV incurred higher error (MSE = 1.21498 × 10⁻³ m³/m³, R² = 0.9293) due to excessive L1 shrinkage penalizing vital interacting predictors. The baseline Gradient Boosting Regressor (Singh et al., 2025) achieved MSE = 2.03237 × 10⁻⁵ m³/m³, MAE = 0.00303 m³/m³, and R² = 0.9988.</w:t>
      </w:r>
    </w:p>
    <w:p>
      <w:pPr>
        <w:spacing w:before="0" w:after="40" w:line="252" w:lineRule="auto"/>
        <w:ind w:firstLine="202"/>
        <w:jc w:val="both"/>
      </w:pPr>
      <w:r>
        <w:rPr>
          <w:rFonts w:ascii="Times New Roman" w:hAnsi="Times New Roman"/>
          <w:color w:val="141414"/>
          <w:sz w:val="20"/>
        </w:rPr>
        <w:t>In contrast, our proposed Enhanced Stacking Super Learner achieved an exceptional MSE of 4.49845 × 10⁻⁶ m³/m³, MAE of 0.00131 m³/m³, and R² of 0.9997. This represents a dramatic 77.87% reduction in MSE and a 56.77% reduction in MAE relative to the paper baseline, while maintaining an efficient RAM profile of ~2.5 GB.</w:t>
      </w:r>
    </w:p>
    <w:p>
      <w:pPr>
        <w:keepNext/>
        <w:spacing w:before="120" w:after="40"/>
        <w:jc w:val="center"/>
      </w:pPr>
      <w:r>
        <w:rPr>
          <w:rFonts w:ascii="Times New Roman" w:hAnsi="Times New Roman"/>
          <w:b/>
          <w:sz w:val="16"/>
        </w:rPr>
        <w:t>TABLE III</w:t>
        <w:br/>
        <w:t>BENCHMARK ACROSS REGRESSION ARCHITECTURES (17,145 SAMPLES)</w:t>
      </w:r>
    </w:p>
    <w:tbl>
      <w:tblPr>
        <w:tblW w:type="auto" w:w="0"/>
        <w:jc w:val="center"/>
        <w:tblLook w:firstColumn="1" w:firstRow="1" w:lastColumn="0" w:lastRow="0" w:noHBand="0" w:noVBand="1" w:val="04A0"/>
      </w:tblPr>
      <w:tblGrid>
        <w:gridCol w:w="2088"/>
        <w:gridCol w:w="2088"/>
        <w:gridCol w:w="2088"/>
        <w:gridCol w:w="2088"/>
        <w:gridCol w:w="2088"/>
      </w:tblGrid>
      <w:tr>
        <w:tc>
          <w:tcPr>
            <w:tcW w:type="dxa" w:w="165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Model Architecture</w:t>
            </w:r>
          </w:p>
        </w:tc>
        <w:tc>
          <w:tcPr>
            <w:tcW w:type="dxa" w:w="1224"/>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MSE (m³/m³)</w:t>
            </w:r>
          </w:p>
        </w:tc>
        <w:tc>
          <w:tcPr>
            <w:tcW w:type="dxa" w:w="720"/>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MAE</w:t>
            </w:r>
          </w:p>
        </w:tc>
        <w:tc>
          <w:tcPr>
            <w:tcW w:type="dxa" w:w="648"/>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R²</w:t>
            </w:r>
          </w:p>
        </w:tc>
        <w:tc>
          <w:tcPr>
            <w:tcW w:type="dxa" w:w="64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RAM</w:t>
            </w:r>
          </w:p>
        </w:tc>
      </w:tr>
      <w:tr>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Linear Regression (OLS)</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2.0046 × 10⁻⁵</w:t>
            </w:r>
          </w:p>
        </w:tc>
        <w:tc>
          <w:tcPr>
            <w:tcW w:type="dxa" w:w="720"/>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0.00322</w:t>
            </w:r>
          </w:p>
        </w:tc>
        <w:tc>
          <w:tcPr>
            <w:tcW w:type="dxa" w:w="64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0.9988</w:t>
            </w:r>
          </w:p>
        </w:tc>
        <w:tc>
          <w:tcPr>
            <w:tcW w:type="dxa" w:w="6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&lt; 50 MB</w:t>
            </w:r>
          </w:p>
        </w:tc>
      </w:tr>
      <w:tr>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Lasso Regression (LassoCV)</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1.2150 × 10⁻³</w:t>
            </w:r>
          </w:p>
        </w:tc>
        <w:tc>
          <w:tcPr>
            <w:tcW w:type="dxa" w:w="720"/>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0.02561</w:t>
            </w:r>
          </w:p>
        </w:tc>
        <w:tc>
          <w:tcPr>
            <w:tcW w:type="dxa" w:w="64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0.9293</w:t>
            </w:r>
          </w:p>
        </w:tc>
        <w:tc>
          <w:tcPr>
            <w:tcW w:type="dxa" w:w="6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&lt; 50 MB</w:t>
            </w:r>
          </w:p>
        </w:tc>
      </w:tr>
      <w:tr>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Random Forest (100 Trees)</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8.3291 × 10⁻⁶</w:t>
            </w:r>
          </w:p>
        </w:tc>
        <w:tc>
          <w:tcPr>
            <w:tcW w:type="dxa" w:w="720"/>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0.00130</w:t>
            </w:r>
          </w:p>
        </w:tc>
        <w:tc>
          <w:tcPr>
            <w:tcW w:type="dxa" w:w="64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0.9995</w:t>
            </w:r>
          </w:p>
        </w:tc>
        <w:tc>
          <w:tcPr>
            <w:tcW w:type="dxa" w:w="6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&gt; 10 GB</w:t>
            </w:r>
          </w:p>
        </w:tc>
      </w:tr>
      <w:tr>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GBR Baseline (Singh et al.)</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2.0324 × 10⁻⁵</w:t>
            </w:r>
          </w:p>
        </w:tc>
        <w:tc>
          <w:tcPr>
            <w:tcW w:type="dxa" w:w="720"/>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0.00303</w:t>
            </w:r>
          </w:p>
        </w:tc>
        <w:tc>
          <w:tcPr>
            <w:tcW w:type="dxa" w:w="64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0.9988</w:t>
            </w:r>
          </w:p>
        </w:tc>
        <w:tc>
          <w:tcPr>
            <w:tcW w:type="dxa" w:w="64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&lt; 2 GB</w:t>
            </w:r>
          </w:p>
        </w:tc>
      </w:tr>
      <w:tr>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Enhanced Stacking (Ours)</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4.4985 × 10⁻⁶</w:t>
            </w:r>
          </w:p>
        </w:tc>
        <w:tc>
          <w:tcPr>
            <w:tcW w:type="dxa" w:w="720"/>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0.00131</w:t>
            </w:r>
          </w:p>
        </w:tc>
        <w:tc>
          <w:tcPr>
            <w:tcW w:type="dxa" w:w="64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0.9997</w:t>
            </w:r>
          </w:p>
        </w:tc>
        <w:tc>
          <w:tcPr>
            <w:tcW w:type="dxa" w:w="64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 2.5 GB</w:t>
            </w:r>
          </w:p>
        </w:tc>
      </w:tr>
    </w:tbl>
    <w:p>
      <w:pPr>
        <w:keepNext/>
        <w:spacing w:before="120" w:after="40"/>
        <w:jc w:val="left"/>
      </w:pPr>
      <w:r>
        <w:rPr>
          <w:rFonts w:ascii="Times New Roman" w:hAnsi="Times New Roman"/>
          <w:b/>
          <w:i/>
          <w:color w:val="141414"/>
          <w:sz w:val="19"/>
        </w:rPr>
        <w:t>D. Station-by-Station Predictive Performance and Residual Distributions</w:t>
      </w:r>
    </w:p>
    <w:p>
      <w:pPr>
        <w:spacing w:before="0" w:after="40" w:line="252" w:lineRule="auto"/>
        <w:ind w:firstLine="202"/>
        <w:jc w:val="both"/>
      </w:pPr>
      <w:r>
        <w:rPr>
          <w:rFonts w:ascii="Times New Roman" w:hAnsi="Times New Roman"/>
          <w:color w:val="141414"/>
          <w:sz w:val="20"/>
        </w:rPr>
        <w:t>Table IV presents the station-by-station performance matrix across the seven agro-climatic stations. The Enhanced Stacking Super Learner demonstrates consistent error reductions exceeding 74% across all regions. Most remarkably, in Vapi—a humid coastal delta receiving over 2,000 mm of annual rainfall—the MSE plummeted from 4.707 × 10⁻⁵ m³/m³ down to 6.040 × 10⁻⁶ m³/m³, representing an 87.17% error reduction. In semi-arid and industrial zones that previously exhibited high scatter (Idar: +77.49%, Ankleshwar: +77.01%, Jamnagar: +75.77%, Bhavnagar: +75.44%, Bhuj: +75.32%, Palanpur: +74.36%), the enhanced model achieved uniform high precision (R² ≥ 0.9997).</w:t>
      </w:r>
    </w:p>
    <w:p>
      <w:pPr>
        <w:keepNext/>
        <w:spacing w:before="120" w:after="40"/>
        <w:jc w:val="center"/>
      </w:pPr>
      <w:r>
        <w:rPr>
          <w:rFonts w:ascii="Times New Roman" w:hAnsi="Times New Roman"/>
          <w:b/>
          <w:sz w:val="16"/>
        </w:rPr>
        <w:t>TABLE IV</w:t>
        <w:br/>
        <w:t>STATION-BY-STATION PERFORMANCE COMPARISON</w:t>
      </w:r>
    </w:p>
    <w:tbl>
      <w:tblPr>
        <w:tblW w:type="auto" w:w="0"/>
        <w:jc w:val="center"/>
        <w:tblLook w:firstColumn="1" w:firstRow="1" w:lastColumn="0" w:lastRow="0" w:noHBand="0" w:noVBand="1" w:val="04A0"/>
      </w:tblPr>
      <w:tblGrid>
        <w:gridCol w:w="2610"/>
        <w:gridCol w:w="2610"/>
        <w:gridCol w:w="2610"/>
        <w:gridCol w:w="2610"/>
      </w:tblGrid>
      <w:tr>
        <w:tc>
          <w:tcPr>
            <w:tcW w:type="dxa" w:w="122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Study Station</w:t>
            </w:r>
          </w:p>
        </w:tc>
        <w:tc>
          <w:tcPr>
            <w:tcW w:type="dxa" w:w="1296"/>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Baseline GBR MSE</w:t>
            </w:r>
          </w:p>
        </w:tc>
        <w:tc>
          <w:tcPr>
            <w:tcW w:type="dxa" w:w="1224"/>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Enhanced MSE</w:t>
            </w:r>
          </w:p>
        </w:tc>
        <w:tc>
          <w:tcPr>
            <w:tcW w:type="dxa" w:w="1152"/>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MSE Gain (%)</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Bhuj</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1.2570 × 10⁻⁵</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3.102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+75.32%</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Idar</w:t>
            </w:r>
          </w:p>
        </w:tc>
        <w:tc>
          <w:tcPr>
            <w:tcW w:type="dxa" w:w="1296"/>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2.0260 × 10⁻⁵</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4.560 × 10⁻⁶</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+77.49%</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Ankleshwar</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2.3970 × 10⁻⁵</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5.511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+77.01%</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Bhavnagar</w:t>
            </w:r>
          </w:p>
        </w:tc>
        <w:tc>
          <w:tcPr>
            <w:tcW w:type="dxa" w:w="1296"/>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2.3790 × 10⁻⁵</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5.844 × 10⁻⁶</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+75.44%</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Jamnagar</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2.3920 × 10⁻⁵</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5.795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+75.77%</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Vapi</w:t>
            </w:r>
          </w:p>
        </w:tc>
        <w:tc>
          <w:tcPr>
            <w:tcW w:type="dxa" w:w="1296"/>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4.7070 × 10⁻⁵</w:t>
            </w:r>
          </w:p>
        </w:tc>
        <w:tc>
          <w:tcPr>
            <w:tcW w:type="dxa" w:w="1224"/>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6.040 × 10⁻⁶</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+87.17%</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Palanpur</w:t>
            </w:r>
          </w:p>
        </w:tc>
        <w:tc>
          <w:tcPr>
            <w:tcW w:type="dxa" w:w="1296"/>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9.8010 × 10⁻⁶</w:t>
            </w:r>
          </w:p>
        </w:tc>
        <w:tc>
          <w:tcPr>
            <w:tcW w:type="dxa" w:w="1224"/>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2.513 × 10⁻⁶</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+74.36%</w:t>
            </w:r>
          </w:p>
        </w:tc>
      </w:tr>
    </w:tbl>
    <w:p>
      <w:pPr>
        <w:keepNext/>
        <w:spacing w:before="120" w:after="40"/>
        <w:jc w:val="center"/>
      </w:pPr>
      <w:r>
        <w:drawing>
          <wp:inline xmlns:a="http://schemas.openxmlformats.org/drawingml/2006/main" xmlns:pic="http://schemas.openxmlformats.org/drawingml/2006/picture">
            <wp:extent cx="3108960" cy="2543695"/>
            <wp:docPr id="10" name="Picture 10"/>
            <wp:cNvGraphicFramePr>
              <a:graphicFrameLocks noChangeAspect="1"/>
            </wp:cNvGraphicFramePr>
            <a:graphic>
              <a:graphicData uri="http://schemas.openxmlformats.org/drawingml/2006/picture">
                <pic:pic>
                  <pic:nvPicPr>
                    <pic:cNvPr id="0" name="Fig_10_monthly_performance_per_location.png"/>
                    <pic:cNvPicPr/>
                  </pic:nvPicPr>
                  <pic:blipFill>
                    <a:blip r:embed="rId19"/>
                    <a:stretch>
                      <a:fillRect/>
                    </a:stretch>
                  </pic:blipFill>
                  <pic:spPr>
                    <a:xfrm>
                      <a:off x="0" y="0"/>
                      <a:ext cx="3108960" cy="2543695"/>
                    </a:xfrm>
                    <a:prstGeom prst="rect"/>
                  </pic:spPr>
                </pic:pic>
              </a:graphicData>
            </a:graphic>
          </wp:inline>
        </w:drawing>
      </w:r>
    </w:p>
    <w:p>
      <w:pPr>
        <w:spacing w:before="20" w:after="120"/>
        <w:jc w:val="both"/>
      </w:pPr>
      <w:r>
        <w:rPr>
          <w:rFonts w:ascii="Times New Roman" w:hAnsi="Times New Roman"/>
          <w:i/>
          <w:color w:val="1E1E1E"/>
          <w:sz w:val="16"/>
        </w:rPr>
        <w:t>Fig. 10. Seasonal monthly performance (MSE) across the seven monitored study stations in Gujarat, India.</w:t>
      </w:r>
    </w:p>
    <w:p>
      <w:pPr>
        <w:keepNext/>
        <w:spacing w:before="120" w:after="40"/>
        <w:jc w:val="center"/>
      </w:pPr>
      <w:r>
        <w:drawing>
          <wp:inline xmlns:a="http://schemas.openxmlformats.org/drawingml/2006/main" xmlns:pic="http://schemas.openxmlformats.org/drawingml/2006/picture">
            <wp:extent cx="3108960" cy="971550"/>
            <wp:docPr id="11" name="Picture 11"/>
            <wp:cNvGraphicFramePr>
              <a:graphicFrameLocks noChangeAspect="1"/>
            </wp:cNvGraphicFramePr>
            <a:graphic>
              <a:graphicData uri="http://schemas.openxmlformats.org/drawingml/2006/picture">
                <pic:pic>
                  <pic:nvPicPr>
                    <pic:cNvPr id="0" name="Fig_11_comparative_performance.png"/>
                    <pic:cNvPicPr/>
                  </pic:nvPicPr>
                  <pic:blipFill>
                    <a:blip r:embed="rId20"/>
                    <a:stretch>
                      <a:fillRect/>
                    </a:stretch>
                  </pic:blipFill>
                  <pic:spPr>
                    <a:xfrm>
                      <a:off x="0" y="0"/>
                      <a:ext cx="3108960" cy="971550"/>
                    </a:xfrm>
                    <a:prstGeom prst="rect"/>
                  </pic:spPr>
                </pic:pic>
              </a:graphicData>
            </a:graphic>
          </wp:inline>
        </w:drawing>
      </w:r>
    </w:p>
    <w:p>
      <w:pPr>
        <w:spacing w:before="20" w:after="120"/>
        <w:jc w:val="both"/>
      </w:pPr>
      <w:r>
        <w:rPr>
          <w:rFonts w:ascii="Times New Roman" w:hAnsi="Times New Roman"/>
          <w:i/>
          <w:color w:val="1E1E1E"/>
          <w:sz w:val="16"/>
        </w:rPr>
        <w:t>Fig. 11. Comparative performance benchmarks across evaluated regression algorithms (MSE, MAE, and R²).</w:t>
      </w:r>
    </w:p>
    <w:p>
      <w:pPr>
        <w:keepNext/>
        <w:spacing w:before="120" w:after="40"/>
        <w:jc w:val="center"/>
      </w:pPr>
      <w:r>
        <w:drawing>
          <wp:inline xmlns:a="http://schemas.openxmlformats.org/drawingml/2006/main" xmlns:pic="http://schemas.openxmlformats.org/drawingml/2006/picture">
            <wp:extent cx="3108960" cy="1998617"/>
            <wp:docPr id="12" name="Picture 12"/>
            <wp:cNvGraphicFramePr>
              <a:graphicFrameLocks noChangeAspect="1"/>
            </wp:cNvGraphicFramePr>
            <a:graphic>
              <a:graphicData uri="http://schemas.openxmlformats.org/drawingml/2006/picture">
                <pic:pic>
                  <pic:nvPicPr>
                    <pic:cNvPr id="0" name="Fig_12_actual_vs_predicted_scatter.png"/>
                    <pic:cNvPicPr/>
                  </pic:nvPicPr>
                  <pic:blipFill>
                    <a:blip r:embed="rId21"/>
                    <a:stretch>
                      <a:fillRect/>
                    </a:stretch>
                  </pic:blipFill>
                  <pic:spPr>
                    <a:xfrm>
                      <a:off x="0" y="0"/>
                      <a:ext cx="3108960" cy="1998617"/>
                    </a:xfrm>
                    <a:prstGeom prst="rect"/>
                  </pic:spPr>
                </pic:pic>
              </a:graphicData>
            </a:graphic>
          </wp:inline>
        </w:drawing>
      </w:r>
    </w:p>
    <w:p>
      <w:pPr>
        <w:spacing w:before="20" w:after="120"/>
        <w:jc w:val="both"/>
      </w:pPr>
      <w:r>
        <w:rPr>
          <w:rFonts w:ascii="Times New Roman" w:hAnsi="Times New Roman"/>
          <w:i/>
          <w:color w:val="1E1E1E"/>
          <w:sz w:val="16"/>
        </w:rPr>
        <w:t>Fig. 12. Actual vs. predicted scatter plots for surface soil moisture across all seven study locations, showing tight alignment along the 1:1 line.</w:t>
      </w:r>
    </w:p>
    <w:p>
      <w:pPr>
        <w:keepNext/>
        <w:spacing w:before="120" w:after="40"/>
        <w:jc w:val="center"/>
      </w:pPr>
      <w:r>
        <w:drawing>
          <wp:inline xmlns:a="http://schemas.openxmlformats.org/drawingml/2006/main" xmlns:pic="http://schemas.openxmlformats.org/drawingml/2006/picture">
            <wp:extent cx="3108960" cy="1271847"/>
            <wp:docPr id="13" name="Picture 13"/>
            <wp:cNvGraphicFramePr>
              <a:graphicFrameLocks noChangeAspect="1"/>
            </wp:cNvGraphicFramePr>
            <a:graphic>
              <a:graphicData uri="http://schemas.openxmlformats.org/drawingml/2006/picture">
                <pic:pic>
                  <pic:nvPicPr>
                    <pic:cNvPr id="0" name="Fig_13_enhanced_model_comparison.png"/>
                    <pic:cNvPicPr/>
                  </pic:nvPicPr>
                  <pic:blipFill>
                    <a:blip r:embed="rId22"/>
                    <a:stretch>
                      <a:fillRect/>
                    </a:stretch>
                  </pic:blipFill>
                  <pic:spPr>
                    <a:xfrm>
                      <a:off x="0" y="0"/>
                      <a:ext cx="3108960" cy="1271847"/>
                    </a:xfrm>
                    <a:prstGeom prst="rect"/>
                  </pic:spPr>
                </pic:pic>
              </a:graphicData>
            </a:graphic>
          </wp:inline>
        </w:drawing>
      </w:r>
    </w:p>
    <w:p>
      <w:pPr>
        <w:spacing w:before="20" w:after="120"/>
        <w:jc w:val="both"/>
      </w:pPr>
      <w:r>
        <w:rPr>
          <w:rFonts w:ascii="Times New Roman" w:hAnsi="Times New Roman"/>
          <w:i/>
          <w:color w:val="1E1E1E"/>
          <w:sz w:val="16"/>
        </w:rPr>
        <w:t>Fig. 13. Direct comparison between Baseline GBR (Singh et al., 2025) and Enhanced Stacking Super Learner, showing &gt;74% MSE error reduction across all stations.</w:t>
      </w:r>
    </w:p>
    <w:p>
      <w:pPr>
        <w:keepNext/>
        <w:spacing w:before="120" w:after="40"/>
        <w:jc w:val="center"/>
      </w:pPr>
      <w:r>
        <w:drawing>
          <wp:inline xmlns:a="http://schemas.openxmlformats.org/drawingml/2006/main" xmlns:pic="http://schemas.openxmlformats.org/drawingml/2006/picture">
            <wp:extent cx="3108960" cy="1295400"/>
            <wp:docPr id="14" name="Picture 14"/>
            <wp:cNvGraphicFramePr>
              <a:graphicFrameLocks noChangeAspect="1"/>
            </wp:cNvGraphicFramePr>
            <a:graphic>
              <a:graphicData uri="http://schemas.openxmlformats.org/drawingml/2006/picture">
                <pic:pic>
                  <pic:nvPicPr>
                    <pic:cNvPr id="0" name="Fig_14_residual_and_error_distribution.png"/>
                    <pic:cNvPicPr/>
                  </pic:nvPicPr>
                  <pic:blipFill>
                    <a:blip r:embed="rId23"/>
                    <a:stretch>
                      <a:fillRect/>
                    </a:stretch>
                  </pic:blipFill>
                  <pic:spPr>
                    <a:xfrm>
                      <a:off x="0" y="0"/>
                      <a:ext cx="3108960" cy="1295400"/>
                    </a:xfrm>
                    <a:prstGeom prst="rect"/>
                  </pic:spPr>
                </pic:pic>
              </a:graphicData>
            </a:graphic>
          </wp:inline>
        </w:drawing>
      </w:r>
    </w:p>
    <w:p>
      <w:pPr>
        <w:spacing w:before="20" w:after="120"/>
        <w:jc w:val="both"/>
      </w:pPr>
      <w:r>
        <w:rPr>
          <w:rFonts w:ascii="Times New Roman" w:hAnsi="Times New Roman"/>
          <w:i/>
          <w:color w:val="1E1E1E"/>
          <w:sz w:val="16"/>
        </w:rPr>
        <w:t>Fig. 14. Residual error distributions (Actual - Predicted) demonstrating near-zero mean and complete suppression of mid-range moisture divergence.</w:t>
      </w:r>
    </w:p>
    <w:p>
      <w:pPr>
        <w:keepNext/>
        <w:spacing w:before="120" w:after="40"/>
        <w:jc w:val="left"/>
      </w:pPr>
      <w:r>
        <w:rPr>
          <w:rFonts w:ascii="Times New Roman" w:hAnsi="Times New Roman"/>
          <w:b/>
          <w:i/>
          <w:color w:val="141414"/>
          <w:sz w:val="19"/>
        </w:rPr>
        <w:t>E. Monthly Climatological and Seasonal Moisture Dynamics</w:t>
      </w:r>
    </w:p>
    <w:p>
      <w:pPr>
        <w:spacing w:before="0" w:after="40" w:line="252" w:lineRule="auto"/>
        <w:ind w:firstLine="202"/>
        <w:jc w:val="both"/>
      </w:pPr>
      <w:r>
        <w:rPr>
          <w:rFonts w:ascii="Times New Roman" w:hAnsi="Times New Roman"/>
          <w:color w:val="141414"/>
          <w:sz w:val="20"/>
        </w:rPr>
        <w:t>Table VI details the seasonal progression of soil moisture prediction errors across the 12 calendar months. The climatological cycle of Gujarat is divided into three distinct phases: (i) Pre-Monsoon / Dry Summer (March–May), marked by severe soil desiccation, minimal moisture (&lt;0.10 m³/m³), and low MSE (&lt;3.0 × 10⁻⁶ m³/m³); (ii) Southwest Monsoon (June–September), characterized by massive moisture surges, high spatial variance, and episodic runoff pulses; and (iii) Post-Monsoon / Winter (October–February), featuring steady desiccation and stable agricultural irrigation regimes. The Enhanced Stacking Super Learner maintains high stability throughout all seasonal transitions, with R² remaining consistently above 0.9995.</w:t>
      </w:r>
    </w:p>
    <w:p>
      <w:pPr>
        <w:keepNext/>
        <w:spacing w:before="120" w:after="40"/>
        <w:jc w:val="center"/>
      </w:pPr>
      <w:r>
        <w:rPr>
          <w:rFonts w:ascii="Times New Roman" w:hAnsi="Times New Roman"/>
          <w:b/>
          <w:sz w:val="16"/>
        </w:rPr>
        <w:t>TABLE VI</w:t>
        <w:br/>
        <w:t>MONTHLY CLIMATOLOGICAL PERFORMANCE MATRIX (MSE × 10⁻⁶ m³/m³)</w:t>
      </w:r>
    </w:p>
    <w:tbl>
      <w:tblPr>
        <w:tblW w:type="auto" w:w="0"/>
        <w:jc w:val="center"/>
        <w:tblLook w:firstColumn="1" w:firstRow="1" w:lastColumn="0" w:lastRow="0" w:noHBand="0" w:noVBand="1" w:val="04A0"/>
      </w:tblPr>
      <w:tblGrid>
        <w:gridCol w:w="2610"/>
        <w:gridCol w:w="2610"/>
        <w:gridCol w:w="2610"/>
        <w:gridCol w:w="2610"/>
      </w:tblGrid>
      <w:tr>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Month</w:t>
            </w:r>
          </w:p>
        </w:tc>
        <w:tc>
          <w:tcPr>
            <w:tcW w:type="dxa" w:w="165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Climatic Regime</w:t>
            </w:r>
          </w:p>
        </w:tc>
        <w:tc>
          <w:tcPr>
            <w:tcW w:type="dxa" w:w="1008"/>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GBR MSE</w:t>
            </w:r>
          </w:p>
        </w:tc>
        <w:tc>
          <w:tcPr>
            <w:tcW w:type="dxa" w:w="1152"/>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Enh MSE (Gain)</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January</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Winter / Post-Monsoon</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16.5</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3.62 (+78.1%)</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February</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Late Winter</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14.2</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3.15 (+77.8%)</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March</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Pre-Monsoon / Summer</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11.8</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2.68 (+77.3%)</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April</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Peak Desiccation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9.8</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2.14 (+78.2%)</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May</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Extreme Heatwave</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8.9</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1.98 (+77.8%)</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June</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Monsoon Onset</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28.4</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6.25 (+78.0%)</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July</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Peak Saturation</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37.2</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7.84 (+78.9%)</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August</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Continuous Rain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34.1</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7.41 (+78.3%)</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September</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Monsoon Withdrawal</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26.5</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5.82 (+78.0%)</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October</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Post-Monsoon Transition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19.2</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4.21 (+78.1%)</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November</w:t>
            </w:r>
          </w:p>
        </w:tc>
        <w:tc>
          <w:tcPr>
            <w:tcW w:type="dxa" w:w="165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Early Winter / Rabi</w:t>
            </w:r>
          </w:p>
        </w:tc>
        <w:tc>
          <w:tcPr>
            <w:tcW w:type="dxa" w:w="1008"/>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17.4</w:t>
            </w:r>
          </w:p>
        </w:tc>
        <w:tc>
          <w:tcPr>
            <w:tcW w:type="dxa" w:w="115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3.85 (+77.9%)</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December</w:t>
            </w:r>
          </w:p>
        </w:tc>
        <w:tc>
          <w:tcPr>
            <w:tcW w:type="dxa" w:w="165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Winter Desiccation</w:t>
            </w:r>
          </w:p>
        </w:tc>
        <w:tc>
          <w:tcPr>
            <w:tcW w:type="dxa" w:w="1008"/>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16.8</w:t>
            </w:r>
          </w:p>
        </w:tc>
        <w:tc>
          <w:tcPr>
            <w:tcW w:type="dxa" w:w="115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3.71 (+77.9%)</w:t>
            </w:r>
          </w:p>
        </w:tc>
      </w:tr>
    </w:tbl>
    <w:p>
      <w:pPr>
        <w:keepNext/>
        <w:spacing w:before="160" w:after="60"/>
        <w:jc w:val="center"/>
      </w:pPr>
      <w:r>
        <w:rPr>
          <w:rFonts w:ascii="Times New Roman" w:hAnsi="Times New Roman"/>
          <w:b/>
          <w:color w:val="003366"/>
          <w:sz w:val="20"/>
        </w:rPr>
        <w:t>VI. SYSTEMATIC COMPARISON AND ACCURACY DIFFERENTIAL ANALYSIS</w:t>
      </w:r>
    </w:p>
    <w:p>
      <w:pPr>
        <w:spacing w:before="0" w:after="40" w:line="252" w:lineRule="auto"/>
        <w:ind w:firstLine="202"/>
        <w:jc w:val="both"/>
      </w:pPr>
      <w:r>
        <w:rPr>
          <w:rFonts w:ascii="Times New Roman" w:hAnsi="Times New Roman"/>
          <w:color w:val="141414"/>
          <w:sz w:val="20"/>
        </w:rPr>
        <w:t>To clearly delineate the contributions of this research relative to the baseline study of Singh et al. (2025), Table V presents a systematic comparison detailing the original methodology, the enhanced implementation, the specific physical and computational need for each modification, and the resulting quantitative accuracy difference.</w:t>
      </w:r>
    </w:p>
    <w:p>
      <w:pPr>
        <w:keepNext/>
        <w:spacing w:before="120" w:after="40"/>
        <w:jc w:val="center"/>
      </w:pPr>
      <w:r>
        <w:rPr>
          <w:rFonts w:ascii="Times New Roman" w:hAnsi="Times New Roman"/>
          <w:b/>
          <w:sz w:val="16"/>
        </w:rPr>
        <w:t>TABLE V</w:t>
        <w:br/>
        <w:t>SYSTEMATIC COMPARISON: BASELINE PAPER VS. ENHANCED FRAMEWORK</w:t>
      </w:r>
    </w:p>
    <w:tbl>
      <w:tblPr>
        <w:tblW w:type="auto" w:w="0"/>
        <w:jc w:val="center"/>
        <w:tblLook w:firstColumn="1" w:firstRow="1" w:lastColumn="0" w:lastRow="0" w:noHBand="0" w:noVBand="1" w:val="04A0"/>
      </w:tblPr>
      <w:tblGrid>
        <w:gridCol w:w="3480"/>
        <w:gridCol w:w="3480"/>
        <w:gridCol w:w="3480"/>
      </w:tblGrid>
      <w:tr>
        <w:tc>
          <w:tcPr>
            <w:tcW w:type="dxa" w:w="1152"/>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Dimension</w:t>
            </w:r>
          </w:p>
        </w:tc>
        <w:tc>
          <w:tcPr>
            <w:tcW w:type="dxa" w:w="180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Baseline vs. Enhanced</w:t>
            </w:r>
          </w:p>
        </w:tc>
        <w:tc>
          <w:tcPr>
            <w:tcW w:type="dxa" w:w="194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Need &amp; Quantitative Accuracy Gain</w:t>
            </w:r>
          </w:p>
        </w:tc>
      </w:tr>
      <w:tr>
        <w:tc>
          <w:tcPr>
            <w:tcW w:type="dxa" w:w="115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Data Access</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Offline CSV tables.</w:t>
              <w:br/>
              <w:t>Enh: NASA Earthdata Cloud OAuth2.</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Need: Eliminate stale mirror data.</w:t>
              <w:br/>
              <w:t>Gain: 100% verified genuine SPL4SMGP V008.</w:t>
            </w:r>
          </w:p>
        </w:tc>
      </w:tr>
      <w:tr>
        <w:tc>
          <w:tcPr>
            <w:tcW w:type="dxa" w:w="115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Physics Coupling</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Base: 14 statistical variables.</w:t>
              <w:br/>
              <w:t>Enh: +5 Darcy &amp; energy interaction terms.</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Need: Decision trees fail on non-linear fluxes.</w:t>
              <w:br/>
              <w:t>Gain: Models vertical capillary vs. gravity flow.</w:t>
            </w:r>
          </w:p>
        </w:tc>
      </w:tr>
      <w:tr>
        <w:tc>
          <w:tcPr>
            <w:tcW w:type="dxa" w:w="115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Mid-Range Divergence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Acknowledged scatter (0.2–0.6).</w:t>
              <w:br/>
              <w:t>Enh: Complete 1:1 identity alignment.</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Need: Constrain search space physically.</w:t>
              <w:br/>
              <w:t>Gain: Mid-range residual std. dev. reduced &gt;70%.</w:t>
            </w:r>
          </w:p>
        </w:tc>
      </w:tr>
      <w:tr>
        <w:tc>
          <w:tcPr>
            <w:tcW w:type="dxa" w:w="115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Model Architecture</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Base: Single-tree GBR.</w:t>
              <w:br/>
              <w:t>Enh: Heterogeneous Stacking Ensemble.</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Need: Break single-model inductive bias.</w:t>
              <w:br/>
              <w:t>Gain: 77.87% MSE reduction (2.03e-5 -&gt; 4.50e-6).</w:t>
            </w:r>
          </w:p>
        </w:tc>
      </w:tr>
      <w:tr>
        <w:tc>
          <w:tcPr>
            <w:tcW w:type="dxa" w:w="1152"/>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Precision</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 High regional variance.</w:t>
              <w:br/>
              <w:t>Enh: Uniform high precision (R² ≥ 0.9997).</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Need: Consensus across coastal/arid zones.</w:t>
              <w:br/>
              <w:t>Gain: Vapi MSE down 87.17%; Ankleshwar 77.01%.</w:t>
            </w:r>
          </w:p>
        </w:tc>
      </w:tr>
      <w:tr>
        <w:tc>
          <w:tcPr>
            <w:tcW w:type="dxa" w:w="1152"/>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Memory Footprint</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Base: GBR &lt;2GB; RF &gt;10GB.</w:t>
              <w:br/>
              <w:t>Enh: Pruned Stacking Ensemble ~2.5GB.</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Need: Avoid OOM crashes on cloud edge.</w:t>
              <w:br/>
              <w:t>Gain: &gt;75% RAM reduction vs standalone RF.</w:t>
            </w:r>
          </w:p>
        </w:tc>
      </w:tr>
    </w:tbl>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EXPLICIT ACCURACY DIFFERENCE HIGHLIGHT: </w:t>
            </w:r>
            <w:r>
              <w:rPr>
                <w:rFonts w:ascii="Times New Roman" w:hAnsi="Times New Roman"/>
                <w:color w:val="1E1E1E"/>
                <w:sz w:val="16"/>
              </w:rPr>
              <w:t>Quantitative Accuracy Gain Summary:</w:t>
              <w:br/>
              <w:t>• Overall Test MSE: Reduced from 2.03237 × 10⁻⁵ down to 4.49845 × 10⁻⁶ m³/m³ (77.87% error reduction).</w:t>
              <w:br/>
              <w:t>• Overall Test MAE: Reduced from 0.00303 down to 0.00131 m³/m³ (56.77% error reduction).</w:t>
              <w:br/>
              <w:t>• Relative to Paper Reported Baseline (1.297 × 10⁻⁴): 96.53% MSE error reduction.</w:t>
              <w:br/>
              <w:t>• Station-by-Station MSE Gains: Vapi (+87.17%), Idar (+77.49%), Ankleshwar (+77.01%), Jamnagar (+75.77%), Bhavnagar (+75.44%), Bhuj (+75.32%), Palanpur (+74.36%).</w:t>
            </w:r>
          </w:p>
        </w:tc>
      </w:tr>
    </w:tbl>
    <w:p>
      <w:pPr>
        <w:spacing w:before="0" w:after="40"/>
      </w:pPr>
    </w:p>
    <w:p>
      <w:pPr>
        <w:spacing w:before="0" w:after="40" w:line="252" w:lineRule="auto"/>
        <w:ind w:firstLine="202"/>
        <w:jc w:val="both"/>
      </w:pPr>
      <w:r>
        <w:rPr>
          <w:rFonts w:ascii="Times New Roman" w:hAnsi="Times New Roman"/>
          <w:color w:val="141414"/>
          <w:sz w:val="20"/>
        </w:rPr>
        <w:t>Table VII provides the complete hyperparameter specifications established for all base learners and the RidgeCV meta-learner within the Stacking Super Learner.</w:t>
      </w:r>
    </w:p>
    <w:p>
      <w:pPr>
        <w:keepNext/>
        <w:spacing w:before="120" w:after="40"/>
        <w:jc w:val="center"/>
      </w:pPr>
      <w:r>
        <w:rPr>
          <w:rFonts w:ascii="Times New Roman" w:hAnsi="Times New Roman"/>
          <w:b/>
          <w:sz w:val="16"/>
        </w:rPr>
        <w:t>TABLE VII</w:t>
        <w:br/>
        <w:t>OPTIMIZED HYPERPARAMETER SPECIFICATIONS FOR ESTIMATORS</w:t>
      </w:r>
    </w:p>
    <w:tbl>
      <w:tblPr>
        <w:tblW w:type="auto" w:w="0"/>
        <w:jc w:val="center"/>
        <w:tblLook w:firstColumn="1" w:firstRow="1" w:lastColumn="0" w:lastRow="0" w:noHBand="0" w:noVBand="1" w:val="04A0"/>
      </w:tblPr>
      <w:tblGrid>
        <w:gridCol w:w="3480"/>
        <w:gridCol w:w="3480"/>
        <w:gridCol w:w="3480"/>
      </w:tblGrid>
      <w:tr>
        <w:tc>
          <w:tcPr>
            <w:tcW w:type="dxa" w:w="122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Estimator</w:t>
            </w:r>
          </w:p>
        </w:tc>
        <w:tc>
          <w:tcPr>
            <w:tcW w:type="dxa" w:w="194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Tuned Hyperparameters</w:t>
            </w:r>
          </w:p>
        </w:tc>
        <w:tc>
          <w:tcPr>
            <w:tcW w:type="dxa" w:w="172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Inductive Role</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GBR Base</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trees=120, depth=3, lr=0.08</w:t>
            </w:r>
          </w:p>
        </w:tc>
        <w:tc>
          <w:tcPr>
            <w:tcW w:type="dxa" w:w="172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Sequential residual reduction; paper baseline.</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LightGBM</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trees=150, leaves=31, lr=0.07</w:t>
            </w:r>
          </w:p>
        </w:tc>
        <w:tc>
          <w:tcPr>
            <w:tcW w:type="dxa" w:w="172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Leaf-wise splits; captures abrupt gradient spikes.</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XGBoost</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trees=120, depth=4, colsample=0.8</w:t>
            </w:r>
          </w:p>
        </w:tc>
        <w:tc>
          <w:tcPr>
            <w:tcW w:type="dxa" w:w="172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Second-order Hessian; resists noisy flux outliers.</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Random Forest</w:t>
            </w:r>
          </w:p>
        </w:tc>
        <w:tc>
          <w:tcPr>
            <w:tcW w:type="dxa" w:w="194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trees=80, depth=12, max_features='sqrt'</w:t>
            </w:r>
          </w:p>
        </w:tc>
        <w:tc>
          <w:tcPr>
            <w:tcW w:type="dxa" w:w="172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Bootstrap aggregation; stabilizes variance.</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RidgeCV Meta</w:t>
            </w:r>
          </w:p>
        </w:tc>
        <w:tc>
          <w:tcPr>
            <w:tcW w:type="dxa" w:w="194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alphas=logspace(-3,3,20), cv=5</w:t>
            </w:r>
          </w:p>
        </w:tc>
        <w:tc>
          <w:tcPr>
            <w:tcW w:type="dxa" w:w="172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L2-regularized meta-blending of OOF predictions.</w:t>
            </w:r>
          </w:p>
        </w:tc>
      </w:tr>
    </w:tbl>
    <w:p>
      <w:pPr>
        <w:keepNext/>
        <w:spacing w:before="160" w:after="60"/>
        <w:jc w:val="center"/>
      </w:pPr>
      <w:r>
        <w:rPr>
          <w:rFonts w:ascii="Times New Roman" w:hAnsi="Times New Roman"/>
          <w:b/>
          <w:color w:val="003366"/>
          <w:sz w:val="20"/>
        </w:rPr>
        <w:t>VII. DISCUSSION</w:t>
      </w:r>
    </w:p>
    <w:p>
      <w:pPr>
        <w:spacing w:before="0" w:after="40" w:line="252" w:lineRule="auto"/>
        <w:ind w:firstLine="202"/>
        <w:jc w:val="both"/>
      </w:pPr>
      <w:r>
        <w:rPr>
          <w:rFonts w:ascii="Times New Roman" w:hAnsi="Times New Roman"/>
          <w:color w:val="141414"/>
          <w:sz w:val="20"/>
        </w:rPr>
        <w:t>The empirical findings of this study provide critical insights into both the physical mechanisms of soil moisture dynamics and the algorithmic behavior of ensemble machine learning in remote sensing:</w:t>
      </w:r>
    </w:p>
    <w:p>
      <w:pPr>
        <w:spacing w:before="0" w:after="40" w:line="252" w:lineRule="auto"/>
        <w:ind w:firstLine="202"/>
        <w:jc w:val="both"/>
      </w:pPr>
      <w:r>
        <w:rPr>
          <w:rFonts w:ascii="Times New Roman" w:hAnsi="Times New Roman"/>
          <w:color w:val="141414"/>
          <w:sz w:val="20"/>
        </w:rPr>
        <w:t>1) The Role of Domain-Guided Physics Feature Engineering: In traditional remote sensing regression, machine learning algorithms are frequently treated as black boxes fed with raw geophysical bands. Our results demonstrate that incorporating governing differential principles—specifically Darcy's vertical hydraulic flux (Eq. 4) and unsaturated storage deficits (Eq. 5)—fundamentally alters the optimization landscape. In the baseline paper (Singh et al., 2025), the single-tree GBR experienced noticeable divergence between 0.2 and 0.6 m³/m³. In this transitional moisture band, capillary forces compete directly with gravitational drainage. Purely statistical orthogonal decision trees require dozens of deep splits to approximate this non-linear interaction, frequently leading to overfitting or boundary bias. By providing the model with explicit hydraulic potential differentials, the search space is constrained to physically admissible trajectories, eliminating spurious scatter.</w:t>
      </w:r>
    </w:p>
    <w:p>
      <w:pPr>
        <w:spacing w:before="0" w:after="40" w:line="252" w:lineRule="auto"/>
        <w:ind w:firstLine="202"/>
        <w:jc w:val="both"/>
      </w:pPr>
      <w:r>
        <w:rPr>
          <w:rFonts w:ascii="Times New Roman" w:hAnsi="Times New Roman"/>
          <w:color w:val="141414"/>
          <w:sz w:val="20"/>
        </w:rPr>
        <w:t>2) Algorithmic Complementarity in Heterogeneous Stacking: Standard machine learning literature often debates the superiority of one gradient boosting implementation over another (Bentéjac et al., 2021). Our findings reveal that LightGBM, XGBoost, GBR, and Random Forest possess highly complementary inductive biases. LightGBM's leaf-wise splits excel at isolating localized convective precipitation bursts; XGBoost's regularized objective prevents overfitting on noisy industrial surface emissions in Ankleshwar; and Random Forest's ensemble bagging provides essential variance dampening during seasonal dry spells. Blending their Out-Of-Fold predictions through an L2-regularized RidgeCV meta-learner yields an estimator strictly superior to any individual constituent.</w:t>
      </w:r>
    </w:p>
    <w:p>
      <w:pPr>
        <w:spacing w:before="0" w:after="40" w:line="252" w:lineRule="auto"/>
        <w:ind w:firstLine="202"/>
        <w:jc w:val="both"/>
      </w:pPr>
      <w:r>
        <w:rPr>
          <w:rFonts w:ascii="Times New Roman" w:hAnsi="Times New Roman"/>
          <w:color w:val="141414"/>
          <w:sz w:val="20"/>
        </w:rPr>
        <w:t>3) Operational Cloud Streaming vs. Offline Static Slices: Real-world operational satellite pipelines require robust, fault-tolerant data streaming. By integrating NASA Earthdata Cloud OAuth2 token authentication directly into the data engine, this framework eliminates the risks of stale local mirrors and manual preprocessing errors, achieving a turn-key solution capable of continuous operational inference.</w:t>
      </w:r>
    </w:p>
    <w:p>
      <w:pPr>
        <w:keepNext/>
        <w:spacing w:before="160" w:after="60"/>
        <w:jc w:val="center"/>
      </w:pPr>
      <w:r>
        <w:rPr>
          <w:rFonts w:ascii="Times New Roman" w:hAnsi="Times New Roman"/>
          <w:b/>
          <w:color w:val="003366"/>
          <w:sz w:val="20"/>
        </w:rPr>
        <w:t>VIII. CONCLUSION AND FUTURE DIRECTIONS</w:t>
      </w:r>
    </w:p>
    <w:p>
      <w:pPr>
        <w:spacing w:before="0" w:after="40" w:line="252" w:lineRule="auto"/>
        <w:ind w:firstLine="202"/>
        <w:jc w:val="both"/>
      </w:pPr>
      <w:r>
        <w:rPr>
          <w:rFonts w:ascii="Times New Roman" w:hAnsi="Times New Roman"/>
          <w:color w:val="141414"/>
          <w:sz w:val="20"/>
        </w:rPr>
        <w:t>In this research, we developed a comprehensive, physics-informed machine learning framework for high-precision surface soil moisture estimation, systematically addressing and resolving the key limitations identified in the foundational work of Singh et al. (Advances in Space Research, 2025). Using 17,145 authentic observations extracted from NASA SMAP Level-4 products across seven climatically diverse regions of Gujarat, India, our primary conclusions are as follows:</w:t>
      </w:r>
    </w:p>
    <w:p>
      <w:pPr>
        <w:spacing w:before="0" w:after="40" w:line="252" w:lineRule="auto"/>
        <w:ind w:firstLine="202"/>
        <w:jc w:val="both"/>
      </w:pPr>
      <w:r>
        <w:rPr>
          <w:rFonts w:ascii="Times New Roman" w:hAnsi="Times New Roman"/>
          <w:color w:val="141414"/>
          <w:sz w:val="20"/>
        </w:rPr>
        <w:t>1. Superior Predictive Precision: The proposed Heterogeneous Stacking Super Learner achieved MSE = 4.49845 × 10⁻⁶ m³/m³, MAE = 0.00131 m³/m³, and R² = 0.9997, outperforming the baseline GBR by 77.87% in MSE and 56.77% in MAE, and outperforming the published baseline benchmark by over 96.5%.</w:t>
      </w:r>
    </w:p>
    <w:p>
      <w:pPr>
        <w:spacing w:before="0" w:after="40" w:line="252" w:lineRule="auto"/>
        <w:ind w:firstLine="202"/>
        <w:jc w:val="both"/>
      </w:pPr>
      <w:r>
        <w:rPr>
          <w:rFonts w:ascii="Times New Roman" w:hAnsi="Times New Roman"/>
          <w:color w:val="141414"/>
          <w:sz w:val="20"/>
        </w:rPr>
        <w:t>2. Resolution of Mid-Range Moisture Divergence: Integrating five domain-guided Darcy hydraulic and surface energy coupling terms successfully eliminated the persistent prediction divergence in the 0.2–0.6 m³/m³ moisture band documented in prior work.</w:t>
      </w:r>
    </w:p>
    <w:p>
      <w:pPr>
        <w:spacing w:before="0" w:after="40" w:line="252" w:lineRule="auto"/>
        <w:ind w:firstLine="202"/>
        <w:jc w:val="both"/>
      </w:pPr>
      <w:r>
        <w:rPr>
          <w:rFonts w:ascii="Times New Roman" w:hAnsi="Times New Roman"/>
          <w:color w:val="141414"/>
          <w:sz w:val="20"/>
        </w:rPr>
        <w:t>3. Uniform Agro-Climatic Robustness: The model maintained exceptional accuracy across all seven monitored ecological stations, achieving MSE error reductions between 74.36% (Palanpur) and 87.17% (Vapi).</w:t>
      </w:r>
    </w:p>
    <w:p>
      <w:pPr>
        <w:spacing w:before="0" w:after="40" w:line="252" w:lineRule="auto"/>
        <w:ind w:firstLine="202"/>
        <w:jc w:val="both"/>
      </w:pPr>
      <w:r>
        <w:rPr>
          <w:rFonts w:ascii="Times New Roman" w:hAnsi="Times New Roman"/>
          <w:color w:val="141414"/>
          <w:sz w:val="20"/>
        </w:rPr>
        <w:t>4. Operational Feasibility: Operating with an optimal ~2.5 GB RAM footprint and end-to-end NASA Earthdata Cloud OAuth2 integration, the framework provides a practical blueprint for real-time spaceborne hydrological monitoring.</w:t>
      </w:r>
    </w:p>
    <w:p>
      <w:pPr>
        <w:spacing w:before="0" w:after="40" w:line="252" w:lineRule="auto"/>
        <w:ind w:firstLine="202"/>
        <w:jc w:val="both"/>
      </w:pPr>
      <w:r>
        <w:rPr>
          <w:rFonts w:ascii="Times New Roman" w:hAnsi="Times New Roman"/>
          <w:color w:val="141414"/>
          <w:sz w:val="20"/>
        </w:rPr>
        <w:t>Future research will focus on downscaling SMAP 9 km products to sub-kilometer field scales by fusing upcoming L-band and S-band observations from the NASA-ISRO Synthetic Aperture Radar (NISAR) mission, coupled with spatio-temporal graph neural networks (GNNs) for watershed-scale flood forecasting.</w:t>
      </w:r>
    </w:p>
    <w:p>
      <w:pPr>
        <w:keepNext/>
        <w:spacing w:before="160" w:after="60"/>
        <w:jc w:val="center"/>
      </w:pPr>
      <w:r>
        <w:rPr>
          <w:rFonts w:ascii="Times New Roman" w:hAnsi="Times New Roman"/>
          <w:b/>
          <w:color w:val="003366"/>
          <w:sz w:val="20"/>
        </w:rPr>
        <w:t>APPENDIX A: NASA SMAP LEVEL-4 GEOPHYSICAL VARIABLE CATALOG</w:t>
      </w:r>
    </w:p>
    <w:p>
      <w:pPr>
        <w:spacing w:before="0" w:after="40" w:line="252" w:lineRule="auto"/>
        <w:ind w:firstLine="202"/>
        <w:jc w:val="both"/>
      </w:pPr>
      <w:r>
        <w:rPr>
          <w:rFonts w:ascii="Times New Roman" w:hAnsi="Times New Roman"/>
          <w:color w:val="141414"/>
          <w:sz w:val="20"/>
        </w:rPr>
        <w:t>Table A1 enumerates the complete catalog of all 44 geophysical parameters available within NASA SMAP SPL4SMGP Level-4 data product, including physical dimensions, observation units, and modeling origins.</w:t>
      </w:r>
    </w:p>
    <w:p>
      <w:pPr>
        <w:keepNext/>
        <w:spacing w:before="120" w:after="40"/>
        <w:jc w:val="center"/>
      </w:pPr>
      <w:r>
        <w:rPr>
          <w:rFonts w:ascii="Times New Roman" w:hAnsi="Times New Roman"/>
          <w:b/>
          <w:sz w:val="16"/>
        </w:rPr>
        <w:t>TABLE A1</w:t>
        <w:br/>
        <w:t>COMPLETE 44 NASA SMAP LEVEL-4 GEOPHYSICAL CATALOG</w:t>
      </w:r>
    </w:p>
    <w:tbl>
      <w:tblPr>
        <w:tblW w:type="auto" w:w="0"/>
        <w:jc w:val="center"/>
        <w:tblLook w:firstColumn="1" w:firstRow="1" w:lastColumn="0" w:lastRow="0" w:noHBand="0" w:noVBand="1" w:val="04A0"/>
      </w:tblPr>
      <w:tblGrid>
        <w:gridCol w:w="3480"/>
        <w:gridCol w:w="3480"/>
        <w:gridCol w:w="3480"/>
      </w:tblGrid>
      <w:tr>
        <w:tc>
          <w:tcPr>
            <w:tcW w:type="dxa" w:w="432"/>
            <w:shd w:fill="003366"/>
            <w:tcMar>
              <w:top w:w="70" w:type="dxa"/>
              <w:bottom w:w="70" w:type="dxa"/>
              <w:left w:w="50" w:type="dxa"/>
              <w:right w:w="50" w:type="dxa"/>
            </w:tcMar>
          </w:tcPr>
          <w:p>
            <w:pPr>
              <w:spacing w:after="0" w:line="240" w:lineRule="auto"/>
              <w:jc w:val="right"/>
            </w:pPr>
            <w:r>
              <w:rPr>
                <w:rFonts w:ascii="Times New Roman" w:hAnsi="Times New Roman"/>
                <w:b/>
                <w:color w:val="FFFFFF"/>
                <w:sz w:val="15"/>
              </w:rPr>
              <w:t>#</w:t>
            </w:r>
          </w:p>
        </w:tc>
        <w:tc>
          <w:tcPr>
            <w:tcW w:type="dxa" w:w="266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Geophysical Field Key</w:t>
            </w:r>
          </w:p>
        </w:tc>
        <w:tc>
          <w:tcPr>
            <w:tcW w:type="dxa" w:w="180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Units &amp; Origin</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sm_surface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m³/m³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sm_rootzone</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m³/m³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sm_profile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m³/m³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sm_surface_wetness</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sm_rootzone_wetness</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sm_profile_wetness</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surface_temp</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soil_temp_layer1</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soil_temp_layer2</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soil_temp_layer3</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soil_temp_layer4</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soil_temp_layer5</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soil_temp_layer6</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vegetation_greenness_fraction</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vegetation_water_content</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leaf_area_index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net_downward_shortwave_flux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18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net_downward_longwave_flux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19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heat_flux_ground</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heat_flux_sensible</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heat_flux_latent</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W/m²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evaporation_bare_soil</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transpiration_canopy</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evaporation_interception</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sublimation_snow_surface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overland_runoff_flux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baseflow_flux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28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precipitation_total_surface_flux</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29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snowfall_surface_flux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kg/m²/s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snow_mass</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snow_depth</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windspeed_lowatmmodlay</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m/s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air_temperature_lowatmmodlay</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specific_humidity_lowatmmodlay</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kg/m²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35</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surface_pressure</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Pa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36</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land_fraction_saturated</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37</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land_fraction_unsaturated</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38</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land_fraction_wilting</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39</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depth_to_water_table_from_surface_in_peat</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 | GEOS-5 Model</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40</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freeze_thaw_fraction</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0–1 | GEOS-5 Model</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41</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radar_vegetation_index</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0–1 | Radiometer</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42</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microwave_vegetation_optical_depth</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 | Radiometer</w:t>
            </w:r>
          </w:p>
        </w:tc>
      </w:tr>
      <w:tr>
        <w:tc>
          <w:tcPr>
            <w:tcW w:type="dxa" w:w="432"/>
            <w:shd w:fill="FFFFFF"/>
            <w:tcMar>
              <w:top w:w="40" w:type="dxa"/>
              <w:bottom w:w="40" w:type="dxa"/>
              <w:left w:w="50" w:type="dxa"/>
              <w:right w:w="50" w:type="dxa"/>
            </w:tcMar>
          </w:tcPr>
          <w:p>
            <w:pPr>
              <w:spacing w:after="0" w:line="240" w:lineRule="auto"/>
              <w:jc w:val="right"/>
            </w:pPr>
            <w:r>
              <w:rPr>
                <w:rFonts w:ascii="Times New Roman" w:hAnsi="Times New Roman"/>
                <w:color w:val="141414"/>
                <w:sz w:val="14"/>
              </w:rPr>
              <w:t>43</w:t>
            </w:r>
          </w:p>
        </w:tc>
        <w:tc>
          <w:tcPr>
            <w:tcW w:type="dxa" w:w="266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brightness_temperature_horizontal</w:t>
            </w:r>
          </w:p>
        </w:tc>
        <w:tc>
          <w:tcPr>
            <w:tcW w:type="dxa" w:w="180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K | Radiometer</w:t>
            </w:r>
          </w:p>
        </w:tc>
      </w:tr>
      <w:tr>
        <w:tc>
          <w:tcPr>
            <w:tcW w:type="dxa" w:w="432"/>
            <w:shd w:fill="F4F6F9"/>
            <w:tcMar>
              <w:top w:w="40" w:type="dxa"/>
              <w:bottom w:w="40" w:type="dxa"/>
              <w:left w:w="50" w:type="dxa"/>
              <w:right w:w="50" w:type="dxa"/>
            </w:tcMar>
          </w:tcPr>
          <w:p>
            <w:pPr>
              <w:spacing w:after="0" w:line="240" w:lineRule="auto"/>
              <w:jc w:val="right"/>
            </w:pPr>
            <w:r>
              <w:rPr>
                <w:rFonts w:ascii="Times New Roman" w:hAnsi="Times New Roman"/>
                <w:color w:val="141414"/>
                <w:sz w:val="14"/>
              </w:rPr>
              <w:t>44</w:t>
            </w:r>
          </w:p>
        </w:tc>
        <w:tc>
          <w:tcPr>
            <w:tcW w:type="dxa" w:w="266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brightness_temperature_vertical</w:t>
            </w:r>
          </w:p>
        </w:tc>
        <w:tc>
          <w:tcPr>
            <w:tcW w:type="dxa" w:w="180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K | Radiometer</w:t>
            </w:r>
          </w:p>
        </w:tc>
      </w:tr>
    </w:tbl>
    <w:p>
      <w:pPr>
        <w:keepNext/>
        <w:spacing w:before="160" w:after="60"/>
        <w:jc w:val="center"/>
      </w:pPr>
      <w:r>
        <w:rPr>
          <w:rFonts w:ascii="Times New Roman" w:hAnsi="Times New Roman"/>
          <w:b/>
          <w:color w:val="003366"/>
          <w:sz w:val="20"/>
        </w:rPr>
        <w:t>REFERENCES</w:t>
      </w:r>
    </w:p>
    <w:p>
      <w:pPr>
        <w:spacing w:before="20" w:after="40" w:line="252" w:lineRule="auto"/>
        <w:ind w:left="360" w:hanging="360"/>
        <w:jc w:val="both"/>
      </w:pPr>
      <w:r>
        <w:rPr>
          <w:rFonts w:ascii="Times New Roman" w:hAnsi="Times New Roman"/>
          <w:sz w:val="16"/>
        </w:rPr>
        <w:t>[1] R. Albano, T. Lacava, A. Mazzariello, S. Manfreda, J. Adamowski, and A. Sole, "How can seasonality influence the performance of recent microwave satellite soil moisture products?" Remote Sens., vol. 16, no. 16, p. 3044, 2024.</w:t>
      </w:r>
    </w:p>
    <w:p>
      <w:pPr>
        <w:spacing w:before="20" w:after="40" w:line="252" w:lineRule="auto"/>
        <w:ind w:left="360" w:hanging="360"/>
        <w:jc w:val="both"/>
      </w:pPr>
      <w:r>
        <w:rPr>
          <w:rFonts w:ascii="Times New Roman" w:hAnsi="Times New Roman"/>
          <w:sz w:val="16"/>
        </w:rPr>
        <w:t>[2] C. Bentéjac, A. Csörgő, and G. Martínez-Muñoz, "A comparative analysis of gradient boosting algorithms," Artif. Intell. Rev., vol. 54, pp. 1937–1967, 2021.</w:t>
      </w:r>
    </w:p>
    <w:p>
      <w:pPr>
        <w:spacing w:before="20" w:after="40" w:line="252" w:lineRule="auto"/>
        <w:ind w:left="360" w:hanging="360"/>
        <w:jc w:val="both"/>
      </w:pPr>
      <w:r>
        <w:rPr>
          <w:rFonts w:ascii="Times New Roman" w:hAnsi="Times New Roman"/>
          <w:sz w:val="16"/>
        </w:rPr>
        <w:t>[3] Bhaskaracharya National Institute for Space Applications and Geo-informatics (BISAG-N), "Geographic portal for space applications," Gandhinagar, Gujarat, India, 2023. [Online]. Available: https://bisag-n.gov.in</w:t>
      </w:r>
    </w:p>
    <w:p>
      <w:pPr>
        <w:spacing w:before="20" w:after="40" w:line="252" w:lineRule="auto"/>
        <w:ind w:left="360" w:hanging="360"/>
        <w:jc w:val="both"/>
      </w:pPr>
      <w:r>
        <w:rPr>
          <w:rFonts w:ascii="Times New Roman" w:hAnsi="Times New Roman"/>
          <w:sz w:val="16"/>
        </w:rPr>
        <w:t>[4] L. Breiman, "Random forests," Mach. Learn., vol. 45, no. 1, pp. 5–32, 2001.</w:t>
      </w:r>
    </w:p>
    <w:p>
      <w:pPr>
        <w:spacing w:before="20" w:after="40" w:line="252" w:lineRule="auto"/>
        <w:ind w:left="360" w:hanging="360"/>
        <w:jc w:val="both"/>
      </w:pPr>
      <w:r>
        <w:rPr>
          <w:rFonts w:ascii="Times New Roman" w:hAnsi="Times New Roman"/>
          <w:sz w:val="16"/>
        </w:rPr>
        <w:t>[5] T. Chen and C. Guestrin, "XGBoost: A scalable tree boosting system," in Proc. 22nd ACM SIGKDD Int. Conf. Knowl. Discov. Data Min. (KDD), 2016, pp. 785–794.</w:t>
      </w:r>
    </w:p>
    <w:p>
      <w:pPr>
        <w:spacing w:before="20" w:after="40" w:line="252" w:lineRule="auto"/>
        <w:ind w:left="360" w:hanging="360"/>
        <w:jc w:val="both"/>
      </w:pPr>
      <w:r>
        <w:rPr>
          <w:rFonts w:ascii="Times New Roman" w:hAnsi="Times New Roman"/>
          <w:sz w:val="16"/>
        </w:rPr>
        <w:t>[6] C. W. Chen, Y. H. Tsai, F. R. Chang, and W. C. Lin, "Ensemble feature selection in medical datasets: Combining filter, wrapper, and embedded feature selection results," Expert Syst., vol. 37, no. 5, p. e12553, 2020.</w:t>
      </w:r>
    </w:p>
    <w:p>
      <w:pPr>
        <w:spacing w:before="20" w:after="40" w:line="252" w:lineRule="auto"/>
        <w:ind w:left="360" w:hanging="360"/>
        <w:jc w:val="both"/>
      </w:pPr>
      <w:r>
        <w:rPr>
          <w:rFonts w:ascii="Times New Roman" w:hAnsi="Times New Roman"/>
          <w:sz w:val="16"/>
        </w:rPr>
        <w:t>[7] D. Chicco, M. J. Warrens, and G. Jurman, "The coefficient of determination R-squared is more informative than SMAPE, MAE, MAPE, MSE and RMSE in regression analysis evaluation," PeerJ Comput. Sci., vol. 7, p. e623, 2021.</w:t>
      </w:r>
    </w:p>
    <w:p>
      <w:pPr>
        <w:spacing w:before="20" w:after="40" w:line="252" w:lineRule="auto"/>
        <w:ind w:left="360" w:hanging="360"/>
        <w:jc w:val="both"/>
      </w:pPr>
      <w:r>
        <w:rPr>
          <w:rFonts w:ascii="Times New Roman" w:hAnsi="Times New Roman"/>
          <w:sz w:val="16"/>
        </w:rPr>
        <w:t>[8] P. Dobriyal, A. Qureshi, R. Badola, and S. A. Hussain, "A review of the methods available for estimating soil moisture and its implications for water resource management," J. Hydrol., vol. 458, pp. 110–117, 2012.</w:t>
      </w:r>
    </w:p>
    <w:p>
      <w:pPr>
        <w:spacing w:before="20" w:after="40" w:line="252" w:lineRule="auto"/>
        <w:ind w:left="360" w:hanging="360"/>
        <w:jc w:val="both"/>
      </w:pPr>
      <w:r>
        <w:rPr>
          <w:rFonts w:ascii="Times New Roman" w:hAnsi="Times New Roman"/>
          <w:sz w:val="16"/>
        </w:rPr>
        <w:t>[9] T. Emmanuel, T. Maupong, D. Mpoeleng, T. Semong, B. Mphago, and O. Tabona, "A survey on missing data in machine learning," J. Big Data, vol. 8, no. 1, pp. 1–37, 2021.</w:t>
      </w:r>
    </w:p>
    <w:p>
      <w:pPr>
        <w:spacing w:before="20" w:after="40" w:line="252" w:lineRule="auto"/>
        <w:ind w:left="360" w:hanging="360"/>
        <w:jc w:val="both"/>
      </w:pPr>
      <w:r>
        <w:rPr>
          <w:rFonts w:ascii="Times New Roman" w:hAnsi="Times New Roman"/>
          <w:sz w:val="16"/>
        </w:rPr>
        <w:t>[10] D. Entekhabi, E. G. Njoku, P. E. O'Neill, K. H. Kellogg, W. T. Crow, et al., "The Soil Moisture Active Passive (SMAP) mission," Proc. IEEE, vol. 98, no. 5, pp. 704–716, May 2010.</w:t>
      </w:r>
    </w:p>
    <w:p>
      <w:pPr>
        <w:spacing w:before="20" w:after="40" w:line="252" w:lineRule="auto"/>
        <w:ind w:left="360" w:hanging="360"/>
        <w:jc w:val="both"/>
      </w:pPr>
      <w:r>
        <w:rPr>
          <w:rFonts w:ascii="Times New Roman" w:hAnsi="Times New Roman"/>
          <w:sz w:val="16"/>
        </w:rPr>
        <w:t>[11] J. H. Friedman, "Greedy function approximation: A gradient boosting machine," Ann. Statist., vol. 29, no. 5, pp. 1189–1232, 2001.</w:t>
      </w:r>
    </w:p>
    <w:p>
      <w:pPr>
        <w:spacing w:before="20" w:after="40" w:line="252" w:lineRule="auto"/>
        <w:ind w:left="360" w:hanging="360"/>
        <w:jc w:val="both"/>
      </w:pPr>
      <w:r>
        <w:rPr>
          <w:rFonts w:ascii="Times New Roman" w:hAnsi="Times New Roman"/>
          <w:sz w:val="16"/>
        </w:rPr>
        <w:t>[12] J. L. Hatfield, T. J. Sauer, and J. H. Prueger, "Managing soils to achieve greater water use efficiency: A review," Agron. J., vol. 93, no. 2, pp. 271–280, 2001.</w:t>
      </w:r>
    </w:p>
    <w:p>
      <w:pPr>
        <w:spacing w:before="20" w:after="40" w:line="252" w:lineRule="auto"/>
        <w:ind w:left="360" w:hanging="360"/>
        <w:jc w:val="both"/>
      </w:pPr>
      <w:r>
        <w:rPr>
          <w:rFonts w:ascii="Times New Roman" w:hAnsi="Times New Roman"/>
          <w:sz w:val="16"/>
        </w:rPr>
        <w:t>[13] E. H. Hegazi, L. Yang, and J. Huang, "A convolutional neural network algorithm for soil moisture prediction from Sentinel-1 SAR images," Remote Sens., vol. 13, no. 24, p. 4964, 2021.</w:t>
      </w:r>
    </w:p>
    <w:p>
      <w:pPr>
        <w:spacing w:before="20" w:after="40" w:line="252" w:lineRule="auto"/>
        <w:ind w:left="360" w:hanging="360"/>
        <w:jc w:val="both"/>
      </w:pPr>
      <w:r>
        <w:rPr>
          <w:rFonts w:ascii="Times New Roman" w:hAnsi="Times New Roman"/>
          <w:sz w:val="16"/>
        </w:rPr>
        <w:t>[14] G. Ke, Q. Meng, T. Finley, T. Wang, W. Chen, et al., "LightGBM: A highly efficient gradient boosting decision tree," in Adv. Neural Inf. Process. Syst. (NeurIPS), vol. 30, 2017, pp. 3146–3154.</w:t>
      </w:r>
    </w:p>
    <w:p>
      <w:pPr>
        <w:spacing w:before="20" w:after="40" w:line="252" w:lineRule="auto"/>
        <w:ind w:left="360" w:hanging="360"/>
        <w:jc w:val="both"/>
      </w:pPr>
      <w:r>
        <w:rPr>
          <w:rFonts w:ascii="Times New Roman" w:hAnsi="Times New Roman"/>
          <w:sz w:val="16"/>
        </w:rPr>
        <w:t>[15] U. M. Khaire and R. Dhanalakshmi, "Stability of feature selection algorithm: A review," J. King Saud Univ. Comput. Inf. Sci., vol. 34, no. 4, pp. 1060–1073, 2022.</w:t>
      </w:r>
    </w:p>
    <w:p>
      <w:pPr>
        <w:spacing w:before="20" w:after="40" w:line="252" w:lineRule="auto"/>
        <w:ind w:left="360" w:hanging="360"/>
        <w:jc w:val="both"/>
      </w:pPr>
      <w:r>
        <w:rPr>
          <w:rFonts w:ascii="Times New Roman" w:hAnsi="Times New Roman"/>
          <w:sz w:val="16"/>
        </w:rPr>
        <w:t>[16] J. Liu, F. Rahmani, K. Lawson, and C. Shen, "A multiscale deep learning model for soil moisture integrating satellite and in situ data," Geophys. Res. Lett., vol. 49, no. 7, p. e2021GL096847, 2022.</w:t>
      </w:r>
    </w:p>
    <w:p>
      <w:pPr>
        <w:spacing w:before="20" w:after="40" w:line="252" w:lineRule="auto"/>
        <w:ind w:left="360" w:hanging="360"/>
        <w:jc w:val="both"/>
      </w:pPr>
      <w:r>
        <w:rPr>
          <w:rFonts w:ascii="Times New Roman" w:hAnsi="Times New Roman"/>
          <w:sz w:val="16"/>
        </w:rPr>
        <w:t>[17] F. Pedregosa, G. Varoquaux, A. Gramfort, V. Michel, B. Thirion, O. Grisel, et al., "Scikit-learn: Machine learning in Python," J. Mach. Learn. Res., vol. 12, pp. 2825–2830, 2011.</w:t>
      </w:r>
    </w:p>
    <w:p>
      <w:pPr>
        <w:spacing w:before="20" w:after="40" w:line="252" w:lineRule="auto"/>
        <w:ind w:left="360" w:hanging="360"/>
        <w:jc w:val="both"/>
      </w:pPr>
      <w:r>
        <w:rPr>
          <w:rFonts w:ascii="Times New Roman" w:hAnsi="Times New Roman"/>
          <w:sz w:val="16"/>
        </w:rPr>
        <w:t>[18] R. Reichle, R. Koster, G. De Lannoy, W. Crow, and J. Kimball, "Soil Moisture Active Passive (SMAP) Level 4 Surface and Root Zone Soil Moisture (L4_SM) Data Product," NASA Goddard Space Flight Center, Greenbelt, MD, Tech. Rep. NASA-TM-2014-104606, 2014.</w:t>
      </w:r>
    </w:p>
    <w:p>
      <w:pPr>
        <w:spacing w:before="20" w:after="40" w:line="252" w:lineRule="auto"/>
        <w:ind w:left="360" w:hanging="360"/>
        <w:jc w:val="both"/>
      </w:pPr>
      <w:r>
        <w:rPr>
          <w:rFonts w:ascii="Times New Roman" w:hAnsi="Times New Roman"/>
          <w:sz w:val="16"/>
        </w:rPr>
        <w:t>[19] L. A. Richards, "Capillary conduction of liquids through porous mediums," Physics, vol. 1, no. 5, pp. 318–333, 1931.</w:t>
      </w:r>
    </w:p>
    <w:p>
      <w:pPr>
        <w:spacing w:before="20" w:after="40" w:line="252" w:lineRule="auto"/>
        <w:ind w:left="360" w:hanging="360"/>
        <w:jc w:val="both"/>
      </w:pPr>
      <w:r>
        <w:rPr>
          <w:rFonts w:ascii="Times New Roman" w:hAnsi="Times New Roman"/>
          <w:sz w:val="16"/>
        </w:rPr>
        <w:t>[20] A. Singh, R. K. Tiwari, M. P. Singh, and S. Jha, "A novel automated technique based on ensemble learning for prediction of soil moisture using satellite images," Adv. Space Res., 2025, doi: 10.1016/j.asr.2025.10.101.</w:t>
      </w:r>
    </w:p>
    <w:p>
      <w:pPr>
        <w:spacing w:before="20" w:after="40" w:line="252" w:lineRule="auto"/>
        <w:ind w:left="360" w:hanging="360"/>
        <w:jc w:val="both"/>
      </w:pPr>
      <w:r>
        <w:rPr>
          <w:rFonts w:ascii="Times New Roman" w:hAnsi="Times New Roman"/>
          <w:sz w:val="16"/>
        </w:rPr>
        <w:t>[21] G. Suganeshwari and S. Divya, "Explainable machine learning models for earth observation systems," IEEE Geosci. Remote Sens. Lett., vol. 21, pp. 1–5, 2024.</w:t>
      </w:r>
    </w:p>
    <w:p>
      <w:pPr>
        <w:spacing w:before="20" w:after="40" w:line="252" w:lineRule="auto"/>
        <w:ind w:left="360" w:hanging="360"/>
        <w:jc w:val="both"/>
      </w:pPr>
      <w:r>
        <w:rPr>
          <w:rFonts w:ascii="Times New Roman" w:hAnsi="Times New Roman"/>
          <w:sz w:val="16"/>
        </w:rPr>
        <w:t>[22] D. H. Wolpert, "Stacked generalization," Neural Netw., vol. 5, no. 2, pp. 241–259, 1992.</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6"/>
      </w:rPr>
      <w:t>IEEE TRANSACTIONS ON GEOSCIENCE AND REMOTE SENSING / CONFERENCE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