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343025" cy="49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</w:t>
      </w:r>
    </w:p>
    <w:tbl>
      <w:tblPr>
        <w:tblStyle w:val="Table1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rHeight w:val="1173.8671875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   </w:t>
            </w:r>
            <w:r w:rsidDel="00000000" w:rsidR="00000000" w:rsidRPr="00000000">
              <w:rPr>
                <w:b w:val="1"/>
                <w:i w:val="1"/>
                <w:sz w:val="40"/>
                <w:szCs w:val="4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i w:val="1"/>
                <w:sz w:val="56"/>
                <w:szCs w:val="56"/>
                <w:rtl w:val="0"/>
              </w:rPr>
              <w:t xml:space="preserve">  TEST PLAN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br w:type="textWrapping"/>
            </w: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                                 PROJECT NAME: Tutorials Ninja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b w:val="1"/>
          <w:i w:val="1"/>
          <w:sz w:val="42"/>
          <w:szCs w:val="42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                                           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  </w:t>
      </w: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Lora" w:cs="Lora" w:eastAsia="Lora" w:hAnsi="Lora"/>
          <w:b w:val="1"/>
          <w:i w:val="1"/>
          <w:sz w:val="56"/>
          <w:szCs w:val="56"/>
          <w:rtl w:val="0"/>
        </w:rPr>
        <w:t xml:space="preserve">Tutorials Ninja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                            </w:t>
      </w:r>
      <w:r w:rsidDel="00000000" w:rsidR="00000000" w:rsidRPr="00000000">
        <w:rPr>
          <w:i w:val="1"/>
          <w:sz w:val="42"/>
          <w:szCs w:val="42"/>
        </w:rPr>
        <w:drawing>
          <wp:inline distB="114300" distT="114300" distL="114300" distR="114300">
            <wp:extent cx="2305050" cy="2333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i w:val="1"/>
          <w:sz w:val="42"/>
          <w:szCs w:val="42"/>
        </w:rPr>
      </w:pPr>
      <w:r w:rsidDel="00000000" w:rsidR="00000000" w:rsidRPr="00000000">
        <w:rPr>
          <w:i w:val="1"/>
          <w:sz w:val="42"/>
          <w:szCs w:val="42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Lora" w:cs="Lora" w:eastAsia="Lora" w:hAnsi="Lora"/>
          <w:i w:val="1"/>
          <w:sz w:val="42"/>
          <w:szCs w:val="42"/>
          <w:rtl w:val="0"/>
        </w:rPr>
        <w:t xml:space="preserve">                                                                      </w:t>
      </w:r>
    </w:p>
    <w:tbl>
      <w:tblPr>
        <w:tblStyle w:val="Table2"/>
        <w:tblW w:w="1143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40"/>
                <w:szCs w:val="40"/>
                <w:rtl w:val="0"/>
              </w:rPr>
              <w:t xml:space="preserve">   Prepared By:kusuma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                                                                                                        </w:t>
            </w: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2"/>
                <w:szCs w:val="32"/>
                <w:rtl w:val="0"/>
              </w:rPr>
              <w:t xml:space="preserve">  Date: </w:t>
            </w: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17/01/2024</w:t>
            </w: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2"/>
                <w:szCs w:val="32"/>
                <w:rtl w:val="0"/>
              </w:rPr>
              <w:t xml:space="preserve">   </w:t>
            </w: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ora SemiBold" w:cs="Lora SemiBold" w:eastAsia="Lora SemiBold" w:hAnsi="Lora SemiBold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6"/>
                <w:szCs w:val="36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Introduction………………………………………….3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Objective…………………………………………….3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Scope………………………………………………...4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Testable Features…………………………………..5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Approach…………………………………...5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and Responsibilities………………………...6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Deliverables……………………………………8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&amp; Exit Criteria…………………………………9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Tools………………………………………………...10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and Mitigation plans…………………………12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Approvals…………………………………………13</w:t>
      </w:r>
    </w:p>
    <w:p w:rsidR="00000000" w:rsidDel="00000000" w:rsidP="00000000" w:rsidRDefault="00000000" w:rsidRPr="00000000" w14:paraId="00000028">
      <w:pPr>
        <w:rPr>
          <w:sz w:val="42"/>
          <w:szCs w:val="42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ora SemiBold" w:cs="Lora SemiBold" w:eastAsia="Lora SemiBold" w:hAnsi="Lora SemiBold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0"/>
                <w:szCs w:val="30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sz w:val="42"/>
          <w:szCs w:val="42"/>
          <w:rtl w:val="0"/>
        </w:rPr>
        <w:t xml:space="preserve">              </w:t>
      </w:r>
      <w:r w:rsidDel="00000000" w:rsidR="00000000" w:rsidRPr="00000000">
        <w:rPr>
          <w:i w:val="1"/>
          <w:sz w:val="34"/>
          <w:szCs w:val="3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 Tutorials Ninja is a one-stop e-commerce platform offering seamless shopping for digital tutorials and diverse physical products.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1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Objectives: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             </w:t>
      </w:r>
      <w:r w:rsidDel="00000000" w:rsidR="00000000" w:rsidRPr="00000000">
        <w:rPr>
          <w:rFonts w:ascii="Lora" w:cs="Lora" w:eastAsia="Lora" w:hAnsi="Lora"/>
          <w:b w:val="1"/>
          <w:i w:val="1"/>
          <w:sz w:val="32"/>
          <w:szCs w:val="32"/>
          <w:rtl w:val="0"/>
        </w:rPr>
        <w:t xml:space="preserve">                           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Tutorials Ninja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is a secure, user-friendly e-commerce platform with features like product browsing, cart management, multi-currency support, and mobile compatibility.</w:t>
      </w:r>
    </w:p>
    <w:tbl>
      <w:tblPr>
        <w:tblStyle w:val="Table6"/>
        <w:tblW w:w="1089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Scope : 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             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             The scope of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Tutorials Ninja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includes testing usability, functionality, performance, security, and compatibility to ensure an intuitive, secure, and efficient multi-device shopping experience.</w:t>
      </w:r>
      <w:r w:rsidDel="00000000" w:rsidR="00000000" w:rsidRPr="00000000">
        <w:rPr>
          <w:rtl w:val="0"/>
        </w:rPr>
      </w:r>
    </w:p>
    <w:tbl>
      <w:tblPr>
        <w:tblStyle w:val="Table7"/>
        <w:tblW w:w="1089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cantSplit w:val="0"/>
          <w:trHeight w:val="347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Testable features: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User Registration and Login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Product Browsing and Display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Search Functionality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Cart Management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Checkout Process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Order History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Account Management (Update Details)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Promo Codes and Discounts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Multi-currency Support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Mobile and Cross-browser Compatibility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Security Features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Error Handling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9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cantSplit w:val="0"/>
          <w:trHeight w:val="347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34"/>
                <w:szCs w:val="3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i w:val="1"/>
                <w:sz w:val="30"/>
                <w:szCs w:val="30"/>
                <w:rtl w:val="0"/>
              </w:rPr>
              <w:t xml:space="preserve">Testing Approach: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Lora" w:cs="Lora" w:eastAsia="Lora" w:hAnsi="Lora"/>
          <w:b w:val="1"/>
          <w:i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8"/>
          <w:szCs w:val="28"/>
          <w:rtl w:val="0"/>
        </w:rPr>
        <w:t xml:space="preserve">Testing Types :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Usability Testing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Functionality Testing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Performance Testing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Security Testing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Compatibility Testing</w:t>
      </w:r>
      <w:r w:rsidDel="00000000" w:rsidR="00000000" w:rsidRPr="00000000">
        <w:rPr>
          <w:rtl w:val="0"/>
        </w:rPr>
      </w:r>
    </w:p>
    <w:tbl>
      <w:tblPr>
        <w:tblStyle w:val="Table9"/>
        <w:tblW w:w="1084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Roles/Responsibilities: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rtl w:val="0"/>
        </w:rPr>
        <w:t xml:space="preserve">Test manager: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The Test Manager ensures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Tutorials Ninja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meets quality standards through effective planning, coordination, and execution of all testing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8"/>
          <w:szCs w:val="28"/>
          <w:rtl w:val="0"/>
        </w:rPr>
        <w:t xml:space="preserve">Test lead: </w:t>
      </w:r>
      <w:r w:rsidDel="00000000" w:rsidR="00000000" w:rsidRPr="00000000">
        <w:rPr>
          <w:rFonts w:ascii="Lora" w:cs="Lora" w:eastAsia="Lora" w:hAnsi="Lora"/>
          <w:i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ensuring effective execution of test plans and achieving quality objectives for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Tutorials Ninja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8"/>
          <w:szCs w:val="28"/>
          <w:rtl w:val="0"/>
        </w:rPr>
        <w:t xml:space="preserve">The Test Engineer: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executes test cases, identifies defects, and ensures the functionality and performance of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Tutorials Ninja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meet quality standards.</w:t>
      </w:r>
      <w:r w:rsidDel="00000000" w:rsidR="00000000" w:rsidRPr="00000000">
        <w:rPr>
          <w:rtl w:val="0"/>
        </w:rPr>
      </w:r>
    </w:p>
    <w:tbl>
      <w:tblPr>
        <w:tblStyle w:val="Table10"/>
        <w:tblW w:w="1084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Test schedule: 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Following is the test schedule planned for the project :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Test Plan creation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: 17/01/2024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Test Scenario creation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: 17/01/2024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Test case creation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 : 18/01/2024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Test case Execution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: 18/01/2024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Summary Report Submission: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19/01/2024</w:t>
      </w:r>
      <w:r w:rsidDel="00000000" w:rsidR="00000000" w:rsidRPr="00000000">
        <w:rPr>
          <w:rtl w:val="0"/>
        </w:rPr>
      </w:r>
    </w:p>
    <w:tbl>
      <w:tblPr>
        <w:tblStyle w:val="Table11"/>
        <w:tblW w:w="1084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0"/>
                <w:szCs w:val="30"/>
                <w:rtl w:val="0"/>
              </w:rPr>
              <w:t xml:space="preserve">Test Deliverables : 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6"/>
          <w:szCs w:val="26"/>
          <w:rtl w:val="0"/>
        </w:rPr>
        <w:t xml:space="preserve">Test plan: 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it includes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test cases, defect reports, and test results for Tutorials Ninja.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Test cases : 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include detailed test scripts, expected results, and actual outcomes to validate Tutorials Ninja functionality and performance.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Defect report :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it  includes identified issues, their severity, steps to reproduce, and status for resolution in Tutorials Ninja.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84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Entry and Exit Criteria: 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 entry criteria :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for Tutorials Ninja testing include a finalized test plan, a stable test environment, and completed development of core features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Exit criteria: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The exit criteria for Tutorials Ninja testing include all critical defects resolved, successful execution of test cases, and approval from stakeholders.</w:t>
      </w:r>
      <w:r w:rsidDel="00000000" w:rsidR="00000000" w:rsidRPr="00000000">
        <w:rPr>
          <w:rtl w:val="0"/>
        </w:rPr>
      </w:r>
    </w:p>
    <w:tbl>
      <w:tblPr>
        <w:tblStyle w:val="Table13"/>
        <w:tblW w:w="1099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Tools: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X mind map Tool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Jira - Project management tool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Zephyr- Test Management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Google documents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Google sheet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Cypress automation testing </w:t>
      </w:r>
      <w:r w:rsidDel="00000000" w:rsidR="00000000" w:rsidRPr="00000000">
        <w:rPr>
          <w:rtl w:val="0"/>
        </w:rPr>
      </w:r>
    </w:p>
    <w:tbl>
      <w:tblPr>
        <w:tblStyle w:val="Table14"/>
        <w:tblW w:w="1099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Risk and mitigation plan : </w:t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                                                              The risk and mitigation plan for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Tutorials Ninja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includes identifying potential risks like security vulnerabilities and performance issues, with strategies for proactive monitoring, testing, and quick resolution.</w:t>
      </w:r>
      <w:r w:rsidDel="00000000" w:rsidR="00000000" w:rsidRPr="00000000">
        <w:rPr>
          <w:rtl w:val="0"/>
        </w:rPr>
      </w:r>
    </w:p>
    <w:tbl>
      <w:tblPr>
        <w:tblStyle w:val="Table15"/>
        <w:tblW w:w="1099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rHeight w:val="548.2" w:hRule="atLeast"/>
          <w:tblHeader w:val="0"/>
        </w:trPr>
        <w:tc>
          <w:tcPr>
            <w:shd w:fill="51da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28"/>
                <w:szCs w:val="28"/>
                <w:rtl w:val="0"/>
              </w:rPr>
              <w:t xml:space="preserve">Approvals : 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Masai will send different types of documents for Client Approval like below:  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Test Plan  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i w:val="1"/>
          <w:u w:val="none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Test Scenarios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 Reports Testing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07F">
      <w:pPr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