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343025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</w:t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173.8671875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i w:val="1"/>
                <w:sz w:val="40"/>
                <w:szCs w:val="4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i w:val="1"/>
                <w:sz w:val="56"/>
                <w:szCs w:val="56"/>
                <w:rtl w:val="0"/>
              </w:rPr>
              <w:t xml:space="preserve">  TEST PLAN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                                 PROJECT NAME: Tutorials Ninja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b w:val="1"/>
          <w:i w:val="1"/>
          <w:sz w:val="42"/>
          <w:szCs w:val="4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                                        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b w:val="1"/>
          <w:i w:val="1"/>
          <w:sz w:val="56"/>
          <w:szCs w:val="56"/>
          <w:rtl w:val="0"/>
        </w:rPr>
        <w:t xml:space="preserve">Tutorials Ninja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                            </w:t>
      </w:r>
      <w:r w:rsidDel="00000000" w:rsidR="00000000" w:rsidRPr="00000000">
        <w:rPr>
          <w:i w:val="1"/>
          <w:sz w:val="42"/>
          <w:szCs w:val="42"/>
        </w:rPr>
        <w:drawing>
          <wp:inline distB="114300" distT="114300" distL="114300" distR="114300">
            <wp:extent cx="2305050" cy="233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i w:val="1"/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Lora" w:cs="Lora" w:eastAsia="Lora" w:hAnsi="Lora"/>
          <w:i w:val="1"/>
          <w:sz w:val="42"/>
          <w:szCs w:val="42"/>
          <w:rtl w:val="0"/>
        </w:rPr>
        <w:t xml:space="preserve">                                                                      </w:t>
      </w:r>
    </w:p>
    <w:tbl>
      <w:tblPr>
        <w:tblStyle w:val="Table2"/>
        <w:tblW w:w="1143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40"/>
                <w:szCs w:val="40"/>
                <w:rtl w:val="0"/>
              </w:rPr>
              <w:t xml:space="preserve">   Prepared By:kusuma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                                                                                                     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2"/>
                <w:szCs w:val="32"/>
                <w:rtl w:val="0"/>
              </w:rPr>
              <w:t xml:space="preserve">  Date: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17/01/2024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2"/>
                <w:szCs w:val="32"/>
                <w:rtl w:val="0"/>
              </w:rPr>
              <w:t xml:space="preserve">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 SemiBold" w:cs="Lora SemiBold" w:eastAsia="Lora SemiBold" w:hAnsi="Lora SemiBold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6"/>
                <w:szCs w:val="36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Introduction………………………………………….3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Objective…………………………………………….3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Scope………………………………………………...4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Testable Features…………………………………..5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Approach…………………………………...5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and Responsibilities………………………...6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Deliverables……………………………………8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&amp; Exit Criteria…………………………………9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Tools………………………………………………...10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and Mitigation plans…………………………12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Approvals…………………………………………13</w:t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 SemiBold" w:cs="Lora SemiBold" w:eastAsia="Lora SemiBold" w:hAnsi="Lora SemiBold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sz w:val="42"/>
          <w:szCs w:val="42"/>
          <w:rtl w:val="0"/>
        </w:rPr>
        <w:t xml:space="preserve">              </w:t>
      </w:r>
      <w:r w:rsidDel="00000000" w:rsidR="00000000" w:rsidRPr="00000000">
        <w:rPr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Tutorials Ninja is a one-stop e-commerce platform offering seamless shopping for digital tutorials and diverse physical products.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Objectives: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            </w:t>
      </w:r>
      <w:r w:rsidDel="00000000" w:rsidR="00000000" w:rsidRPr="00000000">
        <w:rPr>
          <w:rFonts w:ascii="Lora" w:cs="Lora" w:eastAsia="Lora" w:hAnsi="Lora"/>
          <w:b w:val="1"/>
          <w:i w:val="1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is a secure, user-friendly e-commerce platform with features like product browsing, cart management, multi-currency support, and mobile compatibility.</w:t>
      </w:r>
    </w:p>
    <w:tbl>
      <w:tblPr>
        <w:tblStyle w:val="Table6"/>
        <w:tblW w:w="108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Scope : 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             The scope of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includes testing usability, functionality, performance, security, and compatibility to ensure an intuitive, secure, and efficient multi-device shopping experience.</w:t>
      </w:r>
      <w:r w:rsidDel="00000000" w:rsidR="00000000" w:rsidRPr="00000000">
        <w:rPr>
          <w:rtl w:val="0"/>
        </w:rPr>
      </w:r>
    </w:p>
    <w:tbl>
      <w:tblPr>
        <w:tblStyle w:val="Table7"/>
        <w:tblW w:w="108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Testable features: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User Registration and Login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Product Browsing and Display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Search Functionality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Cart Management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Checkout Process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Order History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Account Management (Update Details)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Promo Codes and Discounts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Multi-currency Support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Mobile and Cross-browser Compatibility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Security Features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Error Handling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0"/>
                <w:szCs w:val="30"/>
                <w:rtl w:val="0"/>
              </w:rPr>
              <w:t xml:space="preserve">Testing Approach: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Lora" w:cs="Lora" w:eastAsia="Lora" w:hAnsi="Lora"/>
          <w:b w:val="1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Testing Types :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Usability Testing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Functionality Testing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Performance Testing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Security Testing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Compatibility Testing</w:t>
      </w:r>
      <w:r w:rsidDel="00000000" w:rsidR="00000000" w:rsidRPr="00000000">
        <w:rPr>
          <w:rtl w:val="0"/>
        </w:rPr>
      </w:r>
    </w:p>
    <w:tbl>
      <w:tblPr>
        <w:tblStyle w:val="Table9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Roles/Responsibilities: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Test manager: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The Test Manager ensures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meets quality standards through effective planning, coordination, and execution of all testing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Test lead: </w:t>
      </w:r>
      <w:r w:rsidDel="00000000" w:rsidR="00000000" w:rsidRPr="00000000">
        <w:rPr>
          <w:rFonts w:ascii="Lora" w:cs="Lora" w:eastAsia="Lora" w:hAnsi="Lora"/>
          <w:i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ensuring effective execution of test plans and achieving quality objectives for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The Test Engineer: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executes test cases, identifies defects, and ensures the functionality and performance of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meet quality standards.</w:t>
      </w:r>
      <w:r w:rsidDel="00000000" w:rsidR="00000000" w:rsidRPr="00000000">
        <w:rPr>
          <w:rtl w:val="0"/>
        </w:rPr>
      </w:r>
    </w:p>
    <w:tbl>
      <w:tblPr>
        <w:tblStyle w:val="Table10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Test schedule: 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Following is the test schedule planned for the project :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Plan creation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: 17/01/2024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Scenario creation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: 17/01/2024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case creation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 : 18/01/2024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case Execution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: 18/01/2024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Summary Report Submission: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19/01/2024</w:t>
      </w:r>
      <w:r w:rsidDel="00000000" w:rsidR="00000000" w:rsidRPr="00000000">
        <w:rPr>
          <w:rtl w:val="0"/>
        </w:rPr>
      </w:r>
    </w:p>
    <w:tbl>
      <w:tblPr>
        <w:tblStyle w:val="Table11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Test Deliverables : 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6"/>
          <w:szCs w:val="26"/>
          <w:rtl w:val="0"/>
        </w:rPr>
        <w:t xml:space="preserve">Test plan: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it includes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test cases, defect reports, and test results for Tutorials Ninja.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cases :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include detailed test scripts, expected results, and actual outcomes to validate Tutorials Ninja functionality and performance.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Defect report 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it  includes identified issues, their severity, steps to reproduce, and status for resolution in Tutorials Ninja.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Entry and Exit Criteria: 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 entry criteria :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for Tutorials Ninja testing include a finalized test plan, a stable test environment, and completed development of core features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Exit criteria: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The exit criteria for Tutorials Ninja testing include all critical defects resolved, successful execution of test cases, and approval from stakeholders.</w:t>
      </w:r>
      <w:r w:rsidDel="00000000" w:rsidR="00000000" w:rsidRPr="00000000">
        <w:rPr>
          <w:rtl w:val="0"/>
        </w:rPr>
      </w:r>
    </w:p>
    <w:tbl>
      <w:tblPr>
        <w:tblStyle w:val="Table13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Tools: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X mind map Tool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Jira - Project management tool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Zephyr- Test Management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Google documents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Google sheet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Cypress automation testing </w:t>
      </w:r>
      <w:r w:rsidDel="00000000" w:rsidR="00000000" w:rsidRPr="00000000">
        <w:rPr>
          <w:rtl w:val="0"/>
        </w:rPr>
      </w:r>
    </w:p>
    <w:tbl>
      <w:tblPr>
        <w:tblStyle w:val="Table14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Risk and mitigation plan : 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                                                              The risk and mitigation plan for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includes identifying potential risks like security vulnerabilities and performance issues, with strategies for proactive monitoring, testing, and quick resolution.</w:t>
      </w:r>
      <w:r w:rsidDel="00000000" w:rsidR="00000000" w:rsidRPr="00000000">
        <w:rPr>
          <w:rtl w:val="0"/>
        </w:rPr>
      </w:r>
    </w:p>
    <w:tbl>
      <w:tblPr>
        <w:tblStyle w:val="Table15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Approvals : 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Masai will send different types of documents for Client Approval like below: 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Test Plan 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Test Scenarios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Reports Testing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7F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