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Automated Research Gap Discovery System</w:t>
        <w:br/>
        <w:t>Midterm Report</w:t>
      </w:r>
    </w:p>
    <w:p>
      <w:pPr>
        <w:jc w:val="center"/>
      </w:pPr>
      <w:r>
        <w:rPr>
          <w:rFonts w:ascii="Times New Roman" w:hAnsi="Times New Roman"/>
          <w:sz w:val="22"/>
        </w:rPr>
        <w:t>Hirak Desai, Jaanaki Dave, Riya Verma, Shreeya Halwasia, Shubham Wani</w:t>
      </w:r>
    </w:p>
    <w:p>
      <w:pPr>
        <w:jc w:val="center"/>
      </w:pPr>
      <w:r>
        <w:rPr>
          <w:rFonts w:ascii="Times New Roman" w:hAnsi="Times New Roman"/>
          <w:i/>
          <w:sz w:val="20"/>
        </w:rPr>
        <w:t>University of Southern California</w:t>
      </w:r>
    </w:p>
    <w:p>
      <w:pPr>
        <w:pStyle w:val="Heading1"/>
      </w:pPr>
      <w:r>
        <w:rPr>
          <w:rFonts w:ascii="Times New Roman" w:hAnsi="Times New Roman"/>
          <w:color w:val="000000"/>
        </w:rPr>
        <w:t>I. Report on Tasks Performed</w:t>
      </w:r>
    </w:p>
    <w:p>
      <w:r>
        <w:rPr>
          <w:rFonts w:ascii="Times New Roman" w:hAnsi="Times New Roman"/>
          <w:sz w:val="22"/>
        </w:rPr>
        <w:t>Since the project proposal, we have implemented all five core pipeline stages described in our original design, moving from conceptual architecture to a fully functional end-to-end system. The following summarizes the concrete work completed.</w:t>
      </w:r>
    </w:p>
    <w:p>
      <w:pPr>
        <w:pStyle w:val="Heading2"/>
      </w:pPr>
      <w:r>
        <w:rPr>
          <w:rFonts w:ascii="Times New Roman" w:hAnsi="Times New Roman"/>
          <w:color w:val="000000"/>
        </w:rPr>
        <w:t>Paper Ingestion</w:t>
      </w:r>
    </w:p>
    <w:p>
      <w:r>
        <w:rPr>
          <w:rFonts w:ascii="Times New Roman" w:hAnsi="Times New Roman"/>
          <w:sz w:val="22"/>
        </w:rPr>
        <w:t>We implemented the ArxivClient module, which queries the ArXiv API with keyword-based search, downloads PDFs, and caches them locally to avoid redundant fetches. We additionally implemented the SemanticScholarClient, which enriches each paper with structured metadata (citation counts, venue, year) via the Semantic Scholar public API and discovers related papers through citation graph traversal. Top-cited discovered papers with ArXiv IDs are automatically downloaded, expanding the corpus beyond the initial query results. The system currently supports configurable corpus sizes of up to 100 papers per query.</w:t>
      </w:r>
    </w:p>
    <w:p>
      <w:pPr>
        <w:pStyle w:val="Heading2"/>
      </w:pPr>
      <w:r>
        <w:rPr>
          <w:rFonts w:ascii="Times New Roman" w:hAnsi="Times New Roman"/>
          <w:color w:val="000000"/>
        </w:rPr>
        <w:t>Text Extraction and Segmentation</w:t>
      </w:r>
    </w:p>
    <w:p>
      <w:r>
        <w:rPr>
          <w:rFonts w:ascii="Times New Roman" w:hAnsi="Times New Roman"/>
          <w:sz w:val="22"/>
        </w:rPr>
        <w:t>The PDFParser module extracts raw text from each PDF using PyMuPDF, preserving paragraph structure while normalizing whitespace. Text is truncated at the References section using word-boundary matching to avoid false splits. The SectionSegmenter identifies standard paper sections (Abstract, Introduction, Methods, Results, Discussion, Conclusion, Related Work, Background, Evaluation, and Experiments) using anchored regex patterns that match only at line starts with optional numbering, preventing false matches when section keywords appear in body text. SpaCy's en_core_web_sm model handles sentence tokenization.</w:t>
      </w:r>
    </w:p>
    <w:p>
      <w:pPr>
        <w:pStyle w:val="Heading2"/>
      </w:pPr>
      <w:r>
        <w:rPr>
          <w:rFonts w:ascii="Times New Roman" w:hAnsi="Times New Roman"/>
          <w:color w:val="000000"/>
        </w:rPr>
        <w:t>Atomic Claim Extraction</w:t>
      </w:r>
    </w:p>
    <w:p>
      <w:r>
        <w:rPr>
          <w:rFonts w:ascii="Times New Roman" w:hAnsi="Times New Roman"/>
          <w:sz w:val="22"/>
        </w:rPr>
        <w:t>We replaced the initial FLAN-T5-small prototype with Mistral 7B running locally via Ollama. The claim extraction prompt uses few-shot SciFact examples that demonstrate decomposing compound sentences into atomic, independently verifiable claims. Each extracted claim carries source provenance metadata (paper title, section name, original sentence) to enable citation tracing in downstream stages. A multi-stage filter removes metadata artifacts (DOIs, author names, URLs), short fragments, and non-claim text. In a test run on 3 papers, the system extracted 442 claims.</w:t>
      </w:r>
    </w:p>
    <w:p>
      <w:pPr>
        <w:pStyle w:val="Heading2"/>
      </w:pPr>
      <w:r>
        <w:rPr>
          <w:rFonts w:ascii="Times New Roman" w:hAnsi="Times New Roman"/>
          <w:color w:val="000000"/>
        </w:rPr>
        <w:t>Embedding and Clustering</w:t>
      </w:r>
    </w:p>
    <w:p>
      <w:r>
        <w:rPr>
          <w:rFonts w:ascii="Times New Roman" w:hAnsi="Times New Roman"/>
          <w:sz w:val="22"/>
        </w:rPr>
        <w:t>All claims are embedded into 768-dimensional vectors using SPECTER2 (Singh et al., 2023), a scientific document embedding model trained on 6M citation triplets across 23 fields. Claims are clustered using HDBSCAN with configurable parameters (min_cluster_size=2, cluster_selection_epsilon=0.8), which naturally handles variable-density regions without requiring a pre-specified cluster count. In our test run, 442 claims formed 102 clusters.</w:t>
      </w:r>
    </w:p>
    <w:p>
      <w:pPr>
        <w:pStyle w:val="Heading2"/>
      </w:pPr>
      <w:r>
        <w:rPr>
          <w:rFonts w:ascii="Times New Roman" w:hAnsi="Times New Roman"/>
          <w:color w:val="000000"/>
        </w:rPr>
        <w:t>Contradiction Detection via NLI</w:t>
      </w:r>
    </w:p>
    <w:p>
      <w:r>
        <w:rPr>
          <w:rFonts w:ascii="Times New Roman" w:hAnsi="Times New Roman"/>
          <w:sz w:val="22"/>
        </w:rPr>
        <w:t>Within each cluster, we apply pairwise NLI using a DeBERTa-v3-based cross-encoder (MoritzLaurer/deberta-v3-base-zeroshot-v1). A cosine similarity pre-filter (0.7–0.9 window) selects claim pairs that are related but not identical before running the more expensive NLI classification. The label order is read dynamically from the model's configuration rather than hardcoded, eliminating a critical bug identified during development where mismatched label ordering would have silently produced incorrect classifications.</w:t>
      </w:r>
    </w:p>
    <w:p>
      <w:pPr>
        <w:pStyle w:val="Heading2"/>
      </w:pPr>
      <w:r>
        <w:rPr>
          <w:rFonts w:ascii="Times New Roman" w:hAnsi="Times New Roman"/>
          <w:color w:val="000000"/>
        </w:rPr>
        <w:t>Limitation Retrieval and Gap Generation</w:t>
      </w:r>
    </w:p>
    <w:p>
      <w:r>
        <w:rPr>
          <w:rFonts w:ascii="Times New Roman" w:hAnsi="Times New Roman"/>
          <w:sz w:val="22"/>
        </w:rPr>
        <w:t>We implemented seed-query-based limitation retrieval as described in the proposal. Seed queries (e.g., "unresolved problem," "our approach does not handle," "limitation of this work") are embedded with SPECTER2 and compared against all claim embeddings via cosine similarity. Claims exceeding the similarity threshold are re-clustered to identify recurring limitation themes. The gap generation stage uses Mistral 7B to synthesize research gap statements from three sources: topic clusters (open questions), contradiction pairs, and limitation clusters. Each generated gap includes citation pointers to source papers and supporting claims, ensuring verifiability as specified in the proposal.</w:t>
      </w:r>
    </w:p>
    <w:p>
      <w:pPr>
        <w:pStyle w:val="Heading2"/>
      </w:pPr>
      <w:r>
        <w:rPr>
          <w:rFonts w:ascii="Times New Roman" w:hAnsi="Times New Roman"/>
          <w:color w:val="000000"/>
        </w:rPr>
        <w:t>Evaluation Framework</w:t>
      </w:r>
    </w:p>
    <w:p>
      <w:r>
        <w:rPr>
          <w:rFonts w:ascii="Times New Roman" w:hAnsi="Times New Roman"/>
          <w:sz w:val="22"/>
        </w:rPr>
        <w:t>We implemented the SciFact evaluation module with two automated metrics: (1) claim extraction quality measured by precision, recall, and F1 against SciFact ground-truth claims using BERTScore for semantic matching, and (2) NLI contradiction detection F1 on SciFact REFUTE pairs. The evaluation runs independently of the main pipeline and outputs results to JSON for analysis. The human evaluation framework (Likert scale for novelty, groundedness, and actionability) and baseline comparison against naive LLM prompting are designed and will be executed in the final phase.</w:t>
      </w:r>
    </w:p>
    <w:p>
      <w:pPr>
        <w:pStyle w:val="Heading2"/>
      </w:pPr>
      <w:r>
        <w:rPr>
          <w:rFonts w:ascii="Times New Roman" w:hAnsi="Times New Roman"/>
          <w:color w:val="000000"/>
        </w:rPr>
        <w:t>User Interface</w:t>
      </w:r>
    </w:p>
    <w:p>
      <w:r>
        <w:rPr>
          <w:rFonts w:ascii="Times New Roman" w:hAnsi="Times New Roman"/>
          <w:sz w:val="22"/>
        </w:rPr>
        <w:t>We built a Streamlit web application that provides a complete interactive frontend. The UI displays paper overviews (title, abstract preview, citation count, sections found) immediately after download, allowing users to browse papers while the pipeline runs. A sidebar shows live pipeline stage progress with checkmarks for completed stages. Results are organized into tabbed views (All Gaps, Open Questions, Contradictions, Limitations) with source papers and supporting claims for each gap. A cluster explorer allows inspection of the underlying claim groupings.</w:t>
      </w:r>
    </w:p>
    <w:p>
      <w:pPr>
        <w:pStyle w:val="Heading1"/>
      </w:pPr>
      <w:r>
        <w:rPr>
          <w:rFonts w:ascii="Times New Roman" w:hAnsi="Times New Roman"/>
          <w:color w:val="000000"/>
        </w:rPr>
        <w:t>II. Potential Risks and Challenges</w:t>
      </w:r>
    </w:p>
    <w:p>
      <w:r>
        <w:rPr>
          <w:rFonts w:ascii="Times New Roman" w:hAnsi="Times New Roman"/>
          <w:b/>
          <w:sz w:val="22"/>
        </w:rPr>
        <w:t xml:space="preserve">1. </w:t>
      </w:r>
      <w:r>
        <w:rPr>
          <w:rFonts w:ascii="Times New Roman" w:hAnsi="Times New Roman"/>
          <w:sz w:val="22"/>
        </w:rPr>
        <w:t>Mistral 7B running locally on CPU produces acceptable but imperfect claims. Some extracted claims are overly verbose, repeat the input sentence, or include metadata artifacts that survive filtering. The quality varies across paper domains and writing styles. Since claim quality propagates through the entire pipeline (embedding, clustering, NLI, gap generation), extraction errors compound downstream.</w:t>
      </w:r>
    </w:p>
    <w:p>
      <w:r>
        <w:rPr>
          <w:rFonts w:ascii="Times New Roman" w:hAnsi="Times New Roman"/>
          <w:b/>
          <w:sz w:val="22"/>
        </w:rPr>
        <w:t xml:space="preserve">2. </w:t>
      </w:r>
      <w:r>
        <w:rPr>
          <w:rFonts w:ascii="Times New Roman" w:hAnsi="Times New Roman"/>
          <w:sz w:val="22"/>
        </w:rPr>
        <w:t>Contradiction detection requires pairwise comparison within each cluster. While the cosine similarity pre-filter reduces the comparison space, large clusters can still produce a quadratic number of pairs. Processing 50+ papers generates hundreds of claims per cluster, making NLI inference the primary bottleneck. On a MacBook without GPU, each NLI call takes approximately 0.5 seconds, and total NLI time scales with corpus size.</w:t>
      </w:r>
    </w:p>
    <w:p>
      <w:r>
        <w:rPr>
          <w:rFonts w:ascii="Times New Roman" w:hAnsi="Times New Roman"/>
          <w:b/>
          <w:sz w:val="22"/>
        </w:rPr>
        <w:t xml:space="preserve">3. </w:t>
      </w:r>
      <w:r>
        <w:rPr>
          <w:rFonts w:ascii="Times New Roman" w:hAnsi="Times New Roman"/>
          <w:sz w:val="22"/>
        </w:rPr>
        <w:t>ArXiv enforces rate limits that restrict the number of concurrent requests. When fetching 50–100 papers, the system occasionally receives HTTP 429 responses. While we have implemented retry logic with exponential backoff, aggressive rate limiting during peak hours can still cause pipeline delays or failures on the first stage.</w:t>
      </w:r>
    </w:p>
    <w:p>
      <w:r>
        <w:rPr>
          <w:rFonts w:ascii="Times New Roman" w:hAnsi="Times New Roman"/>
          <w:b/>
          <w:sz w:val="22"/>
        </w:rPr>
        <w:t xml:space="preserve">4. </w:t>
      </w:r>
      <w:r>
        <w:rPr>
          <w:rFonts w:ascii="Times New Roman" w:hAnsi="Times New Roman"/>
          <w:sz w:val="22"/>
        </w:rPr>
        <w:t>Clustering results are highly sensitive to the quality and distribution of claim embeddings. Noisy or overly generic claims can create large, incoherent clusters that dilute the specificity of downstream gap generation. The current HDBSCAN parameters (min_cluster_size=2, epsilon=0.8) were tuned for small corpora and may need adjustment for larger runs.</w:t>
      </w:r>
    </w:p>
    <w:p>
      <w:r>
        <w:rPr>
          <w:rFonts w:ascii="Times New Roman" w:hAnsi="Times New Roman"/>
          <w:b/>
          <w:sz w:val="22"/>
        </w:rPr>
        <w:t xml:space="preserve">5. </w:t>
      </w:r>
      <w:r>
        <w:rPr>
          <w:rFonts w:ascii="Times New Roman" w:hAnsi="Times New Roman"/>
          <w:sz w:val="22"/>
        </w:rPr>
        <w:t>Although gap generation is grounded in structurally discovered claims, the final LLM synthesis step can still produce gaps that are plausible-sounding but not well-supported by the input claims. The citation pointers help reviewers verify each gap, but automated detection of hallucinated gaps remains an open challenge.</w:t>
      </w:r>
    </w:p>
    <w:p>
      <w:pPr>
        <w:pStyle w:val="Heading1"/>
      </w:pPr>
      <w:r>
        <w:rPr>
          <w:rFonts w:ascii="Times New Roman" w:hAnsi="Times New Roman"/>
          <w:color w:val="000000"/>
        </w:rPr>
        <w:t>III. Risk Mitigation Plan</w:t>
      </w:r>
    </w:p>
    <w:p>
      <w:r>
        <w:rPr>
          <w:rFonts w:ascii="Times New Roman" w:hAnsi="Times New Roman"/>
          <w:sz w:val="22"/>
        </w:rPr>
        <w:t>For claim extraction quality, we plan to run the SciFact evaluation suite to quantify extraction precision and recall, then iteratively refine the few-shot prompt based on common error patterns. We will also experiment with increasing the temperature and sampling multiple extractions per sentence to improve coverage, followed by deduplication.</w:t>
      </w:r>
    </w:p>
    <w:p>
      <w:r>
        <w:rPr>
          <w:rFonts w:ascii="Times New Roman" w:hAnsi="Times New Roman"/>
          <w:sz w:val="22"/>
        </w:rPr>
        <w:t>For NLI scalability, we will implement batch inference to process multiple claim pairs per forward pass, reducing per-pair overhead. We will also tighten the cosine similarity window to further prune candidate pairs before NLI, and investigate capping the maximum cluster size to bound the quadratic cost.</w:t>
      </w:r>
    </w:p>
    <w:p>
      <w:r>
        <w:rPr>
          <w:rFonts w:ascii="Times New Roman" w:hAnsi="Times New Roman"/>
          <w:sz w:val="22"/>
        </w:rPr>
        <w:t>For ArXiv rate limiting, the retry-with-backoff mechanism is already in place. We will additionally implement local caching of API responses (not just PDFs) so that re-runs on the same query skip the API entirely. For large corpora, we will batch requests with configurable delays.</w:t>
      </w:r>
    </w:p>
    <w:p>
      <w:r>
        <w:rPr>
          <w:rFonts w:ascii="Times New Roman" w:hAnsi="Times New Roman"/>
          <w:sz w:val="22"/>
        </w:rPr>
        <w:t>For clustering sensitivity, we plan to perform a parameter sweep over HDBSCAN settings (min_cluster_size, min_samples, epsilon) using the SciFact dataset as ground truth, selecting parameters that maximize cluster coherence as measured by intra-cluster cosine similarity.</w:t>
      </w:r>
    </w:p>
    <w:p>
      <w:r>
        <w:rPr>
          <w:rFonts w:ascii="Times New Roman" w:hAnsi="Times New Roman"/>
          <w:sz w:val="22"/>
        </w:rPr>
        <w:t>For gap hallucination, we will implement a verification step that checks whether each generated gap is entailed by its supporting claims using the same NLI model. Gaps that are not supported will be flagged or regenerated. The baseline comparison (naive LLM prompting vs. structured pipeline) will quantify the hallucination reduction achieved by the claim-first approach.</w:t>
      </w:r>
    </w:p>
    <w:p>
      <w:r>
        <w:rPr>
          <w:rFonts w:ascii="Times New Roman" w:hAnsi="Times New Roman"/>
          <w:sz w:val="22"/>
        </w:rPr>
        <w:t>The remaining work for project completion includes: (1) running the full SciFact evaluation and reporting quantitative results, (2) conducting the human evaluation study with Likert ratings, (3) executing the baseline comparison experiment, (4) tuning pipeline parameters on a validation set, and (5) writing the final report with experimental results and analysis.</w:t>
      </w:r>
    </w:p>
    <w:p>
      <w:pPr>
        <w:pStyle w:val="Heading1"/>
      </w:pPr>
      <w:r>
        <w:rPr>
          <w:rFonts w:ascii="Times New Roman" w:hAnsi="Times New Roman"/>
          <w:color w:val="000000"/>
        </w:rPr>
        <w:t>IV. Individual Contributions</w:t>
      </w:r>
    </w:p>
    <w:tbl>
      <w:tblPr>
        <w:tblStyle w:val="TableGrid"/>
        <w:tblW w:type="auto" w:w="0"/>
        <w:tblLook w:firstColumn="1" w:firstRow="1" w:lastColumn="0" w:lastRow="0" w:noHBand="0" w:noVBand="1" w:val="04A0"/>
      </w:tblPr>
      <w:tblGrid>
        <w:gridCol w:w="2160"/>
        <w:gridCol w:w="7200"/>
      </w:tblGrid>
      <w:tr>
        <w:tc>
          <w:tcPr>
            <w:tcW w:type="dxa" w:w="4680"/>
          </w:tcPr>
          <w:p>
            <w:r>
              <w:rPr>
                <w:rFonts w:ascii="Times New Roman" w:hAnsi="Times New Roman"/>
                <w:b/>
                <w:sz w:val="20"/>
              </w:rPr>
              <w:t>Member</w:t>
            </w:r>
          </w:p>
        </w:tc>
        <w:tc>
          <w:tcPr>
            <w:tcW w:type="dxa" w:w="4680"/>
          </w:tcPr>
          <w:p>
            <w:r>
              <w:rPr>
                <w:rFonts w:ascii="Times New Roman" w:hAnsi="Times New Roman"/>
                <w:b/>
                <w:sz w:val="20"/>
              </w:rPr>
              <w:t>Contributions</w:t>
            </w:r>
          </w:p>
        </w:tc>
      </w:tr>
      <w:tr>
        <w:tc>
          <w:tcPr>
            <w:tcW w:type="dxa" w:w="4680"/>
          </w:tcPr>
          <w:p>
            <w:r>
              <w:rPr>
                <w:rFonts w:ascii="Times New Roman" w:hAnsi="Times New Roman"/>
                <w:sz w:val="20"/>
              </w:rPr>
              <w:t>Hirak Desai</w:t>
            </w:r>
          </w:p>
        </w:tc>
        <w:tc>
          <w:tcPr>
            <w:tcW w:type="dxa" w:w="4680"/>
          </w:tcPr>
          <w:p>
            <w:r>
              <w:rPr>
                <w:rFonts w:ascii="Times New Roman" w:hAnsi="Times New Roman"/>
                <w:sz w:val="20"/>
              </w:rPr>
              <w:t>Ollama/Mistral setup, SPECTER2 embeddings, configuration system, Streamlit UI with live progress tracking, ArXiv client with retry logic, end-to-end testing</w:t>
            </w:r>
          </w:p>
        </w:tc>
      </w:tr>
      <w:tr>
        <w:tc>
          <w:tcPr>
            <w:tcW w:type="dxa" w:w="4680"/>
          </w:tcPr>
          <w:p>
            <w:r>
              <w:rPr>
                <w:rFonts w:ascii="Times New Roman" w:hAnsi="Times New Roman"/>
                <w:sz w:val="20"/>
              </w:rPr>
              <w:t>Jaanaki Dave</w:t>
            </w:r>
          </w:p>
        </w:tc>
        <w:tc>
          <w:tcPr>
            <w:tcW w:type="dxa" w:w="4680"/>
          </w:tcPr>
          <w:p>
            <w:r>
              <w:rPr>
                <w:rFonts w:ascii="Times New Roman" w:hAnsi="Times New Roman"/>
                <w:sz w:val="20"/>
              </w:rPr>
              <w:t>ArXiv API client implementation, PDF parsing and text extraction, section segmentation, initial pipeline prototyping</w:t>
            </w:r>
          </w:p>
        </w:tc>
      </w:tr>
      <w:tr>
        <w:tc>
          <w:tcPr>
            <w:tcW w:type="dxa" w:w="4680"/>
          </w:tcPr>
          <w:p>
            <w:r>
              <w:rPr>
                <w:rFonts w:ascii="Times New Roman" w:hAnsi="Times New Roman"/>
                <w:sz w:val="20"/>
              </w:rPr>
              <w:t>Riya Verma</w:t>
            </w:r>
          </w:p>
        </w:tc>
        <w:tc>
          <w:tcPr>
            <w:tcW w:type="dxa" w:w="4680"/>
          </w:tcPr>
          <w:p>
            <w:r>
              <w:rPr>
                <w:rFonts w:ascii="Times New Roman" w:hAnsi="Times New Roman"/>
                <w:sz w:val="20"/>
              </w:rPr>
              <w:t>Claim extraction prompt engineering, SciFact few-shot example design, claim filtering heuristics, evaluation framework design</w:t>
            </w:r>
          </w:p>
        </w:tc>
      </w:tr>
      <w:tr>
        <w:tc>
          <w:tcPr>
            <w:tcW w:type="dxa" w:w="4680"/>
          </w:tcPr>
          <w:p>
            <w:r>
              <w:rPr>
                <w:rFonts w:ascii="Times New Roman" w:hAnsi="Times New Roman"/>
                <w:sz w:val="20"/>
              </w:rPr>
              <w:t>Shreeya Halwasia</w:t>
            </w:r>
          </w:p>
        </w:tc>
        <w:tc>
          <w:tcPr>
            <w:tcW w:type="dxa" w:w="4680"/>
          </w:tcPr>
          <w:p>
            <w:r>
              <w:rPr>
                <w:rFonts w:ascii="Times New Roman" w:hAnsi="Times New Roman"/>
                <w:sz w:val="20"/>
              </w:rPr>
              <w:t>NLI contradiction detection module, DeBERTa-v3 integration, cosine similarity pre-filtering, label order validation</w:t>
            </w:r>
          </w:p>
        </w:tc>
      </w:tr>
      <w:tr>
        <w:tc>
          <w:tcPr>
            <w:tcW w:type="dxa" w:w="4680"/>
          </w:tcPr>
          <w:p>
            <w:r>
              <w:rPr>
                <w:rFonts w:ascii="Times New Roman" w:hAnsi="Times New Roman"/>
                <w:sz w:val="20"/>
              </w:rPr>
              <w:t>Shubham Wani</w:t>
            </w:r>
          </w:p>
        </w:tc>
        <w:tc>
          <w:tcPr>
            <w:tcW w:type="dxa" w:w="4680"/>
          </w:tcPr>
          <w:p>
            <w:r>
              <w:rPr>
                <w:rFonts w:ascii="Times New Roman" w:hAnsi="Times New Roman"/>
                <w:sz w:val="20"/>
              </w:rPr>
              <w:t>Pipeline architecture and integration, HDBSCAN clustering module, Semantic Scholar client, limitation retrieval via seed queries, gap generation prompts</w:t>
            </w:r>
          </w:p>
        </w:tc>
      </w:tr>
    </w:tbl>
    <w:p>
      <w:pPr>
        <w:pStyle w:val="Heading1"/>
      </w:pPr>
      <w:r>
        <w:rPr>
          <w:rFonts w:ascii="Times New Roman" w:hAnsi="Times New Roman"/>
          <w:color w:val="000000"/>
        </w:rPr>
        <w:t>References</w:t>
      </w:r>
    </w:p>
    <w:p>
      <w:pPr>
        <w:spacing w:after="40"/>
      </w:pPr>
      <w:r>
        <w:rPr>
          <w:rFonts w:ascii="Times New Roman" w:hAnsi="Times New Roman"/>
          <w:sz w:val="20"/>
        </w:rPr>
        <w:t>[1] Wadden, D., Lin, S., Lo, K., Wang, L. L., van Zuylen, M., Cohan, A., &amp; Hajishirzi, H. (2020). Fact or fiction: Verifying scientific claims. In Proceedings of EMNLP 2020.</w:t>
      </w:r>
    </w:p>
    <w:p>
      <w:pPr>
        <w:spacing w:after="40"/>
      </w:pPr>
      <w:r>
        <w:rPr>
          <w:rFonts w:ascii="Times New Roman" w:hAnsi="Times New Roman"/>
          <w:sz w:val="20"/>
        </w:rPr>
        <w:t>[2] Wadden, D., Lo, K., Wang, L. L., Kuehl, S., Cohan, A., &amp; Hajishirzi, H. (2022). SciFact-Open: Towards open-domain scientific claim verification. In Findings of EMNLP 2022.</w:t>
      </w:r>
    </w:p>
    <w:p>
      <w:pPr>
        <w:spacing w:after="40"/>
      </w:pPr>
      <w:r>
        <w:rPr>
          <w:rFonts w:ascii="Times New Roman" w:hAnsi="Times New Roman"/>
          <w:sz w:val="20"/>
        </w:rPr>
        <w:t>[3] Baek, J., Jauhar, S. K., Cucerzan, S., &amp; Hwang, S. J. (2024). ResearchAgent: Iterative research idea generation over scientific literature with large language models. In Proceedings of ACL 2024.</w:t>
      </w:r>
    </w:p>
    <w:p>
      <w:pPr>
        <w:spacing w:after="40"/>
      </w:pPr>
      <w:r>
        <w:rPr>
          <w:rFonts w:ascii="Times New Roman" w:hAnsi="Times New Roman"/>
          <w:sz w:val="20"/>
        </w:rPr>
        <w:t>[4] Liu, R., &amp; Shah, N. B. (2023). ReviewerGPT? An exploratory study on using large language models for paper reviewing. arXiv preprint arXiv:2306.00622.</w:t>
      </w:r>
    </w:p>
    <w:p>
      <w:pPr>
        <w:spacing w:after="40"/>
      </w:pPr>
      <w:r>
        <w:rPr>
          <w:rFonts w:ascii="Times New Roman" w:hAnsi="Times New Roman"/>
          <w:sz w:val="20"/>
        </w:rPr>
        <w:t>[5] Singh, A., et al. (2023). SciRepEval: A Multi-Format Benchmark for Scientific Document Representations. In Proceedings of ACL 2023.</w:t>
      </w:r>
    </w:p>
    <w:p>
      <w:pPr>
        <w:spacing w:after="40"/>
      </w:pPr>
      <w:r>
        <w:rPr>
          <w:rFonts w:ascii="Times New Roman" w:hAnsi="Times New Roman"/>
          <w:sz w:val="20"/>
        </w:rPr>
        <w:t>[6] Jiang, A. Q., et al. (2023). Mistral 7B. arXiv preprint arXiv:2310.06825.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