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0.xml" ContentType="application/vnd.openxmlformats-officedocument.wordprocessingml.header+xml"/>
  <Override PartName="/word/footer91.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99.xml" ContentType="application/vnd.openxmlformats-officedocument.wordprocessingml.header+xml"/>
  <Override PartName="/word/footer100.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2.xml" ContentType="application/vnd.openxmlformats-officedocument.wordprocessingml.header+xml"/>
  <Override PartName="/word/footer103.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5.xml" ContentType="application/vnd.openxmlformats-officedocument.wordprocessingml.header+xml"/>
  <Override PartName="/word/footer106.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8.xml" ContentType="application/vnd.openxmlformats-officedocument.wordprocessingml.header+xml"/>
  <Override PartName="/word/footer109.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1.xml" ContentType="application/vnd.openxmlformats-officedocument.wordprocessingml.header+xml"/>
  <Override PartName="/word/footer112.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4.xml" ContentType="application/vnd.openxmlformats-officedocument.wordprocessingml.header+xml"/>
  <Override PartName="/word/footer115.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17.xml" ContentType="application/vnd.openxmlformats-officedocument.wordprocessingml.header+xml"/>
  <Override PartName="/word/footer118.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0.xml" ContentType="application/vnd.openxmlformats-officedocument.wordprocessingml.header+xml"/>
  <Override PartName="/word/footer121.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23.xml" ContentType="application/vnd.openxmlformats-officedocument.wordprocessingml.header+xml"/>
  <Override PartName="/word/footer124.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26.xml" ContentType="application/vnd.openxmlformats-officedocument.wordprocessingml.header+xml"/>
  <Override PartName="/word/footer127.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29.xml" ContentType="application/vnd.openxmlformats-officedocument.wordprocessingml.header+xml"/>
  <Override PartName="/word/footer130.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32.xml" ContentType="application/vnd.openxmlformats-officedocument.wordprocessingml.header+xml"/>
  <Override PartName="/word/footer133.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35.xml" ContentType="application/vnd.openxmlformats-officedocument.wordprocessingml.header+xml"/>
  <Override PartName="/word/footer1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525CC" w14:textId="77777777" w:rsidR="00054BF0" w:rsidRDefault="00BE2275">
      <w:r>
        <w:pict w14:anchorId="2CAB6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6" o:title=""/>
          </v:shape>
        </w:pict>
      </w:r>
    </w:p>
    <w:p w14:paraId="4297BA42" w14:textId="77777777" w:rsidR="00054BF0"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4:45:00 PM IST</w:t>
      </w:r>
    </w:p>
    <w:p w14:paraId="51D143D4" w14:textId="77777777" w:rsidR="00054BF0"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199608110</w:t>
      </w:r>
    </w:p>
    <w:p w14:paraId="6423EB4A" w14:textId="77777777" w:rsidR="00054BF0" w:rsidRDefault="00000000">
      <w:pPr>
        <w:spacing w:before="360" w:line="360" w:lineRule="atLeast"/>
        <w:jc w:val="both"/>
      </w:pPr>
      <w:r>
        <w:rPr>
          <w:rFonts w:ascii="Arial" w:eastAsia="Arial" w:hAnsi="Arial" w:cs="Arial"/>
          <w:b/>
          <w:color w:val="000000"/>
        </w:rPr>
        <w:t>Documents (45)</w:t>
      </w:r>
    </w:p>
    <w:p w14:paraId="51065677" w14:textId="77777777" w:rsidR="00054BF0" w:rsidRDefault="00000000">
      <w:pPr>
        <w:spacing w:before="200" w:line="300" w:lineRule="atLeast"/>
        <w:ind w:left="440" w:hanging="290"/>
      </w:pPr>
      <w:r>
        <w:rPr>
          <w:rFonts w:ascii="Arial" w:eastAsia="Arial" w:hAnsi="Arial" w:cs="Arial"/>
          <w:sz w:val="20"/>
        </w:rPr>
        <w:t>1.</w:t>
      </w:r>
      <w:hyperlink r:id="rId7" w:history="1">
        <w:r>
          <w:rPr>
            <w:rFonts w:ascii="Arial" w:eastAsia="Arial" w:hAnsi="Arial" w:cs="Arial"/>
            <w:color w:val="000000"/>
            <w:sz w:val="20"/>
            <w:u w:val="single"/>
            <w:shd w:val="clear" w:color="auto" w:fill="FFFFFF"/>
          </w:rPr>
          <w:t xml:space="preserve"> </w:t>
        </w:r>
      </w:hyperlink>
      <w:hyperlink r:id="rId8" w:history="1">
        <w:r>
          <w:rPr>
            <w:rFonts w:ascii="Arial" w:eastAsia="Arial" w:hAnsi="Arial" w:cs="Arial"/>
            <w:i/>
            <w:color w:val="0077CC"/>
            <w:sz w:val="20"/>
            <w:u w:val="single"/>
            <w:shd w:val="clear" w:color="auto" w:fill="FFFFFF"/>
          </w:rPr>
          <w:t>03/03 Links Pt2: Meet the brilliant barrister battling lies about Israel ; Filmmaker Steven Spielberg Says Global Antisemitism is 'Standing Proud,' 'No Longer Lurking'</w:t>
        </w:r>
      </w:hyperlink>
    </w:p>
    <w:p w14:paraId="7B2FF23C"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96CF449"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E48489"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BD6AE3" w14:textId="77777777" w:rsidR="00054BF0" w:rsidRDefault="00000000">
      <w:pPr>
        <w:spacing w:before="80" w:line="240" w:lineRule="atLeast"/>
        <w:ind w:left="290"/>
      </w:pPr>
      <w:r>
        <w:rPr>
          <w:rFonts w:ascii="Arial" w:eastAsia="Arial" w:hAnsi="Arial" w:cs="Arial"/>
          <w:b/>
          <w:color w:val="000000"/>
          <w:sz w:val="20"/>
        </w:rPr>
        <w:t xml:space="preserve">Narrowed by: </w:t>
      </w:r>
    </w:p>
    <w:p w14:paraId="0DBA6E9E"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3447E3DA" w14:textId="77777777">
        <w:trPr>
          <w:jc w:val="center"/>
        </w:trPr>
        <w:tc>
          <w:tcPr>
            <w:tcW w:w="3000" w:type="dxa"/>
          </w:tcPr>
          <w:p w14:paraId="4432694E" w14:textId="77777777" w:rsidR="00054BF0" w:rsidRDefault="00000000">
            <w:pPr>
              <w:spacing w:line="220" w:lineRule="atLeast"/>
            </w:pPr>
            <w:r>
              <w:rPr>
                <w:rFonts w:ascii="Arial" w:eastAsia="Arial" w:hAnsi="Arial" w:cs="Arial"/>
                <w:b/>
                <w:color w:val="000000"/>
                <w:sz w:val="18"/>
              </w:rPr>
              <w:t>Content Type</w:t>
            </w:r>
          </w:p>
        </w:tc>
        <w:tc>
          <w:tcPr>
            <w:tcW w:w="5000" w:type="dxa"/>
          </w:tcPr>
          <w:p w14:paraId="5CFEC13B" w14:textId="77777777" w:rsidR="00054BF0" w:rsidRDefault="00000000">
            <w:pPr>
              <w:spacing w:line="220" w:lineRule="atLeast"/>
            </w:pPr>
            <w:r>
              <w:rPr>
                <w:rFonts w:ascii="Arial" w:eastAsia="Arial" w:hAnsi="Arial" w:cs="Arial"/>
                <w:b/>
                <w:color w:val="000000"/>
                <w:sz w:val="18"/>
              </w:rPr>
              <w:t>Narrowed by</w:t>
            </w:r>
          </w:p>
        </w:tc>
      </w:tr>
      <w:tr w:rsidR="00054BF0" w14:paraId="76472D5C" w14:textId="77777777">
        <w:trPr>
          <w:jc w:val="center"/>
        </w:trPr>
        <w:tc>
          <w:tcPr>
            <w:tcW w:w="3000" w:type="dxa"/>
          </w:tcPr>
          <w:p w14:paraId="44FCFFDB" w14:textId="77777777" w:rsidR="00054BF0" w:rsidRDefault="00000000">
            <w:pPr>
              <w:spacing w:line="220" w:lineRule="atLeast"/>
            </w:pPr>
            <w:r>
              <w:rPr>
                <w:rFonts w:ascii="Arial" w:eastAsia="Arial" w:hAnsi="Arial" w:cs="Arial"/>
                <w:color w:val="000000"/>
                <w:sz w:val="18"/>
              </w:rPr>
              <w:t>News</w:t>
            </w:r>
          </w:p>
        </w:tc>
        <w:tc>
          <w:tcPr>
            <w:tcW w:w="5000" w:type="dxa"/>
          </w:tcPr>
          <w:p w14:paraId="38F05059"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3A42A1E" w14:textId="77777777" w:rsidR="00054BF0" w:rsidRDefault="00054BF0"/>
    <w:p w14:paraId="6BF098F0" w14:textId="77777777" w:rsidR="00054BF0" w:rsidRDefault="00000000">
      <w:pPr>
        <w:spacing w:line="300" w:lineRule="atLeast"/>
        <w:ind w:left="440" w:hanging="290"/>
      </w:pPr>
      <w:r>
        <w:rPr>
          <w:rFonts w:ascii="Arial" w:eastAsia="Arial" w:hAnsi="Arial" w:cs="Arial"/>
          <w:sz w:val="20"/>
        </w:rPr>
        <w:t>2.</w:t>
      </w:r>
      <w:hyperlink r:id="rId9" w:history="1">
        <w:r>
          <w:rPr>
            <w:rFonts w:ascii="Arial" w:eastAsia="Arial" w:hAnsi="Arial" w:cs="Arial"/>
            <w:color w:val="000000"/>
            <w:sz w:val="20"/>
            <w:u w:val="single"/>
            <w:shd w:val="clear" w:color="auto" w:fill="FFFFFF"/>
          </w:rPr>
          <w:t xml:space="preserve"> </w:t>
        </w:r>
      </w:hyperlink>
      <w:hyperlink r:id="rId10" w:history="1">
        <w:r>
          <w:rPr>
            <w:rFonts w:ascii="Arial" w:eastAsia="Arial" w:hAnsi="Arial" w:cs="Arial"/>
            <w:i/>
            <w:color w:val="0077CC"/>
            <w:sz w:val="20"/>
            <w:u w:val="single"/>
            <w:shd w:val="clear" w:color="auto" w:fill="FFFFFF"/>
          </w:rPr>
          <w:t>Smoking Relapse Less Likely Among Vapers: Study</w:t>
        </w:r>
      </w:hyperlink>
    </w:p>
    <w:p w14:paraId="0828197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564A70C"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169242C"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9D50ED" w14:textId="77777777" w:rsidR="00054BF0" w:rsidRDefault="00000000">
      <w:pPr>
        <w:spacing w:before="80" w:line="240" w:lineRule="atLeast"/>
        <w:ind w:left="290"/>
      </w:pPr>
      <w:r>
        <w:rPr>
          <w:rFonts w:ascii="Arial" w:eastAsia="Arial" w:hAnsi="Arial" w:cs="Arial"/>
          <w:b/>
          <w:color w:val="000000"/>
          <w:sz w:val="20"/>
        </w:rPr>
        <w:t xml:space="preserve">Narrowed by: </w:t>
      </w:r>
    </w:p>
    <w:p w14:paraId="63365CA1"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1729CBB9" w14:textId="77777777">
        <w:trPr>
          <w:jc w:val="center"/>
        </w:trPr>
        <w:tc>
          <w:tcPr>
            <w:tcW w:w="3000" w:type="dxa"/>
          </w:tcPr>
          <w:p w14:paraId="378C6B33" w14:textId="77777777" w:rsidR="00054BF0" w:rsidRDefault="00000000">
            <w:pPr>
              <w:spacing w:line="220" w:lineRule="atLeast"/>
            </w:pPr>
            <w:r>
              <w:rPr>
                <w:rFonts w:ascii="Arial" w:eastAsia="Arial" w:hAnsi="Arial" w:cs="Arial"/>
                <w:b/>
                <w:color w:val="000000"/>
                <w:sz w:val="18"/>
              </w:rPr>
              <w:t>Content Type</w:t>
            </w:r>
          </w:p>
        </w:tc>
        <w:tc>
          <w:tcPr>
            <w:tcW w:w="5000" w:type="dxa"/>
          </w:tcPr>
          <w:p w14:paraId="20F94DC9" w14:textId="77777777" w:rsidR="00054BF0" w:rsidRDefault="00000000">
            <w:pPr>
              <w:spacing w:line="220" w:lineRule="atLeast"/>
            </w:pPr>
            <w:r>
              <w:rPr>
                <w:rFonts w:ascii="Arial" w:eastAsia="Arial" w:hAnsi="Arial" w:cs="Arial"/>
                <w:b/>
                <w:color w:val="000000"/>
                <w:sz w:val="18"/>
              </w:rPr>
              <w:t>Narrowed by</w:t>
            </w:r>
          </w:p>
        </w:tc>
      </w:tr>
      <w:tr w:rsidR="00054BF0" w14:paraId="288B5DB1" w14:textId="77777777">
        <w:trPr>
          <w:jc w:val="center"/>
        </w:trPr>
        <w:tc>
          <w:tcPr>
            <w:tcW w:w="3000" w:type="dxa"/>
          </w:tcPr>
          <w:p w14:paraId="3979386C" w14:textId="77777777" w:rsidR="00054BF0" w:rsidRDefault="00000000">
            <w:pPr>
              <w:spacing w:line="220" w:lineRule="atLeast"/>
            </w:pPr>
            <w:r>
              <w:rPr>
                <w:rFonts w:ascii="Arial" w:eastAsia="Arial" w:hAnsi="Arial" w:cs="Arial"/>
                <w:color w:val="000000"/>
                <w:sz w:val="18"/>
              </w:rPr>
              <w:t>News</w:t>
            </w:r>
          </w:p>
        </w:tc>
        <w:tc>
          <w:tcPr>
            <w:tcW w:w="5000" w:type="dxa"/>
          </w:tcPr>
          <w:p w14:paraId="7A765442"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961091" w14:textId="77777777" w:rsidR="00054BF0" w:rsidRDefault="00054BF0"/>
    <w:p w14:paraId="6906462B" w14:textId="77777777" w:rsidR="00054BF0" w:rsidRDefault="00000000">
      <w:pPr>
        <w:spacing w:line="300" w:lineRule="atLeast"/>
        <w:ind w:left="440" w:hanging="290"/>
      </w:pPr>
      <w:r>
        <w:rPr>
          <w:rFonts w:ascii="Arial" w:eastAsia="Arial" w:hAnsi="Arial" w:cs="Arial"/>
          <w:sz w:val="20"/>
        </w:rPr>
        <w:t>3.</w:t>
      </w:r>
      <w:hyperlink r:id="rId11" w:history="1">
        <w:r>
          <w:rPr>
            <w:rFonts w:ascii="Arial" w:eastAsia="Arial" w:hAnsi="Arial" w:cs="Arial"/>
            <w:color w:val="000000"/>
            <w:sz w:val="20"/>
            <w:u w:val="single"/>
            <w:shd w:val="clear" w:color="auto" w:fill="FFFFFF"/>
          </w:rPr>
          <w:t xml:space="preserve"> </w:t>
        </w:r>
      </w:hyperlink>
      <w:hyperlink r:id="rId12" w:history="1">
        <w:r>
          <w:rPr>
            <w:rFonts w:ascii="Arial" w:eastAsia="Arial" w:hAnsi="Arial" w:cs="Arial"/>
            <w:i/>
            <w:color w:val="0077CC"/>
            <w:sz w:val="20"/>
            <w:u w:val="single"/>
            <w:shd w:val="clear" w:color="auto" w:fill="FFFFFF"/>
          </w:rPr>
          <w:t>Buzz is back at Gandhi Bhavan</w:t>
        </w:r>
      </w:hyperlink>
    </w:p>
    <w:p w14:paraId="30BEC20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2566CC"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E5700F"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708C206" w14:textId="77777777" w:rsidR="00054BF0" w:rsidRDefault="00000000">
      <w:pPr>
        <w:spacing w:before="80" w:line="240" w:lineRule="atLeast"/>
        <w:ind w:left="290"/>
      </w:pPr>
      <w:r>
        <w:rPr>
          <w:rFonts w:ascii="Arial" w:eastAsia="Arial" w:hAnsi="Arial" w:cs="Arial"/>
          <w:b/>
          <w:color w:val="000000"/>
          <w:sz w:val="20"/>
        </w:rPr>
        <w:t xml:space="preserve">Narrowed by: </w:t>
      </w:r>
    </w:p>
    <w:p w14:paraId="16081A1A"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42CBCF52" w14:textId="77777777">
        <w:trPr>
          <w:jc w:val="center"/>
        </w:trPr>
        <w:tc>
          <w:tcPr>
            <w:tcW w:w="3000" w:type="dxa"/>
          </w:tcPr>
          <w:p w14:paraId="4FDE1A95" w14:textId="77777777" w:rsidR="00054BF0" w:rsidRDefault="00000000">
            <w:pPr>
              <w:spacing w:line="220" w:lineRule="atLeast"/>
            </w:pPr>
            <w:r>
              <w:rPr>
                <w:rFonts w:ascii="Arial" w:eastAsia="Arial" w:hAnsi="Arial" w:cs="Arial"/>
                <w:b/>
                <w:color w:val="000000"/>
                <w:sz w:val="18"/>
              </w:rPr>
              <w:t>Content Type</w:t>
            </w:r>
          </w:p>
        </w:tc>
        <w:tc>
          <w:tcPr>
            <w:tcW w:w="5000" w:type="dxa"/>
          </w:tcPr>
          <w:p w14:paraId="16AE9661" w14:textId="77777777" w:rsidR="00054BF0" w:rsidRDefault="00000000">
            <w:pPr>
              <w:spacing w:line="220" w:lineRule="atLeast"/>
            </w:pPr>
            <w:r>
              <w:rPr>
                <w:rFonts w:ascii="Arial" w:eastAsia="Arial" w:hAnsi="Arial" w:cs="Arial"/>
                <w:b/>
                <w:color w:val="000000"/>
                <w:sz w:val="18"/>
              </w:rPr>
              <w:t>Narrowed by</w:t>
            </w:r>
          </w:p>
        </w:tc>
      </w:tr>
      <w:tr w:rsidR="00054BF0" w14:paraId="51D600EF" w14:textId="77777777">
        <w:trPr>
          <w:jc w:val="center"/>
        </w:trPr>
        <w:tc>
          <w:tcPr>
            <w:tcW w:w="3000" w:type="dxa"/>
          </w:tcPr>
          <w:p w14:paraId="1FDD4C97" w14:textId="77777777" w:rsidR="00054BF0" w:rsidRDefault="00000000">
            <w:pPr>
              <w:spacing w:line="220" w:lineRule="atLeast"/>
            </w:pPr>
            <w:r>
              <w:rPr>
                <w:rFonts w:ascii="Arial" w:eastAsia="Arial" w:hAnsi="Arial" w:cs="Arial"/>
                <w:color w:val="000000"/>
                <w:sz w:val="18"/>
              </w:rPr>
              <w:t>News</w:t>
            </w:r>
          </w:p>
        </w:tc>
        <w:tc>
          <w:tcPr>
            <w:tcW w:w="5000" w:type="dxa"/>
          </w:tcPr>
          <w:p w14:paraId="07D0017E"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EEB994" w14:textId="77777777" w:rsidR="00054BF0" w:rsidRDefault="00054BF0"/>
    <w:p w14:paraId="765213B1" w14:textId="77777777" w:rsidR="00054BF0" w:rsidRDefault="00000000">
      <w:pPr>
        <w:spacing w:line="300" w:lineRule="atLeast"/>
        <w:ind w:left="440" w:hanging="290"/>
      </w:pPr>
      <w:r>
        <w:rPr>
          <w:rFonts w:ascii="Arial" w:eastAsia="Arial" w:hAnsi="Arial" w:cs="Arial"/>
          <w:sz w:val="20"/>
        </w:rPr>
        <w:t>4.</w:t>
      </w:r>
      <w:hyperlink r:id="rId13" w:history="1">
        <w:r>
          <w:rPr>
            <w:rFonts w:ascii="Arial" w:eastAsia="Arial" w:hAnsi="Arial" w:cs="Arial"/>
            <w:color w:val="000000"/>
            <w:sz w:val="20"/>
            <w:u w:val="single"/>
            <w:shd w:val="clear" w:color="auto" w:fill="FFFFFF"/>
          </w:rPr>
          <w:t xml:space="preserve"> </w:t>
        </w:r>
      </w:hyperlink>
      <w:hyperlink r:id="rId14" w:history="1">
        <w:r>
          <w:rPr>
            <w:rFonts w:ascii="Arial" w:eastAsia="Arial" w:hAnsi="Arial" w:cs="Arial"/>
            <w:i/>
            <w:color w:val="0077CC"/>
            <w:sz w:val="20"/>
            <w:u w:val="single"/>
            <w:shd w:val="clear" w:color="auto" w:fill="FFFFFF"/>
          </w:rPr>
          <w:t>Scaling Up Industrial IoT Deployments - Challenges, Issues and Solutions</w:t>
        </w:r>
      </w:hyperlink>
    </w:p>
    <w:p w14:paraId="45CA5E9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9BB944"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1F73EC"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AECEEC" w14:textId="77777777" w:rsidR="00054BF0" w:rsidRDefault="00000000">
      <w:pPr>
        <w:spacing w:before="80" w:line="240" w:lineRule="atLeast"/>
        <w:ind w:left="290"/>
      </w:pPr>
      <w:r>
        <w:rPr>
          <w:rFonts w:ascii="Arial" w:eastAsia="Arial" w:hAnsi="Arial" w:cs="Arial"/>
          <w:b/>
          <w:color w:val="000000"/>
          <w:sz w:val="20"/>
        </w:rPr>
        <w:t xml:space="preserve">Narrowed by: </w:t>
      </w:r>
    </w:p>
    <w:p w14:paraId="6E44F153"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8EB1AE7" w14:textId="77777777">
        <w:trPr>
          <w:jc w:val="center"/>
        </w:trPr>
        <w:tc>
          <w:tcPr>
            <w:tcW w:w="3000" w:type="dxa"/>
          </w:tcPr>
          <w:p w14:paraId="65EAE2D4" w14:textId="77777777" w:rsidR="00054BF0" w:rsidRDefault="00000000">
            <w:pPr>
              <w:spacing w:line="220" w:lineRule="atLeast"/>
            </w:pPr>
            <w:r>
              <w:rPr>
                <w:rFonts w:ascii="Arial" w:eastAsia="Arial" w:hAnsi="Arial" w:cs="Arial"/>
                <w:b/>
                <w:color w:val="000000"/>
                <w:sz w:val="18"/>
              </w:rPr>
              <w:t>Content Type</w:t>
            </w:r>
          </w:p>
        </w:tc>
        <w:tc>
          <w:tcPr>
            <w:tcW w:w="5000" w:type="dxa"/>
          </w:tcPr>
          <w:p w14:paraId="7F0CCB95" w14:textId="77777777" w:rsidR="00054BF0" w:rsidRDefault="00000000">
            <w:pPr>
              <w:spacing w:line="220" w:lineRule="atLeast"/>
            </w:pPr>
            <w:r>
              <w:rPr>
                <w:rFonts w:ascii="Arial" w:eastAsia="Arial" w:hAnsi="Arial" w:cs="Arial"/>
                <w:b/>
                <w:color w:val="000000"/>
                <w:sz w:val="18"/>
              </w:rPr>
              <w:t>Narrowed by</w:t>
            </w:r>
          </w:p>
        </w:tc>
      </w:tr>
      <w:tr w:rsidR="00054BF0" w14:paraId="0209A8BE" w14:textId="77777777">
        <w:trPr>
          <w:jc w:val="center"/>
        </w:trPr>
        <w:tc>
          <w:tcPr>
            <w:tcW w:w="3000" w:type="dxa"/>
          </w:tcPr>
          <w:p w14:paraId="5E73C87D" w14:textId="77777777" w:rsidR="00054BF0" w:rsidRDefault="00000000">
            <w:pPr>
              <w:spacing w:line="220" w:lineRule="atLeast"/>
            </w:pPr>
            <w:r>
              <w:rPr>
                <w:rFonts w:ascii="Arial" w:eastAsia="Arial" w:hAnsi="Arial" w:cs="Arial"/>
                <w:color w:val="000000"/>
                <w:sz w:val="18"/>
              </w:rPr>
              <w:t>News</w:t>
            </w:r>
          </w:p>
        </w:tc>
        <w:tc>
          <w:tcPr>
            <w:tcW w:w="5000" w:type="dxa"/>
          </w:tcPr>
          <w:p w14:paraId="1ADF4292"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9B425C" w14:textId="77777777" w:rsidR="00054BF0" w:rsidRDefault="00054BF0"/>
    <w:p w14:paraId="2A4DAC40" w14:textId="77777777" w:rsidR="00054BF0" w:rsidRDefault="00000000">
      <w:pPr>
        <w:spacing w:line="300" w:lineRule="atLeast"/>
        <w:ind w:left="440" w:hanging="290"/>
      </w:pPr>
      <w:r>
        <w:rPr>
          <w:rFonts w:ascii="Arial" w:eastAsia="Arial" w:hAnsi="Arial" w:cs="Arial"/>
          <w:sz w:val="20"/>
        </w:rPr>
        <w:lastRenderedPageBreak/>
        <w:t>5.</w:t>
      </w:r>
      <w:hyperlink r:id="rId15" w:history="1">
        <w:r>
          <w:rPr>
            <w:rFonts w:ascii="Arial" w:eastAsia="Arial" w:hAnsi="Arial" w:cs="Arial"/>
            <w:color w:val="000000"/>
            <w:sz w:val="20"/>
            <w:u w:val="single"/>
            <w:shd w:val="clear" w:color="auto" w:fill="FFFFFF"/>
          </w:rPr>
          <w:t xml:space="preserve"> </w:t>
        </w:r>
      </w:hyperlink>
      <w:hyperlink r:id="rId16" w:history="1">
        <w:r>
          <w:rPr>
            <w:rFonts w:ascii="Arial" w:eastAsia="Arial" w:hAnsi="Arial" w:cs="Arial"/>
            <w:i/>
            <w:color w:val="0077CC"/>
            <w:sz w:val="20"/>
            <w:u w:val="single"/>
            <w:shd w:val="clear" w:color="auto" w:fill="FFFFFF"/>
          </w:rPr>
          <w:t>Creativity habits, influences, journeys: Tips and stories from the authors at Bangalore Business LitFest 2021</w:t>
        </w:r>
      </w:hyperlink>
    </w:p>
    <w:p w14:paraId="00D5E227"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51AFE9"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0D64AE5"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80422F3" w14:textId="77777777" w:rsidR="00054BF0" w:rsidRDefault="00000000">
      <w:pPr>
        <w:spacing w:before="80" w:line="240" w:lineRule="atLeast"/>
        <w:ind w:left="290"/>
      </w:pPr>
      <w:r>
        <w:rPr>
          <w:rFonts w:ascii="Arial" w:eastAsia="Arial" w:hAnsi="Arial" w:cs="Arial"/>
          <w:b/>
          <w:color w:val="000000"/>
          <w:sz w:val="20"/>
        </w:rPr>
        <w:t xml:space="preserve">Narrowed by: </w:t>
      </w:r>
    </w:p>
    <w:p w14:paraId="71BD87B6"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1303F56F" w14:textId="77777777">
        <w:trPr>
          <w:jc w:val="center"/>
        </w:trPr>
        <w:tc>
          <w:tcPr>
            <w:tcW w:w="3000" w:type="dxa"/>
          </w:tcPr>
          <w:p w14:paraId="0F0C3D3E" w14:textId="77777777" w:rsidR="00054BF0" w:rsidRDefault="00000000">
            <w:pPr>
              <w:spacing w:line="220" w:lineRule="atLeast"/>
            </w:pPr>
            <w:r>
              <w:rPr>
                <w:rFonts w:ascii="Arial" w:eastAsia="Arial" w:hAnsi="Arial" w:cs="Arial"/>
                <w:b/>
                <w:color w:val="000000"/>
                <w:sz w:val="18"/>
              </w:rPr>
              <w:t>Content Type</w:t>
            </w:r>
          </w:p>
        </w:tc>
        <w:tc>
          <w:tcPr>
            <w:tcW w:w="5000" w:type="dxa"/>
          </w:tcPr>
          <w:p w14:paraId="63962B31" w14:textId="77777777" w:rsidR="00054BF0" w:rsidRDefault="00000000">
            <w:pPr>
              <w:spacing w:line="220" w:lineRule="atLeast"/>
            </w:pPr>
            <w:r>
              <w:rPr>
                <w:rFonts w:ascii="Arial" w:eastAsia="Arial" w:hAnsi="Arial" w:cs="Arial"/>
                <w:b/>
                <w:color w:val="000000"/>
                <w:sz w:val="18"/>
              </w:rPr>
              <w:t>Narrowed by</w:t>
            </w:r>
          </w:p>
        </w:tc>
      </w:tr>
      <w:tr w:rsidR="00054BF0" w14:paraId="2ACA425D" w14:textId="77777777">
        <w:trPr>
          <w:jc w:val="center"/>
        </w:trPr>
        <w:tc>
          <w:tcPr>
            <w:tcW w:w="3000" w:type="dxa"/>
          </w:tcPr>
          <w:p w14:paraId="19EB55C1" w14:textId="77777777" w:rsidR="00054BF0" w:rsidRDefault="00000000">
            <w:pPr>
              <w:spacing w:line="220" w:lineRule="atLeast"/>
            </w:pPr>
            <w:r>
              <w:rPr>
                <w:rFonts w:ascii="Arial" w:eastAsia="Arial" w:hAnsi="Arial" w:cs="Arial"/>
                <w:color w:val="000000"/>
                <w:sz w:val="18"/>
              </w:rPr>
              <w:t>News</w:t>
            </w:r>
          </w:p>
        </w:tc>
        <w:tc>
          <w:tcPr>
            <w:tcW w:w="5000" w:type="dxa"/>
          </w:tcPr>
          <w:p w14:paraId="744589F4"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C60B2D7" w14:textId="77777777" w:rsidR="00054BF0" w:rsidRDefault="00054BF0"/>
    <w:p w14:paraId="14B9BFC5" w14:textId="77777777" w:rsidR="00054BF0" w:rsidRDefault="00000000">
      <w:pPr>
        <w:spacing w:line="300" w:lineRule="atLeast"/>
        <w:ind w:left="440" w:hanging="290"/>
      </w:pPr>
      <w:r>
        <w:rPr>
          <w:rFonts w:ascii="Arial" w:eastAsia="Arial" w:hAnsi="Arial" w:cs="Arial"/>
          <w:sz w:val="20"/>
        </w:rPr>
        <w:t>6.</w:t>
      </w:r>
      <w:hyperlink r:id="rId17" w:history="1">
        <w:r>
          <w:rPr>
            <w:rFonts w:ascii="Arial" w:eastAsia="Arial" w:hAnsi="Arial" w:cs="Arial"/>
            <w:color w:val="000000"/>
            <w:sz w:val="20"/>
            <w:u w:val="single"/>
            <w:shd w:val="clear" w:color="auto" w:fill="FFFFFF"/>
          </w:rPr>
          <w:t xml:space="preserve"> </w:t>
        </w:r>
      </w:hyperlink>
      <w:hyperlink r:id="rId18" w:history="1">
        <w:r>
          <w:rPr>
            <w:rFonts w:ascii="Arial" w:eastAsia="Arial" w:hAnsi="Arial" w:cs="Arial"/>
            <w:i/>
            <w:color w:val="0077CC"/>
            <w:sz w:val="20"/>
            <w:u w:val="single"/>
            <w:shd w:val="clear" w:color="auto" w:fill="FFFFFF"/>
          </w:rPr>
          <w:t>A Framework for Increasing Competition and Diffusion in Artificial Intelligence</w:t>
        </w:r>
      </w:hyperlink>
    </w:p>
    <w:p w14:paraId="34FE9DFE"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6FFE04F"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4CF1AB"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FE00516" w14:textId="77777777" w:rsidR="00054BF0" w:rsidRDefault="00000000">
      <w:pPr>
        <w:spacing w:before="80" w:line="240" w:lineRule="atLeast"/>
        <w:ind w:left="290"/>
      </w:pPr>
      <w:r>
        <w:rPr>
          <w:rFonts w:ascii="Arial" w:eastAsia="Arial" w:hAnsi="Arial" w:cs="Arial"/>
          <w:b/>
          <w:color w:val="000000"/>
          <w:sz w:val="20"/>
        </w:rPr>
        <w:t xml:space="preserve">Narrowed by: </w:t>
      </w:r>
    </w:p>
    <w:p w14:paraId="10300047"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D11EF4F" w14:textId="77777777">
        <w:trPr>
          <w:jc w:val="center"/>
        </w:trPr>
        <w:tc>
          <w:tcPr>
            <w:tcW w:w="3000" w:type="dxa"/>
          </w:tcPr>
          <w:p w14:paraId="1C874AC2" w14:textId="77777777" w:rsidR="00054BF0" w:rsidRDefault="00000000">
            <w:pPr>
              <w:spacing w:line="220" w:lineRule="atLeast"/>
            </w:pPr>
            <w:r>
              <w:rPr>
                <w:rFonts w:ascii="Arial" w:eastAsia="Arial" w:hAnsi="Arial" w:cs="Arial"/>
                <w:b/>
                <w:color w:val="000000"/>
                <w:sz w:val="18"/>
              </w:rPr>
              <w:t>Content Type</w:t>
            </w:r>
          </w:p>
        </w:tc>
        <w:tc>
          <w:tcPr>
            <w:tcW w:w="5000" w:type="dxa"/>
          </w:tcPr>
          <w:p w14:paraId="0D4BB957" w14:textId="77777777" w:rsidR="00054BF0" w:rsidRDefault="00000000">
            <w:pPr>
              <w:spacing w:line="220" w:lineRule="atLeast"/>
            </w:pPr>
            <w:r>
              <w:rPr>
                <w:rFonts w:ascii="Arial" w:eastAsia="Arial" w:hAnsi="Arial" w:cs="Arial"/>
                <w:b/>
                <w:color w:val="000000"/>
                <w:sz w:val="18"/>
              </w:rPr>
              <w:t>Narrowed by</w:t>
            </w:r>
          </w:p>
        </w:tc>
      </w:tr>
      <w:tr w:rsidR="00054BF0" w14:paraId="45EEC682" w14:textId="77777777">
        <w:trPr>
          <w:jc w:val="center"/>
        </w:trPr>
        <w:tc>
          <w:tcPr>
            <w:tcW w:w="3000" w:type="dxa"/>
          </w:tcPr>
          <w:p w14:paraId="24168616" w14:textId="77777777" w:rsidR="00054BF0" w:rsidRDefault="00000000">
            <w:pPr>
              <w:spacing w:line="220" w:lineRule="atLeast"/>
            </w:pPr>
            <w:r>
              <w:rPr>
                <w:rFonts w:ascii="Arial" w:eastAsia="Arial" w:hAnsi="Arial" w:cs="Arial"/>
                <w:color w:val="000000"/>
                <w:sz w:val="18"/>
              </w:rPr>
              <w:t>News</w:t>
            </w:r>
          </w:p>
        </w:tc>
        <w:tc>
          <w:tcPr>
            <w:tcW w:w="5000" w:type="dxa"/>
          </w:tcPr>
          <w:p w14:paraId="0F22D269"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424430" w14:textId="77777777" w:rsidR="00054BF0" w:rsidRDefault="00054BF0"/>
    <w:p w14:paraId="2D3ED2E9" w14:textId="77777777" w:rsidR="00054BF0" w:rsidRDefault="00000000">
      <w:pPr>
        <w:spacing w:line="300" w:lineRule="atLeast"/>
        <w:ind w:left="440" w:hanging="290"/>
      </w:pPr>
      <w:r>
        <w:rPr>
          <w:rFonts w:ascii="Arial" w:eastAsia="Arial" w:hAnsi="Arial" w:cs="Arial"/>
          <w:sz w:val="20"/>
        </w:rPr>
        <w:t>7.</w:t>
      </w:r>
      <w:hyperlink r:id="rId19" w:history="1">
        <w:r>
          <w:rPr>
            <w:rFonts w:ascii="Arial" w:eastAsia="Arial" w:hAnsi="Arial" w:cs="Arial"/>
            <w:color w:val="000000"/>
            <w:sz w:val="20"/>
            <w:u w:val="single"/>
            <w:shd w:val="clear" w:color="auto" w:fill="FFFFFF"/>
          </w:rPr>
          <w:t xml:space="preserve"> </w:t>
        </w:r>
      </w:hyperlink>
      <w:hyperlink r:id="rId20" w:history="1">
        <w:r>
          <w:rPr>
            <w:rFonts w:ascii="Arial" w:eastAsia="Arial" w:hAnsi="Arial" w:cs="Arial"/>
            <w:i/>
            <w:color w:val="0077CC"/>
            <w:sz w:val="20"/>
            <w:u w:val="single"/>
            <w:shd w:val="clear" w:color="auto" w:fill="FFFFFF"/>
          </w:rPr>
          <w:t>These founders took the road less travelled to reap rewards</w:t>
        </w:r>
      </w:hyperlink>
    </w:p>
    <w:p w14:paraId="5E2DF6A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45C65D9"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BBEF02"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FCCC38B" w14:textId="77777777" w:rsidR="00054BF0" w:rsidRDefault="00000000">
      <w:pPr>
        <w:spacing w:before="80" w:line="240" w:lineRule="atLeast"/>
        <w:ind w:left="290"/>
      </w:pPr>
      <w:r>
        <w:rPr>
          <w:rFonts w:ascii="Arial" w:eastAsia="Arial" w:hAnsi="Arial" w:cs="Arial"/>
          <w:b/>
          <w:color w:val="000000"/>
          <w:sz w:val="20"/>
        </w:rPr>
        <w:t xml:space="preserve">Narrowed by: </w:t>
      </w:r>
    </w:p>
    <w:p w14:paraId="7D767E97"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6B6D408" w14:textId="77777777">
        <w:trPr>
          <w:jc w:val="center"/>
        </w:trPr>
        <w:tc>
          <w:tcPr>
            <w:tcW w:w="3000" w:type="dxa"/>
          </w:tcPr>
          <w:p w14:paraId="45E3518E" w14:textId="77777777" w:rsidR="00054BF0" w:rsidRDefault="00000000">
            <w:pPr>
              <w:spacing w:line="220" w:lineRule="atLeast"/>
            </w:pPr>
            <w:r>
              <w:rPr>
                <w:rFonts w:ascii="Arial" w:eastAsia="Arial" w:hAnsi="Arial" w:cs="Arial"/>
                <w:b/>
                <w:color w:val="000000"/>
                <w:sz w:val="18"/>
              </w:rPr>
              <w:t>Content Type</w:t>
            </w:r>
          </w:p>
        </w:tc>
        <w:tc>
          <w:tcPr>
            <w:tcW w:w="5000" w:type="dxa"/>
          </w:tcPr>
          <w:p w14:paraId="3CBC813D" w14:textId="77777777" w:rsidR="00054BF0" w:rsidRDefault="00000000">
            <w:pPr>
              <w:spacing w:line="220" w:lineRule="atLeast"/>
            </w:pPr>
            <w:r>
              <w:rPr>
                <w:rFonts w:ascii="Arial" w:eastAsia="Arial" w:hAnsi="Arial" w:cs="Arial"/>
                <w:b/>
                <w:color w:val="000000"/>
                <w:sz w:val="18"/>
              </w:rPr>
              <w:t>Narrowed by</w:t>
            </w:r>
          </w:p>
        </w:tc>
      </w:tr>
      <w:tr w:rsidR="00054BF0" w14:paraId="411E5FBE" w14:textId="77777777">
        <w:trPr>
          <w:jc w:val="center"/>
        </w:trPr>
        <w:tc>
          <w:tcPr>
            <w:tcW w:w="3000" w:type="dxa"/>
          </w:tcPr>
          <w:p w14:paraId="4EF10CB3" w14:textId="77777777" w:rsidR="00054BF0" w:rsidRDefault="00000000">
            <w:pPr>
              <w:spacing w:line="220" w:lineRule="atLeast"/>
            </w:pPr>
            <w:r>
              <w:rPr>
                <w:rFonts w:ascii="Arial" w:eastAsia="Arial" w:hAnsi="Arial" w:cs="Arial"/>
                <w:color w:val="000000"/>
                <w:sz w:val="18"/>
              </w:rPr>
              <w:t>News</w:t>
            </w:r>
          </w:p>
        </w:tc>
        <w:tc>
          <w:tcPr>
            <w:tcW w:w="5000" w:type="dxa"/>
          </w:tcPr>
          <w:p w14:paraId="1081080C"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54BDC62" w14:textId="77777777" w:rsidR="00054BF0" w:rsidRDefault="00054BF0"/>
    <w:p w14:paraId="0A5265B6" w14:textId="77777777" w:rsidR="00054BF0" w:rsidRDefault="00000000">
      <w:pPr>
        <w:spacing w:line="300" w:lineRule="atLeast"/>
        <w:ind w:left="440" w:hanging="290"/>
      </w:pPr>
      <w:r>
        <w:rPr>
          <w:rFonts w:ascii="Arial" w:eastAsia="Arial" w:hAnsi="Arial" w:cs="Arial"/>
          <w:sz w:val="20"/>
        </w:rPr>
        <w:t>8.</w:t>
      </w:r>
      <w:hyperlink r:id="rId21" w:history="1">
        <w:r>
          <w:rPr>
            <w:rFonts w:ascii="Arial" w:eastAsia="Arial" w:hAnsi="Arial" w:cs="Arial"/>
            <w:color w:val="000000"/>
            <w:sz w:val="20"/>
            <w:u w:val="single"/>
            <w:shd w:val="clear" w:color="auto" w:fill="FFFFFF"/>
          </w:rPr>
          <w:t xml:space="preserve"> </w:t>
        </w:r>
      </w:hyperlink>
      <w:hyperlink r:id="rId22" w:history="1">
        <w:r>
          <w:rPr>
            <w:rFonts w:ascii="Arial" w:eastAsia="Arial" w:hAnsi="Arial" w:cs="Arial"/>
            <w:i/>
            <w:color w:val="0077CC"/>
            <w:sz w:val="20"/>
            <w:u w:val="single"/>
            <w:shd w:val="clear" w:color="auto" w:fill="FFFFFF"/>
          </w:rPr>
          <w:t>Rivian founder and CEO RJ Scaringe is coming to TechCrunch Disrupt this October</w:t>
        </w:r>
      </w:hyperlink>
    </w:p>
    <w:p w14:paraId="16149CE2"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FD3528F"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13043A"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995FB76" w14:textId="77777777" w:rsidR="00054BF0" w:rsidRDefault="00000000">
      <w:pPr>
        <w:spacing w:before="80" w:line="240" w:lineRule="atLeast"/>
        <w:ind w:left="290"/>
      </w:pPr>
      <w:r>
        <w:rPr>
          <w:rFonts w:ascii="Arial" w:eastAsia="Arial" w:hAnsi="Arial" w:cs="Arial"/>
          <w:b/>
          <w:color w:val="000000"/>
          <w:sz w:val="20"/>
        </w:rPr>
        <w:t xml:space="preserve">Narrowed by: </w:t>
      </w:r>
    </w:p>
    <w:p w14:paraId="19DCC845"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061276F3" w14:textId="77777777">
        <w:trPr>
          <w:jc w:val="center"/>
        </w:trPr>
        <w:tc>
          <w:tcPr>
            <w:tcW w:w="3000" w:type="dxa"/>
          </w:tcPr>
          <w:p w14:paraId="45FBAFD8" w14:textId="77777777" w:rsidR="00054BF0" w:rsidRDefault="00000000">
            <w:pPr>
              <w:spacing w:line="220" w:lineRule="atLeast"/>
            </w:pPr>
            <w:r>
              <w:rPr>
                <w:rFonts w:ascii="Arial" w:eastAsia="Arial" w:hAnsi="Arial" w:cs="Arial"/>
                <w:b/>
                <w:color w:val="000000"/>
                <w:sz w:val="18"/>
              </w:rPr>
              <w:t>Content Type</w:t>
            </w:r>
          </w:p>
        </w:tc>
        <w:tc>
          <w:tcPr>
            <w:tcW w:w="5000" w:type="dxa"/>
          </w:tcPr>
          <w:p w14:paraId="6395D4D2" w14:textId="77777777" w:rsidR="00054BF0" w:rsidRDefault="00000000">
            <w:pPr>
              <w:spacing w:line="220" w:lineRule="atLeast"/>
            </w:pPr>
            <w:r>
              <w:rPr>
                <w:rFonts w:ascii="Arial" w:eastAsia="Arial" w:hAnsi="Arial" w:cs="Arial"/>
                <w:b/>
                <w:color w:val="000000"/>
                <w:sz w:val="18"/>
              </w:rPr>
              <w:t>Narrowed by</w:t>
            </w:r>
          </w:p>
        </w:tc>
      </w:tr>
      <w:tr w:rsidR="00054BF0" w14:paraId="7596EB0E" w14:textId="77777777">
        <w:trPr>
          <w:jc w:val="center"/>
        </w:trPr>
        <w:tc>
          <w:tcPr>
            <w:tcW w:w="3000" w:type="dxa"/>
          </w:tcPr>
          <w:p w14:paraId="0D6A0905" w14:textId="77777777" w:rsidR="00054BF0" w:rsidRDefault="00000000">
            <w:pPr>
              <w:spacing w:line="220" w:lineRule="atLeast"/>
            </w:pPr>
            <w:r>
              <w:rPr>
                <w:rFonts w:ascii="Arial" w:eastAsia="Arial" w:hAnsi="Arial" w:cs="Arial"/>
                <w:color w:val="000000"/>
                <w:sz w:val="18"/>
              </w:rPr>
              <w:t>News</w:t>
            </w:r>
          </w:p>
        </w:tc>
        <w:tc>
          <w:tcPr>
            <w:tcW w:w="5000" w:type="dxa"/>
          </w:tcPr>
          <w:p w14:paraId="37E8B5E5"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9C46243" w14:textId="77777777" w:rsidR="00054BF0" w:rsidRDefault="00054BF0"/>
    <w:p w14:paraId="3DFA66A7" w14:textId="77777777" w:rsidR="00054BF0" w:rsidRDefault="00000000">
      <w:pPr>
        <w:spacing w:line="300" w:lineRule="atLeast"/>
        <w:ind w:left="440" w:hanging="290"/>
      </w:pPr>
      <w:r>
        <w:rPr>
          <w:rFonts w:ascii="Arial" w:eastAsia="Arial" w:hAnsi="Arial" w:cs="Arial"/>
          <w:sz w:val="20"/>
        </w:rPr>
        <w:t>9.</w:t>
      </w:r>
      <w:hyperlink r:id="rId23" w:history="1">
        <w:r>
          <w:rPr>
            <w:rFonts w:ascii="Arial" w:eastAsia="Arial" w:hAnsi="Arial" w:cs="Arial"/>
            <w:color w:val="000000"/>
            <w:sz w:val="20"/>
            <w:u w:val="single"/>
            <w:shd w:val="clear" w:color="auto" w:fill="FFFFFF"/>
          </w:rPr>
          <w:t xml:space="preserve"> </w:t>
        </w:r>
      </w:hyperlink>
      <w:hyperlink r:id="rId24" w:history="1">
        <w:r>
          <w:rPr>
            <w:rFonts w:ascii="Arial" w:eastAsia="Arial" w:hAnsi="Arial" w:cs="Arial"/>
            <w:i/>
            <w:color w:val="0077CC"/>
            <w:sz w:val="20"/>
            <w:u w:val="single"/>
            <w:shd w:val="clear" w:color="auto" w:fill="FFFFFF"/>
          </w:rPr>
          <w:t>How one Pakistani techie helped build a $20 million</w:t>
        </w:r>
      </w:hyperlink>
    </w:p>
    <w:p w14:paraId="4A40E4FE"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69DB353"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AF542D4"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11AA64" w14:textId="77777777" w:rsidR="00054BF0" w:rsidRDefault="00000000">
      <w:pPr>
        <w:spacing w:before="80" w:line="240" w:lineRule="atLeast"/>
        <w:ind w:left="290"/>
      </w:pPr>
      <w:r>
        <w:rPr>
          <w:rFonts w:ascii="Arial" w:eastAsia="Arial" w:hAnsi="Arial" w:cs="Arial"/>
          <w:b/>
          <w:color w:val="000000"/>
          <w:sz w:val="20"/>
        </w:rPr>
        <w:t xml:space="preserve">Narrowed by: </w:t>
      </w:r>
    </w:p>
    <w:p w14:paraId="56C27CF8"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511712FC" w14:textId="77777777">
        <w:trPr>
          <w:jc w:val="center"/>
        </w:trPr>
        <w:tc>
          <w:tcPr>
            <w:tcW w:w="3000" w:type="dxa"/>
          </w:tcPr>
          <w:p w14:paraId="7E410A3C" w14:textId="77777777" w:rsidR="00054BF0" w:rsidRDefault="00000000">
            <w:pPr>
              <w:spacing w:line="220" w:lineRule="atLeast"/>
            </w:pPr>
            <w:r>
              <w:rPr>
                <w:rFonts w:ascii="Arial" w:eastAsia="Arial" w:hAnsi="Arial" w:cs="Arial"/>
                <w:b/>
                <w:color w:val="000000"/>
                <w:sz w:val="18"/>
              </w:rPr>
              <w:t>Content Type</w:t>
            </w:r>
          </w:p>
        </w:tc>
        <w:tc>
          <w:tcPr>
            <w:tcW w:w="5000" w:type="dxa"/>
          </w:tcPr>
          <w:p w14:paraId="20329F54" w14:textId="77777777" w:rsidR="00054BF0" w:rsidRDefault="00000000">
            <w:pPr>
              <w:spacing w:line="220" w:lineRule="atLeast"/>
            </w:pPr>
            <w:r>
              <w:rPr>
                <w:rFonts w:ascii="Arial" w:eastAsia="Arial" w:hAnsi="Arial" w:cs="Arial"/>
                <w:b/>
                <w:color w:val="000000"/>
                <w:sz w:val="18"/>
              </w:rPr>
              <w:t>Narrowed by</w:t>
            </w:r>
          </w:p>
        </w:tc>
      </w:tr>
      <w:tr w:rsidR="00054BF0" w14:paraId="12F9FCDC" w14:textId="77777777">
        <w:trPr>
          <w:jc w:val="center"/>
        </w:trPr>
        <w:tc>
          <w:tcPr>
            <w:tcW w:w="3000" w:type="dxa"/>
          </w:tcPr>
          <w:p w14:paraId="7D403399" w14:textId="77777777" w:rsidR="00054BF0" w:rsidRDefault="00000000">
            <w:pPr>
              <w:spacing w:line="220" w:lineRule="atLeast"/>
            </w:pPr>
            <w:r>
              <w:rPr>
                <w:rFonts w:ascii="Arial" w:eastAsia="Arial" w:hAnsi="Arial" w:cs="Arial"/>
                <w:color w:val="000000"/>
                <w:sz w:val="18"/>
              </w:rPr>
              <w:t>News</w:t>
            </w:r>
          </w:p>
        </w:tc>
        <w:tc>
          <w:tcPr>
            <w:tcW w:w="5000" w:type="dxa"/>
          </w:tcPr>
          <w:p w14:paraId="23085D8F" w14:textId="77777777" w:rsidR="00054BF0"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1B664975" w14:textId="77777777" w:rsidR="00054BF0" w:rsidRDefault="00054BF0"/>
    <w:p w14:paraId="3E1CD68F" w14:textId="77777777" w:rsidR="00054BF0" w:rsidRDefault="00000000">
      <w:pPr>
        <w:spacing w:line="300" w:lineRule="atLeast"/>
        <w:ind w:left="440" w:hanging="290"/>
      </w:pPr>
      <w:r>
        <w:rPr>
          <w:rFonts w:ascii="Arial" w:eastAsia="Arial" w:hAnsi="Arial" w:cs="Arial"/>
          <w:sz w:val="20"/>
        </w:rPr>
        <w:t>10.</w:t>
      </w:r>
      <w:hyperlink r:id="rId25" w:history="1">
        <w:r>
          <w:rPr>
            <w:rFonts w:ascii="Arial" w:eastAsia="Arial" w:hAnsi="Arial" w:cs="Arial"/>
            <w:color w:val="000000"/>
            <w:sz w:val="20"/>
            <w:u w:val="single"/>
            <w:shd w:val="clear" w:color="auto" w:fill="FFFFFF"/>
          </w:rPr>
          <w:t xml:space="preserve"> </w:t>
        </w:r>
      </w:hyperlink>
      <w:hyperlink r:id="rId26" w:history="1">
        <w:r>
          <w:rPr>
            <w:rFonts w:ascii="Arial" w:eastAsia="Arial" w:hAnsi="Arial" w:cs="Arial"/>
            <w:i/>
            <w:color w:val="0077CC"/>
            <w:sz w:val="20"/>
            <w:u w:val="single"/>
            <w:shd w:val="clear" w:color="auto" w:fill="FFFFFF"/>
          </w:rPr>
          <w:t>This repulsive app generates nudes from photos of clothed women</w:t>
        </w:r>
      </w:hyperlink>
    </w:p>
    <w:p w14:paraId="7360099B"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5D8175"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C3C52FA"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4802C3" w14:textId="77777777" w:rsidR="00054BF0" w:rsidRDefault="00000000">
      <w:pPr>
        <w:spacing w:before="80" w:line="240" w:lineRule="atLeast"/>
        <w:ind w:left="290"/>
      </w:pPr>
      <w:r>
        <w:rPr>
          <w:rFonts w:ascii="Arial" w:eastAsia="Arial" w:hAnsi="Arial" w:cs="Arial"/>
          <w:b/>
          <w:color w:val="000000"/>
          <w:sz w:val="20"/>
        </w:rPr>
        <w:t xml:space="preserve">Narrowed by: </w:t>
      </w:r>
    </w:p>
    <w:p w14:paraId="429EA052"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6FD77F2C" w14:textId="77777777">
        <w:trPr>
          <w:jc w:val="center"/>
        </w:trPr>
        <w:tc>
          <w:tcPr>
            <w:tcW w:w="3000" w:type="dxa"/>
          </w:tcPr>
          <w:p w14:paraId="5A794D72" w14:textId="77777777" w:rsidR="00054BF0" w:rsidRDefault="00000000">
            <w:pPr>
              <w:spacing w:line="220" w:lineRule="atLeast"/>
            </w:pPr>
            <w:r>
              <w:rPr>
                <w:rFonts w:ascii="Arial" w:eastAsia="Arial" w:hAnsi="Arial" w:cs="Arial"/>
                <w:b/>
                <w:color w:val="000000"/>
                <w:sz w:val="18"/>
              </w:rPr>
              <w:t>Content Type</w:t>
            </w:r>
          </w:p>
        </w:tc>
        <w:tc>
          <w:tcPr>
            <w:tcW w:w="5000" w:type="dxa"/>
          </w:tcPr>
          <w:p w14:paraId="7A9CE3AE" w14:textId="77777777" w:rsidR="00054BF0" w:rsidRDefault="00000000">
            <w:pPr>
              <w:spacing w:line="220" w:lineRule="atLeast"/>
            </w:pPr>
            <w:r>
              <w:rPr>
                <w:rFonts w:ascii="Arial" w:eastAsia="Arial" w:hAnsi="Arial" w:cs="Arial"/>
                <w:b/>
                <w:color w:val="000000"/>
                <w:sz w:val="18"/>
              </w:rPr>
              <w:t>Narrowed by</w:t>
            </w:r>
          </w:p>
        </w:tc>
      </w:tr>
      <w:tr w:rsidR="00054BF0" w14:paraId="76760B04" w14:textId="77777777">
        <w:trPr>
          <w:jc w:val="center"/>
        </w:trPr>
        <w:tc>
          <w:tcPr>
            <w:tcW w:w="3000" w:type="dxa"/>
          </w:tcPr>
          <w:p w14:paraId="3936A9A7" w14:textId="77777777" w:rsidR="00054BF0" w:rsidRDefault="00000000">
            <w:pPr>
              <w:spacing w:line="220" w:lineRule="atLeast"/>
            </w:pPr>
            <w:r>
              <w:rPr>
                <w:rFonts w:ascii="Arial" w:eastAsia="Arial" w:hAnsi="Arial" w:cs="Arial"/>
                <w:color w:val="000000"/>
                <w:sz w:val="18"/>
              </w:rPr>
              <w:t>News</w:t>
            </w:r>
          </w:p>
        </w:tc>
        <w:tc>
          <w:tcPr>
            <w:tcW w:w="5000" w:type="dxa"/>
          </w:tcPr>
          <w:p w14:paraId="01175073"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917DFC" w14:textId="77777777" w:rsidR="00054BF0" w:rsidRDefault="00054BF0"/>
    <w:p w14:paraId="4D9AF05B" w14:textId="77777777" w:rsidR="00054BF0" w:rsidRDefault="00000000">
      <w:pPr>
        <w:spacing w:line="300" w:lineRule="atLeast"/>
        <w:ind w:left="440" w:hanging="290"/>
      </w:pPr>
      <w:r>
        <w:rPr>
          <w:rFonts w:ascii="Arial" w:eastAsia="Arial" w:hAnsi="Arial" w:cs="Arial"/>
          <w:sz w:val="20"/>
        </w:rPr>
        <w:t>11.</w:t>
      </w:r>
      <w:hyperlink r:id="rId27" w:history="1">
        <w:r>
          <w:rPr>
            <w:rFonts w:ascii="Arial" w:eastAsia="Arial" w:hAnsi="Arial" w:cs="Arial"/>
            <w:color w:val="000000"/>
            <w:sz w:val="20"/>
            <w:u w:val="single"/>
            <w:shd w:val="clear" w:color="auto" w:fill="FFFFFF"/>
          </w:rPr>
          <w:t xml:space="preserve"> </w:t>
        </w:r>
      </w:hyperlink>
      <w:hyperlink r:id="rId28" w:history="1">
        <w:r>
          <w:rPr>
            <w:rFonts w:ascii="Arial" w:eastAsia="Arial" w:hAnsi="Arial" w:cs="Arial"/>
            <w:i/>
            <w:color w:val="0077CC"/>
            <w:sz w:val="20"/>
            <w:u w:val="single"/>
            <w:shd w:val="clear" w:color="auto" w:fill="FFFFFF"/>
          </w:rPr>
          <w:t>Pakistan startups, the last massive untapped opportunity in the world</w:t>
        </w:r>
      </w:hyperlink>
    </w:p>
    <w:p w14:paraId="4C03BBA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430BC0"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2697EC"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9F040B" w14:textId="77777777" w:rsidR="00054BF0" w:rsidRDefault="00000000">
      <w:pPr>
        <w:spacing w:before="80" w:line="240" w:lineRule="atLeast"/>
        <w:ind w:left="290"/>
      </w:pPr>
      <w:r>
        <w:rPr>
          <w:rFonts w:ascii="Arial" w:eastAsia="Arial" w:hAnsi="Arial" w:cs="Arial"/>
          <w:b/>
          <w:color w:val="000000"/>
          <w:sz w:val="20"/>
        </w:rPr>
        <w:t xml:space="preserve">Narrowed by: </w:t>
      </w:r>
    </w:p>
    <w:p w14:paraId="636ABC29"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44A86820" w14:textId="77777777">
        <w:trPr>
          <w:jc w:val="center"/>
        </w:trPr>
        <w:tc>
          <w:tcPr>
            <w:tcW w:w="3000" w:type="dxa"/>
          </w:tcPr>
          <w:p w14:paraId="10C16A82" w14:textId="77777777" w:rsidR="00054BF0" w:rsidRDefault="00000000">
            <w:pPr>
              <w:spacing w:line="220" w:lineRule="atLeast"/>
            </w:pPr>
            <w:r>
              <w:rPr>
                <w:rFonts w:ascii="Arial" w:eastAsia="Arial" w:hAnsi="Arial" w:cs="Arial"/>
                <w:b/>
                <w:color w:val="000000"/>
                <w:sz w:val="18"/>
              </w:rPr>
              <w:t>Content Type</w:t>
            </w:r>
          </w:p>
        </w:tc>
        <w:tc>
          <w:tcPr>
            <w:tcW w:w="5000" w:type="dxa"/>
          </w:tcPr>
          <w:p w14:paraId="671FA922" w14:textId="77777777" w:rsidR="00054BF0" w:rsidRDefault="00000000">
            <w:pPr>
              <w:spacing w:line="220" w:lineRule="atLeast"/>
            </w:pPr>
            <w:r>
              <w:rPr>
                <w:rFonts w:ascii="Arial" w:eastAsia="Arial" w:hAnsi="Arial" w:cs="Arial"/>
                <w:b/>
                <w:color w:val="000000"/>
                <w:sz w:val="18"/>
              </w:rPr>
              <w:t>Narrowed by</w:t>
            </w:r>
          </w:p>
        </w:tc>
      </w:tr>
      <w:tr w:rsidR="00054BF0" w14:paraId="44570562" w14:textId="77777777">
        <w:trPr>
          <w:jc w:val="center"/>
        </w:trPr>
        <w:tc>
          <w:tcPr>
            <w:tcW w:w="3000" w:type="dxa"/>
          </w:tcPr>
          <w:p w14:paraId="0BAF6740" w14:textId="77777777" w:rsidR="00054BF0" w:rsidRDefault="00000000">
            <w:pPr>
              <w:spacing w:line="220" w:lineRule="atLeast"/>
            </w:pPr>
            <w:r>
              <w:rPr>
                <w:rFonts w:ascii="Arial" w:eastAsia="Arial" w:hAnsi="Arial" w:cs="Arial"/>
                <w:color w:val="000000"/>
                <w:sz w:val="18"/>
              </w:rPr>
              <w:t>News</w:t>
            </w:r>
          </w:p>
        </w:tc>
        <w:tc>
          <w:tcPr>
            <w:tcW w:w="5000" w:type="dxa"/>
          </w:tcPr>
          <w:p w14:paraId="6318AAA2"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9765618" w14:textId="77777777" w:rsidR="00054BF0" w:rsidRDefault="00054BF0"/>
    <w:p w14:paraId="2BD1BA3A" w14:textId="77777777" w:rsidR="00054BF0" w:rsidRDefault="00000000">
      <w:pPr>
        <w:spacing w:line="300" w:lineRule="atLeast"/>
        <w:ind w:left="440" w:hanging="290"/>
      </w:pPr>
      <w:r>
        <w:rPr>
          <w:rFonts w:ascii="Arial" w:eastAsia="Arial" w:hAnsi="Arial" w:cs="Arial"/>
          <w:sz w:val="20"/>
        </w:rPr>
        <w:t>12.</w:t>
      </w:r>
      <w:hyperlink r:id="rId29" w:history="1">
        <w:r>
          <w:rPr>
            <w:rFonts w:ascii="Arial" w:eastAsia="Arial" w:hAnsi="Arial" w:cs="Arial"/>
            <w:color w:val="000000"/>
            <w:sz w:val="20"/>
            <w:u w:val="single"/>
            <w:shd w:val="clear" w:color="auto" w:fill="FFFFFF"/>
          </w:rPr>
          <w:t xml:space="preserve"> </w:t>
        </w:r>
      </w:hyperlink>
      <w:hyperlink r:id="rId30" w:history="1">
        <w:r>
          <w:rPr>
            <w:rFonts w:ascii="Arial" w:eastAsia="Arial" w:hAnsi="Arial" w:cs="Arial"/>
            <w:i/>
            <w:color w:val="0077CC"/>
            <w:sz w:val="20"/>
            <w:u w:val="single"/>
            <w:shd w:val="clear" w:color="auto" w:fill="FFFFFF"/>
          </w:rPr>
          <w:t>Escape from the lab! 6 promising biotech startup companies profiled at ASU symposium</w:t>
        </w:r>
      </w:hyperlink>
    </w:p>
    <w:p w14:paraId="27E1FEF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3FE1C0C"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86D08C"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CFB830B" w14:textId="77777777" w:rsidR="00054BF0" w:rsidRDefault="00000000">
      <w:pPr>
        <w:spacing w:before="80" w:line="240" w:lineRule="atLeast"/>
        <w:ind w:left="290"/>
      </w:pPr>
      <w:r>
        <w:rPr>
          <w:rFonts w:ascii="Arial" w:eastAsia="Arial" w:hAnsi="Arial" w:cs="Arial"/>
          <w:b/>
          <w:color w:val="000000"/>
          <w:sz w:val="20"/>
        </w:rPr>
        <w:t xml:space="preserve">Narrowed by: </w:t>
      </w:r>
    </w:p>
    <w:p w14:paraId="37DF2453"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636A4247" w14:textId="77777777">
        <w:trPr>
          <w:jc w:val="center"/>
        </w:trPr>
        <w:tc>
          <w:tcPr>
            <w:tcW w:w="3000" w:type="dxa"/>
          </w:tcPr>
          <w:p w14:paraId="06814A24" w14:textId="77777777" w:rsidR="00054BF0" w:rsidRDefault="00000000">
            <w:pPr>
              <w:spacing w:line="220" w:lineRule="atLeast"/>
            </w:pPr>
            <w:r>
              <w:rPr>
                <w:rFonts w:ascii="Arial" w:eastAsia="Arial" w:hAnsi="Arial" w:cs="Arial"/>
                <w:b/>
                <w:color w:val="000000"/>
                <w:sz w:val="18"/>
              </w:rPr>
              <w:t>Content Type</w:t>
            </w:r>
          </w:p>
        </w:tc>
        <w:tc>
          <w:tcPr>
            <w:tcW w:w="5000" w:type="dxa"/>
          </w:tcPr>
          <w:p w14:paraId="2905ED38" w14:textId="77777777" w:rsidR="00054BF0" w:rsidRDefault="00000000">
            <w:pPr>
              <w:spacing w:line="220" w:lineRule="atLeast"/>
            </w:pPr>
            <w:r>
              <w:rPr>
                <w:rFonts w:ascii="Arial" w:eastAsia="Arial" w:hAnsi="Arial" w:cs="Arial"/>
                <w:b/>
                <w:color w:val="000000"/>
                <w:sz w:val="18"/>
              </w:rPr>
              <w:t>Narrowed by</w:t>
            </w:r>
          </w:p>
        </w:tc>
      </w:tr>
      <w:tr w:rsidR="00054BF0" w14:paraId="52EF3F18" w14:textId="77777777">
        <w:trPr>
          <w:jc w:val="center"/>
        </w:trPr>
        <w:tc>
          <w:tcPr>
            <w:tcW w:w="3000" w:type="dxa"/>
          </w:tcPr>
          <w:p w14:paraId="7E7D7BD3" w14:textId="77777777" w:rsidR="00054BF0" w:rsidRDefault="00000000">
            <w:pPr>
              <w:spacing w:line="220" w:lineRule="atLeast"/>
            </w:pPr>
            <w:r>
              <w:rPr>
                <w:rFonts w:ascii="Arial" w:eastAsia="Arial" w:hAnsi="Arial" w:cs="Arial"/>
                <w:color w:val="000000"/>
                <w:sz w:val="18"/>
              </w:rPr>
              <w:t>News</w:t>
            </w:r>
          </w:p>
        </w:tc>
        <w:tc>
          <w:tcPr>
            <w:tcW w:w="5000" w:type="dxa"/>
          </w:tcPr>
          <w:p w14:paraId="2F044C48"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546CDC" w14:textId="77777777" w:rsidR="00054BF0" w:rsidRDefault="00054BF0"/>
    <w:p w14:paraId="24E11867" w14:textId="77777777" w:rsidR="00054BF0" w:rsidRDefault="00000000">
      <w:pPr>
        <w:spacing w:line="300" w:lineRule="atLeast"/>
        <w:ind w:left="440" w:hanging="290"/>
      </w:pPr>
      <w:r>
        <w:rPr>
          <w:rFonts w:ascii="Arial" w:eastAsia="Arial" w:hAnsi="Arial" w:cs="Arial"/>
          <w:sz w:val="20"/>
        </w:rPr>
        <w:t>13.</w:t>
      </w:r>
      <w:hyperlink r:id="rId31" w:history="1">
        <w:r>
          <w:rPr>
            <w:rFonts w:ascii="Arial" w:eastAsia="Arial" w:hAnsi="Arial" w:cs="Arial"/>
            <w:color w:val="000000"/>
            <w:sz w:val="20"/>
            <w:u w:val="single"/>
            <w:shd w:val="clear" w:color="auto" w:fill="FFFFFF"/>
          </w:rPr>
          <w:t xml:space="preserve"> </w:t>
        </w:r>
      </w:hyperlink>
      <w:hyperlink r:id="rId32" w:history="1">
        <w:r>
          <w:rPr>
            <w:rFonts w:ascii="Arial" w:eastAsia="Arial" w:hAnsi="Arial" w:cs="Arial"/>
            <w:i/>
            <w:color w:val="0077CC"/>
            <w:sz w:val="20"/>
            <w:u w:val="single"/>
            <w:shd w:val="clear" w:color="auto" w:fill="FFFFFF"/>
          </w:rPr>
          <w:t>Escape from the lab! 6 promising biotech startup companies profiled at ASU symposium</w:t>
        </w:r>
      </w:hyperlink>
    </w:p>
    <w:p w14:paraId="6A71F125"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03D0E74"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1605534"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B1764B" w14:textId="77777777" w:rsidR="00054BF0" w:rsidRDefault="00000000">
      <w:pPr>
        <w:spacing w:before="80" w:line="240" w:lineRule="atLeast"/>
        <w:ind w:left="290"/>
      </w:pPr>
      <w:r>
        <w:rPr>
          <w:rFonts w:ascii="Arial" w:eastAsia="Arial" w:hAnsi="Arial" w:cs="Arial"/>
          <w:b/>
          <w:color w:val="000000"/>
          <w:sz w:val="20"/>
        </w:rPr>
        <w:t xml:space="preserve">Narrowed by: </w:t>
      </w:r>
    </w:p>
    <w:p w14:paraId="4E14033F"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6C836B80" w14:textId="77777777">
        <w:trPr>
          <w:jc w:val="center"/>
        </w:trPr>
        <w:tc>
          <w:tcPr>
            <w:tcW w:w="3000" w:type="dxa"/>
          </w:tcPr>
          <w:p w14:paraId="70CD6638" w14:textId="77777777" w:rsidR="00054BF0" w:rsidRDefault="00000000">
            <w:pPr>
              <w:spacing w:line="220" w:lineRule="atLeast"/>
            </w:pPr>
            <w:r>
              <w:rPr>
                <w:rFonts w:ascii="Arial" w:eastAsia="Arial" w:hAnsi="Arial" w:cs="Arial"/>
                <w:b/>
                <w:color w:val="000000"/>
                <w:sz w:val="18"/>
              </w:rPr>
              <w:t>Content Type</w:t>
            </w:r>
          </w:p>
        </w:tc>
        <w:tc>
          <w:tcPr>
            <w:tcW w:w="5000" w:type="dxa"/>
          </w:tcPr>
          <w:p w14:paraId="12D7667C" w14:textId="77777777" w:rsidR="00054BF0" w:rsidRDefault="00000000">
            <w:pPr>
              <w:spacing w:line="220" w:lineRule="atLeast"/>
            </w:pPr>
            <w:r>
              <w:rPr>
                <w:rFonts w:ascii="Arial" w:eastAsia="Arial" w:hAnsi="Arial" w:cs="Arial"/>
                <w:b/>
                <w:color w:val="000000"/>
                <w:sz w:val="18"/>
              </w:rPr>
              <w:t>Narrowed by</w:t>
            </w:r>
          </w:p>
        </w:tc>
      </w:tr>
      <w:tr w:rsidR="00054BF0" w14:paraId="444614BC" w14:textId="77777777">
        <w:trPr>
          <w:jc w:val="center"/>
        </w:trPr>
        <w:tc>
          <w:tcPr>
            <w:tcW w:w="3000" w:type="dxa"/>
          </w:tcPr>
          <w:p w14:paraId="08C00025" w14:textId="77777777" w:rsidR="00054BF0" w:rsidRDefault="00000000">
            <w:pPr>
              <w:spacing w:line="220" w:lineRule="atLeast"/>
            </w:pPr>
            <w:r>
              <w:rPr>
                <w:rFonts w:ascii="Arial" w:eastAsia="Arial" w:hAnsi="Arial" w:cs="Arial"/>
                <w:color w:val="000000"/>
                <w:sz w:val="18"/>
              </w:rPr>
              <w:t>News</w:t>
            </w:r>
          </w:p>
        </w:tc>
        <w:tc>
          <w:tcPr>
            <w:tcW w:w="5000" w:type="dxa"/>
          </w:tcPr>
          <w:p w14:paraId="48D23B9F"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F963F32" w14:textId="77777777" w:rsidR="00054BF0" w:rsidRDefault="00054BF0"/>
    <w:p w14:paraId="52034544" w14:textId="77777777" w:rsidR="00054BF0" w:rsidRDefault="00000000">
      <w:pPr>
        <w:spacing w:line="300" w:lineRule="atLeast"/>
        <w:ind w:left="440" w:hanging="290"/>
      </w:pPr>
      <w:r>
        <w:rPr>
          <w:rFonts w:ascii="Arial" w:eastAsia="Arial" w:hAnsi="Arial" w:cs="Arial"/>
          <w:sz w:val="20"/>
        </w:rPr>
        <w:t>14.</w:t>
      </w:r>
      <w:hyperlink r:id="rId33" w:history="1">
        <w:r>
          <w:rPr>
            <w:rFonts w:ascii="Arial" w:eastAsia="Arial" w:hAnsi="Arial" w:cs="Arial"/>
            <w:color w:val="000000"/>
            <w:sz w:val="20"/>
            <w:u w:val="single"/>
            <w:shd w:val="clear" w:color="auto" w:fill="FFFFFF"/>
          </w:rPr>
          <w:t xml:space="preserve"> </w:t>
        </w:r>
      </w:hyperlink>
      <w:hyperlink r:id="rId34" w:history="1">
        <w:r>
          <w:rPr>
            <w:rFonts w:ascii="Arial" w:eastAsia="Arial" w:hAnsi="Arial" w:cs="Arial"/>
            <w:i/>
            <w:color w:val="0077CC"/>
            <w:sz w:val="20"/>
            <w:u w:val="single"/>
            <w:shd w:val="clear" w:color="auto" w:fill="FFFFFF"/>
          </w:rPr>
          <w:t>Startups give you opportunities that can be turned into gold, says Airbnb country manager</w:t>
        </w:r>
      </w:hyperlink>
    </w:p>
    <w:p w14:paraId="6285355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B5B48AE"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8001666"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682311" w14:textId="77777777" w:rsidR="00054BF0" w:rsidRDefault="00000000">
      <w:pPr>
        <w:spacing w:before="80" w:line="240" w:lineRule="atLeast"/>
        <w:ind w:left="290"/>
      </w:pPr>
      <w:r>
        <w:rPr>
          <w:rFonts w:ascii="Arial" w:eastAsia="Arial" w:hAnsi="Arial" w:cs="Arial"/>
          <w:b/>
          <w:color w:val="000000"/>
          <w:sz w:val="20"/>
        </w:rPr>
        <w:t xml:space="preserve">Narrowed by: </w:t>
      </w:r>
    </w:p>
    <w:p w14:paraId="44161F1D"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67EBB25B" w14:textId="77777777">
        <w:trPr>
          <w:jc w:val="center"/>
        </w:trPr>
        <w:tc>
          <w:tcPr>
            <w:tcW w:w="3000" w:type="dxa"/>
          </w:tcPr>
          <w:p w14:paraId="1FB47082" w14:textId="77777777" w:rsidR="00054BF0" w:rsidRDefault="00000000">
            <w:pPr>
              <w:spacing w:line="220" w:lineRule="atLeast"/>
            </w:pPr>
            <w:r>
              <w:rPr>
                <w:rFonts w:ascii="Arial" w:eastAsia="Arial" w:hAnsi="Arial" w:cs="Arial"/>
                <w:b/>
                <w:color w:val="000000"/>
                <w:sz w:val="18"/>
              </w:rPr>
              <w:t>Content Type</w:t>
            </w:r>
          </w:p>
        </w:tc>
        <w:tc>
          <w:tcPr>
            <w:tcW w:w="5000" w:type="dxa"/>
          </w:tcPr>
          <w:p w14:paraId="684CDDF3" w14:textId="77777777" w:rsidR="00054BF0" w:rsidRDefault="00000000">
            <w:pPr>
              <w:spacing w:line="220" w:lineRule="atLeast"/>
            </w:pPr>
            <w:r>
              <w:rPr>
                <w:rFonts w:ascii="Arial" w:eastAsia="Arial" w:hAnsi="Arial" w:cs="Arial"/>
                <w:b/>
                <w:color w:val="000000"/>
                <w:sz w:val="18"/>
              </w:rPr>
              <w:t>Narrowed by</w:t>
            </w:r>
          </w:p>
        </w:tc>
      </w:tr>
      <w:tr w:rsidR="00054BF0" w14:paraId="02E821F7" w14:textId="77777777">
        <w:trPr>
          <w:jc w:val="center"/>
        </w:trPr>
        <w:tc>
          <w:tcPr>
            <w:tcW w:w="3000" w:type="dxa"/>
          </w:tcPr>
          <w:p w14:paraId="5826294B" w14:textId="77777777" w:rsidR="00054BF0" w:rsidRDefault="00000000">
            <w:pPr>
              <w:spacing w:line="220" w:lineRule="atLeast"/>
            </w:pPr>
            <w:r>
              <w:rPr>
                <w:rFonts w:ascii="Arial" w:eastAsia="Arial" w:hAnsi="Arial" w:cs="Arial"/>
                <w:color w:val="000000"/>
                <w:sz w:val="18"/>
              </w:rPr>
              <w:lastRenderedPageBreak/>
              <w:t>News</w:t>
            </w:r>
          </w:p>
        </w:tc>
        <w:tc>
          <w:tcPr>
            <w:tcW w:w="5000" w:type="dxa"/>
          </w:tcPr>
          <w:p w14:paraId="4B0B1316"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6BB495" w14:textId="77777777" w:rsidR="00054BF0" w:rsidRDefault="00054BF0"/>
    <w:p w14:paraId="24FB8649" w14:textId="77777777" w:rsidR="00054BF0" w:rsidRDefault="00000000">
      <w:pPr>
        <w:spacing w:line="300" w:lineRule="atLeast"/>
        <w:ind w:left="440" w:hanging="290"/>
      </w:pPr>
      <w:r>
        <w:rPr>
          <w:rFonts w:ascii="Arial" w:eastAsia="Arial" w:hAnsi="Arial" w:cs="Arial"/>
          <w:sz w:val="20"/>
        </w:rPr>
        <w:t>15.</w:t>
      </w:r>
      <w:hyperlink r:id="rId35" w:history="1">
        <w:r>
          <w:rPr>
            <w:rFonts w:ascii="Arial" w:eastAsia="Arial" w:hAnsi="Arial" w:cs="Arial"/>
            <w:color w:val="000000"/>
            <w:sz w:val="20"/>
            <w:u w:val="single"/>
            <w:shd w:val="clear" w:color="auto" w:fill="FFFFFF"/>
          </w:rPr>
          <w:t xml:space="preserve"> </w:t>
        </w:r>
      </w:hyperlink>
      <w:hyperlink r:id="rId36" w:history="1">
        <w:r>
          <w:rPr>
            <w:rFonts w:ascii="Arial" w:eastAsia="Arial" w:hAnsi="Arial" w:cs="Arial"/>
            <w:i/>
            <w:color w:val="0077CC"/>
            <w:sz w:val="20"/>
            <w:u w:val="single"/>
            <w:shd w:val="clear" w:color="auto" w:fill="FFFFFF"/>
          </w:rPr>
          <w:t>Businesses should build for a need, not for a want - panel on Innovation and Impact at Scale</w:t>
        </w:r>
      </w:hyperlink>
    </w:p>
    <w:p w14:paraId="605B53F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AB031F3"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478F23F"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F232DA" w14:textId="77777777" w:rsidR="00054BF0" w:rsidRDefault="00000000">
      <w:pPr>
        <w:spacing w:before="80" w:line="240" w:lineRule="atLeast"/>
        <w:ind w:left="290"/>
      </w:pPr>
      <w:r>
        <w:rPr>
          <w:rFonts w:ascii="Arial" w:eastAsia="Arial" w:hAnsi="Arial" w:cs="Arial"/>
          <w:b/>
          <w:color w:val="000000"/>
          <w:sz w:val="20"/>
        </w:rPr>
        <w:t xml:space="preserve">Narrowed by: </w:t>
      </w:r>
    </w:p>
    <w:p w14:paraId="5C95B879"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54199237" w14:textId="77777777">
        <w:trPr>
          <w:jc w:val="center"/>
        </w:trPr>
        <w:tc>
          <w:tcPr>
            <w:tcW w:w="3000" w:type="dxa"/>
          </w:tcPr>
          <w:p w14:paraId="76D2EDB8" w14:textId="77777777" w:rsidR="00054BF0" w:rsidRDefault="00000000">
            <w:pPr>
              <w:spacing w:line="220" w:lineRule="atLeast"/>
            </w:pPr>
            <w:r>
              <w:rPr>
                <w:rFonts w:ascii="Arial" w:eastAsia="Arial" w:hAnsi="Arial" w:cs="Arial"/>
                <w:b/>
                <w:color w:val="000000"/>
                <w:sz w:val="18"/>
              </w:rPr>
              <w:t>Content Type</w:t>
            </w:r>
          </w:p>
        </w:tc>
        <w:tc>
          <w:tcPr>
            <w:tcW w:w="5000" w:type="dxa"/>
          </w:tcPr>
          <w:p w14:paraId="14F69E0A" w14:textId="77777777" w:rsidR="00054BF0" w:rsidRDefault="00000000">
            <w:pPr>
              <w:spacing w:line="220" w:lineRule="atLeast"/>
            </w:pPr>
            <w:r>
              <w:rPr>
                <w:rFonts w:ascii="Arial" w:eastAsia="Arial" w:hAnsi="Arial" w:cs="Arial"/>
                <w:b/>
                <w:color w:val="000000"/>
                <w:sz w:val="18"/>
              </w:rPr>
              <w:t>Narrowed by</w:t>
            </w:r>
          </w:p>
        </w:tc>
      </w:tr>
      <w:tr w:rsidR="00054BF0" w14:paraId="4CF24691" w14:textId="77777777">
        <w:trPr>
          <w:jc w:val="center"/>
        </w:trPr>
        <w:tc>
          <w:tcPr>
            <w:tcW w:w="3000" w:type="dxa"/>
          </w:tcPr>
          <w:p w14:paraId="740B24BD" w14:textId="77777777" w:rsidR="00054BF0" w:rsidRDefault="00000000">
            <w:pPr>
              <w:spacing w:line="220" w:lineRule="atLeast"/>
            </w:pPr>
            <w:r>
              <w:rPr>
                <w:rFonts w:ascii="Arial" w:eastAsia="Arial" w:hAnsi="Arial" w:cs="Arial"/>
                <w:color w:val="000000"/>
                <w:sz w:val="18"/>
              </w:rPr>
              <w:t>News</w:t>
            </w:r>
          </w:p>
        </w:tc>
        <w:tc>
          <w:tcPr>
            <w:tcW w:w="5000" w:type="dxa"/>
          </w:tcPr>
          <w:p w14:paraId="6A8D61EA"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8A0C7C" w14:textId="77777777" w:rsidR="00054BF0" w:rsidRDefault="00054BF0"/>
    <w:p w14:paraId="1C0DA26D" w14:textId="77777777" w:rsidR="00054BF0" w:rsidRDefault="00000000">
      <w:pPr>
        <w:spacing w:line="300" w:lineRule="atLeast"/>
        <w:ind w:left="440" w:hanging="290"/>
      </w:pPr>
      <w:r>
        <w:rPr>
          <w:rFonts w:ascii="Arial" w:eastAsia="Arial" w:hAnsi="Arial" w:cs="Arial"/>
          <w:sz w:val="20"/>
        </w:rPr>
        <w:t>16.</w:t>
      </w:r>
      <w:hyperlink r:id="rId37" w:history="1">
        <w:r>
          <w:rPr>
            <w:rFonts w:ascii="Arial" w:eastAsia="Arial" w:hAnsi="Arial" w:cs="Arial"/>
            <w:color w:val="000000"/>
            <w:sz w:val="20"/>
            <w:u w:val="single"/>
            <w:shd w:val="clear" w:color="auto" w:fill="FFFFFF"/>
          </w:rPr>
          <w:t xml:space="preserve"> </w:t>
        </w:r>
      </w:hyperlink>
      <w:hyperlink r:id="rId38" w:history="1">
        <w:r>
          <w:rPr>
            <w:rFonts w:ascii="Arial" w:eastAsia="Arial" w:hAnsi="Arial" w:cs="Arial"/>
            <w:i/>
            <w:color w:val="0077CC"/>
            <w:sz w:val="20"/>
            <w:u w:val="single"/>
            <w:shd w:val="clear" w:color="auto" w:fill="FFFFFF"/>
          </w:rPr>
          <w:t>Success rate of Indian startups higher than rest of the world: Piyush Goyal</w:t>
        </w:r>
      </w:hyperlink>
    </w:p>
    <w:p w14:paraId="521CFDF9"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481326"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1135C8B"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ED1FBC4" w14:textId="77777777" w:rsidR="00054BF0" w:rsidRDefault="00000000">
      <w:pPr>
        <w:spacing w:before="80" w:line="240" w:lineRule="atLeast"/>
        <w:ind w:left="290"/>
      </w:pPr>
      <w:r>
        <w:rPr>
          <w:rFonts w:ascii="Arial" w:eastAsia="Arial" w:hAnsi="Arial" w:cs="Arial"/>
          <w:b/>
          <w:color w:val="000000"/>
          <w:sz w:val="20"/>
        </w:rPr>
        <w:t xml:space="preserve">Narrowed by: </w:t>
      </w:r>
    </w:p>
    <w:p w14:paraId="48B45BAE"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57DD2A5B" w14:textId="77777777">
        <w:trPr>
          <w:jc w:val="center"/>
        </w:trPr>
        <w:tc>
          <w:tcPr>
            <w:tcW w:w="3000" w:type="dxa"/>
          </w:tcPr>
          <w:p w14:paraId="4A2DF502" w14:textId="77777777" w:rsidR="00054BF0" w:rsidRDefault="00000000">
            <w:pPr>
              <w:spacing w:line="220" w:lineRule="atLeast"/>
            </w:pPr>
            <w:r>
              <w:rPr>
                <w:rFonts w:ascii="Arial" w:eastAsia="Arial" w:hAnsi="Arial" w:cs="Arial"/>
                <w:b/>
                <w:color w:val="000000"/>
                <w:sz w:val="18"/>
              </w:rPr>
              <w:t>Content Type</w:t>
            </w:r>
          </w:p>
        </w:tc>
        <w:tc>
          <w:tcPr>
            <w:tcW w:w="5000" w:type="dxa"/>
          </w:tcPr>
          <w:p w14:paraId="601D1C8D" w14:textId="77777777" w:rsidR="00054BF0" w:rsidRDefault="00000000">
            <w:pPr>
              <w:spacing w:line="220" w:lineRule="atLeast"/>
            </w:pPr>
            <w:r>
              <w:rPr>
                <w:rFonts w:ascii="Arial" w:eastAsia="Arial" w:hAnsi="Arial" w:cs="Arial"/>
                <w:b/>
                <w:color w:val="000000"/>
                <w:sz w:val="18"/>
              </w:rPr>
              <w:t>Narrowed by</w:t>
            </w:r>
          </w:p>
        </w:tc>
      </w:tr>
      <w:tr w:rsidR="00054BF0" w14:paraId="575147D5" w14:textId="77777777">
        <w:trPr>
          <w:jc w:val="center"/>
        </w:trPr>
        <w:tc>
          <w:tcPr>
            <w:tcW w:w="3000" w:type="dxa"/>
          </w:tcPr>
          <w:p w14:paraId="5AAEDCCB" w14:textId="77777777" w:rsidR="00054BF0" w:rsidRDefault="00000000">
            <w:pPr>
              <w:spacing w:line="220" w:lineRule="atLeast"/>
            </w:pPr>
            <w:r>
              <w:rPr>
                <w:rFonts w:ascii="Arial" w:eastAsia="Arial" w:hAnsi="Arial" w:cs="Arial"/>
                <w:color w:val="000000"/>
                <w:sz w:val="18"/>
              </w:rPr>
              <w:t>News</w:t>
            </w:r>
          </w:p>
        </w:tc>
        <w:tc>
          <w:tcPr>
            <w:tcW w:w="5000" w:type="dxa"/>
          </w:tcPr>
          <w:p w14:paraId="01593BA1"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3DA6FF" w14:textId="77777777" w:rsidR="00054BF0" w:rsidRDefault="00054BF0"/>
    <w:p w14:paraId="2C3C6A2B" w14:textId="77777777" w:rsidR="00054BF0" w:rsidRDefault="00000000">
      <w:pPr>
        <w:spacing w:line="300" w:lineRule="atLeast"/>
        <w:ind w:left="440" w:hanging="290"/>
      </w:pPr>
      <w:r>
        <w:rPr>
          <w:rFonts w:ascii="Arial" w:eastAsia="Arial" w:hAnsi="Arial" w:cs="Arial"/>
          <w:sz w:val="20"/>
        </w:rPr>
        <w:t>17.</w:t>
      </w:r>
      <w:hyperlink r:id="rId39" w:history="1">
        <w:r>
          <w:rPr>
            <w:rFonts w:ascii="Arial" w:eastAsia="Arial" w:hAnsi="Arial" w:cs="Arial"/>
            <w:color w:val="000000"/>
            <w:sz w:val="20"/>
            <w:u w:val="single"/>
            <w:shd w:val="clear" w:color="auto" w:fill="FFFFFF"/>
          </w:rPr>
          <w:t xml:space="preserve"> </w:t>
        </w:r>
      </w:hyperlink>
      <w:hyperlink r:id="rId40" w:history="1">
        <w:r>
          <w:rPr>
            <w:rFonts w:ascii="Arial" w:eastAsia="Arial" w:hAnsi="Arial" w:cs="Arial"/>
            <w:i/>
            <w:color w:val="0077CC"/>
            <w:sz w:val="20"/>
            <w:u w:val="single"/>
            <w:shd w:val="clear" w:color="auto" w:fill="FFFFFF"/>
          </w:rPr>
          <w:t>Budget 2019: 7 most critical areas where startups want government to focus on Budget 2019: India despite being the third largest startup ecosystem in the world, does not have a single world-class Indian product spawned out of India .</w:t>
        </w:r>
      </w:hyperlink>
    </w:p>
    <w:p w14:paraId="24C1ABD2"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E9539B"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639439D"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E3C3DE" w14:textId="77777777" w:rsidR="00054BF0" w:rsidRDefault="00000000">
      <w:pPr>
        <w:spacing w:before="80" w:line="240" w:lineRule="atLeast"/>
        <w:ind w:left="290"/>
      </w:pPr>
      <w:r>
        <w:rPr>
          <w:rFonts w:ascii="Arial" w:eastAsia="Arial" w:hAnsi="Arial" w:cs="Arial"/>
          <w:b/>
          <w:color w:val="000000"/>
          <w:sz w:val="20"/>
        </w:rPr>
        <w:t xml:space="preserve">Narrowed by: </w:t>
      </w:r>
    </w:p>
    <w:p w14:paraId="75DDC96D"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A11378F" w14:textId="77777777">
        <w:trPr>
          <w:jc w:val="center"/>
        </w:trPr>
        <w:tc>
          <w:tcPr>
            <w:tcW w:w="3000" w:type="dxa"/>
          </w:tcPr>
          <w:p w14:paraId="58855A20" w14:textId="77777777" w:rsidR="00054BF0" w:rsidRDefault="00000000">
            <w:pPr>
              <w:spacing w:line="220" w:lineRule="atLeast"/>
            </w:pPr>
            <w:r>
              <w:rPr>
                <w:rFonts w:ascii="Arial" w:eastAsia="Arial" w:hAnsi="Arial" w:cs="Arial"/>
                <w:b/>
                <w:color w:val="000000"/>
                <w:sz w:val="18"/>
              </w:rPr>
              <w:t>Content Type</w:t>
            </w:r>
          </w:p>
        </w:tc>
        <w:tc>
          <w:tcPr>
            <w:tcW w:w="5000" w:type="dxa"/>
          </w:tcPr>
          <w:p w14:paraId="0EDF5D76" w14:textId="77777777" w:rsidR="00054BF0" w:rsidRDefault="00000000">
            <w:pPr>
              <w:spacing w:line="220" w:lineRule="atLeast"/>
            </w:pPr>
            <w:r>
              <w:rPr>
                <w:rFonts w:ascii="Arial" w:eastAsia="Arial" w:hAnsi="Arial" w:cs="Arial"/>
                <w:b/>
                <w:color w:val="000000"/>
                <w:sz w:val="18"/>
              </w:rPr>
              <w:t>Narrowed by</w:t>
            </w:r>
          </w:p>
        </w:tc>
      </w:tr>
      <w:tr w:rsidR="00054BF0" w14:paraId="057EE560" w14:textId="77777777">
        <w:trPr>
          <w:jc w:val="center"/>
        </w:trPr>
        <w:tc>
          <w:tcPr>
            <w:tcW w:w="3000" w:type="dxa"/>
          </w:tcPr>
          <w:p w14:paraId="718D2B8F" w14:textId="77777777" w:rsidR="00054BF0" w:rsidRDefault="00000000">
            <w:pPr>
              <w:spacing w:line="220" w:lineRule="atLeast"/>
            </w:pPr>
            <w:r>
              <w:rPr>
                <w:rFonts w:ascii="Arial" w:eastAsia="Arial" w:hAnsi="Arial" w:cs="Arial"/>
                <w:color w:val="000000"/>
                <w:sz w:val="18"/>
              </w:rPr>
              <w:t>News</w:t>
            </w:r>
          </w:p>
        </w:tc>
        <w:tc>
          <w:tcPr>
            <w:tcW w:w="5000" w:type="dxa"/>
          </w:tcPr>
          <w:p w14:paraId="4FCCF925"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0323AAF" w14:textId="77777777" w:rsidR="00054BF0" w:rsidRDefault="00054BF0"/>
    <w:p w14:paraId="52024F39" w14:textId="77777777" w:rsidR="00054BF0" w:rsidRDefault="00000000">
      <w:pPr>
        <w:spacing w:line="300" w:lineRule="atLeast"/>
        <w:ind w:left="440" w:hanging="290"/>
      </w:pPr>
      <w:r>
        <w:rPr>
          <w:rFonts w:ascii="Arial" w:eastAsia="Arial" w:hAnsi="Arial" w:cs="Arial"/>
          <w:sz w:val="20"/>
        </w:rPr>
        <w:t>18.</w:t>
      </w:r>
      <w:hyperlink r:id="rId41" w:history="1">
        <w:r>
          <w:rPr>
            <w:rFonts w:ascii="Arial" w:eastAsia="Arial" w:hAnsi="Arial" w:cs="Arial"/>
            <w:color w:val="000000"/>
            <w:sz w:val="20"/>
            <w:u w:val="single"/>
            <w:shd w:val="clear" w:color="auto" w:fill="FFFFFF"/>
          </w:rPr>
          <w:t xml:space="preserve"> </w:t>
        </w:r>
      </w:hyperlink>
      <w:hyperlink r:id="rId42" w:history="1">
        <w:r>
          <w:rPr>
            <w:rFonts w:ascii="Arial" w:eastAsia="Arial" w:hAnsi="Arial" w:cs="Arial"/>
            <w:i/>
            <w:color w:val="0077CC"/>
            <w:sz w:val="20"/>
            <w:u w:val="single"/>
            <w:shd w:val="clear" w:color="auto" w:fill="FFFFFF"/>
          </w:rPr>
          <w:t>INDIAN STARTUPS CAUGHT OFF GUARD AS CHINESE CAPITAL DRIES UP</w:t>
        </w:r>
      </w:hyperlink>
    </w:p>
    <w:p w14:paraId="3DA61D17"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B6DDF6"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A6E01B5"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444057" w14:textId="77777777" w:rsidR="00054BF0" w:rsidRDefault="00000000">
      <w:pPr>
        <w:spacing w:before="80" w:line="240" w:lineRule="atLeast"/>
        <w:ind w:left="290"/>
      </w:pPr>
      <w:r>
        <w:rPr>
          <w:rFonts w:ascii="Arial" w:eastAsia="Arial" w:hAnsi="Arial" w:cs="Arial"/>
          <w:b/>
          <w:color w:val="000000"/>
          <w:sz w:val="20"/>
        </w:rPr>
        <w:t xml:space="preserve">Narrowed by: </w:t>
      </w:r>
    </w:p>
    <w:p w14:paraId="0A651D4E"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0E5C4C34" w14:textId="77777777">
        <w:trPr>
          <w:jc w:val="center"/>
        </w:trPr>
        <w:tc>
          <w:tcPr>
            <w:tcW w:w="3000" w:type="dxa"/>
          </w:tcPr>
          <w:p w14:paraId="6421E8B0" w14:textId="77777777" w:rsidR="00054BF0" w:rsidRDefault="00000000">
            <w:pPr>
              <w:spacing w:line="220" w:lineRule="atLeast"/>
            </w:pPr>
            <w:r>
              <w:rPr>
                <w:rFonts w:ascii="Arial" w:eastAsia="Arial" w:hAnsi="Arial" w:cs="Arial"/>
                <w:b/>
                <w:color w:val="000000"/>
                <w:sz w:val="18"/>
              </w:rPr>
              <w:t>Content Type</w:t>
            </w:r>
          </w:p>
        </w:tc>
        <w:tc>
          <w:tcPr>
            <w:tcW w:w="5000" w:type="dxa"/>
          </w:tcPr>
          <w:p w14:paraId="03E8A05A" w14:textId="77777777" w:rsidR="00054BF0" w:rsidRDefault="00000000">
            <w:pPr>
              <w:spacing w:line="220" w:lineRule="atLeast"/>
            </w:pPr>
            <w:r>
              <w:rPr>
                <w:rFonts w:ascii="Arial" w:eastAsia="Arial" w:hAnsi="Arial" w:cs="Arial"/>
                <w:b/>
                <w:color w:val="000000"/>
                <w:sz w:val="18"/>
              </w:rPr>
              <w:t>Narrowed by</w:t>
            </w:r>
          </w:p>
        </w:tc>
      </w:tr>
      <w:tr w:rsidR="00054BF0" w14:paraId="321491B7" w14:textId="77777777">
        <w:trPr>
          <w:jc w:val="center"/>
        </w:trPr>
        <w:tc>
          <w:tcPr>
            <w:tcW w:w="3000" w:type="dxa"/>
          </w:tcPr>
          <w:p w14:paraId="05E42084" w14:textId="77777777" w:rsidR="00054BF0" w:rsidRDefault="00000000">
            <w:pPr>
              <w:spacing w:line="220" w:lineRule="atLeast"/>
            </w:pPr>
            <w:r>
              <w:rPr>
                <w:rFonts w:ascii="Arial" w:eastAsia="Arial" w:hAnsi="Arial" w:cs="Arial"/>
                <w:color w:val="000000"/>
                <w:sz w:val="18"/>
              </w:rPr>
              <w:t>News</w:t>
            </w:r>
          </w:p>
        </w:tc>
        <w:tc>
          <w:tcPr>
            <w:tcW w:w="5000" w:type="dxa"/>
          </w:tcPr>
          <w:p w14:paraId="1BC00F38"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A26E010" w14:textId="77777777" w:rsidR="00054BF0" w:rsidRDefault="00054BF0"/>
    <w:p w14:paraId="206EA3B3" w14:textId="77777777" w:rsidR="00054BF0" w:rsidRDefault="00000000">
      <w:pPr>
        <w:spacing w:line="300" w:lineRule="atLeast"/>
        <w:ind w:left="440" w:hanging="290"/>
      </w:pPr>
      <w:r>
        <w:rPr>
          <w:rFonts w:ascii="Arial" w:eastAsia="Arial" w:hAnsi="Arial" w:cs="Arial"/>
          <w:sz w:val="20"/>
        </w:rPr>
        <w:t>19.</w:t>
      </w:r>
      <w:hyperlink r:id="rId43" w:history="1">
        <w:r>
          <w:rPr>
            <w:rFonts w:ascii="Arial" w:eastAsia="Arial" w:hAnsi="Arial" w:cs="Arial"/>
            <w:color w:val="000000"/>
            <w:sz w:val="20"/>
            <w:u w:val="single"/>
            <w:shd w:val="clear" w:color="auto" w:fill="FFFFFF"/>
          </w:rPr>
          <w:t xml:space="preserve"> </w:t>
        </w:r>
      </w:hyperlink>
      <w:hyperlink r:id="rId44" w:history="1">
        <w:r>
          <w:rPr>
            <w:rFonts w:ascii="Arial" w:eastAsia="Arial" w:hAnsi="Arial" w:cs="Arial"/>
            <w:i/>
            <w:color w:val="0077CC"/>
            <w:sz w:val="20"/>
            <w:u w:val="single"/>
            <w:shd w:val="clear" w:color="auto" w:fill="FFFFFF"/>
          </w:rPr>
          <w:t>Startups wake up to a post-China world</w:t>
        </w:r>
      </w:hyperlink>
    </w:p>
    <w:p w14:paraId="4F8AD45B"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018818"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1CEBCD1" w14:textId="77777777" w:rsidR="00054BF0"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732E44F6" w14:textId="77777777" w:rsidR="00054BF0" w:rsidRDefault="00000000">
      <w:pPr>
        <w:spacing w:before="80" w:line="240" w:lineRule="atLeast"/>
        <w:ind w:left="290"/>
      </w:pPr>
      <w:r>
        <w:rPr>
          <w:rFonts w:ascii="Arial" w:eastAsia="Arial" w:hAnsi="Arial" w:cs="Arial"/>
          <w:b/>
          <w:color w:val="000000"/>
          <w:sz w:val="20"/>
        </w:rPr>
        <w:t xml:space="preserve">Narrowed by: </w:t>
      </w:r>
    </w:p>
    <w:p w14:paraId="5118838F"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34B0F3DC" w14:textId="77777777">
        <w:trPr>
          <w:jc w:val="center"/>
        </w:trPr>
        <w:tc>
          <w:tcPr>
            <w:tcW w:w="3000" w:type="dxa"/>
          </w:tcPr>
          <w:p w14:paraId="347BEEF9" w14:textId="77777777" w:rsidR="00054BF0" w:rsidRDefault="00000000">
            <w:pPr>
              <w:spacing w:line="220" w:lineRule="atLeast"/>
            </w:pPr>
            <w:r>
              <w:rPr>
                <w:rFonts w:ascii="Arial" w:eastAsia="Arial" w:hAnsi="Arial" w:cs="Arial"/>
                <w:b/>
                <w:color w:val="000000"/>
                <w:sz w:val="18"/>
              </w:rPr>
              <w:t>Content Type</w:t>
            </w:r>
          </w:p>
        </w:tc>
        <w:tc>
          <w:tcPr>
            <w:tcW w:w="5000" w:type="dxa"/>
          </w:tcPr>
          <w:p w14:paraId="118BA120" w14:textId="77777777" w:rsidR="00054BF0" w:rsidRDefault="00000000">
            <w:pPr>
              <w:spacing w:line="220" w:lineRule="atLeast"/>
            </w:pPr>
            <w:r>
              <w:rPr>
                <w:rFonts w:ascii="Arial" w:eastAsia="Arial" w:hAnsi="Arial" w:cs="Arial"/>
                <w:b/>
                <w:color w:val="000000"/>
                <w:sz w:val="18"/>
              </w:rPr>
              <w:t>Narrowed by</w:t>
            </w:r>
          </w:p>
        </w:tc>
      </w:tr>
      <w:tr w:rsidR="00054BF0" w14:paraId="393A01CE" w14:textId="77777777">
        <w:trPr>
          <w:jc w:val="center"/>
        </w:trPr>
        <w:tc>
          <w:tcPr>
            <w:tcW w:w="3000" w:type="dxa"/>
          </w:tcPr>
          <w:p w14:paraId="03881159" w14:textId="77777777" w:rsidR="00054BF0" w:rsidRDefault="00000000">
            <w:pPr>
              <w:spacing w:line="220" w:lineRule="atLeast"/>
            </w:pPr>
            <w:r>
              <w:rPr>
                <w:rFonts w:ascii="Arial" w:eastAsia="Arial" w:hAnsi="Arial" w:cs="Arial"/>
                <w:color w:val="000000"/>
                <w:sz w:val="18"/>
              </w:rPr>
              <w:t>News</w:t>
            </w:r>
          </w:p>
        </w:tc>
        <w:tc>
          <w:tcPr>
            <w:tcW w:w="5000" w:type="dxa"/>
          </w:tcPr>
          <w:p w14:paraId="160E2F51"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640B57" w14:textId="77777777" w:rsidR="00054BF0" w:rsidRDefault="00054BF0"/>
    <w:p w14:paraId="7613B15D" w14:textId="77777777" w:rsidR="00054BF0" w:rsidRDefault="00000000">
      <w:pPr>
        <w:spacing w:line="300" w:lineRule="atLeast"/>
        <w:ind w:left="440" w:hanging="290"/>
      </w:pPr>
      <w:r>
        <w:rPr>
          <w:rFonts w:ascii="Arial" w:eastAsia="Arial" w:hAnsi="Arial" w:cs="Arial"/>
          <w:sz w:val="20"/>
        </w:rPr>
        <w:t>20.</w:t>
      </w:r>
      <w:hyperlink r:id="rId45" w:history="1">
        <w:r>
          <w:rPr>
            <w:rFonts w:ascii="Arial" w:eastAsia="Arial" w:hAnsi="Arial" w:cs="Arial"/>
            <w:color w:val="000000"/>
            <w:sz w:val="20"/>
            <w:u w:val="single"/>
            <w:shd w:val="clear" w:color="auto" w:fill="FFFFFF"/>
          </w:rPr>
          <w:t xml:space="preserve"> </w:t>
        </w:r>
      </w:hyperlink>
      <w:hyperlink r:id="rId46" w:history="1">
        <w:r>
          <w:rPr>
            <w:rFonts w:ascii="Arial" w:eastAsia="Arial" w:hAnsi="Arial" w:cs="Arial"/>
            <w:i/>
            <w:color w:val="0077CC"/>
            <w:sz w:val="20"/>
            <w:u w:val="single"/>
            <w:shd w:val="clear" w:color="auto" w:fill="FFFFFF"/>
          </w:rPr>
          <w:t>Federal Register: National Emission Standards for Hazardous Air Pollutants: Plywood and Composite Wood Products Residual Risk and Technology Review Pages 49434 - 49469 [FR DOC #2020-12725]</w:t>
        </w:r>
      </w:hyperlink>
    </w:p>
    <w:p w14:paraId="6C8835CB"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0849F9D"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EC0F0B"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09FE01" w14:textId="77777777" w:rsidR="00054BF0" w:rsidRDefault="00000000">
      <w:pPr>
        <w:spacing w:before="80" w:line="240" w:lineRule="atLeast"/>
        <w:ind w:left="290"/>
      </w:pPr>
      <w:r>
        <w:rPr>
          <w:rFonts w:ascii="Arial" w:eastAsia="Arial" w:hAnsi="Arial" w:cs="Arial"/>
          <w:b/>
          <w:color w:val="000000"/>
          <w:sz w:val="20"/>
        </w:rPr>
        <w:t xml:space="preserve">Narrowed by: </w:t>
      </w:r>
    </w:p>
    <w:p w14:paraId="53621A25"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7850376" w14:textId="77777777">
        <w:trPr>
          <w:jc w:val="center"/>
        </w:trPr>
        <w:tc>
          <w:tcPr>
            <w:tcW w:w="3000" w:type="dxa"/>
          </w:tcPr>
          <w:p w14:paraId="7591D69A" w14:textId="77777777" w:rsidR="00054BF0" w:rsidRDefault="00000000">
            <w:pPr>
              <w:spacing w:line="220" w:lineRule="atLeast"/>
            </w:pPr>
            <w:r>
              <w:rPr>
                <w:rFonts w:ascii="Arial" w:eastAsia="Arial" w:hAnsi="Arial" w:cs="Arial"/>
                <w:b/>
                <w:color w:val="000000"/>
                <w:sz w:val="18"/>
              </w:rPr>
              <w:t>Content Type</w:t>
            </w:r>
          </w:p>
        </w:tc>
        <w:tc>
          <w:tcPr>
            <w:tcW w:w="5000" w:type="dxa"/>
          </w:tcPr>
          <w:p w14:paraId="76E2D7FD" w14:textId="77777777" w:rsidR="00054BF0" w:rsidRDefault="00000000">
            <w:pPr>
              <w:spacing w:line="220" w:lineRule="atLeast"/>
            </w:pPr>
            <w:r>
              <w:rPr>
                <w:rFonts w:ascii="Arial" w:eastAsia="Arial" w:hAnsi="Arial" w:cs="Arial"/>
                <w:b/>
                <w:color w:val="000000"/>
                <w:sz w:val="18"/>
              </w:rPr>
              <w:t>Narrowed by</w:t>
            </w:r>
          </w:p>
        </w:tc>
      </w:tr>
      <w:tr w:rsidR="00054BF0" w14:paraId="50666277" w14:textId="77777777">
        <w:trPr>
          <w:jc w:val="center"/>
        </w:trPr>
        <w:tc>
          <w:tcPr>
            <w:tcW w:w="3000" w:type="dxa"/>
          </w:tcPr>
          <w:p w14:paraId="44E2BE21" w14:textId="77777777" w:rsidR="00054BF0" w:rsidRDefault="00000000">
            <w:pPr>
              <w:spacing w:line="220" w:lineRule="atLeast"/>
            </w:pPr>
            <w:r>
              <w:rPr>
                <w:rFonts w:ascii="Arial" w:eastAsia="Arial" w:hAnsi="Arial" w:cs="Arial"/>
                <w:color w:val="000000"/>
                <w:sz w:val="18"/>
              </w:rPr>
              <w:t>News</w:t>
            </w:r>
          </w:p>
        </w:tc>
        <w:tc>
          <w:tcPr>
            <w:tcW w:w="5000" w:type="dxa"/>
          </w:tcPr>
          <w:p w14:paraId="49A4BFFE"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2DC5E5A" w14:textId="77777777" w:rsidR="00054BF0" w:rsidRDefault="00054BF0"/>
    <w:p w14:paraId="5B1C647B" w14:textId="77777777" w:rsidR="00054BF0" w:rsidRDefault="00000000">
      <w:pPr>
        <w:spacing w:line="300" w:lineRule="atLeast"/>
        <w:ind w:left="440" w:hanging="290"/>
      </w:pPr>
      <w:r>
        <w:rPr>
          <w:rFonts w:ascii="Arial" w:eastAsia="Arial" w:hAnsi="Arial" w:cs="Arial"/>
          <w:sz w:val="20"/>
        </w:rPr>
        <w:t>21.</w:t>
      </w:r>
      <w:hyperlink r:id="rId47" w:history="1">
        <w:r>
          <w:rPr>
            <w:rFonts w:ascii="Arial" w:eastAsia="Arial" w:hAnsi="Arial" w:cs="Arial"/>
            <w:color w:val="000000"/>
            <w:sz w:val="20"/>
            <w:u w:val="single"/>
            <w:shd w:val="clear" w:color="auto" w:fill="FFFFFF"/>
          </w:rPr>
          <w:t xml:space="preserve"> </w:t>
        </w:r>
      </w:hyperlink>
      <w:hyperlink r:id="rId48" w:history="1">
        <w:r>
          <w:rPr>
            <w:rFonts w:ascii="Arial" w:eastAsia="Arial" w:hAnsi="Arial" w:cs="Arial"/>
            <w:i/>
            <w:color w:val="0077CC"/>
            <w:sz w:val="20"/>
            <w:u w:val="single"/>
            <w:shd w:val="clear" w:color="auto" w:fill="FFFFFF"/>
          </w:rPr>
          <w:t>Economics in elections</w:t>
        </w:r>
      </w:hyperlink>
    </w:p>
    <w:p w14:paraId="6B47AEF4"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0FC98B"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0B3998F"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16E868" w14:textId="77777777" w:rsidR="00054BF0" w:rsidRDefault="00000000">
      <w:pPr>
        <w:spacing w:before="80" w:line="240" w:lineRule="atLeast"/>
        <w:ind w:left="290"/>
      </w:pPr>
      <w:r>
        <w:rPr>
          <w:rFonts w:ascii="Arial" w:eastAsia="Arial" w:hAnsi="Arial" w:cs="Arial"/>
          <w:b/>
          <w:color w:val="000000"/>
          <w:sz w:val="20"/>
        </w:rPr>
        <w:t xml:space="preserve">Narrowed by: </w:t>
      </w:r>
    </w:p>
    <w:p w14:paraId="2ADE8F03"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C763BCE" w14:textId="77777777">
        <w:trPr>
          <w:jc w:val="center"/>
        </w:trPr>
        <w:tc>
          <w:tcPr>
            <w:tcW w:w="3000" w:type="dxa"/>
          </w:tcPr>
          <w:p w14:paraId="37212687" w14:textId="77777777" w:rsidR="00054BF0" w:rsidRDefault="00000000">
            <w:pPr>
              <w:spacing w:line="220" w:lineRule="atLeast"/>
            </w:pPr>
            <w:r>
              <w:rPr>
                <w:rFonts w:ascii="Arial" w:eastAsia="Arial" w:hAnsi="Arial" w:cs="Arial"/>
                <w:b/>
                <w:color w:val="000000"/>
                <w:sz w:val="18"/>
              </w:rPr>
              <w:t>Content Type</w:t>
            </w:r>
          </w:p>
        </w:tc>
        <w:tc>
          <w:tcPr>
            <w:tcW w:w="5000" w:type="dxa"/>
          </w:tcPr>
          <w:p w14:paraId="0DCFEAFA" w14:textId="77777777" w:rsidR="00054BF0" w:rsidRDefault="00000000">
            <w:pPr>
              <w:spacing w:line="220" w:lineRule="atLeast"/>
            </w:pPr>
            <w:r>
              <w:rPr>
                <w:rFonts w:ascii="Arial" w:eastAsia="Arial" w:hAnsi="Arial" w:cs="Arial"/>
                <w:b/>
                <w:color w:val="000000"/>
                <w:sz w:val="18"/>
              </w:rPr>
              <w:t>Narrowed by</w:t>
            </w:r>
          </w:p>
        </w:tc>
      </w:tr>
      <w:tr w:rsidR="00054BF0" w14:paraId="547332ED" w14:textId="77777777">
        <w:trPr>
          <w:jc w:val="center"/>
        </w:trPr>
        <w:tc>
          <w:tcPr>
            <w:tcW w:w="3000" w:type="dxa"/>
          </w:tcPr>
          <w:p w14:paraId="5EE13682" w14:textId="77777777" w:rsidR="00054BF0" w:rsidRDefault="00000000">
            <w:pPr>
              <w:spacing w:line="220" w:lineRule="atLeast"/>
            </w:pPr>
            <w:r>
              <w:rPr>
                <w:rFonts w:ascii="Arial" w:eastAsia="Arial" w:hAnsi="Arial" w:cs="Arial"/>
                <w:color w:val="000000"/>
                <w:sz w:val="18"/>
              </w:rPr>
              <w:t>News</w:t>
            </w:r>
          </w:p>
        </w:tc>
        <w:tc>
          <w:tcPr>
            <w:tcW w:w="5000" w:type="dxa"/>
          </w:tcPr>
          <w:p w14:paraId="00F50FFE"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2759C04" w14:textId="77777777" w:rsidR="00054BF0" w:rsidRDefault="00054BF0"/>
    <w:p w14:paraId="54EF3CAA" w14:textId="77777777" w:rsidR="00054BF0" w:rsidRDefault="00000000">
      <w:pPr>
        <w:spacing w:line="300" w:lineRule="atLeast"/>
        <w:ind w:left="440" w:hanging="290"/>
      </w:pPr>
      <w:r>
        <w:rPr>
          <w:rFonts w:ascii="Arial" w:eastAsia="Arial" w:hAnsi="Arial" w:cs="Arial"/>
          <w:sz w:val="20"/>
        </w:rPr>
        <w:t>22.</w:t>
      </w:r>
      <w:hyperlink r:id="rId49" w:history="1">
        <w:r>
          <w:rPr>
            <w:rFonts w:ascii="Arial" w:eastAsia="Arial" w:hAnsi="Arial" w:cs="Arial"/>
            <w:color w:val="000000"/>
            <w:sz w:val="20"/>
            <w:u w:val="single"/>
            <w:shd w:val="clear" w:color="auto" w:fill="FFFFFF"/>
          </w:rPr>
          <w:t xml:space="preserve"> </w:t>
        </w:r>
      </w:hyperlink>
      <w:hyperlink r:id="rId50" w:history="1">
        <w:r>
          <w:rPr>
            <w:rFonts w:ascii="Arial" w:eastAsia="Arial" w:hAnsi="Arial" w:cs="Arial"/>
            <w:i/>
            <w:color w:val="0077CC"/>
            <w:sz w:val="20"/>
            <w:u w:val="single"/>
            <w:shd w:val="clear" w:color="auto" w:fill="FFFFFF"/>
          </w:rPr>
          <w:t>YourStory UNCUT: upGrad's Phalgun Kompalli on the ups and downs of building an edtech unicorn</w:t>
        </w:r>
      </w:hyperlink>
    </w:p>
    <w:p w14:paraId="78F71F3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75A2E7"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AF73FA0"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50B071" w14:textId="77777777" w:rsidR="00054BF0" w:rsidRDefault="00000000">
      <w:pPr>
        <w:spacing w:before="80" w:line="240" w:lineRule="atLeast"/>
        <w:ind w:left="290"/>
      </w:pPr>
      <w:r>
        <w:rPr>
          <w:rFonts w:ascii="Arial" w:eastAsia="Arial" w:hAnsi="Arial" w:cs="Arial"/>
          <w:b/>
          <w:color w:val="000000"/>
          <w:sz w:val="20"/>
        </w:rPr>
        <w:t xml:space="preserve">Narrowed by: </w:t>
      </w:r>
    </w:p>
    <w:p w14:paraId="348DDEA8"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78DDE40" w14:textId="77777777">
        <w:trPr>
          <w:jc w:val="center"/>
        </w:trPr>
        <w:tc>
          <w:tcPr>
            <w:tcW w:w="3000" w:type="dxa"/>
          </w:tcPr>
          <w:p w14:paraId="41A39352" w14:textId="77777777" w:rsidR="00054BF0" w:rsidRDefault="00000000">
            <w:pPr>
              <w:spacing w:line="220" w:lineRule="atLeast"/>
            </w:pPr>
            <w:r>
              <w:rPr>
                <w:rFonts w:ascii="Arial" w:eastAsia="Arial" w:hAnsi="Arial" w:cs="Arial"/>
                <w:b/>
                <w:color w:val="000000"/>
                <w:sz w:val="18"/>
              </w:rPr>
              <w:t>Content Type</w:t>
            </w:r>
          </w:p>
        </w:tc>
        <w:tc>
          <w:tcPr>
            <w:tcW w:w="5000" w:type="dxa"/>
          </w:tcPr>
          <w:p w14:paraId="3B5784C9" w14:textId="77777777" w:rsidR="00054BF0" w:rsidRDefault="00000000">
            <w:pPr>
              <w:spacing w:line="220" w:lineRule="atLeast"/>
            </w:pPr>
            <w:r>
              <w:rPr>
                <w:rFonts w:ascii="Arial" w:eastAsia="Arial" w:hAnsi="Arial" w:cs="Arial"/>
                <w:b/>
                <w:color w:val="000000"/>
                <w:sz w:val="18"/>
              </w:rPr>
              <w:t>Narrowed by</w:t>
            </w:r>
          </w:p>
        </w:tc>
      </w:tr>
      <w:tr w:rsidR="00054BF0" w14:paraId="0331A45D" w14:textId="77777777">
        <w:trPr>
          <w:jc w:val="center"/>
        </w:trPr>
        <w:tc>
          <w:tcPr>
            <w:tcW w:w="3000" w:type="dxa"/>
          </w:tcPr>
          <w:p w14:paraId="0893FED1" w14:textId="77777777" w:rsidR="00054BF0" w:rsidRDefault="00000000">
            <w:pPr>
              <w:spacing w:line="220" w:lineRule="atLeast"/>
            </w:pPr>
            <w:r>
              <w:rPr>
                <w:rFonts w:ascii="Arial" w:eastAsia="Arial" w:hAnsi="Arial" w:cs="Arial"/>
                <w:color w:val="000000"/>
                <w:sz w:val="18"/>
              </w:rPr>
              <w:t>News</w:t>
            </w:r>
          </w:p>
        </w:tc>
        <w:tc>
          <w:tcPr>
            <w:tcW w:w="5000" w:type="dxa"/>
          </w:tcPr>
          <w:p w14:paraId="30A348EE"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7B255B" w14:textId="77777777" w:rsidR="00054BF0" w:rsidRDefault="00054BF0"/>
    <w:p w14:paraId="6954D5EC" w14:textId="77777777" w:rsidR="00054BF0" w:rsidRDefault="00000000">
      <w:pPr>
        <w:spacing w:line="300" w:lineRule="atLeast"/>
        <w:ind w:left="440" w:hanging="290"/>
      </w:pPr>
      <w:r>
        <w:rPr>
          <w:rFonts w:ascii="Arial" w:eastAsia="Arial" w:hAnsi="Arial" w:cs="Arial"/>
          <w:sz w:val="20"/>
        </w:rPr>
        <w:t>23.</w:t>
      </w:r>
      <w:hyperlink r:id="rId51" w:history="1">
        <w:r>
          <w:rPr>
            <w:rFonts w:ascii="Arial" w:eastAsia="Arial" w:hAnsi="Arial" w:cs="Arial"/>
            <w:color w:val="000000"/>
            <w:sz w:val="20"/>
            <w:u w:val="single"/>
            <w:shd w:val="clear" w:color="auto" w:fill="FFFFFF"/>
          </w:rPr>
          <w:t xml:space="preserve"> </w:t>
        </w:r>
      </w:hyperlink>
      <w:hyperlink r:id="rId52" w:history="1">
        <w:r>
          <w:rPr>
            <w:rFonts w:ascii="Arial" w:eastAsia="Arial" w:hAnsi="Arial" w:cs="Arial"/>
            <w:i/>
            <w:color w:val="0077CC"/>
            <w:sz w:val="20"/>
            <w:u w:val="single"/>
            <w:shd w:val="clear" w:color="auto" w:fill="FFFFFF"/>
          </w:rPr>
          <w:t>Special Edition of "Hannity": Issues Facing America ; Biden Campaign Is Allegedly Considering Scaling Back, Elizabeth Warren And Kamala Harris Calling Michael Brown`s Shooting A Murder; Joe Biden`s Ongoing Gaffes</w:t>
        </w:r>
      </w:hyperlink>
    </w:p>
    <w:p w14:paraId="769FA29C"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52E3FBE"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504CA4"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59909A5" w14:textId="77777777" w:rsidR="00054BF0" w:rsidRDefault="00000000">
      <w:pPr>
        <w:spacing w:before="80" w:line="240" w:lineRule="atLeast"/>
        <w:ind w:left="290"/>
      </w:pPr>
      <w:r>
        <w:rPr>
          <w:rFonts w:ascii="Arial" w:eastAsia="Arial" w:hAnsi="Arial" w:cs="Arial"/>
          <w:b/>
          <w:color w:val="000000"/>
          <w:sz w:val="20"/>
        </w:rPr>
        <w:t xml:space="preserve">Narrowed by: </w:t>
      </w:r>
    </w:p>
    <w:p w14:paraId="4B13BF28"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3D19228" w14:textId="77777777">
        <w:trPr>
          <w:jc w:val="center"/>
        </w:trPr>
        <w:tc>
          <w:tcPr>
            <w:tcW w:w="3000" w:type="dxa"/>
          </w:tcPr>
          <w:p w14:paraId="4F992E8F" w14:textId="77777777" w:rsidR="00054BF0" w:rsidRDefault="00000000">
            <w:pPr>
              <w:spacing w:line="220" w:lineRule="atLeast"/>
            </w:pPr>
            <w:r>
              <w:rPr>
                <w:rFonts w:ascii="Arial" w:eastAsia="Arial" w:hAnsi="Arial" w:cs="Arial"/>
                <w:b/>
                <w:color w:val="000000"/>
                <w:sz w:val="18"/>
              </w:rPr>
              <w:t>Content Type</w:t>
            </w:r>
          </w:p>
        </w:tc>
        <w:tc>
          <w:tcPr>
            <w:tcW w:w="5000" w:type="dxa"/>
          </w:tcPr>
          <w:p w14:paraId="429BF34C" w14:textId="77777777" w:rsidR="00054BF0" w:rsidRDefault="00000000">
            <w:pPr>
              <w:spacing w:line="220" w:lineRule="atLeast"/>
            </w:pPr>
            <w:r>
              <w:rPr>
                <w:rFonts w:ascii="Arial" w:eastAsia="Arial" w:hAnsi="Arial" w:cs="Arial"/>
                <w:b/>
                <w:color w:val="000000"/>
                <w:sz w:val="18"/>
              </w:rPr>
              <w:t>Narrowed by</w:t>
            </w:r>
          </w:p>
        </w:tc>
      </w:tr>
      <w:tr w:rsidR="00054BF0" w14:paraId="3317DED3" w14:textId="77777777">
        <w:trPr>
          <w:jc w:val="center"/>
        </w:trPr>
        <w:tc>
          <w:tcPr>
            <w:tcW w:w="3000" w:type="dxa"/>
          </w:tcPr>
          <w:p w14:paraId="49E109C8" w14:textId="77777777" w:rsidR="00054BF0" w:rsidRDefault="00000000">
            <w:pPr>
              <w:spacing w:line="220" w:lineRule="atLeast"/>
            </w:pPr>
            <w:r>
              <w:rPr>
                <w:rFonts w:ascii="Arial" w:eastAsia="Arial" w:hAnsi="Arial" w:cs="Arial"/>
                <w:color w:val="000000"/>
                <w:sz w:val="18"/>
              </w:rPr>
              <w:t>News</w:t>
            </w:r>
          </w:p>
        </w:tc>
        <w:tc>
          <w:tcPr>
            <w:tcW w:w="5000" w:type="dxa"/>
          </w:tcPr>
          <w:p w14:paraId="5941243B"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5CC1401" w14:textId="77777777" w:rsidR="00054BF0" w:rsidRDefault="00054BF0"/>
    <w:p w14:paraId="71282B8C" w14:textId="77777777" w:rsidR="00054BF0" w:rsidRDefault="00000000">
      <w:pPr>
        <w:spacing w:line="300" w:lineRule="atLeast"/>
        <w:ind w:left="440" w:hanging="290"/>
      </w:pPr>
      <w:r>
        <w:rPr>
          <w:rFonts w:ascii="Arial" w:eastAsia="Arial" w:hAnsi="Arial" w:cs="Arial"/>
          <w:sz w:val="20"/>
        </w:rPr>
        <w:t>24.</w:t>
      </w:r>
      <w:hyperlink r:id="rId53" w:history="1">
        <w:r>
          <w:rPr>
            <w:rFonts w:ascii="Arial" w:eastAsia="Arial" w:hAnsi="Arial" w:cs="Arial"/>
            <w:color w:val="000000"/>
            <w:sz w:val="20"/>
            <w:u w:val="single"/>
            <w:shd w:val="clear" w:color="auto" w:fill="FFFFFF"/>
          </w:rPr>
          <w:t xml:space="preserve"> </w:t>
        </w:r>
      </w:hyperlink>
      <w:hyperlink r:id="rId54" w:history="1">
        <w:r>
          <w:rPr>
            <w:rFonts w:ascii="Arial" w:eastAsia="Arial" w:hAnsi="Arial" w:cs="Arial"/>
            <w:i/>
            <w:color w:val="0077CC"/>
            <w:sz w:val="20"/>
            <w:u w:val="single"/>
            <w:shd w:val="clear" w:color="auto" w:fill="FFFFFF"/>
          </w:rPr>
          <w:t>A Gentleman Who Defied Age Boundaries- Ayush Mauryavanshi</w:t>
        </w:r>
      </w:hyperlink>
    </w:p>
    <w:p w14:paraId="2D1B9B1D"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1A67C0"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0AFDC6"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FB68AA5" w14:textId="77777777" w:rsidR="00054BF0" w:rsidRDefault="00000000">
      <w:pPr>
        <w:spacing w:before="80" w:line="240" w:lineRule="atLeast"/>
        <w:ind w:left="290"/>
      </w:pPr>
      <w:r>
        <w:rPr>
          <w:rFonts w:ascii="Arial" w:eastAsia="Arial" w:hAnsi="Arial" w:cs="Arial"/>
          <w:b/>
          <w:color w:val="000000"/>
          <w:sz w:val="20"/>
        </w:rPr>
        <w:t xml:space="preserve">Narrowed by: </w:t>
      </w:r>
    </w:p>
    <w:p w14:paraId="38F19D34"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42FB4600" w14:textId="77777777">
        <w:trPr>
          <w:jc w:val="center"/>
        </w:trPr>
        <w:tc>
          <w:tcPr>
            <w:tcW w:w="3000" w:type="dxa"/>
          </w:tcPr>
          <w:p w14:paraId="2828B5C0" w14:textId="77777777" w:rsidR="00054BF0" w:rsidRDefault="00000000">
            <w:pPr>
              <w:spacing w:line="220" w:lineRule="atLeast"/>
            </w:pPr>
            <w:r>
              <w:rPr>
                <w:rFonts w:ascii="Arial" w:eastAsia="Arial" w:hAnsi="Arial" w:cs="Arial"/>
                <w:b/>
                <w:color w:val="000000"/>
                <w:sz w:val="18"/>
              </w:rPr>
              <w:t>Content Type</w:t>
            </w:r>
          </w:p>
        </w:tc>
        <w:tc>
          <w:tcPr>
            <w:tcW w:w="5000" w:type="dxa"/>
          </w:tcPr>
          <w:p w14:paraId="3CD142C5" w14:textId="77777777" w:rsidR="00054BF0" w:rsidRDefault="00000000">
            <w:pPr>
              <w:spacing w:line="220" w:lineRule="atLeast"/>
            </w:pPr>
            <w:r>
              <w:rPr>
                <w:rFonts w:ascii="Arial" w:eastAsia="Arial" w:hAnsi="Arial" w:cs="Arial"/>
                <w:b/>
                <w:color w:val="000000"/>
                <w:sz w:val="18"/>
              </w:rPr>
              <w:t>Narrowed by</w:t>
            </w:r>
          </w:p>
        </w:tc>
      </w:tr>
      <w:tr w:rsidR="00054BF0" w14:paraId="3D72161E" w14:textId="77777777">
        <w:trPr>
          <w:jc w:val="center"/>
        </w:trPr>
        <w:tc>
          <w:tcPr>
            <w:tcW w:w="3000" w:type="dxa"/>
          </w:tcPr>
          <w:p w14:paraId="3CB93DF3" w14:textId="77777777" w:rsidR="00054BF0" w:rsidRDefault="00000000">
            <w:pPr>
              <w:spacing w:line="220" w:lineRule="atLeast"/>
            </w:pPr>
            <w:r>
              <w:rPr>
                <w:rFonts w:ascii="Arial" w:eastAsia="Arial" w:hAnsi="Arial" w:cs="Arial"/>
                <w:color w:val="000000"/>
                <w:sz w:val="18"/>
              </w:rPr>
              <w:t>News</w:t>
            </w:r>
          </w:p>
        </w:tc>
        <w:tc>
          <w:tcPr>
            <w:tcW w:w="5000" w:type="dxa"/>
          </w:tcPr>
          <w:p w14:paraId="298A65DA"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CC74008" w14:textId="77777777" w:rsidR="00054BF0" w:rsidRDefault="00054BF0"/>
    <w:p w14:paraId="62F06984" w14:textId="77777777" w:rsidR="00054BF0" w:rsidRDefault="00000000">
      <w:pPr>
        <w:spacing w:line="300" w:lineRule="atLeast"/>
        <w:ind w:left="440" w:hanging="290"/>
      </w:pPr>
      <w:r>
        <w:rPr>
          <w:rFonts w:ascii="Arial" w:eastAsia="Arial" w:hAnsi="Arial" w:cs="Arial"/>
          <w:sz w:val="20"/>
        </w:rPr>
        <w:t>25.</w:t>
      </w:r>
      <w:hyperlink r:id="rId55" w:history="1">
        <w:r>
          <w:rPr>
            <w:rFonts w:ascii="Arial" w:eastAsia="Arial" w:hAnsi="Arial" w:cs="Arial"/>
            <w:color w:val="000000"/>
            <w:sz w:val="20"/>
            <w:u w:val="single"/>
            <w:shd w:val="clear" w:color="auto" w:fill="FFFFFF"/>
          </w:rPr>
          <w:t xml:space="preserve"> </w:t>
        </w:r>
      </w:hyperlink>
      <w:hyperlink r:id="rId56" w:history="1">
        <w:r>
          <w:rPr>
            <w:rFonts w:ascii="Arial" w:eastAsia="Arial" w:hAnsi="Arial" w:cs="Arial"/>
            <w:i/>
            <w:color w:val="0077CC"/>
            <w:sz w:val="20"/>
            <w:u w:val="single"/>
            <w:shd w:val="clear" w:color="auto" w:fill="FFFFFF"/>
          </w:rPr>
          <w:t>A Gentleman Who Defied Age Boundaries- Ayush Mauryavanshi</w:t>
        </w:r>
      </w:hyperlink>
    </w:p>
    <w:p w14:paraId="3C0CDB66"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449A7DA"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8B94132"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06DD53" w14:textId="77777777" w:rsidR="00054BF0" w:rsidRDefault="00000000">
      <w:pPr>
        <w:spacing w:before="80" w:line="240" w:lineRule="atLeast"/>
        <w:ind w:left="290"/>
      </w:pPr>
      <w:r>
        <w:rPr>
          <w:rFonts w:ascii="Arial" w:eastAsia="Arial" w:hAnsi="Arial" w:cs="Arial"/>
          <w:b/>
          <w:color w:val="000000"/>
          <w:sz w:val="20"/>
        </w:rPr>
        <w:t xml:space="preserve">Narrowed by: </w:t>
      </w:r>
    </w:p>
    <w:p w14:paraId="3065A1E7"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42ABE2E9" w14:textId="77777777">
        <w:trPr>
          <w:jc w:val="center"/>
        </w:trPr>
        <w:tc>
          <w:tcPr>
            <w:tcW w:w="3000" w:type="dxa"/>
          </w:tcPr>
          <w:p w14:paraId="4600F236" w14:textId="77777777" w:rsidR="00054BF0" w:rsidRDefault="00000000">
            <w:pPr>
              <w:spacing w:line="220" w:lineRule="atLeast"/>
            </w:pPr>
            <w:r>
              <w:rPr>
                <w:rFonts w:ascii="Arial" w:eastAsia="Arial" w:hAnsi="Arial" w:cs="Arial"/>
                <w:b/>
                <w:color w:val="000000"/>
                <w:sz w:val="18"/>
              </w:rPr>
              <w:t>Content Type</w:t>
            </w:r>
          </w:p>
        </w:tc>
        <w:tc>
          <w:tcPr>
            <w:tcW w:w="5000" w:type="dxa"/>
          </w:tcPr>
          <w:p w14:paraId="2D58CC8C" w14:textId="77777777" w:rsidR="00054BF0" w:rsidRDefault="00000000">
            <w:pPr>
              <w:spacing w:line="220" w:lineRule="atLeast"/>
            </w:pPr>
            <w:r>
              <w:rPr>
                <w:rFonts w:ascii="Arial" w:eastAsia="Arial" w:hAnsi="Arial" w:cs="Arial"/>
                <w:b/>
                <w:color w:val="000000"/>
                <w:sz w:val="18"/>
              </w:rPr>
              <w:t>Narrowed by</w:t>
            </w:r>
          </w:p>
        </w:tc>
      </w:tr>
      <w:tr w:rsidR="00054BF0" w14:paraId="604421C9" w14:textId="77777777">
        <w:trPr>
          <w:jc w:val="center"/>
        </w:trPr>
        <w:tc>
          <w:tcPr>
            <w:tcW w:w="3000" w:type="dxa"/>
          </w:tcPr>
          <w:p w14:paraId="572CEC7E" w14:textId="77777777" w:rsidR="00054BF0" w:rsidRDefault="00000000">
            <w:pPr>
              <w:spacing w:line="220" w:lineRule="atLeast"/>
            </w:pPr>
            <w:r>
              <w:rPr>
                <w:rFonts w:ascii="Arial" w:eastAsia="Arial" w:hAnsi="Arial" w:cs="Arial"/>
                <w:color w:val="000000"/>
                <w:sz w:val="18"/>
              </w:rPr>
              <w:t>News</w:t>
            </w:r>
          </w:p>
        </w:tc>
        <w:tc>
          <w:tcPr>
            <w:tcW w:w="5000" w:type="dxa"/>
          </w:tcPr>
          <w:p w14:paraId="71799488"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0D109F1" w14:textId="77777777" w:rsidR="00054BF0" w:rsidRDefault="00054BF0"/>
    <w:p w14:paraId="5E7727EF" w14:textId="77777777" w:rsidR="00054BF0" w:rsidRDefault="00000000">
      <w:pPr>
        <w:spacing w:line="300" w:lineRule="atLeast"/>
        <w:ind w:left="440" w:hanging="290"/>
      </w:pPr>
      <w:r>
        <w:rPr>
          <w:rFonts w:ascii="Arial" w:eastAsia="Arial" w:hAnsi="Arial" w:cs="Arial"/>
          <w:sz w:val="20"/>
        </w:rPr>
        <w:t>26.</w:t>
      </w:r>
      <w:hyperlink r:id="rId57" w:history="1">
        <w:r>
          <w:rPr>
            <w:rFonts w:ascii="Arial" w:eastAsia="Arial" w:hAnsi="Arial" w:cs="Arial"/>
            <w:color w:val="000000"/>
            <w:sz w:val="20"/>
            <w:u w:val="single"/>
            <w:shd w:val="clear" w:color="auto" w:fill="FFFFFF"/>
          </w:rPr>
          <w:t xml:space="preserve"> </w:t>
        </w:r>
      </w:hyperlink>
      <w:hyperlink r:id="rId58" w:history="1">
        <w:r>
          <w:rPr>
            <w:rFonts w:ascii="Arial" w:eastAsia="Arial" w:hAnsi="Arial" w:cs="Arial"/>
            <w:i/>
            <w:color w:val="0077CC"/>
            <w:sz w:val="20"/>
            <w:u w:val="single"/>
            <w:shd w:val="clear" w:color="auto" w:fill="FFFFFF"/>
          </w:rPr>
          <w:t>National Emission Standards for Hazardous Air Pollutants: Plywood and Composite Wood Products Residual Risk and Technology Review</w:t>
        </w:r>
      </w:hyperlink>
    </w:p>
    <w:p w14:paraId="1C43DD4F"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28DDF3C"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7BA0233"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5F32CAD" w14:textId="77777777" w:rsidR="00054BF0" w:rsidRDefault="00000000">
      <w:pPr>
        <w:spacing w:before="80" w:line="240" w:lineRule="atLeast"/>
        <w:ind w:left="290"/>
      </w:pPr>
      <w:r>
        <w:rPr>
          <w:rFonts w:ascii="Arial" w:eastAsia="Arial" w:hAnsi="Arial" w:cs="Arial"/>
          <w:b/>
          <w:color w:val="000000"/>
          <w:sz w:val="20"/>
        </w:rPr>
        <w:t xml:space="preserve">Narrowed by: </w:t>
      </w:r>
    </w:p>
    <w:p w14:paraId="1D05D3FF"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184FE7E1" w14:textId="77777777">
        <w:trPr>
          <w:jc w:val="center"/>
        </w:trPr>
        <w:tc>
          <w:tcPr>
            <w:tcW w:w="3000" w:type="dxa"/>
          </w:tcPr>
          <w:p w14:paraId="03A2ADBD" w14:textId="77777777" w:rsidR="00054BF0" w:rsidRDefault="00000000">
            <w:pPr>
              <w:spacing w:line="220" w:lineRule="atLeast"/>
            </w:pPr>
            <w:r>
              <w:rPr>
                <w:rFonts w:ascii="Arial" w:eastAsia="Arial" w:hAnsi="Arial" w:cs="Arial"/>
                <w:b/>
                <w:color w:val="000000"/>
                <w:sz w:val="18"/>
              </w:rPr>
              <w:t>Content Type</w:t>
            </w:r>
          </w:p>
        </w:tc>
        <w:tc>
          <w:tcPr>
            <w:tcW w:w="5000" w:type="dxa"/>
          </w:tcPr>
          <w:p w14:paraId="12EFE5CF" w14:textId="77777777" w:rsidR="00054BF0" w:rsidRDefault="00000000">
            <w:pPr>
              <w:spacing w:line="220" w:lineRule="atLeast"/>
            </w:pPr>
            <w:r>
              <w:rPr>
                <w:rFonts w:ascii="Arial" w:eastAsia="Arial" w:hAnsi="Arial" w:cs="Arial"/>
                <w:b/>
                <w:color w:val="000000"/>
                <w:sz w:val="18"/>
              </w:rPr>
              <w:t>Narrowed by</w:t>
            </w:r>
          </w:p>
        </w:tc>
      </w:tr>
      <w:tr w:rsidR="00054BF0" w14:paraId="24BB6F1D" w14:textId="77777777">
        <w:trPr>
          <w:jc w:val="center"/>
        </w:trPr>
        <w:tc>
          <w:tcPr>
            <w:tcW w:w="3000" w:type="dxa"/>
          </w:tcPr>
          <w:p w14:paraId="4C7F669F" w14:textId="77777777" w:rsidR="00054BF0" w:rsidRDefault="00000000">
            <w:pPr>
              <w:spacing w:line="220" w:lineRule="atLeast"/>
            </w:pPr>
            <w:r>
              <w:rPr>
                <w:rFonts w:ascii="Arial" w:eastAsia="Arial" w:hAnsi="Arial" w:cs="Arial"/>
                <w:color w:val="000000"/>
                <w:sz w:val="18"/>
              </w:rPr>
              <w:t>News</w:t>
            </w:r>
          </w:p>
        </w:tc>
        <w:tc>
          <w:tcPr>
            <w:tcW w:w="5000" w:type="dxa"/>
          </w:tcPr>
          <w:p w14:paraId="4E90D154"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5A27F15" w14:textId="77777777" w:rsidR="00054BF0" w:rsidRDefault="00054BF0"/>
    <w:p w14:paraId="05F2106A" w14:textId="77777777" w:rsidR="00054BF0" w:rsidRDefault="00000000">
      <w:pPr>
        <w:spacing w:line="300" w:lineRule="atLeast"/>
        <w:ind w:left="440" w:hanging="290"/>
      </w:pPr>
      <w:r>
        <w:rPr>
          <w:rFonts w:ascii="Arial" w:eastAsia="Arial" w:hAnsi="Arial" w:cs="Arial"/>
          <w:sz w:val="20"/>
        </w:rPr>
        <w:t>27.</w:t>
      </w:r>
      <w:hyperlink r:id="rId59" w:history="1">
        <w:r>
          <w:rPr>
            <w:rFonts w:ascii="Arial" w:eastAsia="Arial" w:hAnsi="Arial" w:cs="Arial"/>
            <w:color w:val="000000"/>
            <w:sz w:val="20"/>
            <w:u w:val="single"/>
            <w:shd w:val="clear" w:color="auto" w:fill="FFFFFF"/>
          </w:rPr>
          <w:t xml:space="preserve"> </w:t>
        </w:r>
      </w:hyperlink>
      <w:hyperlink r:id="rId60" w:history="1">
        <w:r>
          <w:rPr>
            <w:rFonts w:ascii="Arial" w:eastAsia="Arial" w:hAnsi="Arial" w:cs="Arial"/>
            <w:i/>
            <w:color w:val="0077CC"/>
            <w:sz w:val="20"/>
            <w:u w:val="single"/>
            <w:shd w:val="clear" w:color="auto" w:fill="FFFFFF"/>
          </w:rPr>
          <w:t>Celebrating the superhero in every dad</w:t>
        </w:r>
      </w:hyperlink>
    </w:p>
    <w:p w14:paraId="326C666F"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3A28572"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CE62715"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75FABC" w14:textId="77777777" w:rsidR="00054BF0" w:rsidRDefault="00000000">
      <w:pPr>
        <w:spacing w:before="80" w:line="240" w:lineRule="atLeast"/>
        <w:ind w:left="290"/>
      </w:pPr>
      <w:r>
        <w:rPr>
          <w:rFonts w:ascii="Arial" w:eastAsia="Arial" w:hAnsi="Arial" w:cs="Arial"/>
          <w:b/>
          <w:color w:val="000000"/>
          <w:sz w:val="20"/>
        </w:rPr>
        <w:t xml:space="preserve">Narrowed by: </w:t>
      </w:r>
    </w:p>
    <w:p w14:paraId="6D2101A5"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AF4A660" w14:textId="77777777">
        <w:trPr>
          <w:jc w:val="center"/>
        </w:trPr>
        <w:tc>
          <w:tcPr>
            <w:tcW w:w="3000" w:type="dxa"/>
          </w:tcPr>
          <w:p w14:paraId="264900D1" w14:textId="77777777" w:rsidR="00054BF0" w:rsidRDefault="00000000">
            <w:pPr>
              <w:spacing w:line="220" w:lineRule="atLeast"/>
            </w:pPr>
            <w:r>
              <w:rPr>
                <w:rFonts w:ascii="Arial" w:eastAsia="Arial" w:hAnsi="Arial" w:cs="Arial"/>
                <w:b/>
                <w:color w:val="000000"/>
                <w:sz w:val="18"/>
              </w:rPr>
              <w:t>Content Type</w:t>
            </w:r>
          </w:p>
        </w:tc>
        <w:tc>
          <w:tcPr>
            <w:tcW w:w="5000" w:type="dxa"/>
          </w:tcPr>
          <w:p w14:paraId="59B11EBA" w14:textId="77777777" w:rsidR="00054BF0" w:rsidRDefault="00000000">
            <w:pPr>
              <w:spacing w:line="220" w:lineRule="atLeast"/>
            </w:pPr>
            <w:r>
              <w:rPr>
                <w:rFonts w:ascii="Arial" w:eastAsia="Arial" w:hAnsi="Arial" w:cs="Arial"/>
                <w:b/>
                <w:color w:val="000000"/>
                <w:sz w:val="18"/>
              </w:rPr>
              <w:t>Narrowed by</w:t>
            </w:r>
          </w:p>
        </w:tc>
      </w:tr>
      <w:tr w:rsidR="00054BF0" w14:paraId="5BC56361" w14:textId="77777777">
        <w:trPr>
          <w:jc w:val="center"/>
        </w:trPr>
        <w:tc>
          <w:tcPr>
            <w:tcW w:w="3000" w:type="dxa"/>
          </w:tcPr>
          <w:p w14:paraId="169FA4CB" w14:textId="77777777" w:rsidR="00054BF0" w:rsidRDefault="00000000">
            <w:pPr>
              <w:spacing w:line="220" w:lineRule="atLeast"/>
            </w:pPr>
            <w:r>
              <w:rPr>
                <w:rFonts w:ascii="Arial" w:eastAsia="Arial" w:hAnsi="Arial" w:cs="Arial"/>
                <w:color w:val="000000"/>
                <w:sz w:val="18"/>
              </w:rPr>
              <w:t>News</w:t>
            </w:r>
          </w:p>
        </w:tc>
        <w:tc>
          <w:tcPr>
            <w:tcW w:w="5000" w:type="dxa"/>
          </w:tcPr>
          <w:p w14:paraId="0581B33A"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8259A1" w14:textId="77777777" w:rsidR="00054BF0" w:rsidRDefault="00054BF0"/>
    <w:p w14:paraId="29B543B7" w14:textId="77777777" w:rsidR="00054BF0" w:rsidRDefault="00000000">
      <w:pPr>
        <w:spacing w:line="300" w:lineRule="atLeast"/>
        <w:ind w:left="440" w:hanging="290"/>
      </w:pPr>
      <w:r>
        <w:rPr>
          <w:rFonts w:ascii="Arial" w:eastAsia="Arial" w:hAnsi="Arial" w:cs="Arial"/>
          <w:sz w:val="20"/>
        </w:rPr>
        <w:t>28.</w:t>
      </w:r>
      <w:hyperlink r:id="rId61" w:history="1">
        <w:r>
          <w:rPr>
            <w:rFonts w:ascii="Arial" w:eastAsia="Arial" w:hAnsi="Arial" w:cs="Arial"/>
            <w:color w:val="000000"/>
            <w:sz w:val="20"/>
            <w:u w:val="single"/>
            <w:shd w:val="clear" w:color="auto" w:fill="FFFFFF"/>
          </w:rPr>
          <w:t xml:space="preserve"> </w:t>
        </w:r>
      </w:hyperlink>
      <w:hyperlink r:id="rId62" w:history="1">
        <w:r>
          <w:rPr>
            <w:rFonts w:ascii="Arial" w:eastAsia="Arial" w:hAnsi="Arial" w:cs="Arial"/>
            <w:i/>
            <w:color w:val="0077CC"/>
            <w:sz w:val="20"/>
            <w:u w:val="single"/>
            <w:shd w:val="clear" w:color="auto" w:fill="FFFFFF"/>
          </w:rPr>
          <w:t>You are senior in spreading lies, making money, PM Narendra Modi mocks Chandrababu Naidu</w:t>
        </w:r>
      </w:hyperlink>
    </w:p>
    <w:p w14:paraId="29F38F3C"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CABCC5"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FB8D8D0"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627829" w14:textId="77777777" w:rsidR="00054BF0" w:rsidRDefault="00000000">
      <w:pPr>
        <w:spacing w:before="80" w:line="240" w:lineRule="atLeast"/>
        <w:ind w:left="290"/>
      </w:pPr>
      <w:r>
        <w:rPr>
          <w:rFonts w:ascii="Arial" w:eastAsia="Arial" w:hAnsi="Arial" w:cs="Arial"/>
          <w:b/>
          <w:color w:val="000000"/>
          <w:sz w:val="20"/>
        </w:rPr>
        <w:t xml:space="preserve">Narrowed by: </w:t>
      </w:r>
    </w:p>
    <w:p w14:paraId="09A87325"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A963CF6" w14:textId="77777777">
        <w:trPr>
          <w:jc w:val="center"/>
        </w:trPr>
        <w:tc>
          <w:tcPr>
            <w:tcW w:w="3000" w:type="dxa"/>
          </w:tcPr>
          <w:p w14:paraId="1E561967" w14:textId="77777777" w:rsidR="00054BF0" w:rsidRDefault="00000000">
            <w:pPr>
              <w:spacing w:line="220" w:lineRule="atLeast"/>
            </w:pPr>
            <w:r>
              <w:rPr>
                <w:rFonts w:ascii="Arial" w:eastAsia="Arial" w:hAnsi="Arial" w:cs="Arial"/>
                <w:b/>
                <w:color w:val="000000"/>
                <w:sz w:val="18"/>
              </w:rPr>
              <w:t>Content Type</w:t>
            </w:r>
          </w:p>
        </w:tc>
        <w:tc>
          <w:tcPr>
            <w:tcW w:w="5000" w:type="dxa"/>
          </w:tcPr>
          <w:p w14:paraId="6819386B" w14:textId="77777777" w:rsidR="00054BF0" w:rsidRDefault="00000000">
            <w:pPr>
              <w:spacing w:line="220" w:lineRule="atLeast"/>
            </w:pPr>
            <w:r>
              <w:rPr>
                <w:rFonts w:ascii="Arial" w:eastAsia="Arial" w:hAnsi="Arial" w:cs="Arial"/>
                <w:b/>
                <w:color w:val="000000"/>
                <w:sz w:val="18"/>
              </w:rPr>
              <w:t>Narrowed by</w:t>
            </w:r>
          </w:p>
        </w:tc>
      </w:tr>
      <w:tr w:rsidR="00054BF0" w14:paraId="57EDF73D" w14:textId="77777777">
        <w:trPr>
          <w:jc w:val="center"/>
        </w:trPr>
        <w:tc>
          <w:tcPr>
            <w:tcW w:w="3000" w:type="dxa"/>
          </w:tcPr>
          <w:p w14:paraId="60AD65E8" w14:textId="77777777" w:rsidR="00054BF0" w:rsidRDefault="00000000">
            <w:pPr>
              <w:spacing w:line="220" w:lineRule="atLeast"/>
            </w:pPr>
            <w:r>
              <w:rPr>
                <w:rFonts w:ascii="Arial" w:eastAsia="Arial" w:hAnsi="Arial" w:cs="Arial"/>
                <w:color w:val="000000"/>
                <w:sz w:val="18"/>
              </w:rPr>
              <w:lastRenderedPageBreak/>
              <w:t>News</w:t>
            </w:r>
          </w:p>
        </w:tc>
        <w:tc>
          <w:tcPr>
            <w:tcW w:w="5000" w:type="dxa"/>
          </w:tcPr>
          <w:p w14:paraId="772B6C7D"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F32B480" w14:textId="77777777" w:rsidR="00054BF0" w:rsidRDefault="00054BF0"/>
    <w:p w14:paraId="37438E6F" w14:textId="77777777" w:rsidR="00054BF0" w:rsidRDefault="00000000">
      <w:pPr>
        <w:spacing w:line="300" w:lineRule="atLeast"/>
        <w:ind w:left="440" w:hanging="290"/>
      </w:pPr>
      <w:r>
        <w:rPr>
          <w:rFonts w:ascii="Arial" w:eastAsia="Arial" w:hAnsi="Arial" w:cs="Arial"/>
          <w:sz w:val="20"/>
        </w:rPr>
        <w:t>29.</w:t>
      </w:r>
      <w:hyperlink r:id="rId63" w:history="1">
        <w:r>
          <w:rPr>
            <w:rFonts w:ascii="Arial" w:eastAsia="Arial" w:hAnsi="Arial" w:cs="Arial"/>
            <w:color w:val="000000"/>
            <w:sz w:val="20"/>
            <w:u w:val="single"/>
            <w:shd w:val="clear" w:color="auto" w:fill="FFFFFF"/>
          </w:rPr>
          <w:t xml:space="preserve"> </w:t>
        </w:r>
      </w:hyperlink>
      <w:hyperlink r:id="rId64" w:history="1">
        <w:r>
          <w:rPr>
            <w:rFonts w:ascii="Arial" w:eastAsia="Arial" w:hAnsi="Arial" w:cs="Arial"/>
            <w:i/>
            <w:color w:val="0077CC"/>
            <w:sz w:val="20"/>
            <w:u w:val="single"/>
            <w:shd w:val="clear" w:color="auto" w:fill="FFFFFF"/>
          </w:rPr>
          <w:t>SAARC CCI launches free webinar series for startups in South Asia</w:t>
        </w:r>
      </w:hyperlink>
    </w:p>
    <w:p w14:paraId="35BBFC6F"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D00C70"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79DD8F"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358B9F" w14:textId="77777777" w:rsidR="00054BF0" w:rsidRDefault="00000000">
      <w:pPr>
        <w:spacing w:before="80" w:line="240" w:lineRule="atLeast"/>
        <w:ind w:left="290"/>
      </w:pPr>
      <w:r>
        <w:rPr>
          <w:rFonts w:ascii="Arial" w:eastAsia="Arial" w:hAnsi="Arial" w:cs="Arial"/>
          <w:b/>
          <w:color w:val="000000"/>
          <w:sz w:val="20"/>
        </w:rPr>
        <w:t xml:space="preserve">Narrowed by: </w:t>
      </w:r>
    </w:p>
    <w:p w14:paraId="723A0FFA"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1336BD27" w14:textId="77777777">
        <w:trPr>
          <w:jc w:val="center"/>
        </w:trPr>
        <w:tc>
          <w:tcPr>
            <w:tcW w:w="3000" w:type="dxa"/>
          </w:tcPr>
          <w:p w14:paraId="3883D305" w14:textId="77777777" w:rsidR="00054BF0" w:rsidRDefault="00000000">
            <w:pPr>
              <w:spacing w:line="220" w:lineRule="atLeast"/>
            </w:pPr>
            <w:r>
              <w:rPr>
                <w:rFonts w:ascii="Arial" w:eastAsia="Arial" w:hAnsi="Arial" w:cs="Arial"/>
                <w:b/>
                <w:color w:val="000000"/>
                <w:sz w:val="18"/>
              </w:rPr>
              <w:t>Content Type</w:t>
            </w:r>
          </w:p>
        </w:tc>
        <w:tc>
          <w:tcPr>
            <w:tcW w:w="5000" w:type="dxa"/>
          </w:tcPr>
          <w:p w14:paraId="3443418E" w14:textId="77777777" w:rsidR="00054BF0" w:rsidRDefault="00000000">
            <w:pPr>
              <w:spacing w:line="220" w:lineRule="atLeast"/>
            </w:pPr>
            <w:r>
              <w:rPr>
                <w:rFonts w:ascii="Arial" w:eastAsia="Arial" w:hAnsi="Arial" w:cs="Arial"/>
                <w:b/>
                <w:color w:val="000000"/>
                <w:sz w:val="18"/>
              </w:rPr>
              <w:t>Narrowed by</w:t>
            </w:r>
          </w:p>
        </w:tc>
      </w:tr>
      <w:tr w:rsidR="00054BF0" w14:paraId="52C9C848" w14:textId="77777777">
        <w:trPr>
          <w:jc w:val="center"/>
        </w:trPr>
        <w:tc>
          <w:tcPr>
            <w:tcW w:w="3000" w:type="dxa"/>
          </w:tcPr>
          <w:p w14:paraId="36034F78" w14:textId="77777777" w:rsidR="00054BF0" w:rsidRDefault="00000000">
            <w:pPr>
              <w:spacing w:line="220" w:lineRule="atLeast"/>
            </w:pPr>
            <w:r>
              <w:rPr>
                <w:rFonts w:ascii="Arial" w:eastAsia="Arial" w:hAnsi="Arial" w:cs="Arial"/>
                <w:color w:val="000000"/>
                <w:sz w:val="18"/>
              </w:rPr>
              <w:t>News</w:t>
            </w:r>
          </w:p>
        </w:tc>
        <w:tc>
          <w:tcPr>
            <w:tcW w:w="5000" w:type="dxa"/>
          </w:tcPr>
          <w:p w14:paraId="380C8151"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15536A" w14:textId="77777777" w:rsidR="00054BF0" w:rsidRDefault="00054BF0"/>
    <w:p w14:paraId="272DDA82" w14:textId="77777777" w:rsidR="00054BF0" w:rsidRDefault="00000000">
      <w:pPr>
        <w:spacing w:line="300" w:lineRule="atLeast"/>
        <w:ind w:left="440" w:hanging="290"/>
      </w:pPr>
      <w:r>
        <w:rPr>
          <w:rFonts w:ascii="Arial" w:eastAsia="Arial" w:hAnsi="Arial" w:cs="Arial"/>
          <w:sz w:val="20"/>
        </w:rPr>
        <w:t>30.</w:t>
      </w:r>
      <w:hyperlink r:id="rId65" w:history="1">
        <w:r>
          <w:rPr>
            <w:rFonts w:ascii="Arial" w:eastAsia="Arial" w:hAnsi="Arial" w:cs="Arial"/>
            <w:color w:val="000000"/>
            <w:sz w:val="20"/>
            <w:u w:val="single"/>
            <w:shd w:val="clear" w:color="auto" w:fill="FFFFFF"/>
          </w:rPr>
          <w:t xml:space="preserve"> </w:t>
        </w:r>
      </w:hyperlink>
      <w:hyperlink r:id="rId66" w:history="1">
        <w:r>
          <w:rPr>
            <w:rFonts w:ascii="Arial" w:eastAsia="Arial" w:hAnsi="Arial" w:cs="Arial"/>
            <w:i/>
            <w:color w:val="0077CC"/>
            <w:sz w:val="20"/>
            <w:u w:val="single"/>
            <w:shd w:val="clear" w:color="auto" w:fill="FFFFFF"/>
          </w:rPr>
          <w:t>Vulnerabilities of BOT Scheme and Ways to Overcome Them Under PPP : Cross-Country Comparison of PPP Systems Among Selected Countries</w:t>
        </w:r>
      </w:hyperlink>
    </w:p>
    <w:p w14:paraId="25246E44"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A6F3A9"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CDE3C69"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C073D1" w14:textId="77777777" w:rsidR="00054BF0" w:rsidRDefault="00000000">
      <w:pPr>
        <w:spacing w:before="80" w:line="240" w:lineRule="atLeast"/>
        <w:ind w:left="290"/>
      </w:pPr>
      <w:r>
        <w:rPr>
          <w:rFonts w:ascii="Arial" w:eastAsia="Arial" w:hAnsi="Arial" w:cs="Arial"/>
          <w:b/>
          <w:color w:val="000000"/>
          <w:sz w:val="20"/>
        </w:rPr>
        <w:t xml:space="preserve">Narrowed by: </w:t>
      </w:r>
    </w:p>
    <w:p w14:paraId="1627FF0E"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4D53E492" w14:textId="77777777">
        <w:trPr>
          <w:jc w:val="center"/>
        </w:trPr>
        <w:tc>
          <w:tcPr>
            <w:tcW w:w="3000" w:type="dxa"/>
          </w:tcPr>
          <w:p w14:paraId="177085BE" w14:textId="77777777" w:rsidR="00054BF0" w:rsidRDefault="00000000">
            <w:pPr>
              <w:spacing w:line="220" w:lineRule="atLeast"/>
            </w:pPr>
            <w:r>
              <w:rPr>
                <w:rFonts w:ascii="Arial" w:eastAsia="Arial" w:hAnsi="Arial" w:cs="Arial"/>
                <w:b/>
                <w:color w:val="000000"/>
                <w:sz w:val="18"/>
              </w:rPr>
              <w:t>Content Type</w:t>
            </w:r>
          </w:p>
        </w:tc>
        <w:tc>
          <w:tcPr>
            <w:tcW w:w="5000" w:type="dxa"/>
          </w:tcPr>
          <w:p w14:paraId="52C792B4" w14:textId="77777777" w:rsidR="00054BF0" w:rsidRDefault="00000000">
            <w:pPr>
              <w:spacing w:line="220" w:lineRule="atLeast"/>
            </w:pPr>
            <w:r>
              <w:rPr>
                <w:rFonts w:ascii="Arial" w:eastAsia="Arial" w:hAnsi="Arial" w:cs="Arial"/>
                <w:b/>
                <w:color w:val="000000"/>
                <w:sz w:val="18"/>
              </w:rPr>
              <w:t>Narrowed by</w:t>
            </w:r>
          </w:p>
        </w:tc>
      </w:tr>
      <w:tr w:rsidR="00054BF0" w14:paraId="3C7E59A0" w14:textId="77777777">
        <w:trPr>
          <w:jc w:val="center"/>
        </w:trPr>
        <w:tc>
          <w:tcPr>
            <w:tcW w:w="3000" w:type="dxa"/>
          </w:tcPr>
          <w:p w14:paraId="2674A56F" w14:textId="77777777" w:rsidR="00054BF0" w:rsidRDefault="00000000">
            <w:pPr>
              <w:spacing w:line="220" w:lineRule="atLeast"/>
            </w:pPr>
            <w:r>
              <w:rPr>
                <w:rFonts w:ascii="Arial" w:eastAsia="Arial" w:hAnsi="Arial" w:cs="Arial"/>
                <w:color w:val="000000"/>
                <w:sz w:val="18"/>
              </w:rPr>
              <w:t>News</w:t>
            </w:r>
          </w:p>
        </w:tc>
        <w:tc>
          <w:tcPr>
            <w:tcW w:w="5000" w:type="dxa"/>
          </w:tcPr>
          <w:p w14:paraId="63FB587B"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6411B07" w14:textId="77777777" w:rsidR="00054BF0" w:rsidRDefault="00054BF0"/>
    <w:p w14:paraId="1AB6B576" w14:textId="77777777" w:rsidR="00054BF0" w:rsidRDefault="00000000">
      <w:pPr>
        <w:spacing w:line="300" w:lineRule="atLeast"/>
        <w:ind w:left="440" w:hanging="290"/>
      </w:pPr>
      <w:r>
        <w:rPr>
          <w:rFonts w:ascii="Arial" w:eastAsia="Arial" w:hAnsi="Arial" w:cs="Arial"/>
          <w:sz w:val="20"/>
        </w:rPr>
        <w:t>31.</w:t>
      </w:r>
      <w:hyperlink r:id="rId67" w:history="1">
        <w:r>
          <w:rPr>
            <w:rFonts w:ascii="Arial" w:eastAsia="Arial" w:hAnsi="Arial" w:cs="Arial"/>
            <w:color w:val="000000"/>
            <w:sz w:val="20"/>
            <w:u w:val="single"/>
            <w:shd w:val="clear" w:color="auto" w:fill="FFFFFF"/>
          </w:rPr>
          <w:t xml:space="preserve"> </w:t>
        </w:r>
      </w:hyperlink>
      <w:hyperlink r:id="rId68" w:history="1">
        <w:r>
          <w:rPr>
            <w:rFonts w:ascii="Arial" w:eastAsia="Arial" w:hAnsi="Arial" w:cs="Arial"/>
            <w:i/>
            <w:color w:val="0077CC"/>
            <w:sz w:val="20"/>
            <w:u w:val="single"/>
            <w:shd w:val="clear" w:color="auto" w:fill="FFFFFF"/>
          </w:rPr>
          <w:t>There Were 84,012 Startups In End November: Piyush Goyal</w:t>
        </w:r>
      </w:hyperlink>
    </w:p>
    <w:p w14:paraId="6E5C2224"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F96BAB5"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485A6DE"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5F68D2" w14:textId="77777777" w:rsidR="00054BF0" w:rsidRDefault="00000000">
      <w:pPr>
        <w:spacing w:before="80" w:line="240" w:lineRule="atLeast"/>
        <w:ind w:left="290"/>
      </w:pPr>
      <w:r>
        <w:rPr>
          <w:rFonts w:ascii="Arial" w:eastAsia="Arial" w:hAnsi="Arial" w:cs="Arial"/>
          <w:b/>
          <w:color w:val="000000"/>
          <w:sz w:val="20"/>
        </w:rPr>
        <w:t xml:space="preserve">Narrowed by: </w:t>
      </w:r>
    </w:p>
    <w:p w14:paraId="1544EF6C"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A38F2AA" w14:textId="77777777">
        <w:trPr>
          <w:jc w:val="center"/>
        </w:trPr>
        <w:tc>
          <w:tcPr>
            <w:tcW w:w="3000" w:type="dxa"/>
          </w:tcPr>
          <w:p w14:paraId="10A1BF61" w14:textId="77777777" w:rsidR="00054BF0" w:rsidRDefault="00000000">
            <w:pPr>
              <w:spacing w:line="220" w:lineRule="atLeast"/>
            </w:pPr>
            <w:r>
              <w:rPr>
                <w:rFonts w:ascii="Arial" w:eastAsia="Arial" w:hAnsi="Arial" w:cs="Arial"/>
                <w:b/>
                <w:color w:val="000000"/>
                <w:sz w:val="18"/>
              </w:rPr>
              <w:t>Content Type</w:t>
            </w:r>
          </w:p>
        </w:tc>
        <w:tc>
          <w:tcPr>
            <w:tcW w:w="5000" w:type="dxa"/>
          </w:tcPr>
          <w:p w14:paraId="2837A81C" w14:textId="77777777" w:rsidR="00054BF0" w:rsidRDefault="00000000">
            <w:pPr>
              <w:spacing w:line="220" w:lineRule="atLeast"/>
            </w:pPr>
            <w:r>
              <w:rPr>
                <w:rFonts w:ascii="Arial" w:eastAsia="Arial" w:hAnsi="Arial" w:cs="Arial"/>
                <w:b/>
                <w:color w:val="000000"/>
                <w:sz w:val="18"/>
              </w:rPr>
              <w:t>Narrowed by</w:t>
            </w:r>
          </w:p>
        </w:tc>
      </w:tr>
      <w:tr w:rsidR="00054BF0" w14:paraId="37C16D60" w14:textId="77777777">
        <w:trPr>
          <w:jc w:val="center"/>
        </w:trPr>
        <w:tc>
          <w:tcPr>
            <w:tcW w:w="3000" w:type="dxa"/>
          </w:tcPr>
          <w:p w14:paraId="75C2624F" w14:textId="77777777" w:rsidR="00054BF0" w:rsidRDefault="00000000">
            <w:pPr>
              <w:spacing w:line="220" w:lineRule="atLeast"/>
            </w:pPr>
            <w:r>
              <w:rPr>
                <w:rFonts w:ascii="Arial" w:eastAsia="Arial" w:hAnsi="Arial" w:cs="Arial"/>
                <w:color w:val="000000"/>
                <w:sz w:val="18"/>
              </w:rPr>
              <w:t>News</w:t>
            </w:r>
          </w:p>
        </w:tc>
        <w:tc>
          <w:tcPr>
            <w:tcW w:w="5000" w:type="dxa"/>
          </w:tcPr>
          <w:p w14:paraId="3D4268F6"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8DC4B5" w14:textId="77777777" w:rsidR="00054BF0" w:rsidRDefault="00054BF0"/>
    <w:p w14:paraId="63C01C82" w14:textId="77777777" w:rsidR="00054BF0" w:rsidRDefault="00000000">
      <w:pPr>
        <w:spacing w:line="300" w:lineRule="atLeast"/>
        <w:ind w:left="440" w:hanging="290"/>
      </w:pPr>
      <w:r>
        <w:rPr>
          <w:rFonts w:ascii="Arial" w:eastAsia="Arial" w:hAnsi="Arial" w:cs="Arial"/>
          <w:sz w:val="20"/>
        </w:rPr>
        <w:t>32.</w:t>
      </w:r>
      <w:hyperlink r:id="rId69" w:history="1">
        <w:r>
          <w:rPr>
            <w:rFonts w:ascii="Arial" w:eastAsia="Arial" w:hAnsi="Arial" w:cs="Arial"/>
            <w:color w:val="000000"/>
            <w:sz w:val="20"/>
            <w:u w:val="single"/>
            <w:shd w:val="clear" w:color="auto" w:fill="FFFFFF"/>
          </w:rPr>
          <w:t xml:space="preserve"> </w:t>
        </w:r>
      </w:hyperlink>
      <w:hyperlink r:id="rId70" w:history="1">
        <w:r>
          <w:rPr>
            <w:rFonts w:ascii="Arial" w:eastAsia="Arial" w:hAnsi="Arial" w:cs="Arial"/>
            <w:i/>
            <w:color w:val="0077CC"/>
            <w:sz w:val="20"/>
            <w:u w:val="single"/>
            <w:shd w:val="clear" w:color="auto" w:fill="FFFFFF"/>
          </w:rPr>
          <w:t>Vulnerabilities of BOT Scheme and Ways to Overcome Them Under PPP : Cross-Country Comparison of PPP Systems Among Selected Countries</w:t>
        </w:r>
      </w:hyperlink>
    </w:p>
    <w:p w14:paraId="5C128F60"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134225"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0DD7157"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51DFA9" w14:textId="77777777" w:rsidR="00054BF0" w:rsidRDefault="00000000">
      <w:pPr>
        <w:spacing w:before="80" w:line="240" w:lineRule="atLeast"/>
        <w:ind w:left="290"/>
      </w:pPr>
      <w:r>
        <w:rPr>
          <w:rFonts w:ascii="Arial" w:eastAsia="Arial" w:hAnsi="Arial" w:cs="Arial"/>
          <w:b/>
          <w:color w:val="000000"/>
          <w:sz w:val="20"/>
        </w:rPr>
        <w:t xml:space="preserve">Narrowed by: </w:t>
      </w:r>
    </w:p>
    <w:p w14:paraId="71FE340D"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5F7DE6FB" w14:textId="77777777">
        <w:trPr>
          <w:jc w:val="center"/>
        </w:trPr>
        <w:tc>
          <w:tcPr>
            <w:tcW w:w="3000" w:type="dxa"/>
          </w:tcPr>
          <w:p w14:paraId="401FD8E0" w14:textId="77777777" w:rsidR="00054BF0" w:rsidRDefault="00000000">
            <w:pPr>
              <w:spacing w:line="220" w:lineRule="atLeast"/>
            </w:pPr>
            <w:r>
              <w:rPr>
                <w:rFonts w:ascii="Arial" w:eastAsia="Arial" w:hAnsi="Arial" w:cs="Arial"/>
                <w:b/>
                <w:color w:val="000000"/>
                <w:sz w:val="18"/>
              </w:rPr>
              <w:t>Content Type</w:t>
            </w:r>
          </w:p>
        </w:tc>
        <w:tc>
          <w:tcPr>
            <w:tcW w:w="5000" w:type="dxa"/>
          </w:tcPr>
          <w:p w14:paraId="20CFD07C" w14:textId="77777777" w:rsidR="00054BF0" w:rsidRDefault="00000000">
            <w:pPr>
              <w:spacing w:line="220" w:lineRule="atLeast"/>
            </w:pPr>
            <w:r>
              <w:rPr>
                <w:rFonts w:ascii="Arial" w:eastAsia="Arial" w:hAnsi="Arial" w:cs="Arial"/>
                <w:b/>
                <w:color w:val="000000"/>
                <w:sz w:val="18"/>
              </w:rPr>
              <w:t>Narrowed by</w:t>
            </w:r>
          </w:p>
        </w:tc>
      </w:tr>
      <w:tr w:rsidR="00054BF0" w14:paraId="3FC59D80" w14:textId="77777777">
        <w:trPr>
          <w:jc w:val="center"/>
        </w:trPr>
        <w:tc>
          <w:tcPr>
            <w:tcW w:w="3000" w:type="dxa"/>
          </w:tcPr>
          <w:p w14:paraId="7C132563" w14:textId="77777777" w:rsidR="00054BF0" w:rsidRDefault="00000000">
            <w:pPr>
              <w:spacing w:line="220" w:lineRule="atLeast"/>
            </w:pPr>
            <w:r>
              <w:rPr>
                <w:rFonts w:ascii="Arial" w:eastAsia="Arial" w:hAnsi="Arial" w:cs="Arial"/>
                <w:color w:val="000000"/>
                <w:sz w:val="18"/>
              </w:rPr>
              <w:t>News</w:t>
            </w:r>
          </w:p>
        </w:tc>
        <w:tc>
          <w:tcPr>
            <w:tcW w:w="5000" w:type="dxa"/>
          </w:tcPr>
          <w:p w14:paraId="058E50FD"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381C0E" w14:textId="77777777" w:rsidR="00054BF0" w:rsidRDefault="00054BF0"/>
    <w:p w14:paraId="529915C8" w14:textId="77777777" w:rsidR="00054BF0" w:rsidRDefault="00000000">
      <w:pPr>
        <w:spacing w:line="300" w:lineRule="atLeast"/>
        <w:ind w:left="440" w:hanging="290"/>
      </w:pPr>
      <w:r>
        <w:rPr>
          <w:rFonts w:ascii="Arial" w:eastAsia="Arial" w:hAnsi="Arial" w:cs="Arial"/>
          <w:sz w:val="20"/>
        </w:rPr>
        <w:t>33.</w:t>
      </w:r>
      <w:hyperlink r:id="rId71" w:history="1">
        <w:r>
          <w:rPr>
            <w:rFonts w:ascii="Arial" w:eastAsia="Arial" w:hAnsi="Arial" w:cs="Arial"/>
            <w:color w:val="000000"/>
            <w:sz w:val="20"/>
            <w:u w:val="single"/>
            <w:shd w:val="clear" w:color="auto" w:fill="FFFFFF"/>
          </w:rPr>
          <w:t xml:space="preserve"> </w:t>
        </w:r>
      </w:hyperlink>
      <w:hyperlink r:id="rId72" w:history="1">
        <w:r>
          <w:rPr>
            <w:rFonts w:ascii="Arial" w:eastAsia="Arial" w:hAnsi="Arial" w:cs="Arial"/>
            <w:i/>
            <w:color w:val="0077CC"/>
            <w:sz w:val="20"/>
            <w:u w:val="single"/>
            <w:shd w:val="clear" w:color="auto" w:fill="FFFFFF"/>
          </w:rPr>
          <w:t>Vulnerabilities of BOT Scheme and Ways to Overcome Them Under PPP : Cross-Country Comparison of PPP Systems Among Selected Countries</w:t>
        </w:r>
      </w:hyperlink>
    </w:p>
    <w:p w14:paraId="55E58B8C"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27574B" w14:textId="77777777" w:rsidR="00054BF0"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1A4CC57F"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41462C" w14:textId="77777777" w:rsidR="00054BF0" w:rsidRDefault="00000000">
      <w:pPr>
        <w:spacing w:before="80" w:line="240" w:lineRule="atLeast"/>
        <w:ind w:left="290"/>
      </w:pPr>
      <w:r>
        <w:rPr>
          <w:rFonts w:ascii="Arial" w:eastAsia="Arial" w:hAnsi="Arial" w:cs="Arial"/>
          <w:b/>
          <w:color w:val="000000"/>
          <w:sz w:val="20"/>
        </w:rPr>
        <w:t xml:space="preserve">Narrowed by: </w:t>
      </w:r>
    </w:p>
    <w:p w14:paraId="792DBFD3"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69918C15" w14:textId="77777777">
        <w:trPr>
          <w:jc w:val="center"/>
        </w:trPr>
        <w:tc>
          <w:tcPr>
            <w:tcW w:w="3000" w:type="dxa"/>
          </w:tcPr>
          <w:p w14:paraId="6B250A8B" w14:textId="77777777" w:rsidR="00054BF0" w:rsidRDefault="00000000">
            <w:pPr>
              <w:spacing w:line="220" w:lineRule="atLeast"/>
            </w:pPr>
            <w:r>
              <w:rPr>
                <w:rFonts w:ascii="Arial" w:eastAsia="Arial" w:hAnsi="Arial" w:cs="Arial"/>
                <w:b/>
                <w:color w:val="000000"/>
                <w:sz w:val="18"/>
              </w:rPr>
              <w:t>Content Type</w:t>
            </w:r>
          </w:p>
        </w:tc>
        <w:tc>
          <w:tcPr>
            <w:tcW w:w="5000" w:type="dxa"/>
          </w:tcPr>
          <w:p w14:paraId="0712714F" w14:textId="77777777" w:rsidR="00054BF0" w:rsidRDefault="00000000">
            <w:pPr>
              <w:spacing w:line="220" w:lineRule="atLeast"/>
            </w:pPr>
            <w:r>
              <w:rPr>
                <w:rFonts w:ascii="Arial" w:eastAsia="Arial" w:hAnsi="Arial" w:cs="Arial"/>
                <w:b/>
                <w:color w:val="000000"/>
                <w:sz w:val="18"/>
              </w:rPr>
              <w:t>Narrowed by</w:t>
            </w:r>
          </w:p>
        </w:tc>
      </w:tr>
      <w:tr w:rsidR="00054BF0" w14:paraId="7218F978" w14:textId="77777777">
        <w:trPr>
          <w:jc w:val="center"/>
        </w:trPr>
        <w:tc>
          <w:tcPr>
            <w:tcW w:w="3000" w:type="dxa"/>
          </w:tcPr>
          <w:p w14:paraId="0FB7FE2A" w14:textId="77777777" w:rsidR="00054BF0" w:rsidRDefault="00000000">
            <w:pPr>
              <w:spacing w:line="220" w:lineRule="atLeast"/>
            </w:pPr>
            <w:r>
              <w:rPr>
                <w:rFonts w:ascii="Arial" w:eastAsia="Arial" w:hAnsi="Arial" w:cs="Arial"/>
                <w:color w:val="000000"/>
                <w:sz w:val="18"/>
              </w:rPr>
              <w:t>News</w:t>
            </w:r>
          </w:p>
        </w:tc>
        <w:tc>
          <w:tcPr>
            <w:tcW w:w="5000" w:type="dxa"/>
          </w:tcPr>
          <w:p w14:paraId="209E4064"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2752D3" w14:textId="77777777" w:rsidR="00054BF0" w:rsidRDefault="00054BF0"/>
    <w:p w14:paraId="56A14796" w14:textId="77777777" w:rsidR="00054BF0" w:rsidRDefault="00000000">
      <w:pPr>
        <w:spacing w:line="300" w:lineRule="atLeast"/>
        <w:ind w:left="440" w:hanging="290"/>
      </w:pPr>
      <w:r>
        <w:rPr>
          <w:rFonts w:ascii="Arial" w:eastAsia="Arial" w:hAnsi="Arial" w:cs="Arial"/>
          <w:sz w:val="20"/>
        </w:rPr>
        <w:t>34.</w:t>
      </w:r>
      <w:hyperlink r:id="rId73" w:history="1">
        <w:r>
          <w:rPr>
            <w:rFonts w:ascii="Arial" w:eastAsia="Arial" w:hAnsi="Arial" w:cs="Arial"/>
            <w:color w:val="000000"/>
            <w:sz w:val="20"/>
            <w:u w:val="single"/>
            <w:shd w:val="clear" w:color="auto" w:fill="FFFFFF"/>
          </w:rPr>
          <w:t xml:space="preserve"> </w:t>
        </w:r>
      </w:hyperlink>
      <w:hyperlink r:id="rId74" w:history="1">
        <w:r>
          <w:rPr>
            <w:rFonts w:ascii="Arial" w:eastAsia="Arial" w:hAnsi="Arial" w:cs="Arial"/>
            <w:i/>
            <w:color w:val="0077CC"/>
            <w:sz w:val="20"/>
            <w:u w:val="single"/>
            <w:shd w:val="clear" w:color="auto" w:fill="FFFFFF"/>
          </w:rPr>
          <w:t>Salman, Godfather Forever</w:t>
        </w:r>
      </w:hyperlink>
    </w:p>
    <w:p w14:paraId="044424A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53EE85E"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6545DA"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357EA8" w14:textId="77777777" w:rsidR="00054BF0" w:rsidRDefault="00000000">
      <w:pPr>
        <w:spacing w:before="80" w:line="240" w:lineRule="atLeast"/>
        <w:ind w:left="290"/>
      </w:pPr>
      <w:r>
        <w:rPr>
          <w:rFonts w:ascii="Arial" w:eastAsia="Arial" w:hAnsi="Arial" w:cs="Arial"/>
          <w:b/>
          <w:color w:val="000000"/>
          <w:sz w:val="20"/>
        </w:rPr>
        <w:t xml:space="preserve">Narrowed by: </w:t>
      </w:r>
    </w:p>
    <w:p w14:paraId="6848D14A"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520AEFEB" w14:textId="77777777">
        <w:trPr>
          <w:jc w:val="center"/>
        </w:trPr>
        <w:tc>
          <w:tcPr>
            <w:tcW w:w="3000" w:type="dxa"/>
          </w:tcPr>
          <w:p w14:paraId="4C91F10E" w14:textId="77777777" w:rsidR="00054BF0" w:rsidRDefault="00000000">
            <w:pPr>
              <w:spacing w:line="220" w:lineRule="atLeast"/>
            </w:pPr>
            <w:r>
              <w:rPr>
                <w:rFonts w:ascii="Arial" w:eastAsia="Arial" w:hAnsi="Arial" w:cs="Arial"/>
                <w:b/>
                <w:color w:val="000000"/>
                <w:sz w:val="18"/>
              </w:rPr>
              <w:t>Content Type</w:t>
            </w:r>
          </w:p>
        </w:tc>
        <w:tc>
          <w:tcPr>
            <w:tcW w:w="5000" w:type="dxa"/>
          </w:tcPr>
          <w:p w14:paraId="15D97284" w14:textId="77777777" w:rsidR="00054BF0" w:rsidRDefault="00000000">
            <w:pPr>
              <w:spacing w:line="220" w:lineRule="atLeast"/>
            </w:pPr>
            <w:r>
              <w:rPr>
                <w:rFonts w:ascii="Arial" w:eastAsia="Arial" w:hAnsi="Arial" w:cs="Arial"/>
                <w:b/>
                <w:color w:val="000000"/>
                <w:sz w:val="18"/>
              </w:rPr>
              <w:t>Narrowed by</w:t>
            </w:r>
          </w:p>
        </w:tc>
      </w:tr>
      <w:tr w:rsidR="00054BF0" w14:paraId="03078324" w14:textId="77777777">
        <w:trPr>
          <w:jc w:val="center"/>
        </w:trPr>
        <w:tc>
          <w:tcPr>
            <w:tcW w:w="3000" w:type="dxa"/>
          </w:tcPr>
          <w:p w14:paraId="08A2EC88" w14:textId="77777777" w:rsidR="00054BF0" w:rsidRDefault="00000000">
            <w:pPr>
              <w:spacing w:line="220" w:lineRule="atLeast"/>
            </w:pPr>
            <w:r>
              <w:rPr>
                <w:rFonts w:ascii="Arial" w:eastAsia="Arial" w:hAnsi="Arial" w:cs="Arial"/>
                <w:color w:val="000000"/>
                <w:sz w:val="18"/>
              </w:rPr>
              <w:t>News</w:t>
            </w:r>
          </w:p>
        </w:tc>
        <w:tc>
          <w:tcPr>
            <w:tcW w:w="5000" w:type="dxa"/>
          </w:tcPr>
          <w:p w14:paraId="6D58CEEE"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23EA729" w14:textId="77777777" w:rsidR="00054BF0" w:rsidRDefault="00054BF0"/>
    <w:p w14:paraId="489FBABF" w14:textId="77777777" w:rsidR="00054BF0" w:rsidRDefault="00000000">
      <w:pPr>
        <w:spacing w:line="300" w:lineRule="atLeast"/>
        <w:ind w:left="440" w:hanging="290"/>
      </w:pPr>
      <w:r>
        <w:rPr>
          <w:rFonts w:ascii="Arial" w:eastAsia="Arial" w:hAnsi="Arial" w:cs="Arial"/>
          <w:sz w:val="20"/>
        </w:rPr>
        <w:t>35.</w:t>
      </w:r>
      <w:hyperlink r:id="rId75" w:history="1">
        <w:r>
          <w:rPr>
            <w:rFonts w:ascii="Arial" w:eastAsia="Arial" w:hAnsi="Arial" w:cs="Arial"/>
            <w:color w:val="000000"/>
            <w:sz w:val="20"/>
            <w:u w:val="single"/>
            <w:shd w:val="clear" w:color="auto" w:fill="FFFFFF"/>
          </w:rPr>
          <w:t xml:space="preserve"> </w:t>
        </w:r>
      </w:hyperlink>
      <w:hyperlink r:id="rId76" w:history="1">
        <w:r>
          <w:rPr>
            <w:rFonts w:ascii="Arial" w:eastAsia="Arial" w:hAnsi="Arial" w:cs="Arial"/>
            <w:i/>
            <w:color w:val="0077CC"/>
            <w:sz w:val="20"/>
            <w:u w:val="single"/>
            <w:shd w:val="clear" w:color="auto" w:fill="FFFFFF"/>
          </w:rPr>
          <w:t>Success Rate Of Indian Startups Is Higher Than Rest Of World: Piyush Goyal</w:t>
        </w:r>
      </w:hyperlink>
    </w:p>
    <w:p w14:paraId="32CBFC9E"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6A6FAF6"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EF686BB"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29BAC32" w14:textId="77777777" w:rsidR="00054BF0" w:rsidRDefault="00000000">
      <w:pPr>
        <w:spacing w:before="80" w:line="240" w:lineRule="atLeast"/>
        <w:ind w:left="290"/>
      </w:pPr>
      <w:r>
        <w:rPr>
          <w:rFonts w:ascii="Arial" w:eastAsia="Arial" w:hAnsi="Arial" w:cs="Arial"/>
          <w:b/>
          <w:color w:val="000000"/>
          <w:sz w:val="20"/>
        </w:rPr>
        <w:t xml:space="preserve">Narrowed by: </w:t>
      </w:r>
    </w:p>
    <w:p w14:paraId="1929C219"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3633474F" w14:textId="77777777">
        <w:trPr>
          <w:jc w:val="center"/>
        </w:trPr>
        <w:tc>
          <w:tcPr>
            <w:tcW w:w="3000" w:type="dxa"/>
          </w:tcPr>
          <w:p w14:paraId="7207FAF1" w14:textId="77777777" w:rsidR="00054BF0" w:rsidRDefault="00000000">
            <w:pPr>
              <w:spacing w:line="220" w:lineRule="atLeast"/>
            </w:pPr>
            <w:r>
              <w:rPr>
                <w:rFonts w:ascii="Arial" w:eastAsia="Arial" w:hAnsi="Arial" w:cs="Arial"/>
                <w:b/>
                <w:color w:val="000000"/>
                <w:sz w:val="18"/>
              </w:rPr>
              <w:t>Content Type</w:t>
            </w:r>
          </w:p>
        </w:tc>
        <w:tc>
          <w:tcPr>
            <w:tcW w:w="5000" w:type="dxa"/>
          </w:tcPr>
          <w:p w14:paraId="3732E2CB" w14:textId="77777777" w:rsidR="00054BF0" w:rsidRDefault="00000000">
            <w:pPr>
              <w:spacing w:line="220" w:lineRule="atLeast"/>
            </w:pPr>
            <w:r>
              <w:rPr>
                <w:rFonts w:ascii="Arial" w:eastAsia="Arial" w:hAnsi="Arial" w:cs="Arial"/>
                <w:b/>
                <w:color w:val="000000"/>
                <w:sz w:val="18"/>
              </w:rPr>
              <w:t>Narrowed by</w:t>
            </w:r>
          </w:p>
        </w:tc>
      </w:tr>
      <w:tr w:rsidR="00054BF0" w14:paraId="2BE7C7D6" w14:textId="77777777">
        <w:trPr>
          <w:jc w:val="center"/>
        </w:trPr>
        <w:tc>
          <w:tcPr>
            <w:tcW w:w="3000" w:type="dxa"/>
          </w:tcPr>
          <w:p w14:paraId="68437910" w14:textId="77777777" w:rsidR="00054BF0" w:rsidRDefault="00000000">
            <w:pPr>
              <w:spacing w:line="220" w:lineRule="atLeast"/>
            </w:pPr>
            <w:r>
              <w:rPr>
                <w:rFonts w:ascii="Arial" w:eastAsia="Arial" w:hAnsi="Arial" w:cs="Arial"/>
                <w:color w:val="000000"/>
                <w:sz w:val="18"/>
              </w:rPr>
              <w:t>News</w:t>
            </w:r>
          </w:p>
        </w:tc>
        <w:tc>
          <w:tcPr>
            <w:tcW w:w="5000" w:type="dxa"/>
          </w:tcPr>
          <w:p w14:paraId="7F885312"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5EA1E9A" w14:textId="77777777" w:rsidR="00054BF0" w:rsidRDefault="00054BF0"/>
    <w:p w14:paraId="31A4ED30" w14:textId="77777777" w:rsidR="00054BF0" w:rsidRDefault="00000000">
      <w:pPr>
        <w:spacing w:line="300" w:lineRule="atLeast"/>
        <w:ind w:left="440" w:hanging="290"/>
      </w:pPr>
      <w:r>
        <w:rPr>
          <w:rFonts w:ascii="Arial" w:eastAsia="Arial" w:hAnsi="Arial" w:cs="Arial"/>
          <w:sz w:val="20"/>
        </w:rPr>
        <w:t>36.</w:t>
      </w:r>
      <w:hyperlink r:id="rId77" w:history="1">
        <w:r>
          <w:rPr>
            <w:rFonts w:ascii="Arial" w:eastAsia="Arial" w:hAnsi="Arial" w:cs="Arial"/>
            <w:color w:val="000000"/>
            <w:sz w:val="20"/>
            <w:u w:val="single"/>
            <w:shd w:val="clear" w:color="auto" w:fill="FFFFFF"/>
          </w:rPr>
          <w:t xml:space="preserve"> </w:t>
        </w:r>
      </w:hyperlink>
      <w:hyperlink r:id="rId78" w:history="1">
        <w:r>
          <w:rPr>
            <w:rFonts w:ascii="Arial" w:eastAsia="Arial" w:hAnsi="Arial" w:cs="Arial"/>
            <w:i/>
            <w:color w:val="0077CC"/>
            <w:sz w:val="20"/>
            <w:u w:val="single"/>
            <w:shd w:val="clear" w:color="auto" w:fill="FFFFFF"/>
          </w:rPr>
          <w:t>What you need to know about becoming an angel investor in India</w:t>
        </w:r>
      </w:hyperlink>
    </w:p>
    <w:p w14:paraId="1F2C0C0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7D5335D"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9206F0B"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C50E75D" w14:textId="77777777" w:rsidR="00054BF0" w:rsidRDefault="00000000">
      <w:pPr>
        <w:spacing w:before="80" w:line="240" w:lineRule="atLeast"/>
        <w:ind w:left="290"/>
      </w:pPr>
      <w:r>
        <w:rPr>
          <w:rFonts w:ascii="Arial" w:eastAsia="Arial" w:hAnsi="Arial" w:cs="Arial"/>
          <w:b/>
          <w:color w:val="000000"/>
          <w:sz w:val="20"/>
        </w:rPr>
        <w:t xml:space="preserve">Narrowed by: </w:t>
      </w:r>
    </w:p>
    <w:p w14:paraId="46C8C9FB"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110B0C84" w14:textId="77777777">
        <w:trPr>
          <w:jc w:val="center"/>
        </w:trPr>
        <w:tc>
          <w:tcPr>
            <w:tcW w:w="3000" w:type="dxa"/>
          </w:tcPr>
          <w:p w14:paraId="1FF96AF1" w14:textId="77777777" w:rsidR="00054BF0" w:rsidRDefault="00000000">
            <w:pPr>
              <w:spacing w:line="220" w:lineRule="atLeast"/>
            </w:pPr>
            <w:r>
              <w:rPr>
                <w:rFonts w:ascii="Arial" w:eastAsia="Arial" w:hAnsi="Arial" w:cs="Arial"/>
                <w:b/>
                <w:color w:val="000000"/>
                <w:sz w:val="18"/>
              </w:rPr>
              <w:t>Content Type</w:t>
            </w:r>
          </w:p>
        </w:tc>
        <w:tc>
          <w:tcPr>
            <w:tcW w:w="5000" w:type="dxa"/>
          </w:tcPr>
          <w:p w14:paraId="3E886157" w14:textId="77777777" w:rsidR="00054BF0" w:rsidRDefault="00000000">
            <w:pPr>
              <w:spacing w:line="220" w:lineRule="atLeast"/>
            </w:pPr>
            <w:r>
              <w:rPr>
                <w:rFonts w:ascii="Arial" w:eastAsia="Arial" w:hAnsi="Arial" w:cs="Arial"/>
                <w:b/>
                <w:color w:val="000000"/>
                <w:sz w:val="18"/>
              </w:rPr>
              <w:t>Narrowed by</w:t>
            </w:r>
          </w:p>
        </w:tc>
      </w:tr>
      <w:tr w:rsidR="00054BF0" w14:paraId="056897F8" w14:textId="77777777">
        <w:trPr>
          <w:jc w:val="center"/>
        </w:trPr>
        <w:tc>
          <w:tcPr>
            <w:tcW w:w="3000" w:type="dxa"/>
          </w:tcPr>
          <w:p w14:paraId="6FEBE97C" w14:textId="77777777" w:rsidR="00054BF0" w:rsidRDefault="00000000">
            <w:pPr>
              <w:spacing w:line="220" w:lineRule="atLeast"/>
            </w:pPr>
            <w:r>
              <w:rPr>
                <w:rFonts w:ascii="Arial" w:eastAsia="Arial" w:hAnsi="Arial" w:cs="Arial"/>
                <w:color w:val="000000"/>
                <w:sz w:val="18"/>
              </w:rPr>
              <w:t>News</w:t>
            </w:r>
          </w:p>
        </w:tc>
        <w:tc>
          <w:tcPr>
            <w:tcW w:w="5000" w:type="dxa"/>
          </w:tcPr>
          <w:p w14:paraId="48692977"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89AC17D" w14:textId="77777777" w:rsidR="00054BF0" w:rsidRDefault="00054BF0"/>
    <w:p w14:paraId="03FD9B53" w14:textId="77777777" w:rsidR="00054BF0" w:rsidRDefault="00000000">
      <w:pPr>
        <w:spacing w:line="300" w:lineRule="atLeast"/>
        <w:ind w:left="440" w:hanging="290"/>
      </w:pPr>
      <w:r>
        <w:rPr>
          <w:rFonts w:ascii="Arial" w:eastAsia="Arial" w:hAnsi="Arial" w:cs="Arial"/>
          <w:sz w:val="20"/>
        </w:rPr>
        <w:t>37.</w:t>
      </w:r>
      <w:hyperlink r:id="rId79" w:history="1">
        <w:r>
          <w:rPr>
            <w:rFonts w:ascii="Arial" w:eastAsia="Arial" w:hAnsi="Arial" w:cs="Arial"/>
            <w:color w:val="000000"/>
            <w:sz w:val="20"/>
            <w:u w:val="single"/>
            <w:shd w:val="clear" w:color="auto" w:fill="FFFFFF"/>
          </w:rPr>
          <w:t xml:space="preserve"> </w:t>
        </w:r>
      </w:hyperlink>
      <w:hyperlink r:id="rId80" w:history="1">
        <w:r>
          <w:rPr>
            <w:rFonts w:ascii="Arial" w:eastAsia="Arial" w:hAnsi="Arial" w:cs="Arial"/>
            <w:i/>
            <w:color w:val="0077CC"/>
            <w:sz w:val="20"/>
            <w:u w:val="single"/>
            <w:shd w:val="clear" w:color="auto" w:fill="FFFFFF"/>
          </w:rPr>
          <w:t>Here's how you can become an angel investor in India</w:t>
        </w:r>
      </w:hyperlink>
    </w:p>
    <w:p w14:paraId="333C7A7F"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342E95"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6EBD8CE"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E92608" w14:textId="77777777" w:rsidR="00054BF0" w:rsidRDefault="00000000">
      <w:pPr>
        <w:spacing w:before="80" w:line="240" w:lineRule="atLeast"/>
        <w:ind w:left="290"/>
      </w:pPr>
      <w:r>
        <w:rPr>
          <w:rFonts w:ascii="Arial" w:eastAsia="Arial" w:hAnsi="Arial" w:cs="Arial"/>
          <w:b/>
          <w:color w:val="000000"/>
          <w:sz w:val="20"/>
        </w:rPr>
        <w:t xml:space="preserve">Narrowed by: </w:t>
      </w:r>
    </w:p>
    <w:p w14:paraId="3B6500E2"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1833308B" w14:textId="77777777">
        <w:trPr>
          <w:jc w:val="center"/>
        </w:trPr>
        <w:tc>
          <w:tcPr>
            <w:tcW w:w="3000" w:type="dxa"/>
          </w:tcPr>
          <w:p w14:paraId="2CDFC13C" w14:textId="77777777" w:rsidR="00054BF0" w:rsidRDefault="00000000">
            <w:pPr>
              <w:spacing w:line="220" w:lineRule="atLeast"/>
            </w:pPr>
            <w:r>
              <w:rPr>
                <w:rFonts w:ascii="Arial" w:eastAsia="Arial" w:hAnsi="Arial" w:cs="Arial"/>
                <w:b/>
                <w:color w:val="000000"/>
                <w:sz w:val="18"/>
              </w:rPr>
              <w:t>Content Type</w:t>
            </w:r>
          </w:p>
        </w:tc>
        <w:tc>
          <w:tcPr>
            <w:tcW w:w="5000" w:type="dxa"/>
          </w:tcPr>
          <w:p w14:paraId="1F04DA30" w14:textId="77777777" w:rsidR="00054BF0" w:rsidRDefault="00000000">
            <w:pPr>
              <w:spacing w:line="220" w:lineRule="atLeast"/>
            </w:pPr>
            <w:r>
              <w:rPr>
                <w:rFonts w:ascii="Arial" w:eastAsia="Arial" w:hAnsi="Arial" w:cs="Arial"/>
                <w:b/>
                <w:color w:val="000000"/>
                <w:sz w:val="18"/>
              </w:rPr>
              <w:t>Narrowed by</w:t>
            </w:r>
          </w:p>
        </w:tc>
      </w:tr>
      <w:tr w:rsidR="00054BF0" w14:paraId="7BE4A397" w14:textId="77777777">
        <w:trPr>
          <w:jc w:val="center"/>
        </w:trPr>
        <w:tc>
          <w:tcPr>
            <w:tcW w:w="3000" w:type="dxa"/>
          </w:tcPr>
          <w:p w14:paraId="7ED9F472" w14:textId="77777777" w:rsidR="00054BF0" w:rsidRDefault="00000000">
            <w:pPr>
              <w:spacing w:line="220" w:lineRule="atLeast"/>
            </w:pPr>
            <w:r>
              <w:rPr>
                <w:rFonts w:ascii="Arial" w:eastAsia="Arial" w:hAnsi="Arial" w:cs="Arial"/>
                <w:color w:val="000000"/>
                <w:sz w:val="18"/>
              </w:rPr>
              <w:t>News</w:t>
            </w:r>
          </w:p>
        </w:tc>
        <w:tc>
          <w:tcPr>
            <w:tcW w:w="5000" w:type="dxa"/>
          </w:tcPr>
          <w:p w14:paraId="0A83C336"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D64C1CF" w14:textId="77777777" w:rsidR="00054BF0" w:rsidRDefault="00054BF0"/>
    <w:p w14:paraId="6D6BCFAE" w14:textId="77777777" w:rsidR="00054BF0" w:rsidRDefault="00000000">
      <w:pPr>
        <w:spacing w:line="300" w:lineRule="atLeast"/>
        <w:ind w:left="440" w:hanging="290"/>
      </w:pPr>
      <w:r>
        <w:rPr>
          <w:rFonts w:ascii="Arial" w:eastAsia="Arial" w:hAnsi="Arial" w:cs="Arial"/>
          <w:sz w:val="20"/>
        </w:rPr>
        <w:t>38.</w:t>
      </w:r>
      <w:hyperlink r:id="rId81" w:history="1">
        <w:r>
          <w:rPr>
            <w:rFonts w:ascii="Arial" w:eastAsia="Arial" w:hAnsi="Arial" w:cs="Arial"/>
            <w:color w:val="000000"/>
            <w:sz w:val="20"/>
            <w:u w:val="single"/>
            <w:shd w:val="clear" w:color="auto" w:fill="FFFFFF"/>
          </w:rPr>
          <w:t xml:space="preserve"> </w:t>
        </w:r>
      </w:hyperlink>
      <w:hyperlink r:id="rId82" w:history="1">
        <w:r>
          <w:rPr>
            <w:rFonts w:ascii="Arial" w:eastAsia="Arial" w:hAnsi="Arial" w:cs="Arial"/>
            <w:i/>
            <w:color w:val="0077CC"/>
            <w:sz w:val="20"/>
            <w:u w:val="single"/>
            <w:shd w:val="clear" w:color="auto" w:fill="FFFFFF"/>
          </w:rPr>
          <w:t>Meet the VC - Meet Chun Xia, founding partner at TSVC</w:t>
        </w:r>
      </w:hyperlink>
    </w:p>
    <w:p w14:paraId="5C0B29DD" w14:textId="77777777" w:rsidR="00054BF0"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3351F39B"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9FB3F7F"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BFE232" w14:textId="77777777" w:rsidR="00054BF0" w:rsidRDefault="00000000">
      <w:pPr>
        <w:spacing w:before="80" w:line="240" w:lineRule="atLeast"/>
        <w:ind w:left="290"/>
      </w:pPr>
      <w:r>
        <w:rPr>
          <w:rFonts w:ascii="Arial" w:eastAsia="Arial" w:hAnsi="Arial" w:cs="Arial"/>
          <w:b/>
          <w:color w:val="000000"/>
          <w:sz w:val="20"/>
        </w:rPr>
        <w:t xml:space="preserve">Narrowed by: </w:t>
      </w:r>
    </w:p>
    <w:p w14:paraId="6A558A0E"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506CCEDB" w14:textId="77777777">
        <w:trPr>
          <w:jc w:val="center"/>
        </w:trPr>
        <w:tc>
          <w:tcPr>
            <w:tcW w:w="3000" w:type="dxa"/>
          </w:tcPr>
          <w:p w14:paraId="6E9E1885" w14:textId="77777777" w:rsidR="00054BF0" w:rsidRDefault="00000000">
            <w:pPr>
              <w:spacing w:line="220" w:lineRule="atLeast"/>
            </w:pPr>
            <w:r>
              <w:rPr>
                <w:rFonts w:ascii="Arial" w:eastAsia="Arial" w:hAnsi="Arial" w:cs="Arial"/>
                <w:b/>
                <w:color w:val="000000"/>
                <w:sz w:val="18"/>
              </w:rPr>
              <w:t>Content Type</w:t>
            </w:r>
          </w:p>
        </w:tc>
        <w:tc>
          <w:tcPr>
            <w:tcW w:w="5000" w:type="dxa"/>
          </w:tcPr>
          <w:p w14:paraId="421F9390" w14:textId="77777777" w:rsidR="00054BF0" w:rsidRDefault="00000000">
            <w:pPr>
              <w:spacing w:line="220" w:lineRule="atLeast"/>
            </w:pPr>
            <w:r>
              <w:rPr>
                <w:rFonts w:ascii="Arial" w:eastAsia="Arial" w:hAnsi="Arial" w:cs="Arial"/>
                <w:b/>
                <w:color w:val="000000"/>
                <w:sz w:val="18"/>
              </w:rPr>
              <w:t>Narrowed by</w:t>
            </w:r>
          </w:p>
        </w:tc>
      </w:tr>
      <w:tr w:rsidR="00054BF0" w14:paraId="5CEE8C67" w14:textId="77777777">
        <w:trPr>
          <w:jc w:val="center"/>
        </w:trPr>
        <w:tc>
          <w:tcPr>
            <w:tcW w:w="3000" w:type="dxa"/>
          </w:tcPr>
          <w:p w14:paraId="794895B3" w14:textId="77777777" w:rsidR="00054BF0" w:rsidRDefault="00000000">
            <w:pPr>
              <w:spacing w:line="220" w:lineRule="atLeast"/>
            </w:pPr>
            <w:r>
              <w:rPr>
                <w:rFonts w:ascii="Arial" w:eastAsia="Arial" w:hAnsi="Arial" w:cs="Arial"/>
                <w:color w:val="000000"/>
                <w:sz w:val="18"/>
              </w:rPr>
              <w:t>News</w:t>
            </w:r>
          </w:p>
        </w:tc>
        <w:tc>
          <w:tcPr>
            <w:tcW w:w="5000" w:type="dxa"/>
          </w:tcPr>
          <w:p w14:paraId="70A3F4AD"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8D397D" w14:textId="77777777" w:rsidR="00054BF0" w:rsidRDefault="00054BF0"/>
    <w:p w14:paraId="32E343BB" w14:textId="77777777" w:rsidR="00054BF0" w:rsidRDefault="00000000">
      <w:pPr>
        <w:spacing w:line="300" w:lineRule="atLeast"/>
        <w:ind w:left="440" w:hanging="290"/>
      </w:pPr>
      <w:r>
        <w:rPr>
          <w:rFonts w:ascii="Arial" w:eastAsia="Arial" w:hAnsi="Arial" w:cs="Arial"/>
          <w:sz w:val="20"/>
        </w:rPr>
        <w:t>39.</w:t>
      </w:r>
      <w:hyperlink r:id="rId83" w:history="1">
        <w:r>
          <w:rPr>
            <w:rFonts w:ascii="Arial" w:eastAsia="Arial" w:hAnsi="Arial" w:cs="Arial"/>
            <w:color w:val="000000"/>
            <w:sz w:val="20"/>
            <w:u w:val="single"/>
            <w:shd w:val="clear" w:color="auto" w:fill="FFFFFF"/>
          </w:rPr>
          <w:t xml:space="preserve"> </w:t>
        </w:r>
      </w:hyperlink>
      <w:hyperlink r:id="rId84" w:history="1">
        <w:r>
          <w:rPr>
            <w:rFonts w:ascii="Arial" w:eastAsia="Arial" w:hAnsi="Arial" w:cs="Arial"/>
            <w:i/>
            <w:color w:val="0077CC"/>
            <w:sz w:val="20"/>
            <w:u w:val="single"/>
            <w:shd w:val="clear" w:color="auto" w:fill="FFFFFF"/>
          </w:rPr>
          <w:t>SoftBank -Backed Oyo to Reduce Planned IPO Amid Tech Headwinds</w:t>
        </w:r>
      </w:hyperlink>
    </w:p>
    <w:p w14:paraId="53AA362C"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3ED1CA3"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706D35"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1A7BD8" w14:textId="77777777" w:rsidR="00054BF0" w:rsidRDefault="00000000">
      <w:pPr>
        <w:spacing w:before="80" w:line="240" w:lineRule="atLeast"/>
        <w:ind w:left="290"/>
      </w:pPr>
      <w:r>
        <w:rPr>
          <w:rFonts w:ascii="Arial" w:eastAsia="Arial" w:hAnsi="Arial" w:cs="Arial"/>
          <w:b/>
          <w:color w:val="000000"/>
          <w:sz w:val="20"/>
        </w:rPr>
        <w:t xml:space="preserve">Narrowed by: </w:t>
      </w:r>
    </w:p>
    <w:p w14:paraId="010DF566"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E5069C3" w14:textId="77777777">
        <w:trPr>
          <w:jc w:val="center"/>
        </w:trPr>
        <w:tc>
          <w:tcPr>
            <w:tcW w:w="3000" w:type="dxa"/>
          </w:tcPr>
          <w:p w14:paraId="0F8BFB10" w14:textId="77777777" w:rsidR="00054BF0" w:rsidRDefault="00000000">
            <w:pPr>
              <w:spacing w:line="220" w:lineRule="atLeast"/>
            </w:pPr>
            <w:r>
              <w:rPr>
                <w:rFonts w:ascii="Arial" w:eastAsia="Arial" w:hAnsi="Arial" w:cs="Arial"/>
                <w:b/>
                <w:color w:val="000000"/>
                <w:sz w:val="18"/>
              </w:rPr>
              <w:t>Content Type</w:t>
            </w:r>
          </w:p>
        </w:tc>
        <w:tc>
          <w:tcPr>
            <w:tcW w:w="5000" w:type="dxa"/>
          </w:tcPr>
          <w:p w14:paraId="082B405A" w14:textId="77777777" w:rsidR="00054BF0" w:rsidRDefault="00000000">
            <w:pPr>
              <w:spacing w:line="220" w:lineRule="atLeast"/>
            </w:pPr>
            <w:r>
              <w:rPr>
                <w:rFonts w:ascii="Arial" w:eastAsia="Arial" w:hAnsi="Arial" w:cs="Arial"/>
                <w:b/>
                <w:color w:val="000000"/>
                <w:sz w:val="18"/>
              </w:rPr>
              <w:t>Narrowed by</w:t>
            </w:r>
          </w:p>
        </w:tc>
      </w:tr>
      <w:tr w:rsidR="00054BF0" w14:paraId="4FAD5301" w14:textId="77777777">
        <w:trPr>
          <w:jc w:val="center"/>
        </w:trPr>
        <w:tc>
          <w:tcPr>
            <w:tcW w:w="3000" w:type="dxa"/>
          </w:tcPr>
          <w:p w14:paraId="6DF654B6" w14:textId="77777777" w:rsidR="00054BF0" w:rsidRDefault="00000000">
            <w:pPr>
              <w:spacing w:line="220" w:lineRule="atLeast"/>
            </w:pPr>
            <w:r>
              <w:rPr>
                <w:rFonts w:ascii="Arial" w:eastAsia="Arial" w:hAnsi="Arial" w:cs="Arial"/>
                <w:color w:val="000000"/>
                <w:sz w:val="18"/>
              </w:rPr>
              <w:t>News</w:t>
            </w:r>
          </w:p>
        </w:tc>
        <w:tc>
          <w:tcPr>
            <w:tcW w:w="5000" w:type="dxa"/>
          </w:tcPr>
          <w:p w14:paraId="1E1CBDE2"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562747" w14:textId="77777777" w:rsidR="00054BF0" w:rsidRDefault="00054BF0"/>
    <w:p w14:paraId="4F2DA76F" w14:textId="77777777" w:rsidR="00054BF0" w:rsidRDefault="00000000">
      <w:pPr>
        <w:spacing w:line="300" w:lineRule="atLeast"/>
        <w:ind w:left="440" w:hanging="290"/>
      </w:pPr>
      <w:r>
        <w:rPr>
          <w:rFonts w:ascii="Arial" w:eastAsia="Arial" w:hAnsi="Arial" w:cs="Arial"/>
          <w:sz w:val="20"/>
        </w:rPr>
        <w:t>40.</w:t>
      </w:r>
      <w:hyperlink r:id="rId85" w:history="1">
        <w:r>
          <w:rPr>
            <w:rFonts w:ascii="Arial" w:eastAsia="Arial" w:hAnsi="Arial" w:cs="Arial"/>
            <w:color w:val="000000"/>
            <w:sz w:val="20"/>
            <w:u w:val="single"/>
            <w:shd w:val="clear" w:color="auto" w:fill="FFFFFF"/>
          </w:rPr>
          <w:t xml:space="preserve"> </w:t>
        </w:r>
      </w:hyperlink>
      <w:hyperlink r:id="rId86" w:history="1">
        <w:r>
          <w:rPr>
            <w:rFonts w:ascii="Arial" w:eastAsia="Arial" w:hAnsi="Arial" w:cs="Arial"/>
            <w:i/>
            <w:color w:val="0077CC"/>
            <w:sz w:val="20"/>
            <w:u w:val="single"/>
            <w:shd w:val="clear" w:color="auto" w:fill="FFFFFF"/>
          </w:rPr>
          <w:t>[Year in Review 2020] The Top 10 Books of 2020 for Entrepreneurs</w:t>
        </w:r>
      </w:hyperlink>
    </w:p>
    <w:p w14:paraId="257D229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CA4EFD1"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911384"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A6B30D" w14:textId="77777777" w:rsidR="00054BF0" w:rsidRDefault="00000000">
      <w:pPr>
        <w:spacing w:before="80" w:line="240" w:lineRule="atLeast"/>
        <w:ind w:left="290"/>
      </w:pPr>
      <w:r>
        <w:rPr>
          <w:rFonts w:ascii="Arial" w:eastAsia="Arial" w:hAnsi="Arial" w:cs="Arial"/>
          <w:b/>
          <w:color w:val="000000"/>
          <w:sz w:val="20"/>
        </w:rPr>
        <w:t xml:space="preserve">Narrowed by: </w:t>
      </w:r>
    </w:p>
    <w:p w14:paraId="6C2FDC8D"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7BE0357C" w14:textId="77777777">
        <w:trPr>
          <w:jc w:val="center"/>
        </w:trPr>
        <w:tc>
          <w:tcPr>
            <w:tcW w:w="3000" w:type="dxa"/>
          </w:tcPr>
          <w:p w14:paraId="032CFD78" w14:textId="77777777" w:rsidR="00054BF0" w:rsidRDefault="00000000">
            <w:pPr>
              <w:spacing w:line="220" w:lineRule="atLeast"/>
            </w:pPr>
            <w:r>
              <w:rPr>
                <w:rFonts w:ascii="Arial" w:eastAsia="Arial" w:hAnsi="Arial" w:cs="Arial"/>
                <w:b/>
                <w:color w:val="000000"/>
                <w:sz w:val="18"/>
              </w:rPr>
              <w:t>Content Type</w:t>
            </w:r>
          </w:p>
        </w:tc>
        <w:tc>
          <w:tcPr>
            <w:tcW w:w="5000" w:type="dxa"/>
          </w:tcPr>
          <w:p w14:paraId="70049BF7" w14:textId="77777777" w:rsidR="00054BF0" w:rsidRDefault="00000000">
            <w:pPr>
              <w:spacing w:line="220" w:lineRule="atLeast"/>
            </w:pPr>
            <w:r>
              <w:rPr>
                <w:rFonts w:ascii="Arial" w:eastAsia="Arial" w:hAnsi="Arial" w:cs="Arial"/>
                <w:b/>
                <w:color w:val="000000"/>
                <w:sz w:val="18"/>
              </w:rPr>
              <w:t>Narrowed by</w:t>
            </w:r>
          </w:p>
        </w:tc>
      </w:tr>
      <w:tr w:rsidR="00054BF0" w14:paraId="2DE9B8C7" w14:textId="77777777">
        <w:trPr>
          <w:jc w:val="center"/>
        </w:trPr>
        <w:tc>
          <w:tcPr>
            <w:tcW w:w="3000" w:type="dxa"/>
          </w:tcPr>
          <w:p w14:paraId="6370D666" w14:textId="77777777" w:rsidR="00054BF0" w:rsidRDefault="00000000">
            <w:pPr>
              <w:spacing w:line="220" w:lineRule="atLeast"/>
            </w:pPr>
            <w:r>
              <w:rPr>
                <w:rFonts w:ascii="Arial" w:eastAsia="Arial" w:hAnsi="Arial" w:cs="Arial"/>
                <w:color w:val="000000"/>
                <w:sz w:val="18"/>
              </w:rPr>
              <w:t>News</w:t>
            </w:r>
          </w:p>
        </w:tc>
        <w:tc>
          <w:tcPr>
            <w:tcW w:w="5000" w:type="dxa"/>
          </w:tcPr>
          <w:p w14:paraId="7ADDE6BC"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627525" w14:textId="77777777" w:rsidR="00054BF0" w:rsidRDefault="00054BF0"/>
    <w:p w14:paraId="2E34F7E4" w14:textId="77777777" w:rsidR="00054BF0" w:rsidRDefault="00000000">
      <w:pPr>
        <w:spacing w:line="300" w:lineRule="atLeast"/>
        <w:ind w:left="440" w:hanging="290"/>
      </w:pPr>
      <w:r>
        <w:rPr>
          <w:rFonts w:ascii="Arial" w:eastAsia="Arial" w:hAnsi="Arial" w:cs="Arial"/>
          <w:sz w:val="20"/>
        </w:rPr>
        <w:t>41.</w:t>
      </w:r>
      <w:hyperlink r:id="rId87" w:history="1">
        <w:r>
          <w:rPr>
            <w:rFonts w:ascii="Arial" w:eastAsia="Arial" w:hAnsi="Arial" w:cs="Arial"/>
            <w:color w:val="000000"/>
            <w:sz w:val="20"/>
            <w:u w:val="single"/>
            <w:shd w:val="clear" w:color="auto" w:fill="FFFFFF"/>
          </w:rPr>
          <w:t xml:space="preserve"> </w:t>
        </w:r>
      </w:hyperlink>
      <w:hyperlink r:id="rId88" w:history="1">
        <w:r>
          <w:rPr>
            <w:rFonts w:ascii="Arial" w:eastAsia="Arial" w:hAnsi="Arial" w:cs="Arial"/>
            <w:i/>
            <w:color w:val="0077CC"/>
            <w:sz w:val="20"/>
            <w:u w:val="single"/>
            <w:shd w:val="clear" w:color="auto" w:fill="FFFFFF"/>
          </w:rPr>
          <w:t>SoftBank -backed Oyo to reduce planned IPO amid tech headwinds</w:t>
        </w:r>
      </w:hyperlink>
    </w:p>
    <w:p w14:paraId="4116AB96"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DC17774"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106E71"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B699B99" w14:textId="77777777" w:rsidR="00054BF0" w:rsidRDefault="00000000">
      <w:pPr>
        <w:spacing w:before="80" w:line="240" w:lineRule="atLeast"/>
        <w:ind w:left="290"/>
      </w:pPr>
      <w:r>
        <w:rPr>
          <w:rFonts w:ascii="Arial" w:eastAsia="Arial" w:hAnsi="Arial" w:cs="Arial"/>
          <w:b/>
          <w:color w:val="000000"/>
          <w:sz w:val="20"/>
        </w:rPr>
        <w:t xml:space="preserve">Narrowed by: </w:t>
      </w:r>
    </w:p>
    <w:p w14:paraId="4D831F69"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48510DEF" w14:textId="77777777">
        <w:trPr>
          <w:jc w:val="center"/>
        </w:trPr>
        <w:tc>
          <w:tcPr>
            <w:tcW w:w="3000" w:type="dxa"/>
          </w:tcPr>
          <w:p w14:paraId="3A58EF76" w14:textId="77777777" w:rsidR="00054BF0" w:rsidRDefault="00000000">
            <w:pPr>
              <w:spacing w:line="220" w:lineRule="atLeast"/>
            </w:pPr>
            <w:r>
              <w:rPr>
                <w:rFonts w:ascii="Arial" w:eastAsia="Arial" w:hAnsi="Arial" w:cs="Arial"/>
                <w:b/>
                <w:color w:val="000000"/>
                <w:sz w:val="18"/>
              </w:rPr>
              <w:t>Content Type</w:t>
            </w:r>
          </w:p>
        </w:tc>
        <w:tc>
          <w:tcPr>
            <w:tcW w:w="5000" w:type="dxa"/>
          </w:tcPr>
          <w:p w14:paraId="00E7666D" w14:textId="77777777" w:rsidR="00054BF0" w:rsidRDefault="00000000">
            <w:pPr>
              <w:spacing w:line="220" w:lineRule="atLeast"/>
            </w:pPr>
            <w:r>
              <w:rPr>
                <w:rFonts w:ascii="Arial" w:eastAsia="Arial" w:hAnsi="Arial" w:cs="Arial"/>
                <w:b/>
                <w:color w:val="000000"/>
                <w:sz w:val="18"/>
              </w:rPr>
              <w:t>Narrowed by</w:t>
            </w:r>
          </w:p>
        </w:tc>
      </w:tr>
      <w:tr w:rsidR="00054BF0" w14:paraId="71CC1A72" w14:textId="77777777">
        <w:trPr>
          <w:jc w:val="center"/>
        </w:trPr>
        <w:tc>
          <w:tcPr>
            <w:tcW w:w="3000" w:type="dxa"/>
          </w:tcPr>
          <w:p w14:paraId="6890555A" w14:textId="77777777" w:rsidR="00054BF0" w:rsidRDefault="00000000">
            <w:pPr>
              <w:spacing w:line="220" w:lineRule="atLeast"/>
            </w:pPr>
            <w:r>
              <w:rPr>
                <w:rFonts w:ascii="Arial" w:eastAsia="Arial" w:hAnsi="Arial" w:cs="Arial"/>
                <w:color w:val="000000"/>
                <w:sz w:val="18"/>
              </w:rPr>
              <w:t>News</w:t>
            </w:r>
          </w:p>
        </w:tc>
        <w:tc>
          <w:tcPr>
            <w:tcW w:w="5000" w:type="dxa"/>
          </w:tcPr>
          <w:p w14:paraId="04274699"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1F7077" w14:textId="77777777" w:rsidR="00054BF0" w:rsidRDefault="00054BF0"/>
    <w:p w14:paraId="572A522E" w14:textId="77777777" w:rsidR="00054BF0" w:rsidRDefault="00000000">
      <w:pPr>
        <w:spacing w:line="300" w:lineRule="atLeast"/>
        <w:ind w:left="440" w:hanging="290"/>
      </w:pPr>
      <w:r>
        <w:rPr>
          <w:rFonts w:ascii="Arial" w:eastAsia="Arial" w:hAnsi="Arial" w:cs="Arial"/>
          <w:sz w:val="20"/>
        </w:rPr>
        <w:t>42.</w:t>
      </w:r>
      <w:hyperlink r:id="rId89" w:history="1">
        <w:r>
          <w:rPr>
            <w:rFonts w:ascii="Arial" w:eastAsia="Arial" w:hAnsi="Arial" w:cs="Arial"/>
            <w:color w:val="000000"/>
            <w:sz w:val="20"/>
            <w:u w:val="single"/>
            <w:shd w:val="clear" w:color="auto" w:fill="FFFFFF"/>
          </w:rPr>
          <w:t xml:space="preserve"> </w:t>
        </w:r>
      </w:hyperlink>
      <w:hyperlink r:id="rId90" w:history="1">
        <w:r>
          <w:rPr>
            <w:rFonts w:ascii="Arial" w:eastAsia="Arial" w:hAnsi="Arial" w:cs="Arial"/>
            <w:i/>
            <w:color w:val="0077CC"/>
            <w:sz w:val="20"/>
            <w:u w:val="single"/>
            <w:shd w:val="clear" w:color="auto" w:fill="FFFFFF"/>
          </w:rPr>
          <w:t>SoftBank -backed Oyo to reduce planned IPO amid tech headwinds</w:t>
        </w:r>
      </w:hyperlink>
    </w:p>
    <w:p w14:paraId="0D9F9D75"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F6856D0"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D74414"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D5B76EC" w14:textId="77777777" w:rsidR="00054BF0" w:rsidRDefault="00000000">
      <w:pPr>
        <w:spacing w:before="80" w:line="240" w:lineRule="atLeast"/>
        <w:ind w:left="290"/>
      </w:pPr>
      <w:r>
        <w:rPr>
          <w:rFonts w:ascii="Arial" w:eastAsia="Arial" w:hAnsi="Arial" w:cs="Arial"/>
          <w:b/>
          <w:color w:val="000000"/>
          <w:sz w:val="20"/>
        </w:rPr>
        <w:t xml:space="preserve">Narrowed by: </w:t>
      </w:r>
    </w:p>
    <w:p w14:paraId="38EE3CC3"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394C2D4D" w14:textId="77777777">
        <w:trPr>
          <w:jc w:val="center"/>
        </w:trPr>
        <w:tc>
          <w:tcPr>
            <w:tcW w:w="3000" w:type="dxa"/>
          </w:tcPr>
          <w:p w14:paraId="269DD697" w14:textId="77777777" w:rsidR="00054BF0" w:rsidRDefault="00000000">
            <w:pPr>
              <w:spacing w:line="220" w:lineRule="atLeast"/>
            </w:pPr>
            <w:r>
              <w:rPr>
                <w:rFonts w:ascii="Arial" w:eastAsia="Arial" w:hAnsi="Arial" w:cs="Arial"/>
                <w:b/>
                <w:color w:val="000000"/>
                <w:sz w:val="18"/>
              </w:rPr>
              <w:t>Content Type</w:t>
            </w:r>
          </w:p>
        </w:tc>
        <w:tc>
          <w:tcPr>
            <w:tcW w:w="5000" w:type="dxa"/>
          </w:tcPr>
          <w:p w14:paraId="103E18DA" w14:textId="77777777" w:rsidR="00054BF0" w:rsidRDefault="00000000">
            <w:pPr>
              <w:spacing w:line="220" w:lineRule="atLeast"/>
            </w:pPr>
            <w:r>
              <w:rPr>
                <w:rFonts w:ascii="Arial" w:eastAsia="Arial" w:hAnsi="Arial" w:cs="Arial"/>
                <w:b/>
                <w:color w:val="000000"/>
                <w:sz w:val="18"/>
              </w:rPr>
              <w:t>Narrowed by</w:t>
            </w:r>
          </w:p>
        </w:tc>
      </w:tr>
      <w:tr w:rsidR="00054BF0" w14:paraId="0A2AAA33" w14:textId="77777777">
        <w:trPr>
          <w:jc w:val="center"/>
        </w:trPr>
        <w:tc>
          <w:tcPr>
            <w:tcW w:w="3000" w:type="dxa"/>
          </w:tcPr>
          <w:p w14:paraId="3A72AF1A" w14:textId="77777777" w:rsidR="00054BF0" w:rsidRDefault="00000000">
            <w:pPr>
              <w:spacing w:line="220" w:lineRule="atLeast"/>
            </w:pPr>
            <w:r>
              <w:rPr>
                <w:rFonts w:ascii="Arial" w:eastAsia="Arial" w:hAnsi="Arial" w:cs="Arial"/>
                <w:color w:val="000000"/>
                <w:sz w:val="18"/>
              </w:rPr>
              <w:t>News</w:t>
            </w:r>
          </w:p>
        </w:tc>
        <w:tc>
          <w:tcPr>
            <w:tcW w:w="5000" w:type="dxa"/>
          </w:tcPr>
          <w:p w14:paraId="5CB440E6"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D0168F" w14:textId="77777777" w:rsidR="00054BF0" w:rsidRDefault="00054BF0"/>
    <w:p w14:paraId="46FE2FFC" w14:textId="77777777" w:rsidR="00054BF0" w:rsidRDefault="00000000">
      <w:pPr>
        <w:spacing w:line="300" w:lineRule="atLeast"/>
        <w:ind w:left="440" w:hanging="290"/>
      </w:pPr>
      <w:r>
        <w:rPr>
          <w:rFonts w:ascii="Arial" w:eastAsia="Arial" w:hAnsi="Arial" w:cs="Arial"/>
          <w:sz w:val="20"/>
        </w:rPr>
        <w:lastRenderedPageBreak/>
        <w:t>43.</w:t>
      </w:r>
      <w:hyperlink r:id="rId91" w:history="1">
        <w:r>
          <w:rPr>
            <w:rFonts w:ascii="Arial" w:eastAsia="Arial" w:hAnsi="Arial" w:cs="Arial"/>
            <w:color w:val="000000"/>
            <w:sz w:val="20"/>
            <w:u w:val="single"/>
            <w:shd w:val="clear" w:color="auto" w:fill="FFFFFF"/>
          </w:rPr>
          <w:t xml:space="preserve"> </w:t>
        </w:r>
      </w:hyperlink>
      <w:hyperlink r:id="rId92" w:history="1">
        <w:r>
          <w:rPr>
            <w:rFonts w:ascii="Arial" w:eastAsia="Arial" w:hAnsi="Arial" w:cs="Arial"/>
            <w:i/>
            <w:color w:val="0077CC"/>
            <w:sz w:val="20"/>
            <w:u w:val="single"/>
            <w:shd w:val="clear" w:color="auto" w:fill="FFFFFF"/>
          </w:rPr>
          <w:t>Oyo to reduce planned IPO amid tech headwinds</w:t>
        </w:r>
      </w:hyperlink>
    </w:p>
    <w:p w14:paraId="2083ADB1"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6AB1C4A"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D693D8B"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6ABE4F" w14:textId="77777777" w:rsidR="00054BF0" w:rsidRDefault="00000000">
      <w:pPr>
        <w:spacing w:before="80" w:line="240" w:lineRule="atLeast"/>
        <w:ind w:left="290"/>
      </w:pPr>
      <w:r>
        <w:rPr>
          <w:rFonts w:ascii="Arial" w:eastAsia="Arial" w:hAnsi="Arial" w:cs="Arial"/>
          <w:b/>
          <w:color w:val="000000"/>
          <w:sz w:val="20"/>
        </w:rPr>
        <w:t xml:space="preserve">Narrowed by: </w:t>
      </w:r>
    </w:p>
    <w:p w14:paraId="3F13BB1C"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D18B8D1" w14:textId="77777777">
        <w:trPr>
          <w:jc w:val="center"/>
        </w:trPr>
        <w:tc>
          <w:tcPr>
            <w:tcW w:w="3000" w:type="dxa"/>
          </w:tcPr>
          <w:p w14:paraId="72FDF5EA" w14:textId="77777777" w:rsidR="00054BF0" w:rsidRDefault="00000000">
            <w:pPr>
              <w:spacing w:line="220" w:lineRule="atLeast"/>
            </w:pPr>
            <w:r>
              <w:rPr>
                <w:rFonts w:ascii="Arial" w:eastAsia="Arial" w:hAnsi="Arial" w:cs="Arial"/>
                <w:b/>
                <w:color w:val="000000"/>
                <w:sz w:val="18"/>
              </w:rPr>
              <w:t>Content Type</w:t>
            </w:r>
          </w:p>
        </w:tc>
        <w:tc>
          <w:tcPr>
            <w:tcW w:w="5000" w:type="dxa"/>
          </w:tcPr>
          <w:p w14:paraId="13CFFC8F" w14:textId="77777777" w:rsidR="00054BF0" w:rsidRDefault="00000000">
            <w:pPr>
              <w:spacing w:line="220" w:lineRule="atLeast"/>
            </w:pPr>
            <w:r>
              <w:rPr>
                <w:rFonts w:ascii="Arial" w:eastAsia="Arial" w:hAnsi="Arial" w:cs="Arial"/>
                <w:b/>
                <w:color w:val="000000"/>
                <w:sz w:val="18"/>
              </w:rPr>
              <w:t>Narrowed by</w:t>
            </w:r>
          </w:p>
        </w:tc>
      </w:tr>
      <w:tr w:rsidR="00054BF0" w14:paraId="014C658E" w14:textId="77777777">
        <w:trPr>
          <w:jc w:val="center"/>
        </w:trPr>
        <w:tc>
          <w:tcPr>
            <w:tcW w:w="3000" w:type="dxa"/>
          </w:tcPr>
          <w:p w14:paraId="2876EC9D" w14:textId="77777777" w:rsidR="00054BF0" w:rsidRDefault="00000000">
            <w:pPr>
              <w:spacing w:line="220" w:lineRule="atLeast"/>
            </w:pPr>
            <w:r>
              <w:rPr>
                <w:rFonts w:ascii="Arial" w:eastAsia="Arial" w:hAnsi="Arial" w:cs="Arial"/>
                <w:color w:val="000000"/>
                <w:sz w:val="18"/>
              </w:rPr>
              <w:t>News</w:t>
            </w:r>
          </w:p>
        </w:tc>
        <w:tc>
          <w:tcPr>
            <w:tcW w:w="5000" w:type="dxa"/>
          </w:tcPr>
          <w:p w14:paraId="75600FD5"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E09FC5" w14:textId="77777777" w:rsidR="00054BF0" w:rsidRDefault="00054BF0"/>
    <w:p w14:paraId="465E48B2" w14:textId="77777777" w:rsidR="00054BF0" w:rsidRDefault="00000000">
      <w:pPr>
        <w:spacing w:line="300" w:lineRule="atLeast"/>
        <w:ind w:left="440" w:hanging="290"/>
      </w:pPr>
      <w:r>
        <w:rPr>
          <w:rFonts w:ascii="Arial" w:eastAsia="Arial" w:hAnsi="Arial" w:cs="Arial"/>
          <w:sz w:val="20"/>
        </w:rPr>
        <w:t>44.</w:t>
      </w:r>
      <w:hyperlink r:id="rId93" w:history="1">
        <w:r>
          <w:rPr>
            <w:rFonts w:ascii="Arial" w:eastAsia="Arial" w:hAnsi="Arial" w:cs="Arial"/>
            <w:color w:val="000000"/>
            <w:sz w:val="20"/>
            <w:u w:val="single"/>
            <w:shd w:val="clear" w:color="auto" w:fill="FFFFFF"/>
          </w:rPr>
          <w:t xml:space="preserve"> </w:t>
        </w:r>
      </w:hyperlink>
      <w:hyperlink r:id="rId94" w:history="1">
        <w:r>
          <w:rPr>
            <w:rFonts w:ascii="Arial" w:eastAsia="Arial" w:hAnsi="Arial" w:cs="Arial"/>
            <w:i/>
            <w:color w:val="0077CC"/>
            <w:sz w:val="20"/>
            <w:u w:val="single"/>
            <w:shd w:val="clear" w:color="auto" w:fill="FFFFFF"/>
          </w:rPr>
          <w:t>ஸ்டார்ட்அப் நிறுவனங்களுக்கு கோகுல் ராஜாராம் எச்சரிக்கை.. அடுத்த 9 மாதம் ரிஸ்க் தான்..!</w:t>
        </w:r>
      </w:hyperlink>
    </w:p>
    <w:p w14:paraId="2A17AAE8"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0462BE"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84CF268"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FC6262" w14:textId="77777777" w:rsidR="00054BF0" w:rsidRDefault="00000000">
      <w:pPr>
        <w:spacing w:before="80" w:line="240" w:lineRule="atLeast"/>
        <w:ind w:left="290"/>
      </w:pPr>
      <w:r>
        <w:rPr>
          <w:rFonts w:ascii="Arial" w:eastAsia="Arial" w:hAnsi="Arial" w:cs="Arial"/>
          <w:b/>
          <w:color w:val="000000"/>
          <w:sz w:val="20"/>
        </w:rPr>
        <w:t xml:space="preserve">Narrowed by: </w:t>
      </w:r>
    </w:p>
    <w:p w14:paraId="6F574B4D"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61942A71" w14:textId="77777777">
        <w:trPr>
          <w:jc w:val="center"/>
        </w:trPr>
        <w:tc>
          <w:tcPr>
            <w:tcW w:w="3000" w:type="dxa"/>
          </w:tcPr>
          <w:p w14:paraId="02F0B300" w14:textId="77777777" w:rsidR="00054BF0" w:rsidRDefault="00000000">
            <w:pPr>
              <w:spacing w:line="220" w:lineRule="atLeast"/>
            </w:pPr>
            <w:r>
              <w:rPr>
                <w:rFonts w:ascii="Arial" w:eastAsia="Arial" w:hAnsi="Arial" w:cs="Arial"/>
                <w:b/>
                <w:color w:val="000000"/>
                <w:sz w:val="18"/>
              </w:rPr>
              <w:t>Content Type</w:t>
            </w:r>
          </w:p>
        </w:tc>
        <w:tc>
          <w:tcPr>
            <w:tcW w:w="5000" w:type="dxa"/>
          </w:tcPr>
          <w:p w14:paraId="670FBB5F" w14:textId="77777777" w:rsidR="00054BF0" w:rsidRDefault="00000000">
            <w:pPr>
              <w:spacing w:line="220" w:lineRule="atLeast"/>
            </w:pPr>
            <w:r>
              <w:rPr>
                <w:rFonts w:ascii="Arial" w:eastAsia="Arial" w:hAnsi="Arial" w:cs="Arial"/>
                <w:b/>
                <w:color w:val="000000"/>
                <w:sz w:val="18"/>
              </w:rPr>
              <w:t>Narrowed by</w:t>
            </w:r>
          </w:p>
        </w:tc>
      </w:tr>
      <w:tr w:rsidR="00054BF0" w14:paraId="226DB72A" w14:textId="77777777">
        <w:trPr>
          <w:jc w:val="center"/>
        </w:trPr>
        <w:tc>
          <w:tcPr>
            <w:tcW w:w="3000" w:type="dxa"/>
          </w:tcPr>
          <w:p w14:paraId="0C2D165B" w14:textId="77777777" w:rsidR="00054BF0" w:rsidRDefault="00000000">
            <w:pPr>
              <w:spacing w:line="220" w:lineRule="atLeast"/>
            </w:pPr>
            <w:r>
              <w:rPr>
                <w:rFonts w:ascii="Arial" w:eastAsia="Arial" w:hAnsi="Arial" w:cs="Arial"/>
                <w:color w:val="000000"/>
                <w:sz w:val="18"/>
              </w:rPr>
              <w:t>News</w:t>
            </w:r>
          </w:p>
        </w:tc>
        <w:tc>
          <w:tcPr>
            <w:tcW w:w="5000" w:type="dxa"/>
          </w:tcPr>
          <w:p w14:paraId="38BF6AB7"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6188113" w14:textId="77777777" w:rsidR="00054BF0" w:rsidRDefault="00054BF0"/>
    <w:p w14:paraId="551CA64B" w14:textId="65195A4D" w:rsidR="00054BF0" w:rsidRDefault="00000000">
      <w:pPr>
        <w:spacing w:line="300" w:lineRule="atLeast"/>
        <w:ind w:left="440" w:hanging="290"/>
      </w:pPr>
      <w:r>
        <w:rPr>
          <w:rFonts w:ascii="Arial" w:eastAsia="Arial" w:hAnsi="Arial" w:cs="Arial"/>
          <w:sz w:val="20"/>
        </w:rPr>
        <w:t>45.</w:t>
      </w:r>
      <w:hyperlink r:id="rId95" w:history="1">
        <w:r>
          <w:rPr>
            <w:rFonts w:ascii="Arial" w:eastAsia="Arial" w:hAnsi="Arial" w:cs="Arial"/>
            <w:color w:val="000000"/>
            <w:sz w:val="20"/>
            <w:u w:val="single"/>
            <w:shd w:val="clear" w:color="auto" w:fill="FFFFFF"/>
          </w:rPr>
          <w:t xml:space="preserve"> </w:t>
        </w:r>
      </w:hyperlink>
      <w:hyperlink r:id="rId96" w:history="1">
        <w:r>
          <w:rPr>
            <w:rFonts w:ascii="Arial" w:eastAsia="Arial" w:hAnsi="Arial" w:cs="Arial"/>
            <w:i/>
            <w:color w:val="0077CC"/>
            <w:sz w:val="20"/>
            <w:u w:val="single"/>
            <w:shd w:val="clear" w:color="auto" w:fill="FFFFFF"/>
          </w:rPr>
          <w:t>Rise in Prevalence of Depression That Boosts the Growth</w:t>
        </w:r>
        <w:r w:rsidR="00E42F45">
          <w:rPr>
            <w:rFonts w:ascii="Arial" w:eastAsia="Arial" w:hAnsi="Arial" w:cs="Arial"/>
            <w:i/>
            <w:color w:val="0077CC"/>
            <w:sz w:val="20"/>
            <w:u w:val="single"/>
            <w:shd w:val="clear" w:color="auto" w:fill="FFFFFF"/>
          </w:rPr>
          <w:t xml:space="preserve"> of </w:t>
        </w:r>
        <w:r>
          <w:rPr>
            <w:rFonts w:ascii="Arial" w:eastAsia="Arial" w:hAnsi="Arial" w:cs="Arial"/>
            <w:i/>
            <w:color w:val="0077CC"/>
            <w:sz w:val="20"/>
            <w:u w:val="single"/>
            <w:shd w:val="clear" w:color="auto" w:fill="FFFFFF"/>
          </w:rPr>
          <w:t>Extremities Reconstruction Market in Healthcare Industry</w:t>
        </w:r>
      </w:hyperlink>
      <w:r w:rsidR="00D7477E">
        <w:rPr>
          <w:rFonts w:ascii="Arial" w:eastAsia="Arial" w:hAnsi="Arial" w:cs="Arial"/>
          <w:i/>
          <w:color w:val="0077CC"/>
          <w:sz w:val="20"/>
          <w:u w:val="single"/>
          <w:shd w:val="clear" w:color="auto" w:fill="FFFFFF"/>
        </w:rPr>
        <w:t>.</w:t>
      </w:r>
    </w:p>
    <w:p w14:paraId="472476C5" w14:textId="77777777" w:rsidR="00054BF0"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CED3024" w14:textId="77777777" w:rsidR="00054BF0"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25CC759" w14:textId="77777777" w:rsidR="00054BF0"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C5854E3" w14:textId="77777777" w:rsidR="00054BF0" w:rsidRDefault="00000000">
      <w:pPr>
        <w:spacing w:before="80" w:line="240" w:lineRule="atLeast"/>
        <w:ind w:left="290"/>
      </w:pPr>
      <w:r>
        <w:rPr>
          <w:rFonts w:ascii="Arial" w:eastAsia="Arial" w:hAnsi="Arial" w:cs="Arial"/>
          <w:b/>
          <w:color w:val="000000"/>
          <w:sz w:val="20"/>
        </w:rPr>
        <w:t xml:space="preserve">Narrowed by: </w:t>
      </w:r>
    </w:p>
    <w:p w14:paraId="33BD3ABE" w14:textId="77777777" w:rsidR="00054BF0" w:rsidRDefault="00054BF0">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54BF0" w14:paraId="2E91AC24" w14:textId="77777777">
        <w:trPr>
          <w:jc w:val="center"/>
        </w:trPr>
        <w:tc>
          <w:tcPr>
            <w:tcW w:w="3000" w:type="dxa"/>
          </w:tcPr>
          <w:p w14:paraId="7D83604A" w14:textId="77777777" w:rsidR="00054BF0" w:rsidRDefault="00000000">
            <w:pPr>
              <w:spacing w:line="220" w:lineRule="atLeast"/>
            </w:pPr>
            <w:r>
              <w:rPr>
                <w:rFonts w:ascii="Arial" w:eastAsia="Arial" w:hAnsi="Arial" w:cs="Arial"/>
                <w:b/>
                <w:color w:val="000000"/>
                <w:sz w:val="18"/>
              </w:rPr>
              <w:t>Content Type</w:t>
            </w:r>
          </w:p>
        </w:tc>
        <w:tc>
          <w:tcPr>
            <w:tcW w:w="5000" w:type="dxa"/>
          </w:tcPr>
          <w:p w14:paraId="3411EBD9" w14:textId="77777777" w:rsidR="00054BF0" w:rsidRDefault="00000000">
            <w:pPr>
              <w:spacing w:line="220" w:lineRule="atLeast"/>
            </w:pPr>
            <w:r>
              <w:rPr>
                <w:rFonts w:ascii="Arial" w:eastAsia="Arial" w:hAnsi="Arial" w:cs="Arial"/>
                <w:b/>
                <w:color w:val="000000"/>
                <w:sz w:val="18"/>
              </w:rPr>
              <w:t>Narrowed by</w:t>
            </w:r>
          </w:p>
        </w:tc>
      </w:tr>
      <w:tr w:rsidR="00054BF0" w14:paraId="7C370082" w14:textId="77777777">
        <w:trPr>
          <w:jc w:val="center"/>
        </w:trPr>
        <w:tc>
          <w:tcPr>
            <w:tcW w:w="3000" w:type="dxa"/>
          </w:tcPr>
          <w:p w14:paraId="25859F6C" w14:textId="77777777" w:rsidR="00054BF0" w:rsidRDefault="00000000">
            <w:pPr>
              <w:spacing w:line="220" w:lineRule="atLeast"/>
            </w:pPr>
            <w:r>
              <w:rPr>
                <w:rFonts w:ascii="Arial" w:eastAsia="Arial" w:hAnsi="Arial" w:cs="Arial"/>
                <w:color w:val="000000"/>
                <w:sz w:val="18"/>
              </w:rPr>
              <w:t>News</w:t>
            </w:r>
          </w:p>
        </w:tc>
        <w:tc>
          <w:tcPr>
            <w:tcW w:w="5000" w:type="dxa"/>
          </w:tcPr>
          <w:p w14:paraId="1241AA82" w14:textId="77777777" w:rsidR="00054BF0"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1B7FC6" w14:textId="77777777" w:rsidR="00054BF0" w:rsidRDefault="00054BF0">
      <w:pPr>
        <w:sectPr w:rsidR="00054BF0">
          <w:footerReference w:type="default" r:id="rId97"/>
          <w:pgSz w:w="12240" w:h="15840"/>
          <w:pgMar w:top="840" w:right="1080" w:bottom="840" w:left="1080" w:header="0" w:footer="0" w:gutter="0"/>
          <w:cols w:space="720"/>
        </w:sectPr>
      </w:pPr>
    </w:p>
    <w:p w14:paraId="6B01B534" w14:textId="77777777" w:rsidR="00054BF0" w:rsidRDefault="00054BF0">
      <w:pPr>
        <w:sectPr w:rsidR="00054BF0">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gutter="0"/>
          <w:cols w:space="720"/>
          <w:titlePg/>
        </w:sectPr>
      </w:pPr>
    </w:p>
    <w:p w14:paraId="3B9189C5" w14:textId="77777777" w:rsidR="00054BF0" w:rsidRDefault="00054BF0">
      <w:bookmarkStart w:id="0" w:name="Bookmark_1"/>
      <w:bookmarkEnd w:id="0"/>
    </w:p>
    <w:p w14:paraId="595F2A66" w14:textId="77777777" w:rsidR="00054BF0" w:rsidRDefault="00BE2275">
      <w:r>
        <w:pict w14:anchorId="47A4A99C">
          <v:shape id="_x0000_i1027" type="#_x0000_t75" alt="LexisNexis®" style="width:148pt;height:30pt">
            <v:imagedata r:id="rId6" o:title=""/>
          </v:shape>
        </w:pict>
      </w:r>
      <w:r w:rsidR="00A540D1">
        <w:cr/>
      </w:r>
    </w:p>
    <w:p w14:paraId="32EA711C" w14:textId="77777777" w:rsidR="00054BF0" w:rsidRDefault="00000000">
      <w:pPr>
        <w:spacing w:before="240" w:after="200" w:line="340" w:lineRule="atLeast"/>
        <w:jc w:val="center"/>
        <w:outlineLvl w:val="0"/>
        <w:rPr>
          <w:rFonts w:ascii="Arial" w:hAnsi="Arial" w:cs="Arial"/>
          <w:b/>
          <w:bCs/>
          <w:kern w:val="32"/>
          <w:sz w:val="32"/>
          <w:szCs w:val="32"/>
        </w:rPr>
      </w:pPr>
      <w:hyperlink r:id="rId104" w:history="1">
        <w:r>
          <w:rPr>
            <w:rFonts w:ascii="Arial" w:eastAsia="Arial" w:hAnsi="Arial" w:cs="Arial"/>
            <w:b/>
            <w:bCs/>
            <w:i/>
            <w:color w:val="0077CC"/>
            <w:kern w:val="32"/>
            <w:sz w:val="28"/>
            <w:szCs w:val="32"/>
            <w:u w:val="single"/>
            <w:shd w:val="clear" w:color="auto" w:fill="FFFFFF"/>
          </w:rPr>
          <w:t>03/03 Links Pt2: Meet the brilliant barrister battling lies about Israel; Filmmaker Steven Spielberg Says Global Antisemitism is 'Standing Proud,' 'No Longer Lurking'</w:t>
        </w:r>
      </w:hyperlink>
    </w:p>
    <w:p w14:paraId="670201C8" w14:textId="77777777" w:rsidR="00054BF0" w:rsidRDefault="00000000">
      <w:pPr>
        <w:spacing w:before="120" w:line="260" w:lineRule="atLeast"/>
        <w:jc w:val="center"/>
      </w:pPr>
      <w:r>
        <w:rPr>
          <w:rFonts w:ascii="Arial" w:eastAsia="Arial" w:hAnsi="Arial" w:cs="Arial"/>
          <w:color w:val="000000"/>
          <w:sz w:val="20"/>
        </w:rPr>
        <w:t xml:space="preserve">Newstex Blogs </w:t>
      </w:r>
    </w:p>
    <w:p w14:paraId="530B41DA" w14:textId="77777777" w:rsidR="00054BF0" w:rsidRDefault="00000000">
      <w:pPr>
        <w:spacing w:before="120" w:line="260" w:lineRule="atLeast"/>
        <w:jc w:val="center"/>
      </w:pPr>
      <w:r>
        <w:rPr>
          <w:rFonts w:ascii="Arial" w:eastAsia="Arial" w:hAnsi="Arial" w:cs="Arial"/>
          <w:color w:val="000000"/>
          <w:sz w:val="20"/>
        </w:rPr>
        <w:t>Elder of Ziyon</w:t>
      </w:r>
    </w:p>
    <w:p w14:paraId="71EA2D1F" w14:textId="77777777" w:rsidR="00054BF0" w:rsidRDefault="00000000">
      <w:pPr>
        <w:spacing w:before="120" w:line="260" w:lineRule="atLeast"/>
        <w:jc w:val="center"/>
      </w:pPr>
      <w:r>
        <w:rPr>
          <w:rFonts w:ascii="Arial" w:eastAsia="Arial" w:hAnsi="Arial" w:cs="Arial"/>
          <w:color w:val="000000"/>
          <w:sz w:val="20"/>
        </w:rPr>
        <w:t>March 3, 2023 Friday 11:25 PM EST</w:t>
      </w:r>
    </w:p>
    <w:p w14:paraId="3FD1F1CD" w14:textId="77777777" w:rsidR="00054BF0" w:rsidRDefault="00054BF0">
      <w:pPr>
        <w:spacing w:line="240" w:lineRule="atLeast"/>
        <w:jc w:val="both"/>
      </w:pPr>
    </w:p>
    <w:p w14:paraId="743622E8" w14:textId="77777777" w:rsidR="00054BF0" w:rsidRDefault="00000000">
      <w:pPr>
        <w:spacing w:before="120" w:line="220" w:lineRule="atLeast"/>
      </w:pPr>
      <w:r>
        <w:br/>
      </w:r>
      <w:r>
        <w:rPr>
          <w:rFonts w:ascii="Arial" w:eastAsia="Arial" w:hAnsi="Arial" w:cs="Arial"/>
          <w:color w:val="000000"/>
          <w:sz w:val="16"/>
        </w:rPr>
        <w:t>Copyright 2023 Newstex LLC All Rights Reserved</w:t>
      </w:r>
    </w:p>
    <w:p w14:paraId="5BE60B86"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8184 words</w:t>
      </w:r>
    </w:p>
    <w:p w14:paraId="23550D97"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Ian</w:t>
      </w:r>
    </w:p>
    <w:p w14:paraId="10F721A4" w14:textId="77777777" w:rsidR="00054BF0" w:rsidRDefault="00000000">
      <w:pPr>
        <w:keepNext/>
        <w:spacing w:before="240" w:line="340" w:lineRule="atLeast"/>
      </w:pPr>
      <w:bookmarkStart w:id="1" w:name="Body"/>
      <w:bookmarkEnd w:id="1"/>
      <w:r>
        <w:rPr>
          <w:rFonts w:ascii="Arial" w:eastAsia="Arial" w:hAnsi="Arial" w:cs="Arial"/>
          <w:b/>
          <w:color w:val="000000"/>
          <w:sz w:val="28"/>
        </w:rPr>
        <w:t>Body</w:t>
      </w:r>
    </w:p>
    <w:p w14:paraId="73D24480" w14:textId="77777777" w:rsidR="00054BF0" w:rsidRDefault="00000000">
      <w:pPr>
        <w:spacing w:line="60" w:lineRule="exact"/>
      </w:pPr>
      <w:r>
        <w:pict w14:anchorId="130BAC54">
          <v:line id="_x0000_s2051" style="position:absolute;z-index:251658240" from="0,2pt" to="512pt,2pt" strokecolor="#009ddb" strokeweight="2pt">
            <w10:wrap type="topAndBottom"/>
          </v:line>
        </w:pict>
      </w:r>
    </w:p>
    <w:p w14:paraId="649ADDFB" w14:textId="77777777" w:rsidR="00054BF0" w:rsidRDefault="00054BF0"/>
    <w:p w14:paraId="2442CD36" w14:textId="77777777" w:rsidR="00054BF0" w:rsidRDefault="00000000">
      <w:pPr>
        <w:spacing w:before="240" w:line="260" w:lineRule="atLeast"/>
        <w:jc w:val="both"/>
      </w:pPr>
      <w:r>
        <w:rPr>
          <w:rFonts w:ascii="Arial" w:eastAsia="Arial" w:hAnsi="Arial" w:cs="Arial"/>
          <w:color w:val="000000"/>
          <w:sz w:val="20"/>
        </w:rPr>
        <w:t xml:space="preserve">Mar 03, 2023( Elder of Ziyon: </w:t>
      </w:r>
      <w:hyperlink r:id="rId105" w:history="1">
        <w:r>
          <w:rPr>
            <w:rFonts w:ascii="Arial" w:eastAsia="Arial" w:hAnsi="Arial" w:cs="Arial"/>
            <w:i/>
            <w:color w:val="0077CC"/>
            <w:sz w:val="20"/>
            <w:u w:val="single"/>
            <w:shd w:val="clear" w:color="auto" w:fill="FFFFFF"/>
          </w:rPr>
          <w:t>http://elderofziyon.blogspot.com</w:t>
        </w:r>
      </w:hyperlink>
      <w:r>
        <w:rPr>
          <w:rFonts w:ascii="Arial" w:eastAsia="Arial" w:hAnsi="Arial" w:cs="Arial"/>
          <w:color w:val="000000"/>
          <w:sz w:val="20"/>
        </w:rPr>
        <w:t xml:space="preserve"> Delivered by Newstex)  </w:t>
      </w:r>
    </w:p>
    <w:p w14:paraId="31C76117" w14:textId="77777777" w:rsidR="00054BF0" w:rsidRDefault="00000000">
      <w:pPr>
        <w:spacing w:before="60" w:line="260" w:lineRule="atLeast"/>
        <w:jc w:val="both"/>
      </w:pPr>
      <w:r>
        <w:rPr>
          <w:rFonts w:ascii="Arial" w:eastAsia="Arial" w:hAnsi="Arial" w:cs="Arial"/>
          <w:color w:val="000000"/>
          <w:sz w:val="20"/>
        </w:rPr>
        <w:t xml:space="preserve"> From Ian:  </w:t>
      </w:r>
    </w:p>
    <w:p w14:paraId="48E48C57" w14:textId="77777777" w:rsidR="00054BF0" w:rsidRDefault="00000000">
      <w:pPr>
        <w:spacing w:before="60" w:line="260" w:lineRule="atLeast"/>
        <w:jc w:val="both"/>
      </w:pPr>
      <w:r>
        <w:rPr>
          <w:rFonts w:ascii="Arial" w:eastAsia="Arial" w:hAnsi="Arial" w:cs="Arial"/>
          <w:color w:val="000000"/>
          <w:sz w:val="20"/>
        </w:rPr>
        <w:t xml:space="preserve">A Second Purim Story[1] The application of age-old archetypes hasn't disappeared: Many people consider Hitler to have been of an Amalekite strain. But even if we draw metaphorical language from the canon, we are not imagining ourselves within it the way medieval Jewry did.  </w:t>
      </w:r>
    </w:p>
    <w:p w14:paraId="02E8CF69" w14:textId="77777777" w:rsidR="00054BF0" w:rsidRDefault="00000000">
      <w:pPr>
        <w:spacing w:before="200" w:line="260" w:lineRule="atLeast"/>
        <w:jc w:val="both"/>
      </w:pPr>
      <w:r>
        <w:rPr>
          <w:rFonts w:ascii="Arial" w:eastAsia="Arial" w:hAnsi="Arial" w:cs="Arial"/>
          <w:color w:val="000000"/>
          <w:sz w:val="20"/>
        </w:rPr>
        <w:t xml:space="preserve">When Haman slandered the Jewish people to King Ahasuerus, he described them as 'a certain people scattered and separate among the nations.' Medieval Jewry may have been geographically scattered and forcibly separated from interacting with the gentile world due to antisemitic laws, but within their own locales, they were not separated from one another. Today, we are more universalized than ever before—constantly updated on every news event happening halfway across the globe—but we are mentally scattered, emotionally removed, superficially scrolling. While human instinct demands that we bond briefly over tragedies, our Jewish community requires much deeper coalitions to celebrate averted ones.  </w:t>
      </w:r>
    </w:p>
    <w:p w14:paraId="38698E8A" w14:textId="77777777" w:rsidR="00054BF0" w:rsidRDefault="00000000">
      <w:pPr>
        <w:spacing w:before="200" w:line="260" w:lineRule="atLeast"/>
        <w:jc w:val="both"/>
      </w:pPr>
      <w:r>
        <w:rPr>
          <w:rFonts w:ascii="Arial" w:eastAsia="Arial" w:hAnsi="Arial" w:cs="Arial"/>
          <w:color w:val="000000"/>
          <w:sz w:val="20"/>
        </w:rPr>
        <w:t xml:space="preserve">The original Purim story famously makes no mention of God, which many interpret as a sign that diasporic Jews must pull themselves </w:t>
      </w:r>
      <w:r>
        <w:rPr>
          <w:rFonts w:ascii="Arial" w:eastAsia="Arial" w:hAnsi="Arial" w:cs="Arial"/>
          <w:b/>
          <w:i/>
          <w:color w:val="000000"/>
          <w:sz w:val="20"/>
          <w:u w:val="single"/>
        </w:rPr>
        <w:t>up</w:t>
      </w:r>
      <w:r>
        <w:rPr>
          <w:rFonts w:ascii="Arial" w:eastAsia="Arial" w:hAnsi="Arial" w:cs="Arial"/>
          <w:color w:val="000000"/>
          <w:sz w:val="20"/>
        </w:rPr>
        <w:t xml:space="preserve"> by their bootstraps to find the divine in the darkness. In Megillat Saragossa, however, God's name appears multiple times. The text insists that the Jews of Saragossa are God-fearing and God-following. More importantly, these mentions of a divine presence assure its audience—Jews of Saragossa and their descendants—that God has not abandoned them.  </w:t>
      </w:r>
    </w:p>
    <w:p w14:paraId="448E2218" w14:textId="77777777" w:rsidR="00054BF0" w:rsidRDefault="00000000">
      <w:pPr>
        <w:spacing w:line="260" w:lineRule="atLeast"/>
        <w:jc w:val="both"/>
      </w:pPr>
      <w:r>
        <w:rPr>
          <w:rFonts w:ascii="Arial" w:eastAsia="Arial" w:hAnsi="Arial" w:cs="Arial"/>
          <w:color w:val="000000"/>
          <w:sz w:val="20"/>
        </w:rPr>
        <w:t xml:space="preserve">The two Purims don't coincide on the Hebrew calendar: The Saragossa Purim falls on the 17th of Shevat, almost a month before Purim, which falls on the 14th of Adar. But all the mitzvot of the original Purim are fulfilled on the Second Purim as well: megillah reading, feasting, gifting mishloach manot, and giving charity. Some people even fast the day before. Scholars report that the Purim of Saragossa was celebrated in several Balkan communities into the 20th century and lasted for the longest time in Jerusalem. Most recently, in 2016, Albert Haim Samuel bequeathed the Megillat Saragossa he had received from his devout Izmirian grandmother Deborah—which is written on buckskin leather—to the Neve Shalom Synagogue in Istanbul. While the Samuel family had privately celebrated the holiday for years, Chief Rabbi Ishak Haleva declared that 'as a [Turkish] community we would very much like to celebrate Purim Saragossa every year.'  </w:t>
      </w:r>
    </w:p>
    <w:p w14:paraId="1BBEDB05" w14:textId="77777777" w:rsidR="00054BF0" w:rsidRDefault="00000000">
      <w:pPr>
        <w:spacing w:line="260" w:lineRule="atLeast"/>
        <w:jc w:val="both"/>
      </w:pPr>
      <w:r>
        <w:rPr>
          <w:rFonts w:ascii="Arial" w:eastAsia="Arial" w:hAnsi="Arial" w:cs="Arial"/>
          <w:color w:val="000000"/>
          <w:sz w:val="20"/>
        </w:rPr>
        <w:lastRenderedPageBreak/>
        <w:t xml:space="preserve">This year, on the 17th of Shevat (the eve of Feb. 7, 2023), cantor Isaac Gantwerk Mayer performed a livestreamed reading of Megillat Saragossa on YouTube. Hearing the words chanted in the familiar cantillation of Megillat Esther brought the text to life in a way I had not anticipated. It was like hearing past generations tell their own story through the same song: Transcending time and space, the original Purim and the Purim of Saragossa rhymed and overlapped, adding layers of nuance to an already rich Jewish narrative.Meet the brilliant barrister battling lies about Israel[2]Natasha Hausdorff's debut radio broadcast was during the Israel-Gaza conflict in 2014.  </w:t>
      </w:r>
    </w:p>
    <w:p w14:paraId="03E522AA" w14:textId="77777777" w:rsidR="00054BF0" w:rsidRDefault="00000000">
      <w:pPr>
        <w:spacing w:line="260" w:lineRule="atLeast"/>
        <w:jc w:val="both"/>
      </w:pPr>
      <w:r>
        <w:rPr>
          <w:rFonts w:ascii="Arial" w:eastAsia="Arial" w:hAnsi="Arial" w:cs="Arial"/>
          <w:color w:val="000000"/>
          <w:sz w:val="20"/>
        </w:rPr>
        <w:t xml:space="preserve">She'd been invited onto Nick Ferrari's breakfast show on LBC to debate Israel's military operation codenamed Protective Edge, and she left the London studio determined to go on air again.  </w:t>
      </w:r>
    </w:p>
    <w:p w14:paraId="086F910E" w14:textId="77777777" w:rsidR="00054BF0" w:rsidRDefault="00000000">
      <w:pPr>
        <w:spacing w:line="260" w:lineRule="atLeast"/>
        <w:jc w:val="both"/>
      </w:pPr>
      <w:r>
        <w:rPr>
          <w:rFonts w:ascii="Arial" w:eastAsia="Arial" w:hAnsi="Arial" w:cs="Arial"/>
          <w:color w:val="000000"/>
          <w:sz w:val="20"/>
        </w:rPr>
        <w:t xml:space="preserve">'It was a turning point. I was only 24 and a trainee solicitor, but I was able to tell Nick things about the anti-Israel propaganda machine that he had clearly never heard before. It felt good. Right.'  </w:t>
      </w:r>
    </w:p>
    <w:p w14:paraId="3B1C6987" w14:textId="77777777" w:rsidR="00054BF0" w:rsidRDefault="00000000">
      <w:pPr>
        <w:spacing w:line="260" w:lineRule="atLeast"/>
        <w:jc w:val="both"/>
      </w:pPr>
      <w:r>
        <w:rPr>
          <w:rFonts w:ascii="Arial" w:eastAsia="Arial" w:hAnsi="Arial" w:cs="Arial"/>
          <w:color w:val="000000"/>
          <w:sz w:val="20"/>
        </w:rPr>
        <w:t xml:space="preserve">This Sunday, the 33-year-old barrister and legal director of UK Lawyers for Israel will be making the country's case again at Jewish Book Week.  </w:t>
      </w:r>
    </w:p>
    <w:p w14:paraId="4C0936A9" w14:textId="77777777" w:rsidR="00054BF0" w:rsidRDefault="00000000">
      <w:pPr>
        <w:spacing w:line="260" w:lineRule="atLeast"/>
        <w:jc w:val="both"/>
      </w:pPr>
      <w:r>
        <w:rPr>
          <w:rFonts w:ascii="Arial" w:eastAsia="Arial" w:hAnsi="Arial" w:cs="Arial"/>
          <w:color w:val="000000"/>
          <w:sz w:val="20"/>
        </w:rPr>
        <w:t xml:space="preserve">Hausdorff, who clerked for the late President of the Israeli Supreme Court, Chief Justice Miriam Naor, is taking part in a roundtable discussion entitled, 'Israel: A Fragile Democracy?' with JC columnist Jonathan Freedland, fellow lawyer Anthony Julius and historian Sir Simon Schama.  </w:t>
      </w:r>
    </w:p>
    <w:p w14:paraId="1882CA56" w14:textId="77777777" w:rsidR="00054BF0" w:rsidRDefault="00000000">
      <w:pPr>
        <w:spacing w:line="260" w:lineRule="atLeast"/>
        <w:jc w:val="both"/>
      </w:pPr>
      <w:r>
        <w:rPr>
          <w:rFonts w:ascii="Arial" w:eastAsia="Arial" w:hAnsi="Arial" w:cs="Arial"/>
          <w:color w:val="000000"/>
          <w:sz w:val="20"/>
        </w:rPr>
        <w:t xml:space="preserve">The exact remit of their conversation is still to be determined, she says, but its general departure point is the new Israeli government's planned changes to the judicial system: a proposal Supreme Court president Esther Hayut has described as 'a plan to crush the justice system', that opposition leader Yair Lapid has said is a 'struggle for the soul of the country' — and which saw 80,000 Israelis take to the streets in protest earlier this year.  </w:t>
      </w:r>
    </w:p>
    <w:p w14:paraId="6C991005" w14:textId="77777777" w:rsidR="00054BF0" w:rsidRDefault="00000000">
      <w:pPr>
        <w:spacing w:line="260" w:lineRule="atLeast"/>
        <w:jc w:val="both"/>
      </w:pPr>
      <w:r>
        <w:rPr>
          <w:rFonts w:ascii="Arial" w:eastAsia="Arial" w:hAnsi="Arial" w:cs="Arial"/>
          <w:color w:val="000000"/>
          <w:sz w:val="20"/>
        </w:rPr>
        <w:t xml:space="preserve">Hausdorff, a specialist in international law, takes a more careful, nuanced view. 'Look, the idea of reforming Israel's judicial system shouldn't come as a surprise to anyone,' she says.  </w:t>
      </w:r>
    </w:p>
    <w:p w14:paraId="4708744C" w14:textId="77777777" w:rsidR="00054BF0" w:rsidRDefault="00000000">
      <w:pPr>
        <w:spacing w:line="260" w:lineRule="atLeast"/>
        <w:jc w:val="both"/>
      </w:pPr>
      <w:r>
        <w:rPr>
          <w:rFonts w:ascii="Arial" w:eastAsia="Arial" w:hAnsi="Arial" w:cs="Arial"/>
          <w:color w:val="000000"/>
          <w:sz w:val="20"/>
        </w:rPr>
        <w:t xml:space="preserve">'The country doesn't have the written constitution that was envisaged at its declaration of independence because immediately thereafter it had to fight a war of survival, and people have been talking about reforming the system for decades.  </w:t>
      </w:r>
    </w:p>
    <w:p w14:paraId="2A62516A" w14:textId="77777777" w:rsidR="00054BF0" w:rsidRDefault="00000000">
      <w:pPr>
        <w:spacing w:line="260" w:lineRule="atLeast"/>
        <w:jc w:val="both"/>
      </w:pPr>
      <w:r>
        <w:rPr>
          <w:rFonts w:ascii="Arial" w:eastAsia="Arial" w:hAnsi="Arial" w:cs="Arial"/>
          <w:color w:val="000000"/>
          <w:sz w:val="20"/>
        </w:rPr>
        <w:t xml:space="preserve">"When change is implemented, I hope it is with broad political input and general common sense. But right now, the opposition in Israel is encouraging protests and letters of concern from people around the world who are commenting on the situation from an uninformed position. And who, in some cases, have been very badly misinformed indeed."  </w:t>
      </w:r>
    </w:p>
    <w:p w14:paraId="18DA2621" w14:textId="77777777" w:rsidR="00054BF0" w:rsidRDefault="00000000">
      <w:pPr>
        <w:spacing w:before="240" w:line="260" w:lineRule="atLeast"/>
        <w:jc w:val="both"/>
      </w:pPr>
      <w:r>
        <w:rPr>
          <w:rFonts w:ascii="Arial" w:eastAsia="Arial" w:hAnsi="Arial" w:cs="Arial"/>
          <w:color w:val="000000"/>
          <w:sz w:val="20"/>
        </w:rPr>
        <w:t>Putting the 'badly misinformed' right, correcting the swathes of untruths that surround the Jewish state, is a moral compulsion for Hausdorff. And she felt the urge from an early age.</w:t>
      </w:r>
      <w:hyperlink r:id="rId106" w:history="1">
        <w:r>
          <w:rPr>
            <w:rFonts w:ascii="Arial" w:eastAsia="Arial" w:hAnsi="Arial" w:cs="Arial"/>
            <w:i/>
            <w:color w:val="0077CC"/>
            <w:sz w:val="20"/>
            <w:u w:val="single"/>
            <w:shd w:val="clear" w:color="auto" w:fill="FFFFFF"/>
          </w:rPr>
          <w:t>https://blogger.googleusercontent.com/img/b/R29vZ2xl/AVvXsEhjFpVW8HgIJR_v--WQHkUCP8SbqcFtBEyo7MJzvmHFPAN9ZVHkiBcBq2RLiXgI1247O3a27Y4MW8O_WLcraP_XEYtpD8TQ9aciccCNE4odZ14VtXzVhtyFB2KPcFcj5Z7UZLf99ykPare1F92ZmP3uPn7SYnXNp2VdXTbq9hQ7dXryfrJ5Gw/s520/Fp-xJIpXsAEmDNs.jpg</w:t>
        </w:r>
      </w:hyperlink>
      <w:r>
        <w:rPr>
          <w:rFonts w:ascii="Arial" w:eastAsia="Arial" w:hAnsi="Arial" w:cs="Arial"/>
          <w:color w:val="000000"/>
          <w:sz w:val="20"/>
        </w:rPr>
        <w:t xml:space="preserve">  </w:t>
      </w:r>
    </w:p>
    <w:p w14:paraId="03F57292" w14:textId="77777777" w:rsidR="00054BF0" w:rsidRDefault="00000000">
      <w:pPr>
        <w:spacing w:line="260" w:lineRule="atLeast"/>
        <w:jc w:val="both"/>
      </w:pPr>
      <w:r>
        <w:rPr>
          <w:rFonts w:ascii="Arial" w:eastAsia="Arial" w:hAnsi="Arial" w:cs="Arial"/>
          <w:color w:val="000000"/>
          <w:sz w:val="20"/>
        </w:rPr>
        <w:t xml:space="preserve">Jonathan Tobin: Should American Jews intervene to stop Netanyahu?[3]When the courts didn't protect the right to dissent The recent mass demonstrations call to mind the last time a government used its Knesset majority to legislate change that provoked mass dissent. Only that time, the tables were turned.  </w:t>
      </w:r>
    </w:p>
    <w:p w14:paraId="7A38EF73" w14:textId="77777777" w:rsidR="00054BF0" w:rsidRDefault="00000000">
      <w:pPr>
        <w:spacing w:line="260" w:lineRule="atLeast"/>
        <w:jc w:val="both"/>
      </w:pPr>
      <w:r>
        <w:rPr>
          <w:rFonts w:ascii="Arial" w:eastAsia="Arial" w:hAnsi="Arial" w:cs="Arial"/>
          <w:color w:val="000000"/>
          <w:sz w:val="20"/>
        </w:rPr>
        <w:t xml:space="preserve">From 1993 to 1995, the government led by the late Prime Minister Yitzhak Rabin pushed ahead with the implementation of the Oslo Accords, empowering Yasser Arafat and the terrorist Palestine Liberation Organization he led. Those who opposed that government used inflammatory rhetoric and, yes, tried to block the highways.  </w:t>
      </w:r>
    </w:p>
    <w:p w14:paraId="7547199E" w14:textId="77777777" w:rsidR="00054BF0" w:rsidRDefault="00000000">
      <w:pPr>
        <w:spacing w:line="260" w:lineRule="atLeast"/>
        <w:jc w:val="both"/>
      </w:pPr>
      <w:r>
        <w:rPr>
          <w:rFonts w:ascii="Arial" w:eastAsia="Arial" w:hAnsi="Arial" w:cs="Arial"/>
          <w:color w:val="000000"/>
          <w:sz w:val="20"/>
        </w:rPr>
        <w:t xml:space="preserve">At that time, Jewish Federations were not interested in the rights of the minority or preserving Israeli democracy. Since they agreed with the ruling Labor Party that Oslo was a triumph rather than the blood-soaked disaster that it proved to be, they wholeheartedly endorsed it. And they damned any dissenters in Israel or the United States as not merely wrong but as enemies of democracy because Rabin had the votes in the Knesset to do as he liked.  </w:t>
      </w:r>
    </w:p>
    <w:p w14:paraId="43AEB291" w14:textId="77777777" w:rsidR="00054BF0" w:rsidRDefault="00000000">
      <w:pPr>
        <w:spacing w:before="200" w:line="260" w:lineRule="atLeast"/>
        <w:jc w:val="both"/>
      </w:pPr>
      <w:r>
        <w:rPr>
          <w:rFonts w:ascii="Arial" w:eastAsia="Arial" w:hAnsi="Arial" w:cs="Arial"/>
          <w:color w:val="000000"/>
          <w:sz w:val="20"/>
        </w:rPr>
        <w:t xml:space="preserve">The Rabin government was even more contemptuous of its opponents than Netanyahu is now and treated dissent as criminal. Those who had led protests aimed at tying </w:t>
      </w:r>
      <w:r>
        <w:rPr>
          <w:rFonts w:ascii="Arial" w:eastAsia="Arial" w:hAnsi="Arial" w:cs="Arial"/>
          <w:b/>
          <w:i/>
          <w:color w:val="000000"/>
          <w:sz w:val="20"/>
          <w:u w:val="single"/>
        </w:rPr>
        <w:t>up</w:t>
      </w:r>
      <w:r>
        <w:rPr>
          <w:rFonts w:ascii="Arial" w:eastAsia="Arial" w:hAnsi="Arial" w:cs="Arial"/>
          <w:color w:val="000000"/>
          <w:sz w:val="20"/>
        </w:rPr>
        <w:t xml:space="preserve"> the highways and attacks on the government not dissimilar to what's happening in Israel today were charged and ultimately convicted of 'sedition'—treasonous activity—in an outrageous breach of democratic norms. Yet the Israeli Supreme Court, led by Barak, didn't intervene on their behalf.  </w:t>
      </w:r>
    </w:p>
    <w:p w14:paraId="20053B5F" w14:textId="77777777" w:rsidR="00054BF0" w:rsidRDefault="00000000">
      <w:pPr>
        <w:spacing w:line="260" w:lineRule="atLeast"/>
        <w:jc w:val="both"/>
      </w:pPr>
      <w:r>
        <w:rPr>
          <w:rFonts w:ascii="Arial" w:eastAsia="Arial" w:hAnsi="Arial" w:cs="Arial"/>
          <w:color w:val="000000"/>
          <w:sz w:val="20"/>
        </w:rPr>
        <w:lastRenderedPageBreak/>
        <w:t xml:space="preserve">This is important—and not just because the lessons that were supposedly drawn from this period of Israeli civil strife have generally been considered to hold that toleration of extreme and violent rhetoric can possibly lead to violent actions, such as Rabin's tragic and appalling assassination by an extremist foe of his policies.  </w:t>
      </w:r>
    </w:p>
    <w:p w14:paraId="03C36510" w14:textId="77777777" w:rsidR="00054BF0" w:rsidRDefault="00000000">
      <w:pPr>
        <w:spacing w:line="260" w:lineRule="atLeast"/>
        <w:jc w:val="both"/>
      </w:pPr>
      <w:r>
        <w:rPr>
          <w:rFonts w:ascii="Arial" w:eastAsia="Arial" w:hAnsi="Arial" w:cs="Arial"/>
          <w:color w:val="000000"/>
          <w:sz w:val="20"/>
        </w:rPr>
        <w:t xml:space="preserve">Rather, what should be gleaned from this sorry chapter of Israeli history, as with other such examples since then, that contrary to the claims that the current Israeli judicial system is a necessary check on the power of the prime minister and the Knesset that preserves democracy, in practice, it is nothing of the kind. It has merely been a political weapon wielded by one side in the country's political wars. The court consistently intervenes to stop the right from governing and to preserve the rights of groups that oppose Netanyahu but has always been happy to let the left crush its opponents when it is in power. Whether or not you sympathized with Rabin or his critics (or now with Netanyahu or his critics), that, too, isn't democracy.  </w:t>
      </w:r>
    </w:p>
    <w:p w14:paraId="7A08B71A" w14:textId="77777777" w:rsidR="00054BF0" w:rsidRDefault="00000000">
      <w:pPr>
        <w:spacing w:line="260" w:lineRule="atLeast"/>
        <w:jc w:val="both"/>
      </w:pPr>
      <w:r>
        <w:rPr>
          <w:rFonts w:ascii="Arial" w:eastAsia="Arial" w:hAnsi="Arial" w:cs="Arial"/>
          <w:color w:val="000000"/>
          <w:sz w:val="20"/>
        </w:rPr>
        <w:t xml:space="preserve">American intervention won't help democracy Those parts of the pro-Israel community, like AIPAC, who have stayed out of the maelstrom, are demonstrating their understanding that the best way to preserve democracy is to let the democratic process play out. That means letting Israel's voters decide who governs as they did only four months ago when they gave Netanyahu's coalition a clear majority. And then judging them on their performance at the next election.  </w:t>
      </w:r>
    </w:p>
    <w:p w14:paraId="3B656BAA" w14:textId="77777777" w:rsidR="00054BF0" w:rsidRDefault="00000000">
      <w:pPr>
        <w:spacing w:before="200" w:line="260" w:lineRule="atLeast"/>
        <w:jc w:val="both"/>
      </w:pPr>
      <w:r>
        <w:rPr>
          <w:rFonts w:ascii="Arial" w:eastAsia="Arial" w:hAnsi="Arial" w:cs="Arial"/>
          <w:color w:val="000000"/>
          <w:sz w:val="20"/>
        </w:rPr>
        <w:t xml:space="preserve">Jacobs's pretense that he is fighting for democracy doesn't stand </w:t>
      </w:r>
      <w:r>
        <w:rPr>
          <w:rFonts w:ascii="Arial" w:eastAsia="Arial" w:hAnsi="Arial" w:cs="Arial"/>
          <w:b/>
          <w:i/>
          <w:color w:val="000000"/>
          <w:sz w:val="20"/>
          <w:u w:val="single"/>
        </w:rPr>
        <w:t>up</w:t>
      </w:r>
      <w:r>
        <w:rPr>
          <w:rFonts w:ascii="Arial" w:eastAsia="Arial" w:hAnsi="Arial" w:cs="Arial"/>
          <w:color w:val="000000"/>
          <w:sz w:val="20"/>
        </w:rPr>
        <w:t xml:space="preserve"> to scrutiny. While those who have chosen the path of intervention in Israeli politics are free to do so, they lack both the humility that foreign observers should have in such situations and are, in this case, merely acting as a cheering section for one side in a political dispute. Their goal, as well as that of the leaders of the current protest, isn't to preserve democracy but to topple Netanyahu—and to keep those who represent right-wing and religious voters from exercising meaningful power.  </w:t>
      </w:r>
    </w:p>
    <w:p w14:paraId="3CE01F1E" w14:textId="77777777" w:rsidR="00054BF0" w:rsidRDefault="00000000">
      <w:pPr>
        <w:spacing w:line="260" w:lineRule="atLeast"/>
        <w:jc w:val="both"/>
      </w:pPr>
      <w:r>
        <w:rPr>
          <w:rFonts w:ascii="Arial" w:eastAsia="Arial" w:hAnsi="Arial" w:cs="Arial"/>
          <w:color w:val="000000"/>
          <w:sz w:val="20"/>
        </w:rPr>
        <w:t xml:space="preserve">Just as important, by calling, as some have done, for the Biden administration to use its considerable power to join this effort to undo the last election, they are crossing a line that can lead only to splintering the ties between the United States and Israel, as well as between Israeli and American Jewry. In the process, they are also lending credence to the smears of left-wing opponents of Israel who also seek to deny that it is a democracy.  </w:t>
      </w:r>
    </w:p>
    <w:p w14:paraId="7D168AE0" w14:textId="77777777" w:rsidR="00054BF0" w:rsidRDefault="00000000">
      <w:pPr>
        <w:spacing w:line="260" w:lineRule="atLeast"/>
        <w:jc w:val="both"/>
      </w:pPr>
      <w:r>
        <w:rPr>
          <w:rFonts w:ascii="Arial" w:eastAsia="Arial" w:hAnsi="Arial" w:cs="Arial"/>
          <w:color w:val="000000"/>
          <w:sz w:val="20"/>
        </w:rPr>
        <w:t xml:space="preserve">Those who love Israel must hope that ultimately reason prevails and that enough of the reforms can be passed so as to restore democracy while being done so in a way that will enable civil peace. That will mean compromise, though not the mob actions and efforts to delegitimize democratic opponents that Netanyahu's foes are employing. Americans who want to assist that process of reconciliation will do well to speak with some circumspection, rather than embodying the worst of the partisan excesses that now characterize politics in both Washington and Jerusalem.Mark Regev: US-Israel ties have gone from strength to strength since 2001[4]IT WAS therefore understandable that Sharon's Czechoslovakia comments would ignite a diplomatic firestorm. White House spokesperson Ari Fleischer responded: 'The president believes that these remarks are unacceptable. Israel could have no better or stronger friend than the United States and no better friend than President Bush.'  </w:t>
      </w:r>
    </w:p>
    <w:p w14:paraId="64DAB06E" w14:textId="77777777" w:rsidR="00054BF0" w:rsidRDefault="00000000">
      <w:pPr>
        <w:spacing w:line="260" w:lineRule="atLeast"/>
        <w:jc w:val="both"/>
      </w:pPr>
      <w:r>
        <w:rPr>
          <w:rFonts w:ascii="Arial" w:eastAsia="Arial" w:hAnsi="Arial" w:cs="Arial"/>
          <w:color w:val="000000"/>
          <w:sz w:val="20"/>
        </w:rPr>
        <w:t xml:space="preserve">Sharon realized he had gone too far in his Bush-Chamberlain analogy. Key Jerusalem-based American correspondents received phone calls on October 7 from the prime minister: 'Unfortunately, the metaphor in my words was not understood correctly, and I'm sorry about that.' The reporters, having repeatedly seen interview requests turned down, were now pleasantly surprised to find Sharon eager to talk.  </w:t>
      </w:r>
    </w:p>
    <w:p w14:paraId="34AF4BF2" w14:textId="77777777" w:rsidR="00054BF0" w:rsidRDefault="00000000">
      <w:pPr>
        <w:spacing w:line="260" w:lineRule="atLeast"/>
        <w:jc w:val="both"/>
      </w:pPr>
      <w:r>
        <w:rPr>
          <w:rFonts w:ascii="Arial" w:eastAsia="Arial" w:hAnsi="Arial" w:cs="Arial"/>
          <w:color w:val="000000"/>
          <w:sz w:val="20"/>
        </w:rPr>
        <w:t xml:space="preserve">The public apology ended the crisis, and as the optimists had initially predicted, in the years after 9/11, US-Israel ties did indeed go from strength to strength.  </w:t>
      </w:r>
    </w:p>
    <w:p w14:paraId="4401508A" w14:textId="77777777" w:rsidR="00054BF0" w:rsidRDefault="00000000">
      <w:pPr>
        <w:spacing w:line="260" w:lineRule="atLeast"/>
        <w:jc w:val="both"/>
      </w:pPr>
      <w:r>
        <w:rPr>
          <w:rFonts w:ascii="Arial" w:eastAsia="Arial" w:hAnsi="Arial" w:cs="Arial"/>
          <w:color w:val="000000"/>
          <w:sz w:val="20"/>
        </w:rPr>
        <w:t xml:space="preserve">Postscript: In 1945-46, newly liberated Czechoslovakia expelled the Sudeten Germans, and an estimated 2.5 million people were forcibly transferred to Germany. The deportations were often harrowing and sometimes violent, with thousands of deaths among those ousted.  </w:t>
      </w:r>
    </w:p>
    <w:p w14:paraId="017B9EDF" w14:textId="77777777" w:rsidR="00054BF0" w:rsidRDefault="00000000">
      <w:pPr>
        <w:spacing w:line="260" w:lineRule="atLeast"/>
        <w:jc w:val="both"/>
      </w:pPr>
      <w:r>
        <w:rPr>
          <w:rFonts w:ascii="Arial" w:eastAsia="Arial" w:hAnsi="Arial" w:cs="Arial"/>
          <w:color w:val="000000"/>
          <w:sz w:val="20"/>
        </w:rPr>
        <w:t xml:space="preserve">Despite this 'ethnic cleansing,' Prague's post-war democratic leaders, president Edvard Benes and foreign minister Jan Masaryk, remained respected European statesmen. It was widely perceived that a domestic national minority, which had collaborated with the hostile designs of an aggressive neighbor to destroy the democratic state where it lived, was only receiving just deserves.  </w:t>
      </w:r>
    </w:p>
    <w:p w14:paraId="7E8A713A" w14:textId="77777777" w:rsidR="00054BF0" w:rsidRDefault="00000000">
      <w:pPr>
        <w:spacing w:line="260" w:lineRule="atLeast"/>
        <w:jc w:val="both"/>
      </w:pPr>
      <w:r>
        <w:rPr>
          <w:rFonts w:ascii="Arial" w:eastAsia="Arial" w:hAnsi="Arial" w:cs="Arial"/>
          <w:color w:val="000000"/>
          <w:sz w:val="20"/>
        </w:rPr>
        <w:t xml:space="preserve">It was not just the Sudeten Germans who were compelled to abandon their homes. Following World War II, tens of millions across Europe, Asia and the Middle East were forcibly displaced, including the Jews of the Arab lands. Yet, for myriad reasons, it is the Palestinian refugee saga that eclipses all others in receiving ongoing international attention.New Leader of Italy's Main Left-Wing Party Raises Concern With Attacks on Israel and Comments on Her </w:t>
      </w:r>
      <w:r>
        <w:rPr>
          <w:rFonts w:ascii="Arial" w:eastAsia="Arial" w:hAnsi="Arial" w:cs="Arial"/>
          <w:color w:val="000000"/>
          <w:sz w:val="20"/>
        </w:rPr>
        <w:lastRenderedPageBreak/>
        <w:t xml:space="preserve">Jewish Origins[5]In May 2021, during the war between Israel and Hamas in Gaza, Schlein issued a statement decrying what she called the 'asymmetrical' nature of the conflict.  </w:t>
      </w:r>
    </w:p>
    <w:p w14:paraId="2026C252" w14:textId="77777777" w:rsidR="00054BF0" w:rsidRDefault="00000000">
      <w:pPr>
        <w:spacing w:line="260" w:lineRule="atLeast"/>
        <w:jc w:val="both"/>
      </w:pPr>
      <w:r>
        <w:rPr>
          <w:rFonts w:ascii="Arial" w:eastAsia="Arial" w:hAnsi="Arial" w:cs="Arial"/>
          <w:color w:val="000000"/>
          <w:sz w:val="20"/>
        </w:rPr>
        <w:t xml:space="preserve">'In Gaza, there is an explosion of violence not since the intifada[s] of the 1980s and 200s that is causing suffering and destruction, with many children among the victims,' she wrote. 'But I read too many reports and statements that do not understand that we are not facing a symmetrical clash.'  </w:t>
      </w:r>
    </w:p>
    <w:p w14:paraId="09F999BC" w14:textId="77777777" w:rsidR="00054BF0" w:rsidRDefault="00000000">
      <w:pPr>
        <w:spacing w:line="260" w:lineRule="atLeast"/>
        <w:jc w:val="both"/>
      </w:pPr>
      <w:r>
        <w:rPr>
          <w:rFonts w:ascii="Arial" w:eastAsia="Arial" w:hAnsi="Arial" w:cs="Arial"/>
          <w:color w:val="000000"/>
          <w:sz w:val="20"/>
        </w:rPr>
        <w:t xml:space="preserve">Schlein went on to accuse Israel of the 'ethnic cleansing of Palestinians from [Jerusalem neighborhood] Sheikh Jarrah and beyond,' arguing that 'the balance of power is totally skewed in favor of Israel.' She called for a solution that recognized 'the fundamental rights of the Palestinian people by ending Israel's illegal settlements and occupation.'  </w:t>
      </w:r>
    </w:p>
    <w:p w14:paraId="478B81E3" w14:textId="77777777" w:rsidR="00054BF0" w:rsidRDefault="00000000">
      <w:pPr>
        <w:spacing w:line="260" w:lineRule="atLeast"/>
        <w:jc w:val="both"/>
      </w:pPr>
      <w:r>
        <w:rPr>
          <w:rFonts w:ascii="Arial" w:eastAsia="Arial" w:hAnsi="Arial" w:cs="Arial"/>
          <w:color w:val="000000"/>
          <w:sz w:val="20"/>
        </w:rPr>
        <w:t xml:space="preserve">Schlein also drew criticism when she appeared at Palestinian solidarity conference in Milan in April 2018, on a panel attacking the US decision to move its embassy in Israel to Jerusalem that described Israel's capital as the 'capital of Palestine.' While Schlein has not expressed outright support for the BDS movement targeting Israel, a number of BDS supporters spoke at the same conference, among them Francesco Giordano, a former left-wing terrorist convicted of the 1980 murder of Walter Tobagi, a Catholic journalist.  </w:t>
      </w:r>
    </w:p>
    <w:p w14:paraId="4E02AAF8" w14:textId="77777777" w:rsidR="00054BF0" w:rsidRDefault="00000000">
      <w:pPr>
        <w:spacing w:line="260" w:lineRule="atLeast"/>
        <w:jc w:val="both"/>
      </w:pPr>
      <w:r>
        <w:rPr>
          <w:rFonts w:ascii="Arial" w:eastAsia="Arial" w:hAnsi="Arial" w:cs="Arial"/>
          <w:color w:val="000000"/>
          <w:sz w:val="20"/>
        </w:rPr>
        <w:t xml:space="preserve">Several Italian pundits have pointed to Schlein's lukewarm support for Ukraine's democratic government as the potential trigger for a mass exodus of centrist PD members.  </w:t>
      </w:r>
    </w:p>
    <w:p w14:paraId="5765CD33" w14:textId="77777777" w:rsidR="00054BF0" w:rsidRDefault="00000000">
      <w:pPr>
        <w:spacing w:before="240" w:line="260" w:lineRule="atLeast"/>
        <w:jc w:val="both"/>
      </w:pPr>
      <w:r>
        <w:rPr>
          <w:rFonts w:ascii="Arial" w:eastAsia="Arial" w:hAnsi="Arial" w:cs="Arial"/>
          <w:color w:val="000000"/>
          <w:sz w:val="20"/>
        </w:rPr>
        <w:t xml:space="preserve">The Swiss-born Schlein worked as a volunteer in Chicago for former US President Barack Obama's presidential campaigns in 2008 and 2012 before moving to Italy in 2013. She was elected to the European parliament in 2014 before becoming the vice-president of the Emilia-Romagna region in 2020. Her campaign for the leadership of the PD was launched in 2022. Peter is opening a can of worms that will boomerang straight to antizionists faces. You're gonna make 'Judeo Nazi' legitimate, expect to receive K*po legitimately. </w:t>
      </w:r>
      <w:hyperlink r:id="rId107" w:history="1">
        <w:r>
          <w:rPr>
            <w:rFonts w:ascii="Arial" w:eastAsia="Arial" w:hAnsi="Arial" w:cs="Arial"/>
            <w:i/>
            <w:color w:val="0077CC"/>
            <w:sz w:val="20"/>
            <w:u w:val="single"/>
            <w:shd w:val="clear" w:color="auto" w:fill="FFFFFF"/>
          </w:rPr>
          <w:t>https://t.co/PT4tMt5PGS</w:t>
        </w:r>
      </w:hyperlink>
      <w:r>
        <w:rPr>
          <w:rFonts w:ascii="Arial" w:eastAsia="Arial" w:hAnsi="Arial" w:cs="Arial"/>
          <w:color w:val="000000"/>
          <w:sz w:val="20"/>
        </w:rPr>
        <w:t xml:space="preserve">[6] — Claire (@Claire_V0ltaire) March 3, 2023[7]  </w:t>
      </w:r>
    </w:p>
    <w:p w14:paraId="777E06F3" w14:textId="77777777" w:rsidR="00054BF0" w:rsidRDefault="00000000">
      <w:pPr>
        <w:spacing w:line="260" w:lineRule="atLeast"/>
        <w:jc w:val="both"/>
      </w:pPr>
      <w:r>
        <w:rPr>
          <w:rFonts w:ascii="Arial" w:eastAsia="Arial" w:hAnsi="Arial" w:cs="Arial"/>
          <w:color w:val="000000"/>
          <w:sz w:val="20"/>
        </w:rPr>
        <w:t xml:space="preserve">Pro-Palestinian activist went looking to beat Jews at NYC Israel rally - prosecutors[8]A pro-Palestinian activist who committed a series of attacks on Jews in New York City in 2021 and 2022 discussed bringing firebombs to a pro-Israel rally, bragged about antisemitic assaults and plotted how to evade law enforcement, according to federal prosecutors.  </w:t>
      </w:r>
    </w:p>
    <w:p w14:paraId="38DD87EC" w14:textId="77777777" w:rsidR="00054BF0" w:rsidRDefault="00000000">
      <w:pPr>
        <w:spacing w:before="200" w:line="260" w:lineRule="atLeast"/>
        <w:jc w:val="both"/>
      </w:pPr>
      <w:r>
        <w:rPr>
          <w:rFonts w:ascii="Arial" w:eastAsia="Arial" w:hAnsi="Arial" w:cs="Arial"/>
          <w:color w:val="000000"/>
          <w:sz w:val="20"/>
        </w:rPr>
        <w:t xml:space="preserve">Saadah Masoud pleaded guilty to conspiracy to commit hate crimes in federal court in November as part of a plea agreement. His sentencing for separate attacks on three Jews will be held on Friday in the Southern District Court of New York. He faces </w:t>
      </w:r>
      <w:r>
        <w:rPr>
          <w:rFonts w:ascii="Arial" w:eastAsia="Arial" w:hAnsi="Arial" w:cs="Arial"/>
          <w:b/>
          <w:i/>
          <w:color w:val="000000"/>
          <w:sz w:val="20"/>
          <w:u w:val="single"/>
        </w:rPr>
        <w:t>up</w:t>
      </w:r>
      <w:r>
        <w:rPr>
          <w:rFonts w:ascii="Arial" w:eastAsia="Arial" w:hAnsi="Arial" w:cs="Arial"/>
          <w:color w:val="000000"/>
          <w:sz w:val="20"/>
        </w:rPr>
        <w:t xml:space="preserve"> to two years in prison.  </w:t>
      </w:r>
    </w:p>
    <w:p w14:paraId="25B43517" w14:textId="77777777" w:rsidR="00054BF0" w:rsidRDefault="00000000">
      <w:pPr>
        <w:spacing w:line="260" w:lineRule="atLeast"/>
        <w:jc w:val="both"/>
      </w:pPr>
      <w:r>
        <w:rPr>
          <w:rFonts w:ascii="Arial" w:eastAsia="Arial" w:hAnsi="Arial" w:cs="Arial"/>
          <w:color w:val="000000"/>
          <w:sz w:val="20"/>
        </w:rPr>
        <w:t xml:space="preserve">In a sentencing submission last week, prosecutors laid out discussions Masoud held with his associates around the time of the crimes that indicated the attacks were planned and targeted people they believed to be Jewish or Israeli. Masoud's defense said the attacks were politically and personally motivated.  </w:t>
      </w:r>
    </w:p>
    <w:p w14:paraId="0D656A5B" w14:textId="77777777" w:rsidR="00054BF0" w:rsidRDefault="00000000">
      <w:pPr>
        <w:spacing w:line="260" w:lineRule="atLeast"/>
        <w:jc w:val="both"/>
      </w:pPr>
      <w:r>
        <w:rPr>
          <w:rFonts w:ascii="Arial" w:eastAsia="Arial" w:hAnsi="Arial" w:cs="Arial"/>
          <w:color w:val="000000"/>
          <w:sz w:val="20"/>
        </w:rPr>
        <w:t xml:space="preserve">In May of 2021, around the time of a conflict between Israel and the Hamas terror group, Masoud discussed disrupting a pro-Israel rally in Manhattan in a group chat on the Signal messaging app.  </w:t>
      </w:r>
    </w:p>
    <w:p w14:paraId="06ADE4FA" w14:textId="77777777" w:rsidR="00054BF0" w:rsidRDefault="00000000">
      <w:pPr>
        <w:spacing w:line="260" w:lineRule="atLeast"/>
        <w:jc w:val="both"/>
      </w:pPr>
      <w:r>
        <w:rPr>
          <w:rFonts w:ascii="Arial" w:eastAsia="Arial" w:hAnsi="Arial" w:cs="Arial"/>
          <w:color w:val="000000"/>
          <w:sz w:val="20"/>
        </w:rPr>
        <w:t xml:space="preserve">The group discussed bringing weapons to the pro-Israel rally, including Molotov cocktails, prosecutors said.  </w:t>
      </w:r>
    </w:p>
    <w:p w14:paraId="5835FBF9" w14:textId="77777777" w:rsidR="00054BF0" w:rsidRDefault="00000000">
      <w:pPr>
        <w:spacing w:line="260" w:lineRule="atLeast"/>
        <w:jc w:val="both"/>
      </w:pPr>
      <w:r>
        <w:rPr>
          <w:rFonts w:ascii="Arial" w:eastAsia="Arial" w:hAnsi="Arial" w:cs="Arial"/>
          <w:color w:val="000000"/>
          <w:sz w:val="20"/>
        </w:rPr>
        <w:t xml:space="preserve">One of the participants said, 'Remember, don't chant out Jews, it's the Zionists,' apparently to evade allegations of antisemitism. Many Jewish advocates hold that anti-Zionism is often a cover for antisemitism. Masoud expressed support for the statement in the group chat.  </w:t>
      </w:r>
    </w:p>
    <w:p w14:paraId="2A105F4B" w14:textId="77777777" w:rsidR="00054BF0" w:rsidRDefault="00000000">
      <w:pPr>
        <w:spacing w:line="260" w:lineRule="atLeast"/>
        <w:jc w:val="both"/>
      </w:pPr>
      <w:r>
        <w:rPr>
          <w:rFonts w:ascii="Arial" w:eastAsia="Arial" w:hAnsi="Arial" w:cs="Arial"/>
          <w:color w:val="000000"/>
          <w:sz w:val="20"/>
        </w:rPr>
        <w:t xml:space="preserve">Another participant in the group chat said, 'Fuck all Jews.'  </w:t>
      </w:r>
    </w:p>
    <w:p w14:paraId="51247FEF" w14:textId="77777777" w:rsidR="00054BF0" w:rsidRDefault="00000000">
      <w:pPr>
        <w:spacing w:line="260" w:lineRule="atLeast"/>
        <w:jc w:val="both"/>
      </w:pPr>
      <w:r>
        <w:rPr>
          <w:rFonts w:ascii="Arial" w:eastAsia="Arial" w:hAnsi="Arial" w:cs="Arial"/>
          <w:color w:val="000000"/>
          <w:sz w:val="20"/>
        </w:rPr>
        <w:t xml:space="preserve">'The defendant's attempt to place his actions in the context of international affairs should be given little, if any credence,' prosecutors wrote. 'The veil of 'anti-Zionism' is pathetically thin in this case.' Saadah Masoud is scheduled to be sentenced on Friday, March 3, 2023 after pleading guilty to 'participating in a conspiracy to commit hate crime acts' in connection with multiple physical assaults on Jews in NYC.  </w:t>
      </w:r>
    </w:p>
    <w:p w14:paraId="004CDCCE" w14:textId="77777777" w:rsidR="00054BF0" w:rsidRDefault="00000000">
      <w:pPr>
        <w:spacing w:before="240" w:line="260" w:lineRule="atLeast"/>
        <w:jc w:val="both"/>
      </w:pPr>
      <w:r>
        <w:rPr>
          <w:rFonts w:ascii="Arial" w:eastAsia="Arial" w:hAnsi="Arial" w:cs="Arial"/>
          <w:color w:val="000000"/>
          <w:sz w:val="20"/>
        </w:rPr>
        <w:t xml:space="preserve">Due to the lenient plea bargain offered </w:t>
      </w:r>
      <w:hyperlink r:id="rId108" w:history="1">
        <w:r>
          <w:rPr>
            <w:rFonts w:ascii="Arial" w:eastAsia="Arial" w:hAnsi="Arial" w:cs="Arial"/>
            <w:i/>
            <w:color w:val="0077CC"/>
            <w:sz w:val="20"/>
            <w:u w:val="single"/>
            <w:shd w:val="clear" w:color="auto" w:fill="FFFFFF"/>
          </w:rPr>
          <w:t>https://t.co</w:t>
        </w:r>
      </w:hyperlink>
      <w:r>
        <w:rPr>
          <w:rFonts w:ascii="Arial" w:eastAsia="Arial" w:hAnsi="Arial" w:cs="Arial"/>
          <w:color w:val="000000"/>
          <w:sz w:val="20"/>
        </w:rPr>
        <w:t xml:space="preserve"> /dySbiSVkBH[9] </w:t>
      </w:r>
      <w:hyperlink r:id="rId109" w:history="1">
        <w:r>
          <w:rPr>
            <w:rFonts w:ascii="Arial" w:eastAsia="Arial" w:hAnsi="Arial" w:cs="Arial"/>
            <w:i/>
            <w:color w:val="0077CC"/>
            <w:sz w:val="20"/>
            <w:u w:val="single"/>
            <w:shd w:val="clear" w:color="auto" w:fill="FFFFFF"/>
          </w:rPr>
          <w:t>https://t.co/1lRGd8NDhM</w:t>
        </w:r>
      </w:hyperlink>
      <w:r>
        <w:rPr>
          <w:rFonts w:ascii="Arial" w:eastAsia="Arial" w:hAnsi="Arial" w:cs="Arial"/>
          <w:color w:val="000000"/>
          <w:sz w:val="20"/>
        </w:rPr>
        <w:t xml:space="preserve">[10] pic.twitter.com/NygYd9Pzvt[11] — Canary Mission (@canarymission) March 2, 2023[12] Ahead of Saadah Masoud's sentencing on Friday, March 3rd - as he and his defense do all they can to claim that Masoud is not anti-Semitic - here is a reminder of who he really is.; </w:t>
      </w:r>
    </w:p>
    <w:p w14:paraId="1FBF6A4F" w14:textId="77777777" w:rsidR="00054BF0" w:rsidRDefault="00000000">
      <w:pPr>
        <w:spacing w:before="240" w:line="260" w:lineRule="atLeast"/>
        <w:jc w:val="both"/>
      </w:pPr>
      <w:r>
        <w:rPr>
          <w:rFonts w:ascii="Arial" w:eastAsia="Arial" w:hAnsi="Arial" w:cs="Arial"/>
          <w:color w:val="000000"/>
          <w:sz w:val="20"/>
        </w:rPr>
        <w:lastRenderedPageBreak/>
        <w:t xml:space="preserve">?? for more on Masoud: </w:t>
      </w:r>
      <w:hyperlink r:id="rId110" w:history="1">
        <w:r>
          <w:rPr>
            <w:rFonts w:ascii="Arial" w:eastAsia="Arial" w:hAnsi="Arial" w:cs="Arial"/>
            <w:i/>
            <w:color w:val="0077CC"/>
            <w:sz w:val="20"/>
            <w:u w:val="single"/>
            <w:shd w:val="clear" w:color="auto" w:fill="FFFFFF"/>
          </w:rPr>
          <w:t>https://t.co</w:t>
        </w:r>
      </w:hyperlink>
      <w:r>
        <w:rPr>
          <w:rFonts w:ascii="Arial" w:eastAsia="Arial" w:hAnsi="Arial" w:cs="Arial"/>
          <w:color w:val="000000"/>
          <w:sz w:val="20"/>
        </w:rPr>
        <w:t xml:space="preserve"> /zeZ5iyJ20R[13] pic.twitter.com/FLzyMKmNV2[14] — Canary Mission (@canarymission) March 2, 2023[15] BREAKING - antisemitic monster Saadah Masoud has been sentenced to 18 months in prison for the brutal assault of innocent Jews, including Matt Greenman </w:t>
      </w:r>
    </w:p>
    <w:p w14:paraId="0D5E1745" w14:textId="77777777" w:rsidR="00054BF0" w:rsidRDefault="00000000">
      <w:pPr>
        <w:spacing w:line="260" w:lineRule="atLeast"/>
        <w:jc w:val="both"/>
      </w:pPr>
      <w:r>
        <w:rPr>
          <w:rFonts w:ascii="Arial" w:eastAsia="Arial" w:hAnsi="Arial" w:cs="Arial"/>
          <w:color w:val="000000"/>
          <w:sz w:val="20"/>
        </w:rPr>
        <w:t xml:space="preserve">After Manhattan DA Alvin Bragg dropped the ball failing to prosecute Masoud, the DOJ stepped in, achieving justice. pic.twitter .com/QfiRhLOJks[16] — StopAntisemitism (@StopAntisemites) March 3, 2023[17] ; </w:t>
      </w:r>
    </w:p>
    <w:p w14:paraId="6DAF6743" w14:textId="77777777" w:rsidR="00054BF0" w:rsidRDefault="00000000">
      <w:pPr>
        <w:spacing w:line="260" w:lineRule="atLeast"/>
        <w:jc w:val="both"/>
      </w:pPr>
      <w:r>
        <w:rPr>
          <w:rFonts w:ascii="Arial" w:eastAsia="Arial" w:hAnsi="Arial" w:cs="Arial"/>
          <w:color w:val="000000"/>
          <w:sz w:val="20"/>
        </w:rPr>
        <w:t xml:space="preserve">Sponsor of Portugal arena where Roger Waters will perform is one of wealthiest Israelis[18]The Jewish Community of Porto has criticized anti-Israel rock star Roger Waters who will be touring Europe in the next few weeks and performing in Portugal but are especially troubled by the fact that the venue's main sponsor is the Altice company, owned by French-Israeli businessman Patrick Drahi.  </w:t>
      </w:r>
    </w:p>
    <w:p w14:paraId="7D197431" w14:textId="77777777" w:rsidR="00054BF0" w:rsidRDefault="00000000">
      <w:pPr>
        <w:spacing w:line="260" w:lineRule="atLeast"/>
        <w:jc w:val="both"/>
      </w:pPr>
      <w:r>
        <w:rPr>
          <w:rFonts w:ascii="Arial" w:eastAsia="Arial" w:hAnsi="Arial" w:cs="Arial"/>
          <w:color w:val="000000"/>
          <w:sz w:val="20"/>
        </w:rPr>
        <w:t xml:space="preserve">The Pink Floyd bassist is a leading proponent of the BDS movement against Israel.  </w:t>
      </w:r>
    </w:p>
    <w:p w14:paraId="548B6992" w14:textId="77777777" w:rsidR="00054BF0" w:rsidRDefault="00000000">
      <w:pPr>
        <w:spacing w:line="260" w:lineRule="atLeast"/>
        <w:jc w:val="both"/>
      </w:pPr>
      <w:r>
        <w:rPr>
          <w:rFonts w:ascii="Arial" w:eastAsia="Arial" w:hAnsi="Arial" w:cs="Arial"/>
          <w:color w:val="000000"/>
          <w:sz w:val="20"/>
        </w:rPr>
        <w:t xml:space="preserve">The venue in Lisbon is the Altice Arena, which is among the largest indoor arenas in Europe and the largest in Portugal with a capacity of 20,000 people.  </w:t>
      </w:r>
    </w:p>
    <w:p w14:paraId="035DE3EE" w14:textId="77777777" w:rsidR="00054BF0" w:rsidRDefault="00000000">
      <w:pPr>
        <w:spacing w:line="260" w:lineRule="atLeast"/>
        <w:jc w:val="both"/>
      </w:pPr>
      <w:r>
        <w:rPr>
          <w:rFonts w:ascii="Arial" w:eastAsia="Arial" w:hAnsi="Arial" w:cs="Arial"/>
          <w:color w:val="000000"/>
          <w:sz w:val="20"/>
        </w:rPr>
        <w:t xml:space="preserve">A member of the Lisbon Jewish community told The Jerusalem Post on Tuesday that 'we were shocked when we heard that Waters was coming to perform in our country and even more surprised when we found out that he will perform at the arena that is sponsored by an Israeli Jew.'  </w:t>
      </w:r>
    </w:p>
    <w:p w14:paraId="43FDC56D" w14:textId="77777777" w:rsidR="00054BF0" w:rsidRDefault="00000000">
      <w:pPr>
        <w:spacing w:line="260" w:lineRule="atLeast"/>
        <w:jc w:val="both"/>
      </w:pPr>
      <w:r>
        <w:rPr>
          <w:rFonts w:ascii="Arial" w:eastAsia="Arial" w:hAnsi="Arial" w:cs="Arial"/>
          <w:color w:val="000000"/>
          <w:sz w:val="20"/>
        </w:rPr>
        <w:t xml:space="preserve">A spokesperson on behalf of Drahi told the Post on Thursday that 'Altice would like to point out that it is the naming sponsor of the largest concert hall in Lisbon, Portugal, but has no control over the programming and the artists who perform there.'  </w:t>
      </w:r>
    </w:p>
    <w:p w14:paraId="798BC7A0" w14:textId="77777777" w:rsidR="00054BF0" w:rsidRDefault="00000000">
      <w:pPr>
        <w:spacing w:line="260" w:lineRule="atLeast"/>
        <w:jc w:val="both"/>
      </w:pPr>
      <w:r>
        <w:rPr>
          <w:rFonts w:ascii="Arial" w:eastAsia="Arial" w:hAnsi="Arial" w:cs="Arial"/>
          <w:color w:val="000000"/>
          <w:sz w:val="20"/>
        </w:rPr>
        <w:t xml:space="preserve">The spokesperson explained that the review of the contracts linking Altice to this concert hall 'does not allow Altice to intervene,' yet he emphasized that 'obviously, the founder of Altice specifies that he doesn't associate himself with this event and regrets it deeply.'  </w:t>
      </w:r>
    </w:p>
    <w:p w14:paraId="02764DF3" w14:textId="77777777" w:rsidR="00054BF0" w:rsidRDefault="00000000">
      <w:pPr>
        <w:spacing w:line="260" w:lineRule="atLeast"/>
        <w:jc w:val="both"/>
      </w:pPr>
      <w:r>
        <w:rPr>
          <w:rFonts w:ascii="Arial" w:eastAsia="Arial" w:hAnsi="Arial" w:cs="Arial"/>
          <w:color w:val="000000"/>
          <w:sz w:val="20"/>
        </w:rPr>
        <w:t xml:space="preserve">He continued by explaining that 'as soon as it became aware of the programming, Altice reached out to the owner of the concert hall to see if it was possible to cancel, but the owner said it was too late and [they] could not cancel [the concert] as all the tickets were already sold out.'  </w:t>
      </w:r>
    </w:p>
    <w:p w14:paraId="0F990A78" w14:textId="77777777" w:rsidR="00054BF0" w:rsidRDefault="00000000">
      <w:pPr>
        <w:spacing w:line="260" w:lineRule="atLeast"/>
        <w:jc w:val="both"/>
      </w:pPr>
      <w:r>
        <w:rPr>
          <w:rFonts w:ascii="Arial" w:eastAsia="Arial" w:hAnsi="Arial" w:cs="Arial"/>
          <w:color w:val="000000"/>
          <w:sz w:val="20"/>
        </w:rPr>
        <w:t xml:space="preserve">59-year-old Drahi is considered to be a pro-Israel philanthropist and investor. He is one of the wealthiest citizens of Israel and owns major communications companies such as Hot and i24NEWS. He has established The Patrick and Lina Drahi Foundation, with his wife. According to the foundation's website, PLFA focuses on Science, Education, Israel, the Jewish People, Entrepreneurship, Innovation and the Arts. 'The Drahis aim to share the fruits of their success with the community wherever the family has its roots or business activities, taking part in projects based in Israel, Portugal, Switzerland, France and the USA.' This is the "Palestine Solidarity Campaign".  </w:t>
      </w:r>
    </w:p>
    <w:p w14:paraId="7D3350FE" w14:textId="77777777" w:rsidR="00054BF0" w:rsidRDefault="00000000">
      <w:pPr>
        <w:spacing w:line="260" w:lineRule="atLeast"/>
        <w:jc w:val="both"/>
      </w:pPr>
      <w:r>
        <w:rPr>
          <w:rFonts w:ascii="Arial" w:eastAsia="Arial" w:hAnsi="Arial" w:cs="Arial"/>
          <w:color w:val="000000"/>
          <w:sz w:val="20"/>
        </w:rPr>
        <w:t xml:space="preserve">If you don't back the murder of civilians, it's not for you. </w:t>
      </w:r>
    </w:p>
    <w:p w14:paraId="34B72858" w14:textId="77777777" w:rsidR="00054BF0" w:rsidRDefault="00000000">
      <w:pPr>
        <w:spacing w:line="260" w:lineRule="atLeast"/>
        <w:jc w:val="both"/>
      </w:pPr>
      <w:r>
        <w:rPr>
          <w:rFonts w:ascii="Arial" w:eastAsia="Arial" w:hAnsi="Arial" w:cs="Arial"/>
          <w:color w:val="000000"/>
          <w:sz w:val="20"/>
        </w:rPr>
        <w:t xml:space="preserve">It is at the level of the BNP or the KKK. </w:t>
      </w:r>
    </w:p>
    <w:p w14:paraId="71938C69" w14:textId="77777777" w:rsidR="00054BF0" w:rsidRDefault="00000000">
      <w:pPr>
        <w:spacing w:line="260" w:lineRule="atLeast"/>
        <w:jc w:val="both"/>
      </w:pPr>
      <w:r>
        <w:rPr>
          <w:rFonts w:ascii="Arial" w:eastAsia="Arial" w:hAnsi="Arial" w:cs="Arial"/>
          <w:color w:val="000000"/>
          <w:sz w:val="20"/>
        </w:rPr>
        <w:t xml:space="preserve">It is long, long past time for Labour and the trade unions to cut it off completely and permanently. pic.twitter .com/W7hm1jDqWm[19] — habibi (@habibi_uk) March 2, 2023[20] Alistair, you've gone radio silent on correcting your erroneous claim that the Western Wall is 'the most significant site in Judaism' despite being told multiple times that it's the Temple Mt. </w:t>
      </w:r>
    </w:p>
    <w:p w14:paraId="447E8D2F" w14:textId="77777777" w:rsidR="00054BF0" w:rsidRDefault="00000000">
      <w:pPr>
        <w:spacing w:before="240" w:line="260" w:lineRule="atLeast"/>
        <w:jc w:val="both"/>
      </w:pPr>
      <w:r>
        <w:rPr>
          <w:rFonts w:ascii="Arial" w:eastAsia="Arial" w:hAnsi="Arial" w:cs="Arial"/>
          <w:color w:val="000000"/>
          <w:sz w:val="20"/>
        </w:rPr>
        <w:t xml:space="preserve">Will you at least acknowledge this latest serious faux pas? — Simon Plosker (@SimonPlosker) March 3, 2023[21] Your own article notes that they were killed "during armed confrontations" and were members of terrorist groups. But since you like to bury the lede, here's a helpful graphic of the terrorists you lost. </w:t>
      </w:r>
      <w:hyperlink r:id="rId111" w:history="1">
        <w:r>
          <w:rPr>
            <w:rFonts w:ascii="Arial" w:eastAsia="Arial" w:hAnsi="Arial" w:cs="Arial"/>
            <w:i/>
            <w:color w:val="0077CC"/>
            <w:sz w:val="20"/>
            <w:u w:val="single"/>
            <w:shd w:val="clear" w:color="auto" w:fill="FFFFFF"/>
          </w:rPr>
          <w:t>https://t.co</w:t>
        </w:r>
      </w:hyperlink>
      <w:r>
        <w:rPr>
          <w:rFonts w:ascii="Arial" w:eastAsia="Arial" w:hAnsi="Arial" w:cs="Arial"/>
          <w:color w:val="000000"/>
          <w:sz w:val="20"/>
        </w:rPr>
        <w:t xml:space="preserve"> /acalnnAaQn[22] pic.twitter.com/MUVFslQxJ8[23] — HonestReporting (@HonestReporting) March 2, 2023[24] Ali was born in Washington, D.C . By this twisted logic, his homeland is America, not Palestine.; </w:t>
      </w:r>
    </w:p>
    <w:p w14:paraId="45FB136C" w14:textId="77777777" w:rsidR="00054BF0" w:rsidRDefault="00000000">
      <w:pPr>
        <w:spacing w:before="240" w:line="260" w:lineRule="atLeast"/>
        <w:jc w:val="both"/>
      </w:pPr>
      <w:r>
        <w:rPr>
          <w:rFonts w:ascii="Arial" w:eastAsia="Arial" w:hAnsi="Arial" w:cs="Arial"/>
          <w:color w:val="000000"/>
          <w:sz w:val="20"/>
        </w:rPr>
        <w:t xml:space="preserve">Instead of denying the Jewish people's ties to its homeland—an act of antisemitism—perhaps this bigot should consider how both peoples' rights can be realized in the land they share. </w:t>
      </w:r>
      <w:hyperlink r:id="rId112" w:history="1">
        <w:r>
          <w:rPr>
            <w:rFonts w:ascii="Arial" w:eastAsia="Arial" w:hAnsi="Arial" w:cs="Arial"/>
            <w:i/>
            <w:color w:val="0077CC"/>
            <w:sz w:val="20"/>
            <w:u w:val="single"/>
            <w:shd w:val="clear" w:color="auto" w:fill="FFFFFF"/>
          </w:rPr>
          <w:t>https://t.co/u86Ey3qAVw</w:t>
        </w:r>
      </w:hyperlink>
      <w:r>
        <w:rPr>
          <w:rFonts w:ascii="Arial" w:eastAsia="Arial" w:hAnsi="Arial" w:cs="Arial"/>
          <w:color w:val="000000"/>
          <w:sz w:val="20"/>
        </w:rPr>
        <w:t xml:space="preserve">[25] — Avi Mayer ??? ???? (@AviMayer) March 2, 2023[26]  </w:t>
      </w:r>
    </w:p>
    <w:p w14:paraId="4C24FDC9" w14:textId="77777777" w:rsidR="00054BF0" w:rsidRDefault="00000000">
      <w:pPr>
        <w:spacing w:line="260" w:lineRule="atLeast"/>
        <w:jc w:val="both"/>
      </w:pPr>
      <w:r>
        <w:rPr>
          <w:rFonts w:ascii="Arial" w:eastAsia="Arial" w:hAnsi="Arial" w:cs="Arial"/>
          <w:color w:val="000000"/>
          <w:sz w:val="20"/>
        </w:rPr>
        <w:t xml:space="preserve">BBC WS radio tries to explain the 'Lions' Den' - part one[27]Listeners were not informed that Nablus has been under Palestinian Authority control since December 1995. Neither were they told that the Lions' Den includes members or former members of existing factions, as reported by Khaled Abu Toameh in September of last year: 'This is the first organized armed group that consists of gunmen belonging to a number of Palestinian factions - including Fatah, Hamas, IJ and the Popular Front for the Liberation of Palestine.' </w:t>
      </w:r>
    </w:p>
    <w:p w14:paraId="4228E2E8" w14:textId="77777777" w:rsidR="00054BF0" w:rsidRDefault="00000000">
      <w:pPr>
        <w:spacing w:line="260" w:lineRule="atLeast"/>
        <w:jc w:val="both"/>
      </w:pPr>
      <w:r>
        <w:rPr>
          <w:rFonts w:ascii="Arial" w:eastAsia="Arial" w:hAnsi="Arial" w:cs="Arial"/>
          <w:color w:val="000000"/>
          <w:sz w:val="20"/>
        </w:rPr>
        <w:lastRenderedPageBreak/>
        <w:t xml:space="preserve">For example, of the six members of the Lions' Den killed in Nablus on February 22nd, two also belonged to the PIJ and one to the al-Aqsa Martyrs' Brigades.  </w:t>
      </w:r>
    </w:p>
    <w:p w14:paraId="3595C4C9" w14:textId="77777777" w:rsidR="00054BF0" w:rsidRDefault="00000000">
      <w:pPr>
        <w:spacing w:line="260" w:lineRule="atLeast"/>
        <w:jc w:val="both"/>
      </w:pPr>
      <w:r>
        <w:rPr>
          <w:rFonts w:ascii="Arial" w:eastAsia="Arial" w:hAnsi="Arial" w:cs="Arial"/>
          <w:color w:val="000000"/>
          <w:sz w:val="20"/>
        </w:rPr>
        <w:t xml:space="preserve">Coomarsamy showed no interest in providing his listeners with a deeper exploration of the topic of Hamas and PIJ funding for the Lions' Den and Hamas' broader efforts to ferment terrorism and violence in Judea &amp; Samaria and Jerusalem.  </w:t>
      </w:r>
    </w:p>
    <w:p w14:paraId="4DAB1914" w14:textId="77777777" w:rsidR="00054BF0" w:rsidRDefault="00000000">
      <w:pPr>
        <w:spacing w:line="260" w:lineRule="atLeast"/>
        <w:jc w:val="both"/>
      </w:pPr>
      <w:r>
        <w:rPr>
          <w:rFonts w:ascii="Arial" w:eastAsia="Arial" w:hAnsi="Arial" w:cs="Arial"/>
          <w:color w:val="000000"/>
          <w:sz w:val="20"/>
        </w:rPr>
        <w:t xml:space="preserve">In response to a question from Coomarasamy about how the Palestinian Authority is 'dealing with this organisation', DeBre stated that 'it's been really difficultbecause if they crack down too hard they're only going to deepen their unpopularity'. She went on to add: DeBre: 'but really there's not much that it [the PA] can do because Israel, you know, just keeps storming into these cities to make these arrest raids.' </w:t>
      </w:r>
    </w:p>
    <w:p w14:paraId="37EDE7BD" w14:textId="77777777" w:rsidR="00054BF0" w:rsidRDefault="00000000">
      <w:pPr>
        <w:spacing w:line="260" w:lineRule="atLeast"/>
        <w:jc w:val="both"/>
      </w:pPr>
      <w:r>
        <w:rPr>
          <w:rFonts w:ascii="Arial" w:eastAsia="Arial" w:hAnsi="Arial" w:cs="Arial"/>
          <w:color w:val="000000"/>
          <w:sz w:val="20"/>
        </w:rPr>
        <w:t xml:space="preserve">Neither DeBre nor Coomarasamy bothered to clarify to listeners that if the Palestinian Authority fulfilled its obligations under the Oslo Accords to 'act systematically against all expressions of violence and terror', Israel would not have to carry out counter-terrorism operations in places in which the PA is responsible for security.  </w:t>
      </w:r>
    </w:p>
    <w:p w14:paraId="3CDFFE79" w14:textId="77777777" w:rsidR="00054BF0" w:rsidRDefault="00000000">
      <w:pPr>
        <w:spacing w:line="260" w:lineRule="atLeast"/>
        <w:jc w:val="both"/>
      </w:pPr>
      <w:r>
        <w:rPr>
          <w:rFonts w:ascii="Arial" w:eastAsia="Arial" w:hAnsi="Arial" w:cs="Arial"/>
          <w:color w:val="000000"/>
          <w:sz w:val="20"/>
        </w:rPr>
        <w:t xml:space="preserve">Clearly BBC World Service radio's presentation of the Lions' Den as 'just a bunch of really disillusioned guys that have turned to violence' failed to provide its worldwide listeners with an accurate and in depth picture of that terrorist organisation and its role in the rising violence.  </w:t>
      </w:r>
    </w:p>
    <w:p w14:paraId="7832465D" w14:textId="77777777" w:rsidR="00054BF0" w:rsidRDefault="00000000">
      <w:pPr>
        <w:spacing w:line="260" w:lineRule="atLeast"/>
        <w:jc w:val="both"/>
      </w:pPr>
      <w:r>
        <w:rPr>
          <w:rFonts w:ascii="Arial" w:eastAsia="Arial" w:hAnsi="Arial" w:cs="Arial"/>
          <w:color w:val="000000"/>
          <w:sz w:val="20"/>
        </w:rPr>
        <w:t xml:space="preserve">Moreover, the same World Service programme aired another item the next day on the same topic which will be discussed in part two of this post.BBC  WS radio tries to explain the 'Lions' Den' - part two[28]Previously we discussed an item aired on the BBC World Service radio programme 'Newshour' which purported to provide listeners with 'background' concerning the Nablus-based Lions' Den terror faction:  </w:t>
      </w:r>
    </w:p>
    <w:p w14:paraId="3BC258E5" w14:textId="77777777" w:rsidR="00054BF0" w:rsidRDefault="00000000">
      <w:pPr>
        <w:spacing w:line="260" w:lineRule="atLeast"/>
        <w:jc w:val="both"/>
      </w:pPr>
      <w:r>
        <w:rPr>
          <w:rFonts w:ascii="Arial" w:eastAsia="Arial" w:hAnsi="Arial" w:cs="Arial"/>
          <w:color w:val="000000"/>
          <w:sz w:val="20"/>
        </w:rPr>
        <w:t xml:space="preserve">The following day - February 24th - listeners to the same programme heard another item [from 45:05 here] on the same topic which was introduced by presenter Julian Marshall as follows: Marshall: 'The city of Nablus in the occupied West Bank has become a focal point for increased tensions between Israel and the Palestinians with the emergence of a group called Lions' Den. Israel has occupied - or rather accused - the group of carrying out attacks on Israeli targets including the killing in October of a soldier in the West Bank.' </w:t>
      </w:r>
    </w:p>
    <w:p w14:paraId="29D90D74" w14:textId="77777777" w:rsidR="00054BF0" w:rsidRDefault="00000000">
      <w:pPr>
        <w:spacing w:line="260" w:lineRule="atLeast"/>
        <w:jc w:val="both"/>
      </w:pPr>
      <w:r>
        <w:rPr>
          <w:rFonts w:ascii="Arial" w:eastAsia="Arial" w:hAnsi="Arial" w:cs="Arial"/>
          <w:color w:val="000000"/>
          <w:sz w:val="20"/>
        </w:rPr>
        <w:t xml:space="preserve">The incident to which Marshall referred is the fatal shooting of Staff Sgt. Ido Baruch. The Lions' Den claimed responsibility for that attack so his use of the word 'accused' is clearly out of place and even misleading. Referring to the counter-terrorism operation two days earlier he continued: Marshall: 'On Wednesday Israeli forces carried out a massive raid on Nablus in which eleven Palestinians were killed in gun battles, among them six members of Lions' Den or other armed groups and dozens more were injured.' </w:t>
      </w:r>
    </w:p>
    <w:p w14:paraId="06E5E0D4" w14:textId="77777777" w:rsidR="00054BF0" w:rsidRDefault="00000000">
      <w:pPr>
        <w:spacing w:line="260" w:lineRule="atLeast"/>
        <w:jc w:val="both"/>
      </w:pPr>
      <w:r>
        <w:rPr>
          <w:rFonts w:ascii="Arial" w:eastAsia="Arial" w:hAnsi="Arial" w:cs="Arial"/>
          <w:color w:val="000000"/>
          <w:sz w:val="20"/>
        </w:rPr>
        <w:t xml:space="preserve">In fact, of the six members of the Lions' Den group killed, three were also members of other terrorist organisations - two from the PIJ and one from the al-Aqsa Martyrs' Brigades.  </w:t>
      </w:r>
    </w:p>
    <w:p w14:paraId="3BEED5A5" w14:textId="77777777" w:rsidR="00054BF0" w:rsidRDefault="00000000">
      <w:pPr>
        <w:spacing w:line="260" w:lineRule="atLeast"/>
        <w:jc w:val="both"/>
      </w:pPr>
      <w:r>
        <w:rPr>
          <w:rFonts w:ascii="Arial" w:eastAsia="Arial" w:hAnsi="Arial" w:cs="Arial"/>
          <w:color w:val="000000"/>
          <w:sz w:val="20"/>
        </w:rPr>
        <w:t xml:space="preserve">Having mentioned rallies 'in support of those killed in Nablus', Marshall went on to introduce his sole interviewee: Marshall: 'I've been speaking to Raed Debiy, political science lecturer at An Najah University in Nablus. How would he describe the mood in the city today?' </w:t>
      </w:r>
    </w:p>
    <w:p w14:paraId="5486F05C" w14:textId="77777777" w:rsidR="00054BF0" w:rsidRDefault="00000000">
      <w:pPr>
        <w:spacing w:line="260" w:lineRule="atLeast"/>
        <w:jc w:val="both"/>
      </w:pPr>
      <w:r>
        <w:rPr>
          <w:rFonts w:ascii="Arial" w:eastAsia="Arial" w:hAnsi="Arial" w:cs="Arial"/>
          <w:color w:val="000000"/>
          <w:sz w:val="20"/>
        </w:rPr>
        <w:t xml:space="preserve">In breach of BBC editorial guidelines concerning 'contributors' affiliations', Marshall refrained from informing listeners that the academic they were about to hear is also a leader of Fatah's youth movement and a political activist. Here are Shapiro's last 8 articles. The New York Hasidic community is less than a few hundred thousand people. Why is one of the biggest publication in the country paying a reporter to just obsessively target that one small community with one hit piece after the next? pic.twitter.com/Wc8ajkEi0h[29] — AG (@AGHamilton29) March 3, 2023[30] ; </w:t>
      </w:r>
    </w:p>
    <w:p w14:paraId="57BFD5F5" w14:textId="77777777" w:rsidR="00054BF0" w:rsidRDefault="00000000">
      <w:pPr>
        <w:spacing w:line="260" w:lineRule="atLeast"/>
        <w:jc w:val="both"/>
      </w:pPr>
      <w:r>
        <w:rPr>
          <w:rFonts w:ascii="Arial" w:eastAsia="Arial" w:hAnsi="Arial" w:cs="Arial"/>
          <w:color w:val="000000"/>
          <w:sz w:val="20"/>
        </w:rPr>
        <w:t xml:space="preserve">Why Did Spotify Have an Official 'Hitler Radio' Playlist?[31]Until last week, any Spotify user could access a playlist titled 'Musikkorps Der Leibstandarte — SS Adolf Hitler Radio' — so named for the Nazi fuhrer's personal corps of bodyguards. The streaming service itself generated the track list, and multiple Rolling Stone staffers each received a different mix upon loading it. Depending on Spotify's algorithm, the streaming service chose different — often benign — national anthems from throughout history, but two playlists featured music by Das Luftwaffenmusikkorps 3 (named after the Nazi air force).  </w:t>
      </w:r>
    </w:p>
    <w:p w14:paraId="757FFE5A" w14:textId="77777777" w:rsidR="00054BF0" w:rsidRDefault="00000000">
      <w:pPr>
        <w:spacing w:line="260" w:lineRule="atLeast"/>
        <w:jc w:val="both"/>
      </w:pPr>
      <w:r>
        <w:rPr>
          <w:rFonts w:ascii="Arial" w:eastAsia="Arial" w:hAnsi="Arial" w:cs="Arial"/>
          <w:color w:val="000000"/>
          <w:sz w:val="20"/>
        </w:rPr>
        <w:t xml:space="preserve">One day after Rolling Stone's inquiry to Spotify on why the service would offer, let alone generate, an 'SS Adolf Hitler Radio' playlist — as well as why it was hosting a RaHoWa podcast (short for 'Racial Holy War') and several other instances of music espousing neo-fascist ideologies — the streaming service removed them.  </w:t>
      </w:r>
    </w:p>
    <w:p w14:paraId="4A4DC78B" w14:textId="77777777" w:rsidR="00054BF0" w:rsidRDefault="00000000">
      <w:pPr>
        <w:spacing w:line="260" w:lineRule="atLeast"/>
        <w:jc w:val="both"/>
      </w:pPr>
      <w:r>
        <w:rPr>
          <w:rFonts w:ascii="Arial" w:eastAsia="Arial" w:hAnsi="Arial" w:cs="Arial"/>
          <w:color w:val="000000"/>
          <w:sz w:val="20"/>
        </w:rPr>
        <w:t xml:space="preserve">Spotify's platform rules prohibit 'content that incites violence or hatred towards a person or group of people based on race, religion, gender identity or expression, sex, ethnicity, nationality, sexual orientation, veteran status, age, disability or other characteristics associated with systemic discrimination or marginalization.' But despite these </w:t>
      </w:r>
      <w:r>
        <w:rPr>
          <w:rFonts w:ascii="Arial" w:eastAsia="Arial" w:hAnsi="Arial" w:cs="Arial"/>
          <w:color w:val="000000"/>
          <w:sz w:val="20"/>
        </w:rPr>
        <w:lastRenderedPageBreak/>
        <w:t xml:space="preserve">guidelines and past instances of the Southern Poverty Law Center (SPLC) and Anti-Defamation League (ADL) calling out the company and other streaming services for allowing 'hate music,' musicians who support white power, antisemitism, and neo-fascist ideology continue to find homes on mainstream platforms.  </w:t>
      </w:r>
    </w:p>
    <w:p w14:paraId="24ECFB49" w14:textId="77777777" w:rsidR="00054BF0" w:rsidRDefault="00000000">
      <w:pPr>
        <w:spacing w:line="260" w:lineRule="atLeast"/>
        <w:jc w:val="both"/>
      </w:pPr>
      <w:r>
        <w:rPr>
          <w:rFonts w:ascii="Arial" w:eastAsia="Arial" w:hAnsi="Arial" w:cs="Arial"/>
          <w:color w:val="000000"/>
          <w:sz w:val="20"/>
        </w:rPr>
        <w:t xml:space="preserve">Some groups, like the NSBM (National Socialist black metal) band bermensch, attract more than 30,000 monthly listeners, while Burzum, a Norwegian NSBM trailblazer who recently whined on Twitter about getting flak for recommending Mein Kampf to readers, attracts 223,000 monthly listeners.  </w:t>
      </w:r>
    </w:p>
    <w:p w14:paraId="3270E68D" w14:textId="77777777" w:rsidR="00054BF0" w:rsidRDefault="00000000">
      <w:pPr>
        <w:spacing w:before="200" w:line="260" w:lineRule="atLeast"/>
        <w:jc w:val="both"/>
      </w:pPr>
      <w:r>
        <w:rPr>
          <w:rFonts w:ascii="Arial" w:eastAsia="Arial" w:hAnsi="Arial" w:cs="Arial"/>
          <w:color w:val="000000"/>
          <w:sz w:val="20"/>
        </w:rPr>
        <w:t xml:space="preserve">A three-month Rolling Stone investigation into the catalogs of Spotify, Apple Music, Tidal, and Amazon Music turned </w:t>
      </w:r>
      <w:r>
        <w:rPr>
          <w:rFonts w:ascii="Arial" w:eastAsia="Arial" w:hAnsi="Arial" w:cs="Arial"/>
          <w:b/>
          <w:i/>
          <w:color w:val="000000"/>
          <w:sz w:val="20"/>
          <w:u w:val="single"/>
        </w:rPr>
        <w:t>up</w:t>
      </w:r>
      <w:r>
        <w:rPr>
          <w:rFonts w:ascii="Arial" w:eastAsia="Arial" w:hAnsi="Arial" w:cs="Arial"/>
          <w:color w:val="000000"/>
          <w:sz w:val="20"/>
        </w:rPr>
        <w:t xml:space="preserve"> a surprising number of purveyors of so-called hate music. Each service had musicians playing NSBM and 'fashwave' (a proudly fascist form of electronic music), while some also offered Nazi hardcore punk, RAC ('Rock Against Communism,' a form of right-wing punk invented in reaction to the U.K .'s 'rock against racism' concerts in the Seventies), and literal Nazi music from the 1930s and Forties. Albania to open Holocaust museum after Israeli call for Europe to step </w:t>
      </w:r>
      <w:r>
        <w:rPr>
          <w:rFonts w:ascii="Arial" w:eastAsia="Arial" w:hAnsi="Arial" w:cs="Arial"/>
          <w:b/>
          <w:i/>
          <w:color w:val="000000"/>
          <w:sz w:val="20"/>
          <w:u w:val="single"/>
        </w:rPr>
        <w:t>up</w:t>
      </w:r>
      <w:r>
        <w:rPr>
          <w:rFonts w:ascii="Arial" w:eastAsia="Arial" w:hAnsi="Arial" w:cs="Arial"/>
          <w:color w:val="000000"/>
          <w:sz w:val="20"/>
        </w:rPr>
        <w:t xml:space="preserve"> antisemitism fight[32]The Albanian Culture Ministry has announced the creation of the 'Besa Museum' in the capital of Tirana to celebrate the history of Jews in Albania and the actions of the Albanians that sheltered and saved them during WWII.  </w:t>
      </w:r>
    </w:p>
    <w:p w14:paraId="3049908E" w14:textId="77777777" w:rsidR="00054BF0" w:rsidRDefault="00000000">
      <w:pPr>
        <w:spacing w:line="260" w:lineRule="atLeast"/>
        <w:jc w:val="both"/>
      </w:pPr>
      <w:r>
        <w:rPr>
          <w:rFonts w:ascii="Arial" w:eastAsia="Arial" w:hAnsi="Arial" w:cs="Arial"/>
          <w:color w:val="000000"/>
          <w:sz w:val="20"/>
        </w:rPr>
        <w:t xml:space="preserve">Albania has historically had a Jewish population including Saranda, Berat and Vlora, with the latter two having Jewish quarters. During World War II, Jews flocked from neighbouring countries and were welcomed by Muslim and Christian Albanians. They were sheltered and hidden, given 'Albanian' names, and not handed over to Nazi or invading fascist Italian forces.  </w:t>
      </w:r>
    </w:p>
    <w:p w14:paraId="113B6F8E" w14:textId="77777777" w:rsidR="00054BF0" w:rsidRDefault="00000000">
      <w:pPr>
        <w:spacing w:before="200" w:line="260" w:lineRule="atLeast"/>
        <w:jc w:val="both"/>
      </w:pPr>
      <w:r>
        <w:rPr>
          <w:rFonts w:ascii="Arial" w:eastAsia="Arial" w:hAnsi="Arial" w:cs="Arial"/>
          <w:color w:val="000000"/>
          <w:sz w:val="20"/>
        </w:rPr>
        <w:t xml:space="preserve">It was the only country in Europe to have more Jews living in it at the end of the war than at the </w:t>
      </w:r>
      <w:r>
        <w:rPr>
          <w:rFonts w:ascii="Arial" w:eastAsia="Arial" w:hAnsi="Arial" w:cs="Arial"/>
          <w:b/>
          <w:i/>
          <w:color w:val="000000"/>
          <w:sz w:val="20"/>
          <w:u w:val="single"/>
        </w:rPr>
        <w:t>start</w:t>
      </w:r>
      <w:r>
        <w:rPr>
          <w:rFonts w:ascii="Arial" w:eastAsia="Arial" w:hAnsi="Arial" w:cs="Arial"/>
          <w:color w:val="000000"/>
          <w:sz w:val="20"/>
        </w:rPr>
        <w:t xml:space="preserve">.  </w:t>
      </w:r>
    </w:p>
    <w:p w14:paraId="30335781" w14:textId="77777777" w:rsidR="00054BF0" w:rsidRDefault="00000000">
      <w:pPr>
        <w:spacing w:line="260" w:lineRule="atLeast"/>
        <w:jc w:val="both"/>
      </w:pPr>
      <w:r>
        <w:rPr>
          <w:rFonts w:ascii="Arial" w:eastAsia="Arial" w:hAnsi="Arial" w:cs="Arial"/>
          <w:color w:val="000000"/>
          <w:sz w:val="20"/>
        </w:rPr>
        <w:t xml:space="preserve">Albanian Prime Minister Edi Rama said: 'It is another very important moment in Tirana's history, urban development, and architecture, and I believe that we will finally be able to breathe a sigh of relief from a long-standing burden of obligation in relation to our children and visitors to our country, which is related to perhaps the most glorious page of Albanian history, the rescue of Jews during WWII.'  </w:t>
      </w:r>
    </w:p>
    <w:p w14:paraId="3CB0BD31" w14:textId="77777777" w:rsidR="00054BF0" w:rsidRDefault="00000000">
      <w:pPr>
        <w:spacing w:line="260" w:lineRule="atLeast"/>
        <w:jc w:val="both"/>
      </w:pPr>
      <w:r>
        <w:rPr>
          <w:rFonts w:ascii="Arial" w:eastAsia="Arial" w:hAnsi="Arial" w:cs="Arial"/>
          <w:color w:val="000000"/>
          <w:sz w:val="20"/>
        </w:rPr>
        <w:t xml:space="preserve">The museum will be located in a historic building, currently empty and once belonging to the Toptani Family. It embodies typical 19th-century Albanian architecture and has been designated a Cultural Heritage and Cultural Monument. Rama announced the establishment of the new museum at a gala event honouring Albanian 'Righteous Among the Nations' during his recent visit to Jerusalem.  </w:t>
      </w:r>
    </w:p>
    <w:p w14:paraId="6356C5A8" w14:textId="77777777" w:rsidR="00054BF0" w:rsidRDefault="00000000">
      <w:pPr>
        <w:spacing w:line="260" w:lineRule="atLeast"/>
        <w:jc w:val="both"/>
      </w:pPr>
      <w:r>
        <w:rPr>
          <w:rFonts w:ascii="Arial" w:eastAsia="Arial" w:hAnsi="Arial" w:cs="Arial"/>
          <w:color w:val="000000"/>
          <w:sz w:val="20"/>
        </w:rPr>
        <w:t xml:space="preserve">Albania's Culture Ministry announced an open design competition for architecture design proposals, funded by Israeli philanthropist Alexander Machkevitch, with the goal of finding the best design solution for the museum's construction.  </w:t>
      </w:r>
    </w:p>
    <w:p w14:paraId="12E9BB77" w14:textId="77777777" w:rsidR="00054BF0" w:rsidRDefault="00000000">
      <w:pPr>
        <w:spacing w:line="260" w:lineRule="atLeast"/>
        <w:jc w:val="both"/>
      </w:pPr>
      <w:r>
        <w:rPr>
          <w:rFonts w:ascii="Arial" w:eastAsia="Arial" w:hAnsi="Arial" w:cs="Arial"/>
          <w:color w:val="000000"/>
          <w:sz w:val="20"/>
        </w:rPr>
        <w:t xml:space="preserve">'I am humbled to be a part of this important project that will memorialise the bravery of Albanians who risked their lives to save Jews during the Holocaust This project is a testament to the power of solidarity and compassion in the face of darkness, and I hope it will inspire future generations to continue this legacy of kindness,' Machkevitch said. A good samaritan thankfully tore this banner down.  </w:t>
      </w:r>
    </w:p>
    <w:p w14:paraId="2BC97A41" w14:textId="77777777" w:rsidR="00054BF0" w:rsidRDefault="00000000">
      <w:pPr>
        <w:spacing w:line="260" w:lineRule="atLeast"/>
        <w:jc w:val="both"/>
      </w:pPr>
      <w:r>
        <w:rPr>
          <w:rFonts w:ascii="Arial" w:eastAsia="Arial" w:hAnsi="Arial" w:cs="Arial"/>
          <w:color w:val="000000"/>
          <w:sz w:val="20"/>
        </w:rPr>
        <w:t xml:space="preserve">What was written on the banner was equally as horrifying as the swastika itself - 'Thank you Bill Lee for tirelessly work to fight tr*nnies and f*gs. We must secure the existence of our people and a future for white children.' — StopAntisemitism (@StopAntisemites) March 3, 2023[33] Hey Dallas, know him? Let me or @StopAntisemites[34] know. pic.twitter .com/qPhMVfYnHu[35] — TizzyEnt (@TizzyEnt) March 2, 2023[36] ; </w:t>
      </w:r>
    </w:p>
    <w:p w14:paraId="6B63E807" w14:textId="77777777" w:rsidR="00054BF0" w:rsidRDefault="00000000">
      <w:pPr>
        <w:spacing w:line="260" w:lineRule="atLeast"/>
        <w:jc w:val="both"/>
      </w:pPr>
      <w:r>
        <w:rPr>
          <w:rFonts w:ascii="Arial" w:eastAsia="Arial" w:hAnsi="Arial" w:cs="Arial"/>
          <w:color w:val="000000"/>
          <w:sz w:val="20"/>
        </w:rPr>
        <w:t xml:space="preserve">Elbit inks $252 million deal to supply unnamed NATO country with rocket systems[37]Israeli defense firm Elbit Systems announced Thursday it had been awarded two contracts worth $252 million to supply an unnamed European NATO member country with artillery systems.  </w:t>
      </w:r>
    </w:p>
    <w:p w14:paraId="72C93B44" w14:textId="77777777" w:rsidR="00054BF0" w:rsidRDefault="00000000">
      <w:pPr>
        <w:spacing w:line="260" w:lineRule="atLeast"/>
        <w:jc w:val="both"/>
      </w:pPr>
      <w:r>
        <w:rPr>
          <w:rFonts w:ascii="Arial" w:eastAsia="Arial" w:hAnsi="Arial" w:cs="Arial"/>
          <w:color w:val="000000"/>
          <w:sz w:val="20"/>
        </w:rPr>
        <w:t xml:space="preserve">The announcement came more than a month after Denmark said it was in talks with Elbit for new mobile artillery to plug a 'critical gap,' after pledging all 19 of its French-made Caesar howitzers to Ukraine.  </w:t>
      </w:r>
    </w:p>
    <w:p w14:paraId="2CF3A11B" w14:textId="77777777" w:rsidR="00054BF0" w:rsidRDefault="00000000">
      <w:pPr>
        <w:spacing w:line="260" w:lineRule="atLeast"/>
        <w:jc w:val="both"/>
      </w:pPr>
      <w:r>
        <w:rPr>
          <w:rFonts w:ascii="Arial" w:eastAsia="Arial" w:hAnsi="Arial" w:cs="Arial"/>
          <w:color w:val="000000"/>
          <w:sz w:val="20"/>
        </w:rPr>
        <w:t xml:space="preserve">The Danish defense ministry said negotiations were taking place 'for the delivery of ATMOS artillery pieces and PULS rocket launcher systems as soon as possible.'  </w:t>
      </w:r>
    </w:p>
    <w:p w14:paraId="197856F6" w14:textId="77777777" w:rsidR="00054BF0" w:rsidRDefault="00000000">
      <w:pPr>
        <w:spacing w:line="260" w:lineRule="atLeast"/>
        <w:jc w:val="both"/>
      </w:pPr>
      <w:r>
        <w:rPr>
          <w:rFonts w:ascii="Arial" w:eastAsia="Arial" w:hAnsi="Arial" w:cs="Arial"/>
          <w:color w:val="000000"/>
          <w:sz w:val="20"/>
        </w:rPr>
        <w:t xml:space="preserve">The equipment could be delivered this year, the government said.  </w:t>
      </w:r>
    </w:p>
    <w:p w14:paraId="38ACE027" w14:textId="77777777" w:rsidR="00054BF0" w:rsidRDefault="00000000">
      <w:pPr>
        <w:spacing w:line="260" w:lineRule="atLeast"/>
        <w:jc w:val="both"/>
      </w:pPr>
      <w:r>
        <w:rPr>
          <w:rFonts w:ascii="Arial" w:eastAsia="Arial" w:hAnsi="Arial" w:cs="Arial"/>
          <w:color w:val="000000"/>
          <w:sz w:val="20"/>
        </w:rPr>
        <w:t xml:space="preserve">According to Elbit, the firm would supply the unnamed NATO member — thought to be Denmark — with a battalion's worth of truck-mounted howitzers, with a value of $119 million. The delivery of the ATMOS systems would take place over a period of two years, the firm said.  </w:t>
      </w:r>
    </w:p>
    <w:p w14:paraId="5B200844" w14:textId="77777777" w:rsidR="00054BF0" w:rsidRDefault="00000000">
      <w:pPr>
        <w:spacing w:line="260" w:lineRule="atLeast"/>
        <w:jc w:val="both"/>
      </w:pPr>
      <w:r>
        <w:rPr>
          <w:rFonts w:ascii="Arial" w:eastAsia="Arial" w:hAnsi="Arial" w:cs="Arial"/>
          <w:color w:val="000000"/>
          <w:sz w:val="20"/>
        </w:rPr>
        <w:lastRenderedPageBreak/>
        <w:t xml:space="preserve">The second contract would see the Israeli firm supply the NATO member with $133 million worth of PULS artillery systems, including ammunition. The supply would be delivered over three years, according to Elbit.  </w:t>
      </w:r>
    </w:p>
    <w:p w14:paraId="76E9F935" w14:textId="77777777" w:rsidR="00054BF0" w:rsidRDefault="00000000">
      <w:pPr>
        <w:spacing w:before="200" w:line="260" w:lineRule="atLeast"/>
        <w:jc w:val="both"/>
      </w:pPr>
      <w:r>
        <w:rPr>
          <w:rFonts w:ascii="Arial" w:eastAsia="Arial" w:hAnsi="Arial" w:cs="Arial"/>
          <w:color w:val="000000"/>
          <w:sz w:val="20"/>
        </w:rPr>
        <w:t xml:space="preserve">'We are witnessing a trajectory of an increased demand for advanced artillery solutions from militaries around the world, including European countries and NATO members, as part of their efforts to increase the effectiveness of their armed forces,' said Bezhalel Machlis, the president and CEO of Elbit, in remarks provided by the firm.Wiz  Raises $300 Million To Challenge Palo Alto Networks In Cloud Security[38]Times are tough for </w:t>
      </w:r>
      <w:r>
        <w:rPr>
          <w:rFonts w:ascii="Arial" w:eastAsia="Arial" w:hAnsi="Arial" w:cs="Arial"/>
          <w:b/>
          <w:i/>
          <w:color w:val="000000"/>
          <w:sz w:val="20"/>
          <w:u w:val="single"/>
        </w:rPr>
        <w:t>startups</w:t>
      </w:r>
      <w:r>
        <w:rPr>
          <w:rFonts w:ascii="Arial" w:eastAsia="Arial" w:hAnsi="Arial" w:cs="Arial"/>
          <w:color w:val="000000"/>
          <w:sz w:val="20"/>
        </w:rPr>
        <w:t xml:space="preserve"> that did not have the luck or foresight to raise capital before the market for IPOs dried </w:t>
      </w:r>
      <w:r>
        <w:rPr>
          <w:rFonts w:ascii="Arial" w:eastAsia="Arial" w:hAnsi="Arial" w:cs="Arial"/>
          <w:b/>
          <w:i/>
          <w:color w:val="000000"/>
          <w:sz w:val="20"/>
          <w:u w:val="single"/>
        </w:rPr>
        <w:t>up</w:t>
      </w:r>
      <w:r>
        <w:rPr>
          <w:rFonts w:ascii="Arial" w:eastAsia="Arial" w:hAnsi="Arial" w:cs="Arial"/>
          <w:color w:val="000000"/>
          <w:sz w:val="20"/>
        </w:rPr>
        <w:t xml:space="preserve"> in 2022. Many of those </w:t>
      </w:r>
      <w:r>
        <w:rPr>
          <w:rFonts w:ascii="Arial" w:eastAsia="Arial" w:hAnsi="Arial" w:cs="Arial"/>
          <w:b/>
          <w:i/>
          <w:color w:val="000000"/>
          <w:sz w:val="20"/>
          <w:u w:val="single"/>
        </w:rPr>
        <w:t>startups</w:t>
      </w:r>
      <w:r>
        <w:rPr>
          <w:rFonts w:ascii="Arial" w:eastAsia="Arial" w:hAnsi="Arial" w:cs="Arial"/>
          <w:color w:val="000000"/>
          <w:sz w:val="20"/>
        </w:rPr>
        <w:t xml:space="preserve"> are now struggling to raise capital and are shutting down — CB Insights offers these 443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post-mortems — or being acquired below their previous valuations.  </w:t>
      </w:r>
    </w:p>
    <w:p w14:paraId="090A64A9" w14:textId="77777777" w:rsidR="00054BF0" w:rsidRDefault="00000000">
      <w:pPr>
        <w:spacing w:before="200" w:line="260" w:lineRule="atLeast"/>
        <w:jc w:val="both"/>
      </w:pPr>
      <w:r>
        <w:rPr>
          <w:rFonts w:ascii="Arial" w:eastAsia="Arial" w:hAnsi="Arial" w:cs="Arial"/>
          <w:color w:val="000000"/>
          <w:sz w:val="20"/>
        </w:rPr>
        <w:t xml:space="preserve">But now is a great time to raise capital for the very best </w:t>
      </w:r>
      <w:r>
        <w:rPr>
          <w:rFonts w:ascii="Arial" w:eastAsia="Arial" w:hAnsi="Arial" w:cs="Arial"/>
          <w:b/>
          <w:i/>
          <w:color w:val="000000"/>
          <w:sz w:val="20"/>
          <w:u w:val="single"/>
        </w:rPr>
        <w:t>startups</w:t>
      </w:r>
      <w:r>
        <w:rPr>
          <w:rFonts w:ascii="Arial" w:eastAsia="Arial" w:hAnsi="Arial" w:cs="Arial"/>
          <w:color w:val="000000"/>
          <w:sz w:val="20"/>
        </w:rPr>
        <w:t xml:space="preserve"> that are charging to the lead of fast-growing recession-resistant technology markets.  </w:t>
      </w:r>
    </w:p>
    <w:p w14:paraId="6EC46B5A" w14:textId="77777777" w:rsidR="00054BF0" w:rsidRDefault="00000000">
      <w:pPr>
        <w:spacing w:line="260" w:lineRule="atLeast"/>
        <w:jc w:val="both"/>
      </w:pPr>
      <w:r>
        <w:rPr>
          <w:rFonts w:ascii="Arial" w:eastAsia="Arial" w:hAnsi="Arial" w:cs="Arial"/>
          <w:color w:val="000000"/>
          <w:sz w:val="20"/>
        </w:rPr>
        <w:t xml:space="preserve">That's what cloud security services provider, Wiz, did on February 27 when it raised another $300 million. According to the company, this brings Wiz's total capital raised to $900 million as its valuation popped another 66% to $10 billion since the last time it raised capital — $250 million at a $6 billion valuation — in October 2021.  </w:t>
      </w:r>
    </w:p>
    <w:p w14:paraId="0057523C" w14:textId="77777777" w:rsidR="00054BF0" w:rsidRDefault="00000000">
      <w:pPr>
        <w:spacing w:line="260" w:lineRule="atLeast"/>
        <w:jc w:val="both"/>
      </w:pPr>
      <w:r>
        <w:rPr>
          <w:rFonts w:ascii="Arial" w:eastAsia="Arial" w:hAnsi="Arial" w:cs="Arial"/>
          <w:color w:val="000000"/>
          <w:sz w:val="20"/>
        </w:rPr>
        <w:t xml:space="preserve">In a February 27 interview, Assaf Rappaport told me why he thinks Wiz was able to raise capital at a higher valuation and why brand name companies are choosing its products over Palo Alto Networks PANW ' Prisma Cloud.  </w:t>
      </w:r>
    </w:p>
    <w:p w14:paraId="30FA8910" w14:textId="77777777" w:rsidR="00054BF0" w:rsidRDefault="00000000">
      <w:pPr>
        <w:spacing w:line="260" w:lineRule="atLeast"/>
        <w:jc w:val="both"/>
      </w:pPr>
      <w:r>
        <w:rPr>
          <w:rFonts w:ascii="Arial" w:eastAsia="Arial" w:hAnsi="Arial" w:cs="Arial"/>
          <w:color w:val="000000"/>
          <w:sz w:val="20"/>
        </w:rPr>
        <w:t xml:space="preserve">I requested comment from Palo Alto Networks and will update this post if I receive it.  </w:t>
      </w:r>
    </w:p>
    <w:p w14:paraId="1668E64F" w14:textId="77777777" w:rsidR="00054BF0" w:rsidRDefault="00000000">
      <w:pPr>
        <w:spacing w:line="260" w:lineRule="atLeast"/>
        <w:jc w:val="both"/>
      </w:pPr>
      <w:r>
        <w:rPr>
          <w:rFonts w:ascii="Arial" w:eastAsia="Arial" w:hAnsi="Arial" w:cs="Arial"/>
          <w:color w:val="000000"/>
          <w:sz w:val="20"/>
        </w:rPr>
        <w:t xml:space="preserve">Despite the uncertain state of Israel's democracy, Wiz is likely to keep growing rapidly. It is headquartered in New York City and the newly raised capital is in the U.S. — not Israel.FIFA President Announces Visit to Israel After Meeting With Counterpart From Israeli Football Association[39]FIFA President Gianni Infantino will visit Israel in May to see firsthand the progress of soccer as a sport in the country, he announced on Tuesday after meeting with Israeli Football Association (IFA) President Shino Moshe Zuares in Paris.  </w:t>
      </w:r>
    </w:p>
    <w:p w14:paraId="51582F1A" w14:textId="77777777" w:rsidR="00054BF0" w:rsidRDefault="00000000">
      <w:pPr>
        <w:spacing w:line="260" w:lineRule="atLeast"/>
        <w:jc w:val="both"/>
      </w:pPr>
      <w:r>
        <w:rPr>
          <w:rFonts w:ascii="Arial" w:eastAsia="Arial" w:hAnsi="Arial" w:cs="Arial"/>
          <w:color w:val="000000"/>
          <w:sz w:val="20"/>
        </w:rPr>
        <w:t xml:space="preserve">'I'm very much looking forward to the opportunity to travel to Israel to see how far they have come since my previous visit,' said Infantino, who added that soccer, 'has the capacity to bring people and communities together, and the IFA have worked tirelessly to provide opportunities for everyone to play the sport.'  </w:t>
      </w:r>
    </w:p>
    <w:p w14:paraId="3F13E072" w14:textId="77777777" w:rsidR="00054BF0" w:rsidRDefault="00000000">
      <w:pPr>
        <w:spacing w:line="260" w:lineRule="atLeast"/>
        <w:jc w:val="both"/>
      </w:pPr>
      <w:r>
        <w:rPr>
          <w:rFonts w:ascii="Arial" w:eastAsia="Arial" w:hAnsi="Arial" w:cs="Arial"/>
          <w:color w:val="000000"/>
          <w:sz w:val="20"/>
        </w:rPr>
        <w:t xml:space="preserve">Zuares said he welcomes the 'great news' about Infantino's upcoming visit to Israel.  </w:t>
      </w:r>
    </w:p>
    <w:p w14:paraId="789653BF" w14:textId="77777777" w:rsidR="00054BF0" w:rsidRDefault="00000000">
      <w:pPr>
        <w:spacing w:line="260" w:lineRule="atLeast"/>
        <w:jc w:val="both"/>
      </w:pPr>
      <w:r>
        <w:rPr>
          <w:rFonts w:ascii="Arial" w:eastAsia="Arial" w:hAnsi="Arial" w:cs="Arial"/>
          <w:color w:val="000000"/>
          <w:sz w:val="20"/>
        </w:rPr>
        <w:t xml:space="preserve">'We are able to show him what we have done, how we are improving and what we are going to build in the future,' he noted. 'I appreciate the visit very much. I appreciate the way that the President was positive about all of our needs. For us, it's very, very important and we want to see improvement immediately for Israeli football.'  </w:t>
      </w:r>
    </w:p>
    <w:p w14:paraId="3A17BA87" w14:textId="77777777" w:rsidR="00054BF0" w:rsidRDefault="00000000">
      <w:pPr>
        <w:spacing w:before="240" w:line="260" w:lineRule="atLeast"/>
        <w:jc w:val="both"/>
      </w:pPr>
      <w:r>
        <w:rPr>
          <w:rFonts w:ascii="Arial" w:eastAsia="Arial" w:hAnsi="Arial" w:cs="Arial"/>
          <w:color w:val="000000"/>
          <w:sz w:val="20"/>
        </w:rPr>
        <w:t xml:space="preserve">FIFA's Chief of Global Football Development Arsne Wenger also attended the meeting in Paris and Infantino said his knowledge and input as the former coach of the soccer teams AS Monaco, Nagoya Grampus Eight and Arsenal 'will reinforce and enhance coaching practices, ensuring players across the range of ages will get the best possible education in the game.'#8216;Wolf of Baghdad' launches teacher's guide[40]The Wolf of Baghdad (a graphic novel, film and musical score) is Carol Isaacs' original and highly successful telling of the story of the Jewish community of Iraq and its brutal end, using animation. Together with Matt Reingold, she has produced a teaching guide for pupils over 12. The guide explains how to read Isaacs' cartoon panels and sets out nine exercises for schools. Here is an extract from the guide's introduction: </w:t>
      </w:r>
      <w:hyperlink r:id="rId113" w:history="1">
        <w:r>
          <w:rPr>
            <w:rFonts w:ascii="Arial" w:eastAsia="Arial" w:hAnsi="Arial" w:cs="Arial"/>
            <w:i/>
            <w:color w:val="0077CC"/>
            <w:sz w:val="20"/>
            <w:u w:val="single"/>
            <w:shd w:val="clear" w:color="auto" w:fill="FFFFFF"/>
          </w:rPr>
          <w:t>https://www.jewishrefugees.org.uk/wp-content/uploads/2023/03/Screenshot-2023-03-03-at-07.52.06.pngPupils</w:t>
        </w:r>
      </w:hyperlink>
      <w:r>
        <w:rPr>
          <w:rFonts w:ascii="Arial" w:eastAsia="Arial" w:hAnsi="Arial" w:cs="Arial"/>
          <w:color w:val="000000"/>
          <w:sz w:val="20"/>
        </w:rPr>
        <w:t xml:space="preserve"> are encouraged to fill in the speech bubbles ;; </w:t>
      </w:r>
    </w:p>
    <w:p w14:paraId="3B5B9580" w14:textId="77777777" w:rsidR="00054BF0" w:rsidRDefault="00000000">
      <w:pPr>
        <w:spacing w:line="260" w:lineRule="atLeast"/>
        <w:jc w:val="both"/>
      </w:pPr>
      <w:r>
        <w:rPr>
          <w:rFonts w:ascii="Arial" w:eastAsia="Arial" w:hAnsi="Arial" w:cs="Arial"/>
          <w:color w:val="000000"/>
          <w:sz w:val="20"/>
        </w:rPr>
        <w:t xml:space="preserve">In the 1940s, a third of Baghdad's population was Jewish. Within a decade, nearly all 150,000 of the country's Jews had been expelled, killed or had chosen to escape. Carol Isaacs' The Wolf of Baghdad is a wordless graphic memoir of a lost homeland by an author homesick for a home she has never visited. Transported by the power of music to her ancestral home in the old Jewish quarter of Baghdad, Isaacs encounters its ghost-like inhabitants who are revealed as long-gone family members. Accompanied by a wolf who trails after her, Isaacs explores the city, journeying through their memories and her imagination. She at first sees successful integration, and cultural and social cohesion. Then the mood turns darker with the fading of this ancient community's fortunes. The wolf, an animal believed by Baghdadi Jews to protect people from harmful demons, sees that Jewish life in Iraq is over, and returns Isaacs safely back to London.  </w:t>
      </w:r>
    </w:p>
    <w:p w14:paraId="43831BC7" w14:textId="77777777" w:rsidR="00054BF0" w:rsidRDefault="00000000">
      <w:pPr>
        <w:spacing w:line="260" w:lineRule="atLeast"/>
        <w:jc w:val="both"/>
      </w:pPr>
      <w:r>
        <w:rPr>
          <w:rFonts w:ascii="Arial" w:eastAsia="Arial" w:hAnsi="Arial" w:cs="Arial"/>
          <w:color w:val="000000"/>
          <w:sz w:val="20"/>
        </w:rPr>
        <w:lastRenderedPageBreak/>
        <w:t xml:space="preserve">Like other works of literature, successfully using graphic novels in the classroom requires careful planning and deep understanding of the content and themes of the work. What can make graphic novels more difficult to use is their blend of visual and verbal texts, with many educators less comfortable teaching students how to 'read' visuals in order to draw meaning from the image. To that end, this reading guide is structured to help educators teach their students how to read graphic narratives. As well, background readings about the historical context of Isaacs' work and sample exercises are included to foster critical thinking about The Wolf of Baghdad. Free download of the teaching guide[41] A mosque, a synagogue and a church provide a new center of worship in Abu Dhabi. pic.twitter.com/MygUIPWgK4[42] — CNN (@CNN) March 3, 2023[43]  </w:t>
      </w:r>
    </w:p>
    <w:p w14:paraId="17CD77B0" w14:textId="77777777" w:rsidR="00054BF0" w:rsidRDefault="00000000">
      <w:pPr>
        <w:spacing w:line="260" w:lineRule="atLeast"/>
        <w:jc w:val="both"/>
      </w:pPr>
      <w:r>
        <w:rPr>
          <w:rFonts w:ascii="Arial" w:eastAsia="Arial" w:hAnsi="Arial" w:cs="Arial"/>
          <w:color w:val="000000"/>
          <w:sz w:val="20"/>
        </w:rPr>
        <w:t xml:space="preserve">Touted Darius inscription is inauthentic, Israel Antiquities Authority clarifies[44]The Israel Antiquities Authority announced on Friday that an inscription on an ancient shard uncovered in southern Israel, which it attributed earlier in the week with much fanfare to the Persian King Darius the Great, is not authentic.  </w:t>
      </w:r>
    </w:p>
    <w:p w14:paraId="40755EF9" w14:textId="77777777" w:rsidR="00054BF0" w:rsidRDefault="00000000">
      <w:pPr>
        <w:spacing w:line="260" w:lineRule="atLeast"/>
        <w:jc w:val="both"/>
      </w:pPr>
      <w:r>
        <w:rPr>
          <w:rFonts w:ascii="Arial" w:eastAsia="Arial" w:hAnsi="Arial" w:cs="Arial"/>
          <w:color w:val="000000"/>
          <w:sz w:val="20"/>
        </w:rPr>
        <w:t xml:space="preserve">On March 1, the state-run archaeological body reported that the discovery of the 2,500-year-old fragment, which visitors found in December at the Tel Lachish national park, was the first bearing an inscription with Darius the Great's name anywhere in Israel.  </w:t>
      </w:r>
    </w:p>
    <w:p w14:paraId="71C94D99" w14:textId="77777777" w:rsidR="00054BF0" w:rsidRDefault="00000000">
      <w:pPr>
        <w:spacing w:line="260" w:lineRule="atLeast"/>
        <w:jc w:val="both"/>
      </w:pPr>
      <w:r>
        <w:rPr>
          <w:rFonts w:ascii="Arial" w:eastAsia="Arial" w:hAnsi="Arial" w:cs="Arial"/>
          <w:color w:val="000000"/>
          <w:sz w:val="20"/>
        </w:rPr>
        <w:t xml:space="preserve">However, in a rare weekend press announcement two days later, the IAA stated that an expert, who participated in the expedition last August contacted it following the publication of the find. The scholar informed the authority that she had created the inscription 'while demonstrating to a group of students the manner in which sherds were inscribed in ancient times.' ('Sherd' is a technical term that often overlaps with 'shard.')  </w:t>
      </w:r>
    </w:p>
    <w:p w14:paraId="52B2C9F0" w14:textId="77777777" w:rsidR="00054BF0" w:rsidRDefault="00000000">
      <w:pPr>
        <w:spacing w:line="260" w:lineRule="atLeast"/>
        <w:jc w:val="both"/>
      </w:pPr>
      <w:r>
        <w:rPr>
          <w:rFonts w:ascii="Arial" w:eastAsia="Arial" w:hAnsi="Arial" w:cs="Arial"/>
          <w:color w:val="000000"/>
          <w:sz w:val="20"/>
        </w:rPr>
        <w:t xml:space="preserve">The scholar accidentally left the shard on the site, leading to the erroneous identification, per the statement.  </w:t>
      </w:r>
    </w:p>
    <w:p w14:paraId="2FF9D0A2" w14:textId="77777777" w:rsidR="00054BF0" w:rsidRDefault="00000000">
      <w:pPr>
        <w:spacing w:line="260" w:lineRule="atLeast"/>
        <w:jc w:val="both"/>
      </w:pPr>
      <w:r>
        <w:rPr>
          <w:rFonts w:ascii="Arial" w:eastAsia="Arial" w:hAnsi="Arial" w:cs="Arial"/>
          <w:color w:val="000000"/>
          <w:sz w:val="20"/>
        </w:rPr>
        <w:t xml:space="preserve">'The IAA takes full responsibility for the unfortunate event,' stated Gideon Avni, IAA chief scientist. He noted that a 'leading' researcher and an archaeologist studying the site examined the piece. 'As an institution that strives for the scientific truth, we are committed to correcting the mistake that was made and making it known to the public.'Israeli NGOs bring aid to those in need in India[45]The Indian capital of Delhi is ground zero for Indian politics and media, but high-rising Mumbai is the stylish capital of Indian business and cinema.  </w:t>
      </w:r>
    </w:p>
    <w:p w14:paraId="1DC5A587" w14:textId="77777777" w:rsidR="00054BF0" w:rsidRDefault="00000000">
      <w:pPr>
        <w:spacing w:line="260" w:lineRule="atLeast"/>
        <w:jc w:val="both"/>
      </w:pPr>
      <w:r>
        <w:rPr>
          <w:rFonts w:ascii="Arial" w:eastAsia="Arial" w:hAnsi="Arial" w:cs="Arial"/>
          <w:color w:val="000000"/>
          <w:sz w:val="20"/>
        </w:rPr>
        <w:t xml:space="preserve">Walking out the doors of the airport, one passes shiny new eateries lining the way out, giving way to a highway lined with luxurious hotels and slick skyscrapers - commercial and residential; the kind that fill much of the city and its suburbs. The wealthiest parts of town look as posh as anything New York or London can offer.  </w:t>
      </w:r>
    </w:p>
    <w:p w14:paraId="426BFB3E" w14:textId="77777777" w:rsidR="00054BF0" w:rsidRDefault="00000000">
      <w:pPr>
        <w:spacing w:line="260" w:lineRule="atLeast"/>
        <w:jc w:val="both"/>
      </w:pPr>
      <w:r>
        <w:rPr>
          <w:rFonts w:ascii="Arial" w:eastAsia="Arial" w:hAnsi="Arial" w:cs="Arial"/>
          <w:color w:val="000000"/>
          <w:sz w:val="20"/>
        </w:rPr>
        <w:t xml:space="preserve">But a brief drive south on that highway reveals the extreme disparities that characterize Indian cities. Dharavi, the huge slum that was the inspiration for the novel Q&amp;A and the subsequent film Slumdog Millionaire, is a short distance from Bandra. In this neighborhood, Bollywood stars live in luxury condos next to the Bharat Diamond Bourse, the world's largest diamond exchange. A taxi driver or bellboy may service wealthy businessmen all day and return at night to his brick two-room home in the Dharavi or Kalwa slums.  </w:t>
      </w:r>
    </w:p>
    <w:p w14:paraId="43925323" w14:textId="77777777" w:rsidR="00054BF0" w:rsidRDefault="00000000">
      <w:pPr>
        <w:spacing w:line="260" w:lineRule="atLeast"/>
        <w:jc w:val="both"/>
      </w:pPr>
      <w:r>
        <w:rPr>
          <w:rFonts w:ascii="Arial" w:eastAsia="Arial" w:hAnsi="Arial" w:cs="Arial"/>
          <w:color w:val="000000"/>
          <w:sz w:val="20"/>
        </w:rPr>
        <w:t xml:space="preserve">Less fortunate neighbors may squat illegally in tin shacks in unrecognized neighborhoods which lack the proper infrastructure for electricity, water and sewage treatment. As contractors may buy the scarce land for development at any time, the squatters also live under constant threat of eviction. Mumbai is Los Angeles with slums, monsoons, and tropical diseases, but interestingly, without gun violence. The slum inhabitants are villagers who moved to the city, work in menial labor and cannot afford the stiff price of housing. They are productive and not tempted to engage in criminal activity.Podcast  Hosts Sasha Spielberg, Alana Haim Talk About Proudly Feeling Jewish 'Every Single Second of the Day'[46]Musicians and friends Alana Haim and Sasha Spielberg talked about their Jewish backgrounds, friendship and middle school memories, that included many bat mitzvah parties, in a new interview with the website Hey Alma.  </w:t>
      </w:r>
    </w:p>
    <w:p w14:paraId="5F8C48D8" w14:textId="77777777" w:rsidR="00054BF0" w:rsidRDefault="00000000">
      <w:pPr>
        <w:spacing w:before="200" w:line="260" w:lineRule="atLeast"/>
        <w:jc w:val="both"/>
      </w:pPr>
      <w:r>
        <w:rPr>
          <w:rFonts w:ascii="Arial" w:eastAsia="Arial" w:hAnsi="Arial" w:cs="Arial"/>
          <w:color w:val="000000"/>
          <w:sz w:val="20"/>
        </w:rPr>
        <w:t xml:space="preserve">Haim and her two older sisters make </w:t>
      </w:r>
      <w:r>
        <w:rPr>
          <w:rFonts w:ascii="Arial" w:eastAsia="Arial" w:hAnsi="Arial" w:cs="Arial"/>
          <w:b/>
          <w:i/>
          <w:color w:val="000000"/>
          <w:sz w:val="20"/>
          <w:u w:val="single"/>
        </w:rPr>
        <w:t>up</w:t>
      </w:r>
      <w:r>
        <w:rPr>
          <w:rFonts w:ascii="Arial" w:eastAsia="Arial" w:hAnsi="Arial" w:cs="Arial"/>
          <w:color w:val="000000"/>
          <w:sz w:val="20"/>
        </w:rPr>
        <w:t xml:space="preserve"> the band called Haim while Spielberg, the daughter of director Steven Spielberg, will release her second studio album under the stage name Buzzy Lee in April. The Los Angeles natives are co-hosts of Free Period, a podcast in which they discuss their most embarrassing childhood memories as well as those of their guests.  </w:t>
      </w:r>
    </w:p>
    <w:p w14:paraId="23D36C39" w14:textId="77777777" w:rsidR="00054BF0" w:rsidRDefault="00000000">
      <w:pPr>
        <w:spacing w:before="200" w:line="260" w:lineRule="atLeast"/>
        <w:jc w:val="both"/>
      </w:pPr>
      <w:r>
        <w:rPr>
          <w:rFonts w:ascii="Arial" w:eastAsia="Arial" w:hAnsi="Arial" w:cs="Arial"/>
          <w:color w:val="000000"/>
          <w:sz w:val="20"/>
        </w:rPr>
        <w:t xml:space="preserve">The childhood friends told Hey Alma in unison that they feel Jewish 'every single second of the day' and </w:t>
      </w:r>
      <w:r>
        <w:rPr>
          <w:rFonts w:ascii="Arial" w:eastAsia="Arial" w:hAnsi="Arial" w:cs="Arial"/>
          <w:b/>
          <w:i/>
          <w:color w:val="000000"/>
          <w:sz w:val="20"/>
          <w:u w:val="single"/>
        </w:rPr>
        <w:t>started</w:t>
      </w:r>
      <w:r>
        <w:rPr>
          <w:rFonts w:ascii="Arial" w:eastAsia="Arial" w:hAnsi="Arial" w:cs="Arial"/>
          <w:color w:val="000000"/>
          <w:sz w:val="20"/>
        </w:rPr>
        <w:t xml:space="preserve"> off their interview with the publication by reminiscing on their years in the bat mitzvah circuit.  </w:t>
      </w:r>
    </w:p>
    <w:p w14:paraId="00EB93D0" w14:textId="77777777" w:rsidR="00054BF0" w:rsidRDefault="00000000">
      <w:pPr>
        <w:spacing w:line="260" w:lineRule="atLeast"/>
        <w:jc w:val="both"/>
      </w:pPr>
      <w:r>
        <w:rPr>
          <w:rFonts w:ascii="Arial" w:eastAsia="Arial" w:hAnsi="Arial" w:cs="Arial"/>
          <w:color w:val="000000"/>
          <w:sz w:val="20"/>
        </w:rPr>
        <w:t xml:space="preserve">'I have been chasing the high of bat mitzvah season my whole life,' said Haim, who made her acting debut in the 2021 film Licorice Pizza. 'I didn't go to a Jewish school, but I went to a school where all my friends were Jewish. </w:t>
      </w:r>
      <w:r>
        <w:rPr>
          <w:rFonts w:ascii="Arial" w:eastAsia="Arial" w:hAnsi="Arial" w:cs="Arial"/>
          <w:color w:val="000000"/>
          <w:sz w:val="20"/>
        </w:rPr>
        <w:lastRenderedPageBreak/>
        <w:t xml:space="preserve">And it was every weekend. If you didn't have a bat mitzvah or a bar mitzvah to go to, it meant that you weren't invited to one, and then Monday was like, Inspector Gadget — like, who did not invite me to their bat mitzvah?  </w:t>
      </w:r>
    </w:p>
    <w:p w14:paraId="68924284" w14:textId="77777777" w:rsidR="00054BF0" w:rsidRDefault="00000000">
      <w:pPr>
        <w:spacing w:line="260" w:lineRule="atLeast"/>
        <w:jc w:val="both"/>
      </w:pPr>
      <w:r>
        <w:rPr>
          <w:rFonts w:ascii="Arial" w:eastAsia="Arial" w:hAnsi="Arial" w:cs="Arial"/>
          <w:color w:val="000000"/>
          <w:sz w:val="20"/>
        </w:rPr>
        <w:t xml:space="preserve">'When I met Sasha, it was like, we really both did have this [same background]. She was one of the only people in my life that I could really divulge deep into that time,' she added.  </w:t>
      </w:r>
    </w:p>
    <w:p w14:paraId="4E0EA562" w14:textId="77777777" w:rsidR="00054BF0" w:rsidRDefault="00000000">
      <w:pPr>
        <w:spacing w:before="200" w:line="260" w:lineRule="atLeast"/>
        <w:jc w:val="both"/>
      </w:pPr>
      <w:r>
        <w:rPr>
          <w:rFonts w:ascii="Arial" w:eastAsia="Arial" w:hAnsi="Arial" w:cs="Arial"/>
          <w:color w:val="000000"/>
          <w:sz w:val="20"/>
        </w:rPr>
        <w:t xml:space="preserve">The podcast hosts also talked to Hey Alma about Jewish cultural figures they looked </w:t>
      </w:r>
      <w:r>
        <w:rPr>
          <w:rFonts w:ascii="Arial" w:eastAsia="Arial" w:hAnsi="Arial" w:cs="Arial"/>
          <w:b/>
          <w:i/>
          <w:color w:val="000000"/>
          <w:sz w:val="20"/>
          <w:u w:val="single"/>
        </w:rPr>
        <w:t>up</w:t>
      </w:r>
      <w:r>
        <w:rPr>
          <w:rFonts w:ascii="Arial" w:eastAsia="Arial" w:hAnsi="Arial" w:cs="Arial"/>
          <w:color w:val="000000"/>
          <w:sz w:val="20"/>
        </w:rPr>
        <w:t xml:space="preserve"> to when they were younger, like Barbara Streisand and Natalie Portman, and Haim said she always— until today — felt 'cool' and 'super proud' for being Jewish.Filmmaker Steven Spielberg Says Global Antisemitism is 'Standing Proud,' 'No Longer Lurking'[47]Academy Award-winning director Steven Spielberg explained why he finds the rise of public displays of antisemitism in the US and around the world 'very, very surprising' during his interview on Thursday night with late night talk show host Stephen Colbert.  </w:t>
      </w:r>
    </w:p>
    <w:p w14:paraId="22EB8755" w14:textId="77777777" w:rsidR="00054BF0" w:rsidRDefault="00000000">
      <w:pPr>
        <w:spacing w:line="260" w:lineRule="atLeast"/>
        <w:jc w:val="both"/>
      </w:pPr>
      <w:r>
        <w:rPr>
          <w:rFonts w:ascii="Arial" w:eastAsia="Arial" w:hAnsi="Arial" w:cs="Arial"/>
          <w:color w:val="000000"/>
          <w:sz w:val="20"/>
        </w:rPr>
        <w:t xml:space="preserve">'Antisemitism has always been there. It's either been just around the corner and slightly out of sight but always lurking or it has been much more overt, like in Germany in the 30s,' the Jewish filmmaker said during a segment that appeared on The Late Show With Stephen Colbert. 'But not since Germany in the 30s have I witnessed antisemitism no longer lurking but standing proud with hands on hips like Hitler and Mussolini. Kind of daring us to defy it. I have never experienced this in my entire life, especially in this country.'  </w:t>
      </w:r>
    </w:p>
    <w:p w14:paraId="40B37C7B" w14:textId="77777777" w:rsidR="00054BF0" w:rsidRDefault="00000000">
      <w:pPr>
        <w:spacing w:line="260" w:lineRule="atLeast"/>
        <w:jc w:val="both"/>
      </w:pPr>
      <w:r>
        <w:rPr>
          <w:rFonts w:ascii="Arial" w:eastAsia="Arial" w:hAnsi="Arial" w:cs="Arial"/>
          <w:color w:val="000000"/>
          <w:sz w:val="20"/>
        </w:rPr>
        <w:t xml:space="preserve">During his first late-night interview Spielberg also discussed his latest movie, the Oscar-nominated autobiographical film The Fabelmans, which was inspired by his own childhood and dives into how he developed his love of filmmaking. The coming-of-age drama shows aspects of Spielberg's Jewish life and upbringing, such as him celebrating Jewish holidays with his family and the antisemitic bullying he faced.  </w:t>
      </w:r>
    </w:p>
    <w:p w14:paraId="40BB41CA" w14:textId="77777777" w:rsidR="00054BF0" w:rsidRDefault="00000000">
      <w:pPr>
        <w:spacing w:before="200" w:line="260" w:lineRule="atLeast"/>
        <w:jc w:val="both"/>
      </w:pPr>
      <w:r>
        <w:rPr>
          <w:rFonts w:ascii="Arial" w:eastAsia="Arial" w:hAnsi="Arial" w:cs="Arial"/>
          <w:color w:val="000000"/>
          <w:sz w:val="20"/>
        </w:rPr>
        <w:t xml:space="preserve">During their conversation that aired on Thursday night Colbert also asked Spielberg why he thinks antisemitism is 'raising its ugly head' now more publicly than it has in the past. The director, who established the Shoah Foundation after helming the Academy Award-winning film the Schindler's List, replied that 'the marginalizing of people that aren't some kind of a majority race is something that has been creeping </w:t>
      </w:r>
      <w:r>
        <w:rPr>
          <w:rFonts w:ascii="Arial" w:eastAsia="Arial" w:hAnsi="Arial" w:cs="Arial"/>
          <w:b/>
          <w:i/>
          <w:color w:val="000000"/>
          <w:sz w:val="20"/>
          <w:u w:val="single"/>
        </w:rPr>
        <w:t>up</w:t>
      </w:r>
      <w:r>
        <w:rPr>
          <w:rFonts w:ascii="Arial" w:eastAsia="Arial" w:hAnsi="Arial" w:cs="Arial"/>
          <w:color w:val="000000"/>
          <w:sz w:val="20"/>
        </w:rPr>
        <w:t xml:space="preserve"> on us for years, and years, and years and somehow in 2014, 2015, 2016, hate has became a kind of membership to a club that is gotten more members than I ever thought is possible in America. And hate and antisemitism go hand-in-hand. You can't separate one from the other.'  </w:t>
      </w:r>
    </w:p>
    <w:p w14:paraId="6AD7CAAE" w14:textId="77777777" w:rsidR="00054BF0" w:rsidRDefault="00000000">
      <w:pPr>
        <w:spacing w:line="260" w:lineRule="atLeast"/>
        <w:jc w:val="both"/>
      </w:pPr>
      <w:r>
        <w:rPr>
          <w:rFonts w:ascii="Arial" w:eastAsia="Arial" w:hAnsi="Arial" w:cs="Arial"/>
          <w:color w:val="000000"/>
          <w:sz w:val="20"/>
        </w:rPr>
        <w:t xml:space="preserve">Still, Spielberg is optimistic that hatred and antisemitism will not prevail in conquering mankind. He paraphrased a quote from Holocaust victim Anne Frank, who wrote in her famed diary: 'In spite of everything I still believe that people are really good at heart.' 'Not since Germany in the '30s have I witnessed antisemitism, no longer lurking but standing proud with hands on hips like Hitler and Mussolini — kind of daring us to defy it. I've never experienced this in my entire life. Especially in this country.' — Steven Spielberg #Colbert[48] pic.twitter.com/ZGMmnVEFMZ[49] — The Late Show (@colbertlateshow) March 3, 2023[50] ; </w:t>
      </w:r>
    </w:p>
    <w:p w14:paraId="73876F6B" w14:textId="77777777" w:rsidR="00054BF0" w:rsidRDefault="00000000">
      <w:pPr>
        <w:spacing w:line="260" w:lineRule="atLeast"/>
        <w:jc w:val="both"/>
      </w:pPr>
      <w:r>
        <w:rPr>
          <w:rFonts w:ascii="Arial" w:eastAsia="Arial" w:hAnsi="Arial" w:cs="Arial"/>
          <w:color w:val="000000"/>
          <w:sz w:val="20"/>
        </w:rPr>
        <w:t xml:space="preserve">https://elderofziyon.blogspot .com/p/eoz-book-protocols-exposing-modern.html[51] </w:t>
      </w:r>
    </w:p>
    <w:p w14:paraId="2DCA3F9A" w14:textId="77777777" w:rsidR="00054BF0" w:rsidRDefault="00000000">
      <w:pPr>
        <w:spacing w:before="240" w:line="260" w:lineRule="atLeast"/>
        <w:jc w:val="both"/>
      </w:pPr>
      <w:r>
        <w:rPr>
          <w:rFonts w:ascii="Arial" w:eastAsia="Arial" w:hAnsi="Arial" w:cs="Arial"/>
          <w:color w:val="000000"/>
          <w:sz w:val="20"/>
        </w:rPr>
        <w:t xml:space="preserve">[52] </w:t>
      </w:r>
      <w:hyperlink r:id="rId114" w:history="1">
        <w:r>
          <w:rPr>
            <w:rFonts w:ascii="Arial" w:eastAsia="Arial" w:hAnsi="Arial" w:cs="Arial"/>
            <w:i/>
            <w:color w:val="0077CC"/>
            <w:sz w:val="20"/>
            <w:u w:val="single"/>
            <w:shd w:val="clear" w:color="auto" w:fill="FFFFFF"/>
          </w:rPr>
          <w:t>https://ko-fi.com/elderofziyon</w:t>
        </w:r>
      </w:hyperlink>
      <w:r>
        <w:rPr>
          <w:rFonts w:ascii="Arial" w:eastAsia="Arial" w:hAnsi="Arial" w:cs="Arial"/>
          <w:color w:val="000000"/>
          <w:sz w:val="20"/>
        </w:rPr>
        <w:t xml:space="preserve"> </w:t>
      </w:r>
    </w:p>
    <w:p w14:paraId="42F6C7CB" w14:textId="77777777" w:rsidR="00054BF0" w:rsidRDefault="00000000">
      <w:pPr>
        <w:spacing w:before="240" w:line="260" w:lineRule="atLeast"/>
        <w:jc w:val="both"/>
      </w:pPr>
      <w:r>
        <w:rPr>
          <w:rFonts w:ascii="Arial" w:eastAsia="Arial" w:hAnsi="Arial" w:cs="Arial"/>
          <w:color w:val="000000"/>
          <w:sz w:val="20"/>
        </w:rPr>
        <w:t xml:space="preserve"> [ 1]: </w:t>
      </w:r>
      <w:hyperlink r:id="rId115" w:history="1">
        <w:r>
          <w:rPr>
            <w:rFonts w:ascii="Arial" w:eastAsia="Arial" w:hAnsi="Arial" w:cs="Arial"/>
            <w:i/>
            <w:color w:val="0077CC"/>
            <w:sz w:val="20"/>
            <w:u w:val="single"/>
            <w:shd w:val="clear" w:color="auto" w:fill="FFFFFF"/>
          </w:rPr>
          <w:t>https://www.tabletmag.com/sections/holidays/articles/second-purim-megillat-saragossa</w:t>
        </w:r>
      </w:hyperlink>
      <w:r>
        <w:rPr>
          <w:rFonts w:ascii="Arial" w:eastAsia="Arial" w:hAnsi="Arial" w:cs="Arial"/>
          <w:color w:val="000000"/>
          <w:sz w:val="20"/>
        </w:rPr>
        <w:t xml:space="preserve"> [ 2]: </w:t>
      </w:r>
      <w:hyperlink r:id="rId116" w:history="1">
        <w:r>
          <w:rPr>
            <w:rFonts w:ascii="Arial" w:eastAsia="Arial" w:hAnsi="Arial" w:cs="Arial"/>
            <w:i/>
            <w:color w:val="0077CC"/>
            <w:sz w:val="20"/>
            <w:u w:val="single"/>
            <w:shd w:val="clear" w:color="auto" w:fill="FFFFFF"/>
          </w:rPr>
          <w:t>https://www.thejc.com/news/news/meet-the-brilliant-barrister-battling-lies-about-israel-CTv8ev08aQqC3stUGTOIG</w:t>
        </w:r>
      </w:hyperlink>
      <w:r>
        <w:rPr>
          <w:rFonts w:ascii="Arial" w:eastAsia="Arial" w:hAnsi="Arial" w:cs="Arial"/>
          <w:color w:val="000000"/>
          <w:sz w:val="20"/>
        </w:rPr>
        <w:t xml:space="preserve"> [ 3]: </w:t>
      </w:r>
      <w:hyperlink r:id="rId117" w:history="1">
        <w:r>
          <w:rPr>
            <w:rFonts w:ascii="Arial" w:eastAsia="Arial" w:hAnsi="Arial" w:cs="Arial"/>
            <w:i/>
            <w:color w:val="0077CC"/>
            <w:sz w:val="20"/>
            <w:u w:val="single"/>
            <w:shd w:val="clear" w:color="auto" w:fill="FFFFFF"/>
          </w:rPr>
          <w:t>https://www.jns.org/opinion/should-american-jews-intervene-to-stop-netanyahu/</w:t>
        </w:r>
      </w:hyperlink>
      <w:r>
        <w:rPr>
          <w:rFonts w:ascii="Arial" w:eastAsia="Arial" w:hAnsi="Arial" w:cs="Arial"/>
          <w:color w:val="000000"/>
          <w:sz w:val="20"/>
        </w:rPr>
        <w:t xml:space="preserve"> [ 4]: </w:t>
      </w:r>
      <w:hyperlink r:id="rId118" w:history="1">
        <w:r>
          <w:rPr>
            <w:rFonts w:ascii="Arial" w:eastAsia="Arial" w:hAnsi="Arial" w:cs="Arial"/>
            <w:i/>
            <w:color w:val="0077CC"/>
            <w:sz w:val="20"/>
            <w:u w:val="single"/>
            <w:shd w:val="clear" w:color="auto" w:fill="FFFFFF"/>
          </w:rPr>
          <w:t>https://www.jpost.com/opinion/article-733262</w:t>
        </w:r>
      </w:hyperlink>
      <w:r>
        <w:rPr>
          <w:rFonts w:ascii="Arial" w:eastAsia="Arial" w:hAnsi="Arial" w:cs="Arial"/>
          <w:color w:val="000000"/>
          <w:sz w:val="20"/>
        </w:rPr>
        <w:t xml:space="preserve"> [ 5]: </w:t>
      </w:r>
      <w:hyperlink r:id="rId119" w:history="1">
        <w:r>
          <w:rPr>
            <w:rFonts w:ascii="Arial" w:eastAsia="Arial" w:hAnsi="Arial" w:cs="Arial"/>
            <w:i/>
            <w:color w:val="0077CC"/>
            <w:sz w:val="20"/>
            <w:u w:val="single"/>
            <w:shd w:val="clear" w:color="auto" w:fill="FFFFFF"/>
          </w:rPr>
          <w:t>https://www.algemeiner.com/2023/03/02/new-leader-of-italys-main-left-wing-party-raises-concern-with-attacks-on-israel-and-comments-on-her-jewish-origins/</w:t>
        </w:r>
      </w:hyperlink>
      <w:r>
        <w:rPr>
          <w:rFonts w:ascii="Arial" w:eastAsia="Arial" w:hAnsi="Arial" w:cs="Arial"/>
          <w:color w:val="000000"/>
          <w:sz w:val="20"/>
        </w:rPr>
        <w:t xml:space="preserve"> [ 6]: </w:t>
      </w:r>
      <w:hyperlink r:id="rId120" w:history="1">
        <w:r>
          <w:rPr>
            <w:rFonts w:ascii="Arial" w:eastAsia="Arial" w:hAnsi="Arial" w:cs="Arial"/>
            <w:i/>
            <w:color w:val="0077CC"/>
            <w:sz w:val="20"/>
            <w:u w:val="single"/>
            <w:shd w:val="clear" w:color="auto" w:fill="FFFFFF"/>
          </w:rPr>
          <w:t>https://t.co/PT4tMt5PGS</w:t>
        </w:r>
      </w:hyperlink>
      <w:r>
        <w:rPr>
          <w:rFonts w:ascii="Arial" w:eastAsia="Arial" w:hAnsi="Arial" w:cs="Arial"/>
          <w:color w:val="000000"/>
          <w:sz w:val="20"/>
        </w:rPr>
        <w:t xml:space="preserve"> [ 7]: </w:t>
      </w:r>
      <w:hyperlink r:id="rId121" w:history="1">
        <w:r>
          <w:rPr>
            <w:rFonts w:ascii="Arial" w:eastAsia="Arial" w:hAnsi="Arial" w:cs="Arial"/>
            <w:i/>
            <w:color w:val="0077CC"/>
            <w:sz w:val="20"/>
            <w:u w:val="single"/>
            <w:shd w:val="clear" w:color="auto" w:fill="FFFFFF"/>
          </w:rPr>
          <w:t>https://twitter.com/Claire_V0ltaire/status/1631679955481559041?ref_src=twsrc%5Etfw</w:t>
        </w:r>
      </w:hyperlink>
      <w:r>
        <w:rPr>
          <w:rFonts w:ascii="Arial" w:eastAsia="Arial" w:hAnsi="Arial" w:cs="Arial"/>
          <w:color w:val="000000"/>
          <w:sz w:val="20"/>
        </w:rPr>
        <w:t xml:space="preserve"> [ 8]: </w:t>
      </w:r>
      <w:hyperlink r:id="rId122" w:history="1">
        <w:r>
          <w:rPr>
            <w:rFonts w:ascii="Arial" w:eastAsia="Arial" w:hAnsi="Arial" w:cs="Arial"/>
            <w:i/>
            <w:color w:val="0077CC"/>
            <w:sz w:val="20"/>
            <w:u w:val="single"/>
            <w:shd w:val="clear" w:color="auto" w:fill="FFFFFF"/>
          </w:rPr>
          <w:t>https://www.timesofisrael.com/pro-palestinian-activists-planned-violence-at-israel-rally-in-nyc-prosecutors-say</w:t>
        </w:r>
      </w:hyperlink>
      <w:r>
        <w:rPr>
          <w:rFonts w:ascii="Arial" w:eastAsia="Arial" w:hAnsi="Arial" w:cs="Arial"/>
          <w:color w:val="000000"/>
          <w:sz w:val="20"/>
        </w:rPr>
        <w:t xml:space="preserve">/ [ 9]: </w:t>
      </w:r>
      <w:hyperlink r:id="rId123" w:history="1">
        <w:r>
          <w:rPr>
            <w:rFonts w:ascii="Arial" w:eastAsia="Arial" w:hAnsi="Arial" w:cs="Arial"/>
            <w:i/>
            <w:color w:val="0077CC"/>
            <w:sz w:val="20"/>
            <w:u w:val="single"/>
            <w:shd w:val="clear" w:color="auto" w:fill="FFFFFF"/>
          </w:rPr>
          <w:t>https://t.co/dySbiSVkBH</w:t>
        </w:r>
      </w:hyperlink>
      <w:r>
        <w:rPr>
          <w:rFonts w:ascii="Arial" w:eastAsia="Arial" w:hAnsi="Arial" w:cs="Arial"/>
          <w:color w:val="000000"/>
          <w:sz w:val="20"/>
        </w:rPr>
        <w:t xml:space="preserve"> [ 10]: </w:t>
      </w:r>
      <w:hyperlink r:id="rId124" w:history="1">
        <w:r>
          <w:rPr>
            <w:rFonts w:ascii="Arial" w:eastAsia="Arial" w:hAnsi="Arial" w:cs="Arial"/>
            <w:i/>
            <w:color w:val="0077CC"/>
            <w:sz w:val="20"/>
            <w:u w:val="single"/>
            <w:shd w:val="clear" w:color="auto" w:fill="FFFFFF"/>
          </w:rPr>
          <w:t>https://t.co/1lRGd8NDhM</w:t>
        </w:r>
      </w:hyperlink>
      <w:r>
        <w:rPr>
          <w:rFonts w:ascii="Arial" w:eastAsia="Arial" w:hAnsi="Arial" w:cs="Arial"/>
          <w:color w:val="000000"/>
          <w:sz w:val="20"/>
        </w:rPr>
        <w:t xml:space="preserve"> [ 11]: </w:t>
      </w:r>
      <w:hyperlink r:id="rId125" w:history="1">
        <w:r>
          <w:rPr>
            <w:rFonts w:ascii="Arial" w:eastAsia="Arial" w:hAnsi="Arial" w:cs="Arial"/>
            <w:i/>
            <w:color w:val="0077CC"/>
            <w:sz w:val="20"/>
            <w:u w:val="single"/>
            <w:shd w:val="clear" w:color="auto" w:fill="FFFFFF"/>
          </w:rPr>
          <w:t>https://t.co/NygYd9Pzvt</w:t>
        </w:r>
      </w:hyperlink>
      <w:r>
        <w:rPr>
          <w:rFonts w:ascii="Arial" w:eastAsia="Arial" w:hAnsi="Arial" w:cs="Arial"/>
          <w:color w:val="000000"/>
          <w:sz w:val="20"/>
        </w:rPr>
        <w:t xml:space="preserve"> [ 12]: </w:t>
      </w:r>
      <w:hyperlink r:id="rId126" w:history="1">
        <w:r>
          <w:rPr>
            <w:rFonts w:ascii="Arial" w:eastAsia="Arial" w:hAnsi="Arial" w:cs="Arial"/>
            <w:i/>
            <w:color w:val="0077CC"/>
            <w:sz w:val="20"/>
            <w:u w:val="single"/>
            <w:shd w:val="clear" w:color="auto" w:fill="FFFFFF"/>
          </w:rPr>
          <w:t>https://twitter.com/canarymission/status/1631323353536503809?ref_src=twsrc%5Etfw</w:t>
        </w:r>
      </w:hyperlink>
      <w:r>
        <w:rPr>
          <w:rFonts w:ascii="Arial" w:eastAsia="Arial" w:hAnsi="Arial" w:cs="Arial"/>
          <w:color w:val="000000"/>
          <w:sz w:val="20"/>
        </w:rPr>
        <w:t xml:space="preserve"> [ 13]: </w:t>
      </w:r>
      <w:hyperlink r:id="rId127" w:history="1">
        <w:r>
          <w:rPr>
            <w:rFonts w:ascii="Arial" w:eastAsia="Arial" w:hAnsi="Arial" w:cs="Arial"/>
            <w:i/>
            <w:color w:val="0077CC"/>
            <w:sz w:val="20"/>
            <w:u w:val="single"/>
            <w:shd w:val="clear" w:color="auto" w:fill="FFFFFF"/>
          </w:rPr>
          <w:t>https://t.co/zeZ5iyJ20R</w:t>
        </w:r>
      </w:hyperlink>
      <w:r>
        <w:rPr>
          <w:rFonts w:ascii="Arial" w:eastAsia="Arial" w:hAnsi="Arial" w:cs="Arial"/>
          <w:color w:val="000000"/>
          <w:sz w:val="20"/>
        </w:rPr>
        <w:t xml:space="preserve"> [ 14]: </w:t>
      </w:r>
      <w:hyperlink r:id="rId128" w:history="1">
        <w:r>
          <w:rPr>
            <w:rFonts w:ascii="Arial" w:eastAsia="Arial" w:hAnsi="Arial" w:cs="Arial"/>
            <w:i/>
            <w:color w:val="0077CC"/>
            <w:sz w:val="20"/>
            <w:u w:val="single"/>
            <w:shd w:val="clear" w:color="auto" w:fill="FFFFFF"/>
          </w:rPr>
          <w:t>https://t.co/FLzyMKmNV2</w:t>
        </w:r>
      </w:hyperlink>
      <w:r>
        <w:rPr>
          <w:rFonts w:ascii="Arial" w:eastAsia="Arial" w:hAnsi="Arial" w:cs="Arial"/>
          <w:color w:val="000000"/>
          <w:sz w:val="20"/>
        </w:rPr>
        <w:t xml:space="preserve"> [ 15]: </w:t>
      </w:r>
      <w:hyperlink r:id="rId129" w:history="1">
        <w:r>
          <w:rPr>
            <w:rFonts w:ascii="Arial" w:eastAsia="Arial" w:hAnsi="Arial" w:cs="Arial"/>
            <w:i/>
            <w:color w:val="0077CC"/>
            <w:sz w:val="20"/>
            <w:u w:val="single"/>
            <w:shd w:val="clear" w:color="auto" w:fill="FFFFFF"/>
          </w:rPr>
          <w:t>https://twitter.com/canarymission/status/1631413852129701892?ref_src=twsrc%5Etfw</w:t>
        </w:r>
      </w:hyperlink>
      <w:r>
        <w:rPr>
          <w:rFonts w:ascii="Arial" w:eastAsia="Arial" w:hAnsi="Arial" w:cs="Arial"/>
          <w:color w:val="000000"/>
          <w:sz w:val="20"/>
        </w:rPr>
        <w:t xml:space="preserve"> [ 16]: </w:t>
      </w:r>
      <w:hyperlink r:id="rId130" w:history="1">
        <w:r>
          <w:rPr>
            <w:rFonts w:ascii="Arial" w:eastAsia="Arial" w:hAnsi="Arial" w:cs="Arial"/>
            <w:i/>
            <w:color w:val="0077CC"/>
            <w:sz w:val="20"/>
            <w:u w:val="single"/>
            <w:shd w:val="clear" w:color="auto" w:fill="FFFFFF"/>
          </w:rPr>
          <w:t>https://t.co/QfiRhLOJks</w:t>
        </w:r>
      </w:hyperlink>
      <w:r>
        <w:rPr>
          <w:rFonts w:ascii="Arial" w:eastAsia="Arial" w:hAnsi="Arial" w:cs="Arial"/>
          <w:color w:val="000000"/>
          <w:sz w:val="20"/>
        </w:rPr>
        <w:t xml:space="preserve"> [ 17]: </w:t>
      </w:r>
      <w:hyperlink r:id="rId131" w:history="1">
        <w:r>
          <w:rPr>
            <w:rFonts w:ascii="Arial" w:eastAsia="Arial" w:hAnsi="Arial" w:cs="Arial"/>
            <w:i/>
            <w:color w:val="0077CC"/>
            <w:sz w:val="20"/>
            <w:u w:val="single"/>
            <w:shd w:val="clear" w:color="auto" w:fill="FFFFFF"/>
          </w:rPr>
          <w:t>https://twitter.com/StopAntisemites/status/1631764352654082050?ref_src=twsrc%5Etfw</w:t>
        </w:r>
      </w:hyperlink>
      <w:r>
        <w:rPr>
          <w:rFonts w:ascii="Arial" w:eastAsia="Arial" w:hAnsi="Arial" w:cs="Arial"/>
          <w:color w:val="000000"/>
          <w:sz w:val="20"/>
        </w:rPr>
        <w:t xml:space="preserve"> [ 18]: </w:t>
      </w:r>
      <w:hyperlink r:id="rId132" w:history="1">
        <w:r>
          <w:rPr>
            <w:rFonts w:ascii="Arial" w:eastAsia="Arial" w:hAnsi="Arial" w:cs="Arial"/>
            <w:i/>
            <w:color w:val="0077CC"/>
            <w:sz w:val="20"/>
            <w:u w:val="single"/>
            <w:shd w:val="clear" w:color="auto" w:fill="FFFFFF"/>
          </w:rPr>
          <w:t>https://www.jpost.com/diaspora/antisemitism/article-733247</w:t>
        </w:r>
      </w:hyperlink>
      <w:r>
        <w:rPr>
          <w:rFonts w:ascii="Arial" w:eastAsia="Arial" w:hAnsi="Arial" w:cs="Arial"/>
          <w:color w:val="000000"/>
          <w:sz w:val="20"/>
        </w:rPr>
        <w:t xml:space="preserve"> [ 19]: </w:t>
      </w:r>
      <w:hyperlink r:id="rId133" w:history="1">
        <w:r>
          <w:rPr>
            <w:rFonts w:ascii="Arial" w:eastAsia="Arial" w:hAnsi="Arial" w:cs="Arial"/>
            <w:i/>
            <w:color w:val="0077CC"/>
            <w:sz w:val="20"/>
            <w:u w:val="single"/>
            <w:shd w:val="clear" w:color="auto" w:fill="FFFFFF"/>
          </w:rPr>
          <w:t>https://t.co/W7hm1jDqWm</w:t>
        </w:r>
      </w:hyperlink>
      <w:r>
        <w:rPr>
          <w:rFonts w:ascii="Arial" w:eastAsia="Arial" w:hAnsi="Arial" w:cs="Arial"/>
          <w:color w:val="000000"/>
          <w:sz w:val="20"/>
        </w:rPr>
        <w:t xml:space="preserve"> [ 20]: </w:t>
      </w:r>
      <w:hyperlink r:id="rId134" w:history="1">
        <w:r>
          <w:rPr>
            <w:rFonts w:ascii="Arial" w:eastAsia="Arial" w:hAnsi="Arial" w:cs="Arial"/>
            <w:i/>
            <w:color w:val="0077CC"/>
            <w:sz w:val="20"/>
            <w:u w:val="single"/>
            <w:shd w:val="clear" w:color="auto" w:fill="FFFFFF"/>
          </w:rPr>
          <w:t>https://twitter.com/habibi_uk/status/1631379578290688000?ref_src=twsrc%5Etfw</w:t>
        </w:r>
      </w:hyperlink>
      <w:r>
        <w:rPr>
          <w:rFonts w:ascii="Arial" w:eastAsia="Arial" w:hAnsi="Arial" w:cs="Arial"/>
          <w:color w:val="000000"/>
          <w:sz w:val="20"/>
        </w:rPr>
        <w:t xml:space="preserve"> [ 21]: </w:t>
      </w:r>
      <w:hyperlink r:id="rId135" w:history="1">
        <w:r>
          <w:rPr>
            <w:rFonts w:ascii="Arial" w:eastAsia="Arial" w:hAnsi="Arial" w:cs="Arial"/>
            <w:i/>
            <w:color w:val="0077CC"/>
            <w:sz w:val="20"/>
            <w:u w:val="single"/>
            <w:shd w:val="clear" w:color="auto" w:fill="FFFFFF"/>
          </w:rPr>
          <w:t>https://twitter.com/SimonPlosker/status/1631604376421662721?ref_src=twsrc%5Etfw</w:t>
        </w:r>
      </w:hyperlink>
      <w:r>
        <w:rPr>
          <w:rFonts w:ascii="Arial" w:eastAsia="Arial" w:hAnsi="Arial" w:cs="Arial"/>
          <w:color w:val="000000"/>
          <w:sz w:val="20"/>
        </w:rPr>
        <w:t xml:space="preserve"> [ 22]: </w:t>
      </w:r>
      <w:hyperlink r:id="rId136" w:history="1">
        <w:r>
          <w:rPr>
            <w:rFonts w:ascii="Arial" w:eastAsia="Arial" w:hAnsi="Arial" w:cs="Arial"/>
            <w:i/>
            <w:color w:val="0077CC"/>
            <w:sz w:val="20"/>
            <w:u w:val="single"/>
            <w:shd w:val="clear" w:color="auto" w:fill="FFFFFF"/>
          </w:rPr>
          <w:t>https://t.co/acalnnAaQn</w:t>
        </w:r>
      </w:hyperlink>
      <w:r>
        <w:rPr>
          <w:rFonts w:ascii="Arial" w:eastAsia="Arial" w:hAnsi="Arial" w:cs="Arial"/>
          <w:color w:val="000000"/>
          <w:sz w:val="20"/>
        </w:rPr>
        <w:t xml:space="preserve"> [ 23]: </w:t>
      </w:r>
      <w:hyperlink r:id="rId137" w:history="1">
        <w:r>
          <w:rPr>
            <w:rFonts w:ascii="Arial" w:eastAsia="Arial" w:hAnsi="Arial" w:cs="Arial"/>
            <w:i/>
            <w:color w:val="0077CC"/>
            <w:sz w:val="20"/>
            <w:u w:val="single"/>
            <w:shd w:val="clear" w:color="auto" w:fill="FFFFFF"/>
          </w:rPr>
          <w:t>https://t.co/MUVFslQxJ8</w:t>
        </w:r>
      </w:hyperlink>
      <w:r>
        <w:rPr>
          <w:rFonts w:ascii="Arial" w:eastAsia="Arial" w:hAnsi="Arial" w:cs="Arial"/>
          <w:color w:val="000000"/>
          <w:sz w:val="20"/>
        </w:rPr>
        <w:t xml:space="preserve"> [ 24]: </w:t>
      </w:r>
      <w:hyperlink r:id="rId138" w:history="1">
        <w:r>
          <w:rPr>
            <w:rFonts w:ascii="Arial" w:eastAsia="Arial" w:hAnsi="Arial" w:cs="Arial"/>
            <w:i/>
            <w:color w:val="0077CC"/>
            <w:sz w:val="20"/>
            <w:u w:val="single"/>
            <w:shd w:val="clear" w:color="auto" w:fill="FFFFFF"/>
          </w:rPr>
          <w:t>https://twitter.com/HonestReporting/status/1631424887729557504?ref_src=twsrc%5Etfw</w:t>
        </w:r>
      </w:hyperlink>
      <w:r>
        <w:rPr>
          <w:rFonts w:ascii="Arial" w:eastAsia="Arial" w:hAnsi="Arial" w:cs="Arial"/>
          <w:color w:val="000000"/>
          <w:sz w:val="20"/>
        </w:rPr>
        <w:t xml:space="preserve"> [ 25]: </w:t>
      </w:r>
      <w:hyperlink r:id="rId139" w:history="1">
        <w:r>
          <w:rPr>
            <w:rFonts w:ascii="Arial" w:eastAsia="Arial" w:hAnsi="Arial" w:cs="Arial"/>
            <w:i/>
            <w:color w:val="0077CC"/>
            <w:sz w:val="20"/>
            <w:u w:val="single"/>
            <w:shd w:val="clear" w:color="auto" w:fill="FFFFFF"/>
          </w:rPr>
          <w:t>https://t.co/u86Ey3qAVw</w:t>
        </w:r>
      </w:hyperlink>
      <w:r>
        <w:rPr>
          <w:rFonts w:ascii="Arial" w:eastAsia="Arial" w:hAnsi="Arial" w:cs="Arial"/>
          <w:color w:val="000000"/>
          <w:sz w:val="20"/>
        </w:rPr>
        <w:t xml:space="preserve"> [ 26]: </w:t>
      </w:r>
      <w:hyperlink r:id="rId140" w:history="1">
        <w:r>
          <w:rPr>
            <w:rFonts w:ascii="Arial" w:eastAsia="Arial" w:hAnsi="Arial" w:cs="Arial"/>
            <w:i/>
            <w:color w:val="0077CC"/>
            <w:sz w:val="20"/>
            <w:u w:val="single"/>
            <w:shd w:val="clear" w:color="auto" w:fill="FFFFFF"/>
          </w:rPr>
          <w:t>https://twitter.com/AviMayer/status/1631402710397222914?ref_src=twsrc%5Etfw</w:t>
        </w:r>
      </w:hyperlink>
      <w:r>
        <w:rPr>
          <w:rFonts w:ascii="Arial" w:eastAsia="Arial" w:hAnsi="Arial" w:cs="Arial"/>
          <w:color w:val="000000"/>
          <w:sz w:val="20"/>
        </w:rPr>
        <w:t xml:space="preserve"> [ 27]: </w:t>
      </w:r>
      <w:hyperlink r:id="rId141" w:history="1">
        <w:r>
          <w:rPr>
            <w:rFonts w:ascii="Arial" w:eastAsia="Arial" w:hAnsi="Arial" w:cs="Arial"/>
            <w:i/>
            <w:color w:val="0077CC"/>
            <w:sz w:val="20"/>
            <w:u w:val="single"/>
            <w:shd w:val="clear" w:color="auto" w:fill="FFFFFF"/>
          </w:rPr>
          <w:t>https://camera-uk.org/2023/03/02/bbc-ws-radio-tries-to-explain-the-lions-den-part-one/</w:t>
        </w:r>
      </w:hyperlink>
      <w:r>
        <w:rPr>
          <w:rFonts w:ascii="Arial" w:eastAsia="Arial" w:hAnsi="Arial" w:cs="Arial"/>
          <w:color w:val="000000"/>
          <w:sz w:val="20"/>
        </w:rPr>
        <w:t xml:space="preserve"> [ 28]: </w:t>
      </w:r>
      <w:hyperlink r:id="rId142" w:history="1">
        <w:r>
          <w:rPr>
            <w:rFonts w:ascii="Arial" w:eastAsia="Arial" w:hAnsi="Arial" w:cs="Arial"/>
            <w:i/>
            <w:color w:val="0077CC"/>
            <w:sz w:val="20"/>
            <w:u w:val="single"/>
            <w:shd w:val="clear" w:color="auto" w:fill="FFFFFF"/>
          </w:rPr>
          <w:t>https://camera-uk.org/2023/03/03/bbc-ws-radio-tries-to-explain-the-lions-den-part-two/</w:t>
        </w:r>
      </w:hyperlink>
      <w:r>
        <w:rPr>
          <w:rFonts w:ascii="Arial" w:eastAsia="Arial" w:hAnsi="Arial" w:cs="Arial"/>
          <w:color w:val="000000"/>
          <w:sz w:val="20"/>
        </w:rPr>
        <w:t xml:space="preserve"> [ 29]: </w:t>
      </w:r>
      <w:hyperlink r:id="rId143" w:history="1">
        <w:r>
          <w:rPr>
            <w:rFonts w:ascii="Arial" w:eastAsia="Arial" w:hAnsi="Arial" w:cs="Arial"/>
            <w:i/>
            <w:color w:val="0077CC"/>
            <w:sz w:val="20"/>
            <w:u w:val="single"/>
            <w:shd w:val="clear" w:color="auto" w:fill="FFFFFF"/>
          </w:rPr>
          <w:t>https://t.co/Wc8ajkEi0h</w:t>
        </w:r>
      </w:hyperlink>
      <w:r>
        <w:rPr>
          <w:rFonts w:ascii="Arial" w:eastAsia="Arial" w:hAnsi="Arial" w:cs="Arial"/>
          <w:color w:val="000000"/>
          <w:sz w:val="20"/>
        </w:rPr>
        <w:t xml:space="preserve"> [ 30]: </w:t>
      </w:r>
      <w:hyperlink r:id="rId144" w:history="1">
        <w:r>
          <w:rPr>
            <w:rFonts w:ascii="Arial" w:eastAsia="Arial" w:hAnsi="Arial" w:cs="Arial"/>
            <w:i/>
            <w:color w:val="0077CC"/>
            <w:sz w:val="20"/>
            <w:u w:val="single"/>
            <w:shd w:val="clear" w:color="auto" w:fill="FFFFFF"/>
          </w:rPr>
          <w:t>https://twitter.com/AGHamilton29/status/1631630887275098112?ref_src=twsrc%5Etfw</w:t>
        </w:r>
      </w:hyperlink>
      <w:r>
        <w:rPr>
          <w:rFonts w:ascii="Arial" w:eastAsia="Arial" w:hAnsi="Arial" w:cs="Arial"/>
          <w:color w:val="000000"/>
          <w:sz w:val="20"/>
        </w:rPr>
        <w:t xml:space="preserve"> [ 31]: </w:t>
      </w:r>
      <w:hyperlink r:id="rId145" w:history="1">
        <w:r>
          <w:rPr>
            <w:rFonts w:ascii="Arial" w:eastAsia="Arial" w:hAnsi="Arial" w:cs="Arial"/>
            <w:i/>
            <w:color w:val="0077CC"/>
            <w:sz w:val="20"/>
            <w:u w:val="single"/>
            <w:shd w:val="clear" w:color="auto" w:fill="FFFFFF"/>
          </w:rPr>
          <w:t>https://www.rollingstone.com/music/music-features/hate-music-spotify-hitler-radio-1234689239/</w:t>
        </w:r>
      </w:hyperlink>
      <w:r>
        <w:rPr>
          <w:rFonts w:ascii="Arial" w:eastAsia="Arial" w:hAnsi="Arial" w:cs="Arial"/>
          <w:color w:val="000000"/>
          <w:sz w:val="20"/>
        </w:rPr>
        <w:t xml:space="preserve"> [ 32]: </w:t>
      </w:r>
      <w:hyperlink r:id="rId146" w:history="1">
        <w:r>
          <w:rPr>
            <w:rFonts w:ascii="Arial" w:eastAsia="Arial" w:hAnsi="Arial" w:cs="Arial"/>
            <w:i/>
            <w:color w:val="0077CC"/>
            <w:sz w:val="20"/>
            <w:u w:val="single"/>
            <w:shd w:val="clear" w:color="auto" w:fill="FFFFFF"/>
          </w:rPr>
          <w:t>https://www.euractiv.com/section/politics/news/albania-to-open-holocaust-museum-after-israeli-call-for-europe-to-step-</w:t>
        </w:r>
      </w:hyperlink>
      <w:hyperlink r:id="rId147" w:history="1">
        <w:r>
          <w:rPr>
            <w:rFonts w:ascii="Arial" w:eastAsia="Arial" w:hAnsi="Arial" w:cs="Arial"/>
            <w:b/>
            <w:i/>
            <w:color w:val="0077CC"/>
            <w:sz w:val="20"/>
            <w:u w:val="single"/>
            <w:shd w:val="clear" w:color="auto" w:fill="FFFFFF"/>
          </w:rPr>
          <w:t>up</w:t>
        </w:r>
      </w:hyperlink>
      <w:hyperlink r:id="rId148" w:history="1">
        <w:r>
          <w:rPr>
            <w:rFonts w:ascii="Arial" w:eastAsia="Arial" w:hAnsi="Arial" w:cs="Arial"/>
            <w:i/>
            <w:color w:val="0077CC"/>
            <w:sz w:val="20"/>
            <w:u w:val="single"/>
            <w:shd w:val="clear" w:color="auto" w:fill="FFFFFF"/>
          </w:rPr>
          <w:t>-antisemitism-fight/</w:t>
        </w:r>
      </w:hyperlink>
      <w:r>
        <w:rPr>
          <w:rFonts w:ascii="Arial" w:eastAsia="Arial" w:hAnsi="Arial" w:cs="Arial"/>
          <w:color w:val="000000"/>
          <w:sz w:val="20"/>
        </w:rPr>
        <w:t xml:space="preserve"> [ 33]: </w:t>
      </w:r>
      <w:hyperlink r:id="rId149" w:history="1">
        <w:r>
          <w:rPr>
            <w:rFonts w:ascii="Arial" w:eastAsia="Arial" w:hAnsi="Arial" w:cs="Arial"/>
            <w:i/>
            <w:color w:val="0077CC"/>
            <w:sz w:val="20"/>
            <w:u w:val="single"/>
            <w:shd w:val="clear" w:color="auto" w:fill="FFFFFF"/>
          </w:rPr>
          <w:t>https://twitter.com/StopAntisemites/status/1631471812440731653?ref_src=twsrc%5Etfw</w:t>
        </w:r>
      </w:hyperlink>
      <w:r>
        <w:rPr>
          <w:rFonts w:ascii="Arial" w:eastAsia="Arial" w:hAnsi="Arial" w:cs="Arial"/>
          <w:color w:val="000000"/>
          <w:sz w:val="20"/>
        </w:rPr>
        <w:t xml:space="preserve"> [ 34]: </w:t>
      </w:r>
      <w:hyperlink r:id="rId150" w:history="1">
        <w:r>
          <w:rPr>
            <w:rFonts w:ascii="Arial" w:eastAsia="Arial" w:hAnsi="Arial" w:cs="Arial"/>
            <w:i/>
            <w:color w:val="0077CC"/>
            <w:sz w:val="20"/>
            <w:u w:val="single"/>
            <w:shd w:val="clear" w:color="auto" w:fill="FFFFFF"/>
          </w:rPr>
          <w:t>https://twitter.com/StopAntisemites?ref_src=twsrc%5Etfw</w:t>
        </w:r>
      </w:hyperlink>
      <w:r>
        <w:rPr>
          <w:rFonts w:ascii="Arial" w:eastAsia="Arial" w:hAnsi="Arial" w:cs="Arial"/>
          <w:color w:val="000000"/>
          <w:sz w:val="20"/>
        </w:rPr>
        <w:t xml:space="preserve"> [ 35]: </w:t>
      </w:r>
      <w:hyperlink r:id="rId151" w:history="1">
        <w:r>
          <w:rPr>
            <w:rFonts w:ascii="Arial" w:eastAsia="Arial" w:hAnsi="Arial" w:cs="Arial"/>
            <w:i/>
            <w:color w:val="0077CC"/>
            <w:sz w:val="20"/>
            <w:u w:val="single"/>
            <w:shd w:val="clear" w:color="auto" w:fill="FFFFFF"/>
          </w:rPr>
          <w:t>https://t.co/qPhMVfYnHu</w:t>
        </w:r>
      </w:hyperlink>
      <w:r>
        <w:rPr>
          <w:rFonts w:ascii="Arial" w:eastAsia="Arial" w:hAnsi="Arial" w:cs="Arial"/>
          <w:color w:val="000000"/>
          <w:sz w:val="20"/>
        </w:rPr>
        <w:t xml:space="preserve"> [ 36]: </w:t>
      </w:r>
      <w:hyperlink r:id="rId152" w:history="1">
        <w:r>
          <w:rPr>
            <w:rFonts w:ascii="Arial" w:eastAsia="Arial" w:hAnsi="Arial" w:cs="Arial"/>
            <w:i/>
            <w:color w:val="0077CC"/>
            <w:sz w:val="20"/>
            <w:u w:val="single"/>
            <w:shd w:val="clear" w:color="auto" w:fill="FFFFFF"/>
          </w:rPr>
          <w:t>https://twitter.com/TizzyEnt/status/1631363277086154752?ref_src=twsrc%5Etfw</w:t>
        </w:r>
      </w:hyperlink>
      <w:r>
        <w:rPr>
          <w:rFonts w:ascii="Arial" w:eastAsia="Arial" w:hAnsi="Arial" w:cs="Arial"/>
          <w:color w:val="000000"/>
          <w:sz w:val="20"/>
        </w:rPr>
        <w:t xml:space="preserve"> [ 37]: </w:t>
      </w:r>
      <w:hyperlink r:id="rId153" w:history="1">
        <w:r>
          <w:rPr>
            <w:rFonts w:ascii="Arial" w:eastAsia="Arial" w:hAnsi="Arial" w:cs="Arial"/>
            <w:i/>
            <w:color w:val="0077CC"/>
            <w:sz w:val="20"/>
            <w:u w:val="single"/>
            <w:shd w:val="clear" w:color="auto" w:fill="FFFFFF"/>
          </w:rPr>
          <w:t>https://www.timesofisrael.com/elbit-inks-252-million-deal-to-supply-unnamed-nato-country-with-rocket-systems</w:t>
        </w:r>
      </w:hyperlink>
      <w:r>
        <w:rPr>
          <w:rFonts w:ascii="Arial" w:eastAsia="Arial" w:hAnsi="Arial" w:cs="Arial"/>
          <w:color w:val="000000"/>
          <w:sz w:val="20"/>
        </w:rPr>
        <w:t xml:space="preserve">/ [ 38]: </w:t>
      </w:r>
      <w:hyperlink r:id="rId154" w:history="1">
        <w:r>
          <w:rPr>
            <w:rFonts w:ascii="Arial" w:eastAsia="Arial" w:hAnsi="Arial" w:cs="Arial"/>
            <w:i/>
            <w:color w:val="0077CC"/>
            <w:sz w:val="20"/>
            <w:u w:val="single"/>
            <w:shd w:val="clear" w:color="auto" w:fill="FFFFFF"/>
          </w:rPr>
          <w:t>https://www.forbes.com/sites/petercohan/2023/02/27/wiz-raises-300-million-to-challenge-palo-alto-networks-in-cloud-security/?sh=6df0a55c3140</w:t>
        </w:r>
      </w:hyperlink>
      <w:r>
        <w:rPr>
          <w:rFonts w:ascii="Arial" w:eastAsia="Arial" w:hAnsi="Arial" w:cs="Arial"/>
          <w:color w:val="000000"/>
          <w:sz w:val="20"/>
        </w:rPr>
        <w:t xml:space="preserve"> [ 39]: </w:t>
      </w:r>
      <w:hyperlink r:id="rId155" w:history="1">
        <w:r>
          <w:rPr>
            <w:rFonts w:ascii="Arial" w:eastAsia="Arial" w:hAnsi="Arial" w:cs="Arial"/>
            <w:i/>
            <w:color w:val="0077CC"/>
            <w:sz w:val="20"/>
            <w:u w:val="single"/>
            <w:shd w:val="clear" w:color="auto" w:fill="FFFFFF"/>
          </w:rPr>
          <w:t>https://www.algemeiner.com/2023/03/02/fifa-president-announces-visit-to-israel-after-meeting-with-counterpart-from-israeli-football-association/</w:t>
        </w:r>
      </w:hyperlink>
      <w:r>
        <w:rPr>
          <w:rFonts w:ascii="Arial" w:eastAsia="Arial" w:hAnsi="Arial" w:cs="Arial"/>
          <w:color w:val="000000"/>
          <w:sz w:val="20"/>
        </w:rPr>
        <w:t xml:space="preserve"> [ 40]: </w:t>
      </w:r>
      <w:hyperlink r:id="rId156" w:history="1">
        <w:r>
          <w:rPr>
            <w:rFonts w:ascii="Arial" w:eastAsia="Arial" w:hAnsi="Arial" w:cs="Arial"/>
            <w:i/>
            <w:color w:val="0077CC"/>
            <w:sz w:val="20"/>
            <w:u w:val="single"/>
            <w:shd w:val="clear" w:color="auto" w:fill="FFFFFF"/>
          </w:rPr>
          <w:t>https://www.jewishrefugees.org.uk/2023/03/wolf-of-baghdad-launches-teachers-guide.html</w:t>
        </w:r>
      </w:hyperlink>
      <w:r>
        <w:rPr>
          <w:rFonts w:ascii="Arial" w:eastAsia="Arial" w:hAnsi="Arial" w:cs="Arial"/>
          <w:color w:val="000000"/>
          <w:sz w:val="20"/>
        </w:rPr>
        <w:t xml:space="preserve"> [ 41]: </w:t>
      </w:r>
      <w:hyperlink r:id="rId157" w:history="1">
        <w:r>
          <w:rPr>
            <w:rFonts w:ascii="Arial" w:eastAsia="Arial" w:hAnsi="Arial" w:cs="Arial"/>
            <w:i/>
            <w:color w:val="0077CC"/>
            <w:sz w:val="20"/>
            <w:u w:val="single"/>
            <w:shd w:val="clear" w:color="auto" w:fill="FFFFFF"/>
          </w:rPr>
          <w:t>https://myriadeditions.com/wp-content/uploads/2023/03/WOLF_OF_BAGHDAD_Educators_Guide_UK-1.pdf</w:t>
        </w:r>
      </w:hyperlink>
      <w:r>
        <w:rPr>
          <w:rFonts w:ascii="Arial" w:eastAsia="Arial" w:hAnsi="Arial" w:cs="Arial"/>
          <w:color w:val="000000"/>
          <w:sz w:val="20"/>
        </w:rPr>
        <w:t xml:space="preserve"> [ 42]: </w:t>
      </w:r>
      <w:hyperlink r:id="rId158" w:history="1">
        <w:r>
          <w:rPr>
            <w:rFonts w:ascii="Arial" w:eastAsia="Arial" w:hAnsi="Arial" w:cs="Arial"/>
            <w:i/>
            <w:color w:val="0077CC"/>
            <w:sz w:val="20"/>
            <w:u w:val="single"/>
            <w:shd w:val="clear" w:color="auto" w:fill="FFFFFF"/>
          </w:rPr>
          <w:t>https://t.co/MygUIPWgK4</w:t>
        </w:r>
      </w:hyperlink>
      <w:r>
        <w:rPr>
          <w:rFonts w:ascii="Arial" w:eastAsia="Arial" w:hAnsi="Arial" w:cs="Arial"/>
          <w:color w:val="000000"/>
          <w:sz w:val="20"/>
        </w:rPr>
        <w:t xml:space="preserve"> [ 43]: </w:t>
      </w:r>
      <w:hyperlink r:id="rId159" w:history="1">
        <w:r>
          <w:rPr>
            <w:rFonts w:ascii="Arial" w:eastAsia="Arial" w:hAnsi="Arial" w:cs="Arial"/>
            <w:i/>
            <w:color w:val="0077CC"/>
            <w:sz w:val="20"/>
            <w:u w:val="single"/>
            <w:shd w:val="clear" w:color="auto" w:fill="FFFFFF"/>
          </w:rPr>
          <w:t>https://twitter.com/CNN/status/1631497162876940289?ref_src=twsrc%5Etfw</w:t>
        </w:r>
      </w:hyperlink>
      <w:r>
        <w:rPr>
          <w:rFonts w:ascii="Arial" w:eastAsia="Arial" w:hAnsi="Arial" w:cs="Arial"/>
          <w:color w:val="000000"/>
          <w:sz w:val="20"/>
        </w:rPr>
        <w:t xml:space="preserve"> [ 44]: </w:t>
      </w:r>
      <w:hyperlink r:id="rId160" w:history="1">
        <w:r>
          <w:rPr>
            <w:rFonts w:ascii="Arial" w:eastAsia="Arial" w:hAnsi="Arial" w:cs="Arial"/>
            <w:i/>
            <w:color w:val="0077CC"/>
            <w:sz w:val="20"/>
            <w:u w:val="single"/>
            <w:shd w:val="clear" w:color="auto" w:fill="FFFFFF"/>
          </w:rPr>
          <w:t>https://www.jns.org/touted-darius-inscription-is-inauthentic-israel-antiquities-authority-clarifies</w:t>
        </w:r>
      </w:hyperlink>
      <w:r>
        <w:rPr>
          <w:rFonts w:ascii="Arial" w:eastAsia="Arial" w:hAnsi="Arial" w:cs="Arial"/>
          <w:color w:val="000000"/>
          <w:sz w:val="20"/>
        </w:rPr>
        <w:t xml:space="preserve">/ [ 45]: </w:t>
      </w:r>
      <w:hyperlink r:id="rId161" w:history="1">
        <w:r>
          <w:rPr>
            <w:rFonts w:ascii="Arial" w:eastAsia="Arial" w:hAnsi="Arial" w:cs="Arial"/>
            <w:i/>
            <w:color w:val="0077CC"/>
            <w:sz w:val="20"/>
            <w:u w:val="single"/>
            <w:shd w:val="clear" w:color="auto" w:fill="FFFFFF"/>
          </w:rPr>
          <w:t>https://www.jpost.com/israel-news/india-israel/article-733101</w:t>
        </w:r>
      </w:hyperlink>
      <w:r>
        <w:rPr>
          <w:rFonts w:ascii="Arial" w:eastAsia="Arial" w:hAnsi="Arial" w:cs="Arial"/>
          <w:color w:val="000000"/>
          <w:sz w:val="20"/>
        </w:rPr>
        <w:t xml:space="preserve"> [ 46]: </w:t>
      </w:r>
      <w:hyperlink r:id="rId162" w:history="1">
        <w:r>
          <w:rPr>
            <w:rFonts w:ascii="Arial" w:eastAsia="Arial" w:hAnsi="Arial" w:cs="Arial"/>
            <w:i/>
            <w:color w:val="0077CC"/>
            <w:sz w:val="20"/>
            <w:u w:val="single"/>
            <w:shd w:val="clear" w:color="auto" w:fill="FFFFFF"/>
          </w:rPr>
          <w:t>https://www.algemeiner.com/2023/03/03/podcast-hosts-sasha-spielberg-alana-haim-talk-about-proudly-feeling-jewish-every-single-second-of-the-day/</w:t>
        </w:r>
      </w:hyperlink>
      <w:r>
        <w:rPr>
          <w:rFonts w:ascii="Arial" w:eastAsia="Arial" w:hAnsi="Arial" w:cs="Arial"/>
          <w:color w:val="000000"/>
          <w:sz w:val="20"/>
        </w:rPr>
        <w:t xml:space="preserve"> [ 47]: </w:t>
      </w:r>
      <w:hyperlink r:id="rId163" w:history="1">
        <w:r>
          <w:rPr>
            <w:rFonts w:ascii="Arial" w:eastAsia="Arial" w:hAnsi="Arial" w:cs="Arial"/>
            <w:i/>
            <w:color w:val="0077CC"/>
            <w:sz w:val="20"/>
            <w:u w:val="single"/>
            <w:shd w:val="clear" w:color="auto" w:fill="FFFFFF"/>
          </w:rPr>
          <w:t>https://www.algemeiner.com/2023/03/03/filmmaker-steven-spielberg-says-rise-in-us-antisemitism-is-raising-its-ugly-head/</w:t>
        </w:r>
      </w:hyperlink>
      <w:r>
        <w:rPr>
          <w:rFonts w:ascii="Arial" w:eastAsia="Arial" w:hAnsi="Arial" w:cs="Arial"/>
          <w:color w:val="000000"/>
          <w:sz w:val="20"/>
        </w:rPr>
        <w:t xml:space="preserve"> [ 48]: </w:t>
      </w:r>
      <w:hyperlink r:id="rId164" w:history="1">
        <w:r>
          <w:rPr>
            <w:rFonts w:ascii="Arial" w:eastAsia="Arial" w:hAnsi="Arial" w:cs="Arial"/>
            <w:i/>
            <w:color w:val="0077CC"/>
            <w:sz w:val="20"/>
            <w:u w:val="single"/>
            <w:shd w:val="clear" w:color="auto" w:fill="FFFFFF"/>
          </w:rPr>
          <w:t>https://twitter.com/hashtag/Colbert?src=hash&amp;ref_src=twsrc%5Etfw</w:t>
        </w:r>
      </w:hyperlink>
      <w:r>
        <w:rPr>
          <w:rFonts w:ascii="Arial" w:eastAsia="Arial" w:hAnsi="Arial" w:cs="Arial"/>
          <w:color w:val="000000"/>
          <w:sz w:val="20"/>
        </w:rPr>
        <w:t xml:space="preserve"> [ 49]: </w:t>
      </w:r>
      <w:hyperlink r:id="rId165" w:history="1">
        <w:r>
          <w:rPr>
            <w:rFonts w:ascii="Arial" w:eastAsia="Arial" w:hAnsi="Arial" w:cs="Arial"/>
            <w:i/>
            <w:color w:val="0077CC"/>
            <w:sz w:val="20"/>
            <w:u w:val="single"/>
            <w:shd w:val="clear" w:color="auto" w:fill="FFFFFF"/>
          </w:rPr>
          <w:t>https://t.co/ZGMmnVEFMZ</w:t>
        </w:r>
      </w:hyperlink>
      <w:r>
        <w:rPr>
          <w:rFonts w:ascii="Arial" w:eastAsia="Arial" w:hAnsi="Arial" w:cs="Arial"/>
          <w:color w:val="000000"/>
          <w:sz w:val="20"/>
        </w:rPr>
        <w:t xml:space="preserve"> [ 50]: </w:t>
      </w:r>
      <w:hyperlink r:id="rId166" w:history="1">
        <w:r>
          <w:rPr>
            <w:rFonts w:ascii="Arial" w:eastAsia="Arial" w:hAnsi="Arial" w:cs="Arial"/>
            <w:i/>
            <w:color w:val="0077CC"/>
            <w:sz w:val="20"/>
            <w:u w:val="single"/>
            <w:shd w:val="clear" w:color="auto" w:fill="FFFFFF"/>
          </w:rPr>
          <w:t>https://twitter.com/colbertlateshow/status/1631522287504457728?ref_src=twsrc%5Etfw</w:t>
        </w:r>
      </w:hyperlink>
      <w:r>
        <w:rPr>
          <w:rFonts w:ascii="Arial" w:eastAsia="Arial" w:hAnsi="Arial" w:cs="Arial"/>
          <w:color w:val="000000"/>
          <w:sz w:val="20"/>
        </w:rPr>
        <w:t xml:space="preserve"> [ 51]: </w:t>
      </w:r>
      <w:hyperlink r:id="rId167" w:history="1">
        <w:r>
          <w:rPr>
            <w:rFonts w:ascii="Arial" w:eastAsia="Arial" w:hAnsi="Arial" w:cs="Arial"/>
            <w:i/>
            <w:color w:val="0077CC"/>
            <w:sz w:val="20"/>
            <w:u w:val="single"/>
            <w:shd w:val="clear" w:color="auto" w:fill="FFFFFF"/>
          </w:rPr>
          <w:t>https://www.amazon.com/Protocols-Exposing-Antisemitism-Elder-Ziyon/dp/B09RMBX19F/</w:t>
        </w:r>
      </w:hyperlink>
      <w:r>
        <w:rPr>
          <w:rFonts w:ascii="Arial" w:eastAsia="Arial" w:hAnsi="Arial" w:cs="Arial"/>
          <w:color w:val="000000"/>
          <w:sz w:val="20"/>
        </w:rPr>
        <w:t xml:space="preserve"> [ 52]: </w:t>
      </w:r>
      <w:hyperlink r:id="rId168" w:history="1">
        <w:r>
          <w:rPr>
            <w:rFonts w:ascii="Arial" w:eastAsia="Arial" w:hAnsi="Arial" w:cs="Arial"/>
            <w:i/>
            <w:color w:val="0077CC"/>
            <w:sz w:val="20"/>
            <w:u w:val="single"/>
            <w:shd w:val="clear" w:color="auto" w:fill="FFFFFF"/>
          </w:rPr>
          <w:t>https://elderofziyon.blogspot.com/p/eoz-book-protocols-exposing-modern.html</w:t>
        </w:r>
      </w:hyperlink>
      <w:r>
        <w:rPr>
          <w:rFonts w:ascii="Arial" w:eastAsia="Arial" w:hAnsi="Arial" w:cs="Arial"/>
          <w:color w:val="000000"/>
          <w:sz w:val="20"/>
        </w:rPr>
        <w:t xml:space="preserve"> </w:t>
      </w:r>
    </w:p>
    <w:p w14:paraId="105B9037" w14:textId="77777777" w:rsidR="00054BF0" w:rsidRDefault="00000000">
      <w:pPr>
        <w:spacing w:before="240" w:line="260" w:lineRule="atLeast"/>
        <w:jc w:val="both"/>
      </w:pPr>
      <w:hyperlink r:id="rId169" w:history="1">
        <w:r>
          <w:rPr>
            <w:rFonts w:ascii="Arial" w:eastAsia="Arial" w:hAnsi="Arial" w:cs="Arial"/>
            <w:i/>
            <w:color w:val="0077CC"/>
            <w:sz w:val="20"/>
            <w:u w:val="single"/>
            <w:shd w:val="clear" w:color="auto" w:fill="FFFFFF"/>
          </w:rPr>
          <w:t>Link to the original story.</w:t>
        </w:r>
      </w:hyperlink>
    </w:p>
    <w:p w14:paraId="23B83CD0" w14:textId="77777777" w:rsidR="00054BF0" w:rsidRDefault="00000000">
      <w:pPr>
        <w:keepNext/>
        <w:spacing w:before="240" w:line="340" w:lineRule="atLeast"/>
      </w:pPr>
      <w:r>
        <w:br/>
      </w:r>
      <w:r>
        <w:rPr>
          <w:rFonts w:ascii="Arial" w:eastAsia="Arial" w:hAnsi="Arial" w:cs="Arial"/>
          <w:b/>
          <w:color w:val="000000"/>
          <w:sz w:val="28"/>
        </w:rPr>
        <w:t>Notes</w:t>
      </w:r>
    </w:p>
    <w:p w14:paraId="6E01BF31" w14:textId="77777777" w:rsidR="00054BF0" w:rsidRDefault="00000000">
      <w:pPr>
        <w:spacing w:line="60" w:lineRule="exact"/>
      </w:pPr>
      <w:r>
        <w:pict w14:anchorId="41DEC026">
          <v:line id="_x0000_s2052" style="position:absolute;z-index:251659264" from="0,2pt" to="512pt,2pt" strokecolor="#009ddb" strokeweight="2pt">
            <w10:wrap type="topAndBottom"/>
          </v:line>
        </w:pict>
      </w:r>
    </w:p>
    <w:p w14:paraId="5410AD84" w14:textId="77777777" w:rsidR="00054BF0" w:rsidRDefault="00000000">
      <w:pPr>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1EDD7E64"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 2023</w:t>
      </w:r>
    </w:p>
    <w:p w14:paraId="32468936" w14:textId="77777777" w:rsidR="00054BF0" w:rsidRDefault="00054BF0"/>
    <w:p w14:paraId="570AB003" w14:textId="77777777" w:rsidR="00054BF0" w:rsidRDefault="00000000">
      <w:pPr>
        <w:ind w:left="200"/>
        <w:sectPr w:rsidR="00054BF0">
          <w:type w:val="continuous"/>
          <w:pgSz w:w="12240" w:h="15840"/>
          <w:pgMar w:top="840" w:right="1000" w:bottom="840" w:left="1000" w:header="400" w:footer="400" w:gutter="0"/>
          <w:cols w:space="720"/>
        </w:sectPr>
      </w:pPr>
      <w:r>
        <w:br/>
      </w:r>
      <w:r>
        <w:pict w14:anchorId="197E3D09">
          <v:line id="_x0000_s2053" style="position:absolute;left:0;text-align:left;z-index:251660288;mso-position-horizontal-relative:text;mso-position-vertical-relative:text" from="0,10pt" to="512pt,10pt" strokeweight="1pt"/>
        </w:pict>
      </w:r>
      <w:r>
        <w:rPr>
          <w:rFonts w:ascii="Arial" w:eastAsia="Arial" w:hAnsi="Arial" w:cs="Arial"/>
          <w:b/>
          <w:color w:val="767676"/>
          <w:sz w:val="16"/>
        </w:rPr>
        <w:t>End of Document</w:t>
      </w:r>
    </w:p>
    <w:p w14:paraId="500F434C" w14:textId="77777777" w:rsidR="00054BF0" w:rsidRDefault="00054BF0">
      <w:pPr>
        <w:sectPr w:rsidR="00054BF0">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gutter="0"/>
          <w:cols w:space="720"/>
          <w:titlePg/>
        </w:sectPr>
      </w:pPr>
    </w:p>
    <w:p w14:paraId="74959D23" w14:textId="77777777" w:rsidR="00054BF0" w:rsidRDefault="00054BF0">
      <w:bookmarkStart w:id="2" w:name="Bookmark_2"/>
      <w:bookmarkEnd w:id="2"/>
    </w:p>
    <w:p w14:paraId="2ABA4273" w14:textId="77777777" w:rsidR="00054BF0" w:rsidRDefault="00BE2275">
      <w:r>
        <w:pict w14:anchorId="1AF843D6">
          <v:shape id="_x0000_i1028" type="#_x0000_t75" alt="LexisNexis®" style="width:148pt;height:30pt">
            <v:imagedata r:id="rId6" o:title=""/>
          </v:shape>
        </w:pict>
      </w:r>
      <w:r w:rsidR="00A540D1">
        <w:cr/>
      </w:r>
    </w:p>
    <w:p w14:paraId="4693FDA2" w14:textId="77777777" w:rsidR="00054BF0" w:rsidRDefault="00000000">
      <w:pPr>
        <w:spacing w:before="240" w:after="200" w:line="340" w:lineRule="atLeast"/>
        <w:jc w:val="center"/>
        <w:outlineLvl w:val="0"/>
        <w:rPr>
          <w:rFonts w:ascii="Arial" w:hAnsi="Arial" w:cs="Arial"/>
          <w:b/>
          <w:bCs/>
          <w:kern w:val="32"/>
          <w:sz w:val="32"/>
          <w:szCs w:val="32"/>
        </w:rPr>
      </w:pPr>
      <w:hyperlink r:id="rId176" w:history="1">
        <w:r>
          <w:rPr>
            <w:rFonts w:ascii="Arial" w:eastAsia="Arial" w:hAnsi="Arial" w:cs="Arial"/>
            <w:b/>
            <w:bCs/>
            <w:i/>
            <w:color w:val="0077CC"/>
            <w:kern w:val="32"/>
            <w:sz w:val="28"/>
            <w:szCs w:val="32"/>
            <w:u w:val="single"/>
            <w:shd w:val="clear" w:color="auto" w:fill="FFFFFF"/>
          </w:rPr>
          <w:t>Smoking Relapse Less Likely Among Vapers: Study</w:t>
        </w:r>
      </w:hyperlink>
    </w:p>
    <w:p w14:paraId="3676111C" w14:textId="77777777" w:rsidR="00054BF0" w:rsidRDefault="00000000">
      <w:pPr>
        <w:spacing w:before="120" w:line="260" w:lineRule="atLeast"/>
        <w:jc w:val="center"/>
      </w:pPr>
      <w:r>
        <w:rPr>
          <w:rFonts w:ascii="Arial" w:eastAsia="Arial" w:hAnsi="Arial" w:cs="Arial"/>
          <w:color w:val="000000"/>
          <w:sz w:val="20"/>
        </w:rPr>
        <w:t>Indian Pharma Industry : Policies</w:t>
      </w:r>
    </w:p>
    <w:p w14:paraId="6A7B302B" w14:textId="77777777" w:rsidR="00054BF0" w:rsidRDefault="00000000">
      <w:pPr>
        <w:spacing w:before="120" w:line="260" w:lineRule="atLeast"/>
        <w:jc w:val="center"/>
      </w:pPr>
      <w:r>
        <w:rPr>
          <w:rFonts w:ascii="Arial" w:eastAsia="Arial" w:hAnsi="Arial" w:cs="Arial"/>
          <w:color w:val="000000"/>
          <w:sz w:val="20"/>
        </w:rPr>
        <w:t>December 3, 2018 Monday</w:t>
      </w:r>
    </w:p>
    <w:p w14:paraId="12F3C906" w14:textId="77777777" w:rsidR="00054BF0" w:rsidRDefault="00054BF0">
      <w:pPr>
        <w:spacing w:line="240" w:lineRule="atLeast"/>
        <w:jc w:val="both"/>
      </w:pPr>
    </w:p>
    <w:p w14:paraId="2D73B822" w14:textId="77777777" w:rsidR="00054BF0"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4B6BB8BB" w14:textId="77777777" w:rsidR="00054BF0" w:rsidRDefault="00000000">
      <w:pPr>
        <w:spacing w:before="120" w:line="220" w:lineRule="atLeast"/>
      </w:pPr>
      <w:r>
        <w:br/>
      </w:r>
      <w:r w:rsidR="00BE2275">
        <w:pict w14:anchorId="414F19BF">
          <v:shape id="_x0000_i1029" type="#_x0000_t75" style="width:169pt;height:169pt">
            <v:imagedata r:id="rId177" o:title=""/>
          </v:shape>
        </w:pict>
      </w:r>
    </w:p>
    <w:p w14:paraId="7E9AC99A"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200 words</w:t>
      </w:r>
    </w:p>
    <w:p w14:paraId="133519D3"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72C774F" w14:textId="77777777" w:rsidR="00054BF0" w:rsidRDefault="00000000">
      <w:pPr>
        <w:keepNext/>
        <w:spacing w:before="240" w:line="340" w:lineRule="atLeast"/>
      </w:pPr>
      <w:bookmarkStart w:id="3" w:name="Body_0"/>
      <w:bookmarkEnd w:id="3"/>
      <w:r>
        <w:rPr>
          <w:rFonts w:ascii="Arial" w:eastAsia="Arial" w:hAnsi="Arial" w:cs="Arial"/>
          <w:b/>
          <w:color w:val="000000"/>
          <w:sz w:val="28"/>
        </w:rPr>
        <w:t>Body</w:t>
      </w:r>
    </w:p>
    <w:p w14:paraId="7FEA12B9" w14:textId="77777777" w:rsidR="00054BF0" w:rsidRDefault="00000000">
      <w:pPr>
        <w:spacing w:line="60" w:lineRule="exact"/>
      </w:pPr>
      <w:r>
        <w:pict w14:anchorId="129B8649">
          <v:line id="_x0000_s2056" style="position:absolute;z-index:251661312" from="0,2pt" to="512pt,2pt" strokecolor="#009ddb" strokeweight="2pt">
            <w10:wrap type="topAndBottom"/>
          </v:line>
        </w:pict>
      </w:r>
    </w:p>
    <w:p w14:paraId="51DD3B51" w14:textId="77777777" w:rsidR="00054BF0" w:rsidRDefault="00054BF0"/>
    <w:p w14:paraId="2F3972DC" w14:textId="77777777" w:rsidR="00054BF0" w:rsidRDefault="00000000">
      <w:pPr>
        <w:spacing w:before="200" w:line="260" w:lineRule="atLeast"/>
        <w:jc w:val="both"/>
      </w:pPr>
      <w:r>
        <w:rPr>
          <w:rFonts w:ascii="Arial" w:eastAsia="Arial" w:hAnsi="Arial" w:cs="Arial"/>
          <w:color w:val="000000"/>
          <w:sz w:val="20"/>
        </w:rPr>
        <w:t xml:space="preserve"> New Delhi, Dec. 03 -- Smokers who switch to vaping can have the occasional cigarette without a complete relapse, new research suggests.</w:t>
      </w:r>
    </w:p>
    <w:p w14:paraId="49F832FE" w14:textId="77777777" w:rsidR="00054BF0" w:rsidRDefault="00000000">
      <w:pPr>
        <w:spacing w:before="200" w:line="260" w:lineRule="atLeast"/>
        <w:jc w:val="both"/>
      </w:pPr>
      <w:r>
        <w:rPr>
          <w:rFonts w:ascii="Arial" w:eastAsia="Arial" w:hAnsi="Arial" w:cs="Arial"/>
          <w:color w:val="000000"/>
          <w:sz w:val="20"/>
        </w:rPr>
        <w:t xml:space="preserve"> The study included 40 people who quit smoking by using e-cigarettes (vaping). About half said they had either brief or regular tobacco smoking relapses, particularly in social situations.</w:t>
      </w:r>
    </w:p>
    <w:p w14:paraId="51C928A4" w14:textId="77777777" w:rsidR="00054BF0" w:rsidRDefault="00000000">
      <w:pPr>
        <w:spacing w:before="200" w:line="260" w:lineRule="atLeast"/>
        <w:jc w:val="both"/>
      </w:pPr>
      <w:r>
        <w:rPr>
          <w:rFonts w:ascii="Arial" w:eastAsia="Arial" w:hAnsi="Arial" w:cs="Arial"/>
          <w:color w:val="000000"/>
          <w:sz w:val="20"/>
        </w:rPr>
        <w:t xml:space="preserve"> However, they didn't view such slip-</w:t>
      </w:r>
      <w:r>
        <w:rPr>
          <w:rFonts w:ascii="Arial" w:eastAsia="Arial" w:hAnsi="Arial" w:cs="Arial"/>
          <w:b/>
          <w:i/>
          <w:color w:val="000000"/>
          <w:sz w:val="20"/>
          <w:u w:val="single"/>
        </w:rPr>
        <w:t>ups</w:t>
      </w:r>
      <w:r>
        <w:rPr>
          <w:rFonts w:ascii="Arial" w:eastAsia="Arial" w:hAnsi="Arial" w:cs="Arial"/>
          <w:color w:val="000000"/>
          <w:sz w:val="20"/>
        </w:rPr>
        <w:t xml:space="preserve"> as the end of their attempt to quit smoking.</w:t>
      </w:r>
    </w:p>
    <w:p w14:paraId="2D290AC6" w14:textId="77777777" w:rsidR="00054BF0" w:rsidRDefault="00000000">
      <w:pPr>
        <w:spacing w:before="200" w:line="260" w:lineRule="atLeast"/>
        <w:jc w:val="both"/>
      </w:pPr>
      <w:r>
        <w:rPr>
          <w:rFonts w:ascii="Arial" w:eastAsia="Arial" w:hAnsi="Arial" w:cs="Arial"/>
          <w:color w:val="000000"/>
          <w:sz w:val="20"/>
        </w:rPr>
        <w:t xml:space="preserve"> "In the past, a brief smoking lapse would almost always lead to a full relapse, and people would usually feel like a </w:t>
      </w:r>
      <w:r>
        <w:rPr>
          <w:rFonts w:ascii="Arial" w:eastAsia="Arial" w:hAnsi="Arial" w:cs="Arial"/>
          <w:b/>
          <w:i/>
          <w:color w:val="000000"/>
          <w:sz w:val="20"/>
          <w:u w:val="single"/>
        </w:rPr>
        <w:t>failure</w:t>
      </w:r>
      <w:r>
        <w:rPr>
          <w:rFonts w:ascii="Arial" w:eastAsia="Arial" w:hAnsi="Arial" w:cs="Arial"/>
          <w:color w:val="000000"/>
          <w:sz w:val="20"/>
        </w:rPr>
        <w:t xml:space="preserve"> for slipping </w:t>
      </w:r>
      <w:r>
        <w:rPr>
          <w:rFonts w:ascii="Arial" w:eastAsia="Arial" w:hAnsi="Arial" w:cs="Arial"/>
          <w:b/>
          <w:i/>
          <w:color w:val="000000"/>
          <w:sz w:val="20"/>
          <w:u w:val="single"/>
        </w:rPr>
        <w:t>up</w:t>
      </w:r>
      <w:r>
        <w:rPr>
          <w:rFonts w:ascii="Arial" w:eastAsia="Arial" w:hAnsi="Arial" w:cs="Arial"/>
          <w:color w:val="000000"/>
          <w:sz w:val="20"/>
        </w:rPr>
        <w:t xml:space="preserve">. But this was before people </w:t>
      </w:r>
      <w:r>
        <w:rPr>
          <w:rFonts w:ascii="Arial" w:eastAsia="Arial" w:hAnsi="Arial" w:cs="Arial"/>
          <w:b/>
          <w:i/>
          <w:color w:val="000000"/>
          <w:sz w:val="20"/>
          <w:u w:val="single"/>
        </w:rPr>
        <w:t>started</w:t>
      </w:r>
      <w:r>
        <w:rPr>
          <w:rFonts w:ascii="Arial" w:eastAsia="Arial" w:hAnsi="Arial" w:cs="Arial"/>
          <w:color w:val="000000"/>
          <w:sz w:val="20"/>
        </w:rPr>
        <w:t xml:space="preserve"> switching to vaping," said lead researcher Caitlin Notley.</w:t>
      </w:r>
    </w:p>
    <w:p w14:paraId="1A8F16B0" w14:textId="77777777" w:rsidR="00054BF0" w:rsidRDefault="00000000">
      <w:pPr>
        <w:spacing w:line="260" w:lineRule="atLeast"/>
        <w:jc w:val="both"/>
      </w:pPr>
      <w:r>
        <w:rPr>
          <w:rFonts w:ascii="Arial" w:eastAsia="Arial" w:hAnsi="Arial" w:cs="Arial"/>
          <w:color w:val="000000"/>
          <w:sz w:val="20"/>
        </w:rPr>
        <w:t xml:space="preserve"> "The difference is that for some vapers (in this study), the odd cigarette was thought of as being 'allowed.' For others, an unintentional cigarette made them even more determined to maintain abstinence in the future," said Notley, of the University of East Anglia in England.</w:t>
      </w:r>
    </w:p>
    <w:p w14:paraId="7E661FB9" w14:textId="77777777" w:rsidR="00054BF0" w:rsidRDefault="00000000">
      <w:pPr>
        <w:spacing w:line="260" w:lineRule="atLeast"/>
        <w:jc w:val="both"/>
      </w:pPr>
      <w:r>
        <w:rPr>
          <w:rFonts w:ascii="Arial" w:eastAsia="Arial" w:hAnsi="Arial" w:cs="Arial"/>
          <w:color w:val="000000"/>
          <w:sz w:val="20"/>
        </w:rPr>
        <w:t xml:space="preserve"> "Either way, it didn't necessarily lead to a full relapse back into smoking," she added in a university news release.</w:t>
      </w:r>
    </w:p>
    <w:p w14:paraId="2EDBE87B" w14:textId="77777777" w:rsidR="00054BF0" w:rsidRDefault="00000000">
      <w:pPr>
        <w:spacing w:line="260" w:lineRule="atLeast"/>
        <w:jc w:val="both"/>
      </w:pPr>
      <w:r>
        <w:rPr>
          <w:rFonts w:ascii="Arial" w:eastAsia="Arial" w:hAnsi="Arial" w:cs="Arial"/>
          <w:color w:val="000000"/>
          <w:sz w:val="20"/>
        </w:rPr>
        <w:t xml:space="preserve"> The findings suggest that use of e-cigarettes not only helps people quit smoking, but also can help prevent long-term smoking relapse, according to the authors.</w:t>
      </w:r>
    </w:p>
    <w:p w14:paraId="45727C4B" w14:textId="77777777" w:rsidR="00054BF0"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December 3, 2018</w:t>
      </w:r>
    </w:p>
    <w:p w14:paraId="54171945" w14:textId="77777777" w:rsidR="00054BF0" w:rsidRDefault="00054BF0"/>
    <w:p w14:paraId="1531459C" w14:textId="77777777" w:rsidR="00054BF0" w:rsidRDefault="00000000">
      <w:pPr>
        <w:ind w:left="200"/>
        <w:sectPr w:rsidR="00054BF0">
          <w:type w:val="continuous"/>
          <w:pgSz w:w="12240" w:h="15840"/>
          <w:pgMar w:top="840" w:right="1000" w:bottom="840" w:left="1000" w:header="400" w:footer="400" w:gutter="0"/>
          <w:cols w:space="720"/>
        </w:sectPr>
      </w:pPr>
      <w:r>
        <w:br/>
      </w:r>
      <w:r>
        <w:pict w14:anchorId="737B6673">
          <v:line id="_x0000_s2057" style="position:absolute;left:0;text-align:left;z-index:251662336;mso-position-horizontal-relative:text;mso-position-vertical-relative:text" from="0,10pt" to="512pt,10pt" strokeweight="1pt"/>
        </w:pict>
      </w:r>
      <w:r>
        <w:rPr>
          <w:rFonts w:ascii="Arial" w:eastAsia="Arial" w:hAnsi="Arial" w:cs="Arial"/>
          <w:b/>
          <w:color w:val="767676"/>
          <w:sz w:val="16"/>
        </w:rPr>
        <w:t>End of Document</w:t>
      </w:r>
    </w:p>
    <w:p w14:paraId="1E482779" w14:textId="77777777" w:rsidR="00054BF0" w:rsidRDefault="00054BF0">
      <w:pPr>
        <w:sectPr w:rsidR="00054BF0">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gutter="0"/>
          <w:cols w:space="720"/>
          <w:titlePg/>
        </w:sectPr>
      </w:pPr>
    </w:p>
    <w:p w14:paraId="511F1077" w14:textId="77777777" w:rsidR="00054BF0" w:rsidRDefault="00054BF0">
      <w:bookmarkStart w:id="4" w:name="Bookmark_3"/>
      <w:bookmarkEnd w:id="4"/>
    </w:p>
    <w:p w14:paraId="2FC79852" w14:textId="77777777" w:rsidR="00054BF0" w:rsidRDefault="00BE2275">
      <w:r>
        <w:pict w14:anchorId="60163200">
          <v:shape id="_x0000_i1030" type="#_x0000_t75" alt="LexisNexis®" style="width:148pt;height:30pt">
            <v:imagedata r:id="rId6" o:title=""/>
          </v:shape>
        </w:pict>
      </w:r>
      <w:r w:rsidR="00A540D1">
        <w:cr/>
      </w:r>
    </w:p>
    <w:p w14:paraId="172B5BA2" w14:textId="77777777" w:rsidR="00054BF0" w:rsidRDefault="00000000">
      <w:pPr>
        <w:spacing w:before="240" w:after="200" w:line="340" w:lineRule="atLeast"/>
        <w:jc w:val="center"/>
        <w:outlineLvl w:val="0"/>
        <w:rPr>
          <w:rFonts w:ascii="Arial" w:hAnsi="Arial" w:cs="Arial"/>
          <w:b/>
          <w:bCs/>
          <w:kern w:val="32"/>
          <w:sz w:val="32"/>
          <w:szCs w:val="32"/>
        </w:rPr>
      </w:pPr>
      <w:hyperlink r:id="rId184" w:history="1">
        <w:r>
          <w:rPr>
            <w:rFonts w:ascii="Arial" w:eastAsia="Arial" w:hAnsi="Arial" w:cs="Arial"/>
            <w:b/>
            <w:bCs/>
            <w:i/>
            <w:color w:val="0077CC"/>
            <w:kern w:val="32"/>
            <w:sz w:val="28"/>
            <w:szCs w:val="32"/>
            <w:u w:val="single"/>
            <w:shd w:val="clear" w:color="auto" w:fill="FFFFFF"/>
          </w:rPr>
          <w:t>Buzz is back at Gandhi Bhavan</w:t>
        </w:r>
      </w:hyperlink>
    </w:p>
    <w:p w14:paraId="75670128" w14:textId="77777777" w:rsidR="00054BF0" w:rsidRDefault="00000000">
      <w:pPr>
        <w:spacing w:before="120" w:line="260" w:lineRule="atLeast"/>
        <w:jc w:val="center"/>
      </w:pPr>
      <w:r>
        <w:rPr>
          <w:rFonts w:ascii="Arial" w:eastAsia="Arial" w:hAnsi="Arial" w:cs="Arial"/>
          <w:color w:val="000000"/>
          <w:sz w:val="20"/>
        </w:rPr>
        <w:t>Times of India (Electronic Edition)</w:t>
      </w:r>
    </w:p>
    <w:p w14:paraId="0BA45B4A" w14:textId="77777777" w:rsidR="00054BF0" w:rsidRDefault="00000000">
      <w:pPr>
        <w:spacing w:before="120" w:line="260" w:lineRule="atLeast"/>
        <w:jc w:val="center"/>
      </w:pPr>
      <w:r>
        <w:rPr>
          <w:rFonts w:ascii="Arial" w:eastAsia="Arial" w:hAnsi="Arial" w:cs="Arial"/>
          <w:color w:val="000000"/>
          <w:sz w:val="20"/>
        </w:rPr>
        <w:t>July 9, 2021 Friday</w:t>
      </w:r>
    </w:p>
    <w:p w14:paraId="3B4ECDD2" w14:textId="77777777" w:rsidR="00054BF0" w:rsidRDefault="00000000">
      <w:pPr>
        <w:spacing w:before="120" w:line="260" w:lineRule="atLeast"/>
        <w:jc w:val="center"/>
      </w:pPr>
      <w:r>
        <w:rPr>
          <w:rFonts w:ascii="Arial" w:eastAsia="Arial" w:hAnsi="Arial" w:cs="Arial"/>
          <w:color w:val="000000"/>
          <w:sz w:val="20"/>
        </w:rPr>
        <w:t>Hyderabad Edition</w:t>
      </w:r>
    </w:p>
    <w:p w14:paraId="593AC402" w14:textId="77777777" w:rsidR="00054BF0" w:rsidRDefault="00054BF0">
      <w:pPr>
        <w:spacing w:line="240" w:lineRule="atLeast"/>
        <w:jc w:val="both"/>
      </w:pPr>
    </w:p>
    <w:p w14:paraId="3E7E6EF2" w14:textId="77777777" w:rsidR="00054BF0" w:rsidRDefault="00000000">
      <w:pPr>
        <w:spacing w:before="120" w:line="220" w:lineRule="atLeast"/>
      </w:pPr>
      <w:r>
        <w:br/>
      </w:r>
      <w:r>
        <w:rPr>
          <w:rFonts w:ascii="Arial" w:eastAsia="Arial" w:hAnsi="Arial" w:cs="Arial"/>
          <w:color w:val="000000"/>
          <w:sz w:val="16"/>
        </w:rPr>
        <w:t>Copyright 2021 Bennett Coleman &amp; Co. Ltd. All Rights Reserved</w:t>
      </w:r>
    </w:p>
    <w:p w14:paraId="13731B2D"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TELANGANA/ANDHRA PRADESH</w:t>
      </w:r>
    </w:p>
    <w:p w14:paraId="41E637FB"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194 words</w:t>
      </w:r>
    </w:p>
    <w:p w14:paraId="37FE7F96" w14:textId="77777777" w:rsidR="00054BF0"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185" w:history="1">
        <w:r>
          <w:rPr>
            <w:rFonts w:ascii="Arial" w:eastAsia="Arial" w:hAnsi="Arial" w:cs="Arial"/>
            <w:i/>
            <w:color w:val="0077CC"/>
            <w:sz w:val="20"/>
            <w:u w:val="single"/>
            <w:shd w:val="clear" w:color="auto" w:fill="FFFFFF"/>
          </w:rPr>
          <w:t>Sribala.Vadlapatla@timesgroup.com</w:t>
        </w:r>
      </w:hyperlink>
    </w:p>
    <w:p w14:paraId="39716A72" w14:textId="77777777" w:rsidR="00054BF0" w:rsidRDefault="00000000">
      <w:pPr>
        <w:keepNext/>
        <w:spacing w:before="240" w:line="340" w:lineRule="atLeast"/>
      </w:pPr>
      <w:bookmarkStart w:id="5" w:name="Body_1"/>
      <w:bookmarkEnd w:id="5"/>
      <w:r>
        <w:rPr>
          <w:rFonts w:ascii="Arial" w:eastAsia="Arial" w:hAnsi="Arial" w:cs="Arial"/>
          <w:b/>
          <w:color w:val="000000"/>
          <w:sz w:val="28"/>
        </w:rPr>
        <w:t>Body</w:t>
      </w:r>
    </w:p>
    <w:p w14:paraId="4F0D5FCB" w14:textId="77777777" w:rsidR="00054BF0" w:rsidRDefault="00000000">
      <w:pPr>
        <w:spacing w:line="60" w:lineRule="exact"/>
      </w:pPr>
      <w:r>
        <w:pict w14:anchorId="4E891D50">
          <v:line id="_x0000_s2059" style="position:absolute;z-index:251663360" from="0,2pt" to="512pt,2pt" strokecolor="#009ddb" strokeweight="2pt">
            <w10:wrap type="topAndBottom"/>
          </v:line>
        </w:pict>
      </w:r>
    </w:p>
    <w:p w14:paraId="4F20DA6B" w14:textId="77777777" w:rsidR="00054BF0" w:rsidRDefault="00054BF0"/>
    <w:p w14:paraId="3A681563" w14:textId="77777777" w:rsidR="00054BF0" w:rsidRDefault="00000000">
      <w:pPr>
        <w:spacing w:before="200" w:line="260" w:lineRule="atLeast"/>
        <w:jc w:val="both"/>
      </w:pPr>
      <w:r>
        <w:rPr>
          <w:rFonts w:ascii="Arial" w:eastAsia="Arial" w:hAnsi="Arial" w:cs="Arial"/>
          <w:color w:val="000000"/>
          <w:sz w:val="20"/>
        </w:rPr>
        <w:t>A day after A Revanth Reddy took over the reins of TPCC, Gandhi Bhavan was buzzing with political activity on Thursday with the party taking a decision to regularly hold meetings. Henceforth, state-level leaders will meet every Saturday.</w:t>
      </w:r>
    </w:p>
    <w:p w14:paraId="46093AA0" w14:textId="77777777" w:rsidR="00054BF0" w:rsidRDefault="00000000">
      <w:pPr>
        <w:spacing w:before="200" w:line="260" w:lineRule="atLeast"/>
        <w:jc w:val="both"/>
      </w:pPr>
      <w:r>
        <w:rPr>
          <w:rFonts w:ascii="Arial" w:eastAsia="Arial" w:hAnsi="Arial" w:cs="Arial"/>
          <w:color w:val="000000"/>
          <w:sz w:val="20"/>
        </w:rPr>
        <w:t>Revealing details of the meetings of TPCC, campaign committee chairman Madhu Yaskhi Goud said TPCC working presidents would have to handle four parliament constituencies each. Party senior leader Damodar Rajanarasimha has been given the task of preparing the strategy for the Huzurabad bypoll.</w:t>
      </w:r>
    </w:p>
    <w:p w14:paraId="6B1AE6C9" w14:textId="77777777" w:rsidR="00054BF0" w:rsidRDefault="00000000">
      <w:pPr>
        <w:spacing w:before="200" w:line="260" w:lineRule="atLeast"/>
        <w:jc w:val="both"/>
      </w:pPr>
      <w:r>
        <w:rPr>
          <w:rFonts w:ascii="Arial" w:eastAsia="Arial" w:hAnsi="Arial" w:cs="Arial"/>
          <w:color w:val="000000"/>
          <w:sz w:val="20"/>
        </w:rPr>
        <w:t xml:space="preserve">A meeting with all existing District Pradesh Congress Committee (DCCs) heads was also conducted on Thursday. The new PCC chief asked them to take </w:t>
      </w:r>
      <w:r>
        <w:rPr>
          <w:rFonts w:ascii="Arial" w:eastAsia="Arial" w:hAnsi="Arial" w:cs="Arial"/>
          <w:b/>
          <w:i/>
          <w:color w:val="000000"/>
          <w:sz w:val="20"/>
          <w:u w:val="single"/>
        </w:rPr>
        <w:t>up</w:t>
      </w:r>
      <w:r>
        <w:rPr>
          <w:rFonts w:ascii="Arial" w:eastAsia="Arial" w:hAnsi="Arial" w:cs="Arial"/>
          <w:color w:val="000000"/>
          <w:sz w:val="20"/>
        </w:rPr>
        <w:t xml:space="preserve"> agitations henceforth and </w:t>
      </w:r>
      <w:r>
        <w:rPr>
          <w:rFonts w:ascii="Arial" w:eastAsia="Arial" w:hAnsi="Arial" w:cs="Arial"/>
          <w:b/>
          <w:i/>
          <w:color w:val="000000"/>
          <w:sz w:val="20"/>
          <w:u w:val="single"/>
        </w:rPr>
        <w:t>start</w:t>
      </w:r>
      <w:r>
        <w:rPr>
          <w:rFonts w:ascii="Arial" w:eastAsia="Arial" w:hAnsi="Arial" w:cs="Arial"/>
          <w:color w:val="000000"/>
          <w:sz w:val="20"/>
        </w:rPr>
        <w:t xml:space="preserve"> exposing the </w:t>
      </w:r>
      <w:r>
        <w:rPr>
          <w:rFonts w:ascii="Arial" w:eastAsia="Arial" w:hAnsi="Arial" w:cs="Arial"/>
          <w:b/>
          <w:i/>
          <w:color w:val="000000"/>
          <w:sz w:val="20"/>
          <w:u w:val="single"/>
        </w:rPr>
        <w:t>failures</w:t>
      </w:r>
      <w:r>
        <w:rPr>
          <w:rFonts w:ascii="Arial" w:eastAsia="Arial" w:hAnsi="Arial" w:cs="Arial"/>
          <w:color w:val="000000"/>
          <w:sz w:val="20"/>
        </w:rPr>
        <w:t xml:space="preserve"> of the TRS regime. “Please identify the issues at district-level and </w:t>
      </w:r>
      <w:r>
        <w:rPr>
          <w:rFonts w:ascii="Arial" w:eastAsia="Arial" w:hAnsi="Arial" w:cs="Arial"/>
          <w:b/>
          <w:i/>
          <w:color w:val="000000"/>
          <w:sz w:val="20"/>
          <w:u w:val="single"/>
        </w:rPr>
        <w:t>start</w:t>
      </w:r>
      <w:r>
        <w:rPr>
          <w:rFonts w:ascii="Arial" w:eastAsia="Arial" w:hAnsi="Arial" w:cs="Arial"/>
          <w:color w:val="000000"/>
          <w:sz w:val="20"/>
        </w:rPr>
        <w:t xml:space="preserve"> talking to them,” he said.</w:t>
      </w:r>
    </w:p>
    <w:p w14:paraId="0214A4FC" w14:textId="77777777" w:rsidR="00054BF0" w:rsidRDefault="00000000">
      <w:pPr>
        <w:spacing w:before="200" w:line="260" w:lineRule="atLeast"/>
        <w:jc w:val="both"/>
      </w:pPr>
      <w:r>
        <w:rPr>
          <w:rFonts w:ascii="Arial" w:eastAsia="Arial" w:hAnsi="Arial" w:cs="Arial"/>
          <w:color w:val="000000"/>
          <w:sz w:val="20"/>
        </w:rPr>
        <w:t xml:space="preserve">On July 12, all districts PCC leaders would take </w:t>
      </w:r>
      <w:r>
        <w:rPr>
          <w:rFonts w:ascii="Arial" w:eastAsia="Arial" w:hAnsi="Arial" w:cs="Arial"/>
          <w:b/>
          <w:i/>
          <w:color w:val="000000"/>
          <w:sz w:val="20"/>
          <w:u w:val="single"/>
        </w:rPr>
        <w:t>up</w:t>
      </w:r>
      <w:r>
        <w:rPr>
          <w:rFonts w:ascii="Arial" w:eastAsia="Arial" w:hAnsi="Arial" w:cs="Arial"/>
          <w:color w:val="000000"/>
          <w:sz w:val="20"/>
        </w:rPr>
        <w:t xml:space="preserve"> cycle yatras demanding slashing of petrol and diesel prices. Revanth Reddy would participate in Niramal district. On July 16, TPCC would conduct 'Chalo Raj Bhavan' yatra on the fuel price hike issue. All TPCC working presidents would tour districts and participate in agitations.</w:t>
      </w:r>
    </w:p>
    <w:p w14:paraId="6D0A03AD"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9, 2021</w:t>
      </w:r>
    </w:p>
    <w:p w14:paraId="343C0387" w14:textId="77777777" w:rsidR="00054BF0" w:rsidRDefault="00054BF0"/>
    <w:p w14:paraId="7D603060" w14:textId="77777777" w:rsidR="00054BF0" w:rsidRDefault="00000000">
      <w:pPr>
        <w:ind w:left="200"/>
        <w:sectPr w:rsidR="00054BF0">
          <w:type w:val="continuous"/>
          <w:pgSz w:w="12240" w:h="15840"/>
          <w:pgMar w:top="840" w:right="1000" w:bottom="840" w:left="1000" w:header="400" w:footer="400" w:gutter="0"/>
          <w:cols w:space="720"/>
        </w:sectPr>
      </w:pPr>
      <w:r>
        <w:br/>
      </w:r>
      <w:r>
        <w:pict w14:anchorId="7D3674CE">
          <v:line id="_x0000_s2060" style="position:absolute;left:0;text-align:left;z-index:251664384;mso-position-horizontal-relative:text;mso-position-vertical-relative:text" from="0,10pt" to="512pt,10pt" strokeweight="1pt"/>
        </w:pict>
      </w:r>
      <w:r>
        <w:rPr>
          <w:rFonts w:ascii="Arial" w:eastAsia="Arial" w:hAnsi="Arial" w:cs="Arial"/>
          <w:b/>
          <w:color w:val="767676"/>
          <w:sz w:val="16"/>
        </w:rPr>
        <w:t>End of Document</w:t>
      </w:r>
    </w:p>
    <w:p w14:paraId="6E2CC703" w14:textId="77777777" w:rsidR="00054BF0" w:rsidRDefault="00054BF0">
      <w:pPr>
        <w:sectPr w:rsidR="00054BF0">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gutter="0"/>
          <w:cols w:space="720"/>
          <w:titlePg/>
        </w:sectPr>
      </w:pPr>
    </w:p>
    <w:p w14:paraId="46DBACE9" w14:textId="77777777" w:rsidR="00054BF0" w:rsidRDefault="00054BF0">
      <w:bookmarkStart w:id="6" w:name="Bookmark_4"/>
      <w:bookmarkEnd w:id="6"/>
    </w:p>
    <w:p w14:paraId="748532FE" w14:textId="77777777" w:rsidR="00054BF0" w:rsidRDefault="00BE2275">
      <w:r>
        <w:pict w14:anchorId="2D2BEE82">
          <v:shape id="_x0000_i1031" type="#_x0000_t75" alt="LexisNexis®" style="width:148pt;height:30pt">
            <v:imagedata r:id="rId6" o:title=""/>
          </v:shape>
        </w:pict>
      </w:r>
      <w:r w:rsidR="00A540D1">
        <w:cr/>
      </w:r>
    </w:p>
    <w:p w14:paraId="35023E00" w14:textId="77777777" w:rsidR="00054BF0" w:rsidRDefault="00000000">
      <w:pPr>
        <w:spacing w:before="240" w:after="200" w:line="340" w:lineRule="atLeast"/>
        <w:jc w:val="center"/>
        <w:outlineLvl w:val="0"/>
        <w:rPr>
          <w:rFonts w:ascii="Arial" w:hAnsi="Arial" w:cs="Arial"/>
          <w:b/>
          <w:bCs/>
          <w:kern w:val="32"/>
          <w:sz w:val="32"/>
          <w:szCs w:val="32"/>
        </w:rPr>
      </w:pPr>
      <w:hyperlink r:id="rId192" w:history="1">
        <w:r>
          <w:rPr>
            <w:rFonts w:ascii="Arial" w:eastAsia="Arial" w:hAnsi="Arial" w:cs="Arial"/>
            <w:b/>
            <w:bCs/>
            <w:i/>
            <w:color w:val="0077CC"/>
            <w:kern w:val="32"/>
            <w:sz w:val="28"/>
            <w:szCs w:val="32"/>
            <w:u w:val="single"/>
            <w:shd w:val="clear" w:color="auto" w:fill="FFFFFF"/>
          </w:rPr>
          <w:t xml:space="preserve">Scaling </w:t>
        </w:r>
      </w:hyperlink>
      <w:hyperlink r:id="rId193" w:history="1">
        <w:r>
          <w:rPr>
            <w:rFonts w:ascii="Arial" w:eastAsia="Arial" w:hAnsi="Arial" w:cs="Arial"/>
            <w:b/>
            <w:bCs/>
            <w:i/>
            <w:color w:val="0077CC"/>
            <w:kern w:val="32"/>
            <w:sz w:val="28"/>
            <w:szCs w:val="32"/>
            <w:u w:val="single"/>
            <w:shd w:val="clear" w:color="auto" w:fill="FFFFFF"/>
          </w:rPr>
          <w:t>Up</w:t>
        </w:r>
      </w:hyperlink>
      <w:hyperlink r:id="rId194" w:history="1">
        <w:r>
          <w:rPr>
            <w:rFonts w:ascii="Arial" w:eastAsia="Arial" w:hAnsi="Arial" w:cs="Arial"/>
            <w:b/>
            <w:bCs/>
            <w:i/>
            <w:color w:val="0077CC"/>
            <w:kern w:val="32"/>
            <w:sz w:val="28"/>
            <w:szCs w:val="32"/>
            <w:u w:val="single"/>
            <w:shd w:val="clear" w:color="auto" w:fill="FFFFFF"/>
          </w:rPr>
          <w:t xml:space="preserve"> Industrial IoT Deployments - Challenges, Issues and Solutions</w:t>
        </w:r>
      </w:hyperlink>
    </w:p>
    <w:p w14:paraId="32114611" w14:textId="77777777" w:rsidR="00054BF0" w:rsidRDefault="00000000">
      <w:pPr>
        <w:spacing w:before="120" w:line="260" w:lineRule="atLeast"/>
        <w:jc w:val="center"/>
      </w:pPr>
      <w:r>
        <w:rPr>
          <w:rFonts w:ascii="Arial" w:eastAsia="Arial" w:hAnsi="Arial" w:cs="Arial"/>
          <w:color w:val="000000"/>
          <w:sz w:val="20"/>
        </w:rPr>
        <w:t>Electronicsofthings.com</w:t>
      </w:r>
    </w:p>
    <w:p w14:paraId="5BB9B944" w14:textId="77777777" w:rsidR="00054BF0" w:rsidRDefault="00000000">
      <w:pPr>
        <w:spacing w:before="120" w:line="260" w:lineRule="atLeast"/>
        <w:jc w:val="center"/>
      </w:pPr>
      <w:r>
        <w:rPr>
          <w:rFonts w:ascii="Arial" w:eastAsia="Arial" w:hAnsi="Arial" w:cs="Arial"/>
          <w:color w:val="000000"/>
          <w:sz w:val="20"/>
        </w:rPr>
        <w:t>April 10, 2019 Wednesday 6:30 AM EST</w:t>
      </w:r>
    </w:p>
    <w:p w14:paraId="7F053D4A" w14:textId="77777777" w:rsidR="00054BF0" w:rsidRDefault="00054BF0">
      <w:pPr>
        <w:spacing w:line="240" w:lineRule="atLeast"/>
        <w:jc w:val="both"/>
      </w:pPr>
    </w:p>
    <w:p w14:paraId="070D4D0D" w14:textId="77777777" w:rsidR="00054BF0" w:rsidRDefault="00000000">
      <w:pPr>
        <w:spacing w:before="120" w:line="220" w:lineRule="atLeast"/>
      </w:pPr>
      <w:r>
        <w:br/>
      </w:r>
      <w:r>
        <w:rPr>
          <w:rFonts w:ascii="Arial" w:eastAsia="Arial" w:hAnsi="Arial" w:cs="Arial"/>
          <w:color w:val="000000"/>
          <w:sz w:val="16"/>
        </w:rPr>
        <w:t>Copyright 2019 EFY Enterprises Pvt. Ltd, distributed by Contify.com All Rights Reserved</w:t>
      </w:r>
    </w:p>
    <w:p w14:paraId="2451A74B"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1399 words</w:t>
      </w:r>
    </w:p>
    <w:p w14:paraId="6B8BAB3B"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Baishakhi Dutta</w:t>
      </w:r>
    </w:p>
    <w:p w14:paraId="6834DF1B" w14:textId="77777777" w:rsidR="00054BF0" w:rsidRDefault="00000000">
      <w:pPr>
        <w:keepNext/>
        <w:spacing w:before="240" w:line="340" w:lineRule="atLeast"/>
      </w:pPr>
      <w:bookmarkStart w:id="7" w:name="Body_2"/>
      <w:bookmarkEnd w:id="7"/>
      <w:r>
        <w:rPr>
          <w:rFonts w:ascii="Arial" w:eastAsia="Arial" w:hAnsi="Arial" w:cs="Arial"/>
          <w:b/>
          <w:color w:val="000000"/>
          <w:sz w:val="28"/>
        </w:rPr>
        <w:t>Body</w:t>
      </w:r>
    </w:p>
    <w:p w14:paraId="4F600592" w14:textId="77777777" w:rsidR="00054BF0" w:rsidRDefault="00000000">
      <w:pPr>
        <w:spacing w:line="60" w:lineRule="exact"/>
      </w:pPr>
      <w:r>
        <w:pict w14:anchorId="0969CBD2">
          <v:line id="_x0000_s2062" style="position:absolute;z-index:251665408" from="0,2pt" to="512pt,2pt" strokecolor="#009ddb" strokeweight="2pt">
            <w10:wrap type="topAndBottom"/>
          </v:line>
        </w:pict>
      </w:r>
    </w:p>
    <w:p w14:paraId="31C2880F" w14:textId="77777777" w:rsidR="00054BF0" w:rsidRDefault="00054BF0"/>
    <w:p w14:paraId="0EEA6F02" w14:textId="77777777" w:rsidR="00054BF0" w:rsidRDefault="00000000">
      <w:pPr>
        <w:spacing w:before="200" w:line="260" w:lineRule="atLeast"/>
        <w:jc w:val="both"/>
      </w:pPr>
      <w:r>
        <w:rPr>
          <w:rFonts w:ascii="Arial" w:eastAsia="Arial" w:hAnsi="Arial" w:cs="Arial"/>
          <w:color w:val="000000"/>
          <w:sz w:val="20"/>
        </w:rPr>
        <w:t>Internet of Things (IoT) has been on the hotbed of activity for the last several years. While till about 2015, IOT was at its peak of 'Gartner Hype Cycle', the euphoria has died down considerably with many others like AI and blockchain taking its slot at the top. IoT is on a downward path of the Hype cycle now but as the authors have articulated in previous posts, articles and interviews, IoT, especially Industrial IoT, would see steady but slow progress over a decade. IT deployment and automation took decades and the adoption did not happen overnight.</w:t>
      </w:r>
    </w:p>
    <w:p w14:paraId="52B1651C" w14:textId="77777777" w:rsidR="00054BF0" w:rsidRDefault="00054BF0"/>
    <w:p w14:paraId="7A80C4A6" w14:textId="77777777" w:rsidR="00054BF0" w:rsidRDefault="00000000">
      <w:pPr>
        <w:spacing w:line="260" w:lineRule="atLeast"/>
        <w:jc w:val="both"/>
      </w:pPr>
      <w:r>
        <w:rPr>
          <w:rFonts w:ascii="Arial" w:eastAsia="Arial" w:hAnsi="Arial" w:cs="Arial"/>
          <w:color w:val="000000"/>
          <w:sz w:val="20"/>
        </w:rPr>
        <w:t xml:space="preserve">While the IoT story in consumers, homes, logistics and automotive sectors have taken off in a reasonably big way with several tens of millions of devices being deployed, the Industrial IoT deployments have been relatively slow. While there have been several small to mid-scale pilots, the infrastructure in industrial settings has several complicacies and lack the simplicity and standardization of the consumer side.   </w:t>
      </w:r>
    </w:p>
    <w:p w14:paraId="39052092" w14:textId="77777777" w:rsidR="00054BF0" w:rsidRDefault="00054BF0"/>
    <w:p w14:paraId="14BF5C14" w14:textId="77777777" w:rsidR="00054BF0" w:rsidRDefault="00000000">
      <w:pPr>
        <w:spacing w:line="260" w:lineRule="atLeast"/>
        <w:jc w:val="both"/>
      </w:pPr>
      <w:r>
        <w:rPr>
          <w:rFonts w:ascii="Arial" w:eastAsia="Arial" w:hAnsi="Arial" w:cs="Arial"/>
          <w:color w:val="000000"/>
          <w:sz w:val="20"/>
        </w:rPr>
        <w:t xml:space="preserve">Industrial IoT, especially in factories, is also mired with business RoI, cultural and organizational issues that slow down its deployment primarily because of misalignment between workers, managers and owners. This has been talked about in several settings and we had a classic example on how Bharat Forge overcame this and executed on its Digital Transformation comprehensively at IoTNext 2018. </w:t>
      </w:r>
    </w:p>
    <w:p w14:paraId="0C3C3958" w14:textId="77777777" w:rsidR="00054BF0" w:rsidRDefault="00054BF0"/>
    <w:p w14:paraId="7D70A2C8" w14:textId="77777777" w:rsidR="00054BF0" w:rsidRDefault="00000000">
      <w:pPr>
        <w:spacing w:before="200" w:line="260" w:lineRule="atLeast"/>
        <w:jc w:val="both"/>
      </w:pPr>
      <w:r>
        <w:rPr>
          <w:rFonts w:ascii="Arial" w:eastAsia="Arial" w:hAnsi="Arial" w:cs="Arial"/>
          <w:color w:val="000000"/>
          <w:sz w:val="20"/>
        </w:rPr>
        <w:t xml:space="preserve">In terms of the technical aspects, factory automation has been non-standard, using age-old protocols and different brands. Hence IoT systems in an industrial scenario have to be extremely versatile. Just basic connectivity of sensors and sending every bit and byte of data to the cloud severely restricts Industrial IoT deployments and the cost goes </w:t>
      </w:r>
      <w:r>
        <w:rPr>
          <w:rFonts w:ascii="Arial" w:eastAsia="Arial" w:hAnsi="Arial" w:cs="Arial"/>
          <w:b/>
          <w:i/>
          <w:color w:val="000000"/>
          <w:sz w:val="20"/>
          <w:u w:val="single"/>
        </w:rPr>
        <w:t>up</w:t>
      </w:r>
      <w:r>
        <w:rPr>
          <w:rFonts w:ascii="Arial" w:eastAsia="Arial" w:hAnsi="Arial" w:cs="Arial"/>
          <w:color w:val="000000"/>
          <w:sz w:val="20"/>
        </w:rPr>
        <w:t xml:space="preserve"> significantly.   </w:t>
      </w:r>
    </w:p>
    <w:p w14:paraId="6521CD3D" w14:textId="77777777" w:rsidR="00054BF0" w:rsidRDefault="00054BF0"/>
    <w:p w14:paraId="5CCB7D4B" w14:textId="77777777" w:rsidR="00054BF0" w:rsidRDefault="00000000">
      <w:pPr>
        <w:spacing w:line="260" w:lineRule="atLeast"/>
        <w:jc w:val="both"/>
      </w:pPr>
      <w:r>
        <w:rPr>
          <w:rFonts w:ascii="Arial" w:eastAsia="Arial" w:hAnsi="Arial" w:cs="Arial"/>
          <w:color w:val="000000"/>
          <w:sz w:val="20"/>
        </w:rPr>
        <w:t>It is to be noted that bringing Internet connectivity to the shop floor is a relatively new concept. Also, no factory will ever replace their machines overnight with new and smart IoT enabled machines from OEMs. Industrial systems in the near future will continue to remain a hodgepodge of different systems, some having a robust implementation of PLC systems and SCADA networks, others running full manual. 'Don't touch it, if it is not broken yet', 'Let it fail, before we replace', 'AMC contractors coming periodically to test and maintain', 'misuse of machinery is common', 'clueless about power quality impact to machines' are the usual patterns we see not just in the developing countries but also in developed markets as well.</w:t>
      </w:r>
    </w:p>
    <w:p w14:paraId="059281D0" w14:textId="77777777" w:rsidR="00054BF0" w:rsidRDefault="00054BF0"/>
    <w:p w14:paraId="608ABAB0" w14:textId="77777777" w:rsidR="00054BF0" w:rsidRDefault="00000000">
      <w:pPr>
        <w:spacing w:before="200" w:line="260" w:lineRule="atLeast"/>
        <w:jc w:val="both"/>
      </w:pPr>
      <w:r>
        <w:rPr>
          <w:rFonts w:ascii="Arial" w:eastAsia="Arial" w:hAnsi="Arial" w:cs="Arial"/>
          <w:color w:val="000000"/>
          <w:sz w:val="20"/>
        </w:rPr>
        <w:lastRenderedPageBreak/>
        <w:t xml:space="preserve">The following series of articles is based on real practitioners' viewpoints, over five years of learning across industries, observation of a plethora of IoT deployments and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discussions with several IoT vendors and systems integrators and real-life experience from running a full-fledged IoT system involving several thousands of devices. Below are the topics that we intend to cover in this series.</w:t>
      </w:r>
    </w:p>
    <w:p w14:paraId="4528DFA2" w14:textId="77777777" w:rsidR="00054BF0" w:rsidRDefault="00000000">
      <w:pPr>
        <w:spacing w:before="200" w:line="260" w:lineRule="atLeast"/>
        <w:jc w:val="both"/>
      </w:pPr>
      <w:r>
        <w:rPr>
          <w:rFonts w:ascii="Arial" w:eastAsia="Arial" w:hAnsi="Arial" w:cs="Arial"/>
          <w:color w:val="000000"/>
          <w:sz w:val="20"/>
        </w:rPr>
        <w:t>1. A versatile and flexible architecture that works at the edge, in-premise and cloud</w:t>
      </w:r>
    </w:p>
    <w:p w14:paraId="4C1820B1" w14:textId="77777777" w:rsidR="00054BF0" w:rsidRDefault="00054BF0"/>
    <w:p w14:paraId="54AB1425" w14:textId="77777777" w:rsidR="00054BF0" w:rsidRDefault="00000000">
      <w:pPr>
        <w:spacing w:before="60" w:line="260" w:lineRule="atLeast"/>
        <w:jc w:val="both"/>
      </w:pPr>
      <w:r>
        <w:rPr>
          <w:rFonts w:ascii="Arial" w:eastAsia="Arial" w:hAnsi="Arial" w:cs="Arial"/>
          <w:color w:val="000000"/>
          <w:sz w:val="20"/>
        </w:rPr>
        <w:t>2. Overcoming the issues of connectivity and the importance of robust build management</w:t>
      </w:r>
    </w:p>
    <w:p w14:paraId="4230B438" w14:textId="77777777" w:rsidR="00054BF0" w:rsidRDefault="00054BF0"/>
    <w:p w14:paraId="617EADF2" w14:textId="77777777" w:rsidR="00054BF0" w:rsidRDefault="00000000">
      <w:pPr>
        <w:spacing w:before="60" w:line="260" w:lineRule="atLeast"/>
        <w:jc w:val="both"/>
      </w:pPr>
      <w:r>
        <w:rPr>
          <w:rFonts w:ascii="Arial" w:eastAsia="Arial" w:hAnsi="Arial" w:cs="Arial"/>
          <w:color w:val="000000"/>
          <w:sz w:val="20"/>
        </w:rPr>
        <w:t>3. Importance of regular sensor calibration, quality check and system health check</w:t>
      </w:r>
    </w:p>
    <w:p w14:paraId="53E40271" w14:textId="77777777" w:rsidR="00054BF0" w:rsidRDefault="00054BF0"/>
    <w:p w14:paraId="6D3E879C" w14:textId="77777777" w:rsidR="00054BF0" w:rsidRDefault="00000000">
      <w:pPr>
        <w:spacing w:before="60" w:line="260" w:lineRule="atLeast"/>
        <w:jc w:val="both"/>
      </w:pPr>
      <w:r>
        <w:rPr>
          <w:rFonts w:ascii="Arial" w:eastAsia="Arial" w:hAnsi="Arial" w:cs="Arial"/>
          <w:color w:val="000000"/>
          <w:sz w:val="20"/>
        </w:rPr>
        <w:t>4. 'IoT Data Simulator' to simulate a multitude of data, corner cases, erratic and erroneous data flow and how to deal with them</w:t>
      </w:r>
    </w:p>
    <w:p w14:paraId="12E54E5B" w14:textId="77777777" w:rsidR="00054BF0" w:rsidRDefault="00054BF0"/>
    <w:p w14:paraId="01FBB515" w14:textId="77777777" w:rsidR="00054BF0" w:rsidRDefault="00000000">
      <w:pPr>
        <w:spacing w:before="60" w:line="260" w:lineRule="atLeast"/>
        <w:jc w:val="both"/>
      </w:pPr>
      <w:r>
        <w:rPr>
          <w:rFonts w:ascii="Arial" w:eastAsia="Arial" w:hAnsi="Arial" w:cs="Arial"/>
          <w:color w:val="000000"/>
          <w:sz w:val="20"/>
        </w:rPr>
        <w:t>5. Formal API Management for data analytics and the full systems</w:t>
      </w:r>
    </w:p>
    <w:p w14:paraId="305E86B3" w14:textId="77777777" w:rsidR="00054BF0" w:rsidRDefault="00054BF0"/>
    <w:p w14:paraId="356250FB" w14:textId="77777777" w:rsidR="00054BF0" w:rsidRDefault="00000000">
      <w:pPr>
        <w:spacing w:before="60" w:line="260" w:lineRule="atLeast"/>
        <w:jc w:val="both"/>
      </w:pPr>
      <w:r>
        <w:rPr>
          <w:rFonts w:ascii="Arial" w:eastAsia="Arial" w:hAnsi="Arial" w:cs="Arial"/>
          <w:color w:val="000000"/>
          <w:sz w:val="20"/>
        </w:rPr>
        <w:t>6. The learning and signal processing system for 2V (volume and velocity) data in edge computing</w:t>
      </w:r>
    </w:p>
    <w:p w14:paraId="17C97066" w14:textId="77777777" w:rsidR="00054BF0" w:rsidRDefault="00054BF0"/>
    <w:p w14:paraId="25E9A9E9" w14:textId="77777777" w:rsidR="00054BF0" w:rsidRDefault="00000000">
      <w:pPr>
        <w:spacing w:before="60" w:line="260" w:lineRule="atLeast"/>
        <w:jc w:val="both"/>
      </w:pPr>
      <w:r>
        <w:rPr>
          <w:rFonts w:ascii="Arial" w:eastAsia="Arial" w:hAnsi="Arial" w:cs="Arial"/>
          <w:color w:val="000000"/>
          <w:sz w:val="20"/>
        </w:rPr>
        <w:t>Interestingly, most of these above aspects are either not required or are side-stepped during Pilot and Proof of Concepts, but they come back to bite you as you scale.</w:t>
      </w:r>
    </w:p>
    <w:p w14:paraId="1028139C" w14:textId="77777777" w:rsidR="00054BF0" w:rsidRDefault="00054BF0"/>
    <w:p w14:paraId="6C84F17B" w14:textId="77777777" w:rsidR="00054BF0" w:rsidRDefault="00000000">
      <w:pPr>
        <w:spacing w:before="60" w:line="260" w:lineRule="atLeast"/>
        <w:jc w:val="both"/>
      </w:pPr>
      <w:r>
        <w:rPr>
          <w:rFonts w:ascii="Arial" w:eastAsia="Arial" w:hAnsi="Arial" w:cs="Arial"/>
          <w:color w:val="000000"/>
          <w:sz w:val="20"/>
        </w:rPr>
        <w:t>While we will discuss each of the above aspects in subsequent articles, let us focus on the overall IoT and analytics architecture here for industrial use cases.</w:t>
      </w:r>
    </w:p>
    <w:p w14:paraId="4330E329" w14:textId="77777777" w:rsidR="00054BF0" w:rsidRDefault="00054BF0"/>
    <w:p w14:paraId="45876FE4" w14:textId="77777777" w:rsidR="00054BF0" w:rsidRDefault="00000000">
      <w:pPr>
        <w:spacing w:before="60" w:line="260" w:lineRule="atLeast"/>
        <w:jc w:val="both"/>
      </w:pPr>
      <w:r>
        <w:rPr>
          <w:rFonts w:ascii="Arial" w:eastAsia="Arial" w:hAnsi="Arial" w:cs="Arial"/>
          <w:color w:val="000000"/>
          <w:sz w:val="20"/>
        </w:rPr>
        <w:t xml:space="preserve">A versatile and flexible architecture that works both at Edge, In-premise and Cloud  </w:t>
      </w:r>
    </w:p>
    <w:p w14:paraId="77DC490E" w14:textId="77777777" w:rsidR="00054BF0" w:rsidRDefault="00054BF0"/>
    <w:p w14:paraId="58EB8603" w14:textId="77777777" w:rsidR="00054BF0" w:rsidRDefault="00000000">
      <w:pPr>
        <w:spacing w:before="60" w:line="260" w:lineRule="atLeast"/>
        <w:jc w:val="both"/>
      </w:pPr>
      <w:r>
        <w:rPr>
          <w:rFonts w:ascii="Arial" w:eastAsia="Arial" w:hAnsi="Arial" w:cs="Arial"/>
          <w:color w:val="000000"/>
          <w:sz w:val="20"/>
        </w:rPr>
        <w:t xml:space="preserve">IoT is all about sensor data. These data are recorded in the cloud or in edge with a timestamp. The timestamp indicates the time of data origin and hence sensor data is a classical time series data. The challenge is on how to extract useful analytics or actionable intelligence out of these sensor signals. Some of the issues like the elimination of noise, detection of artifacts from the signal trend can be solved using traditional signal analysis. Additional areas to consider are infrastructural issues and end-user requirements and restrictions, running the signal analysis on a platform that can easily be ported into cloud, edge or on-premise. There are difficulties associated with extracting the signal artifacts too quickly or over a larger period of time using the same computational system.   </w:t>
      </w:r>
    </w:p>
    <w:p w14:paraId="5E80F888" w14:textId="77777777" w:rsidR="00054BF0" w:rsidRDefault="00054BF0"/>
    <w:p w14:paraId="14CB5246" w14:textId="77777777" w:rsidR="00054BF0" w:rsidRDefault="00000000">
      <w:pPr>
        <w:spacing w:before="60" w:line="260" w:lineRule="atLeast"/>
        <w:jc w:val="both"/>
      </w:pPr>
      <w:r>
        <w:rPr>
          <w:rFonts w:ascii="Arial" w:eastAsia="Arial" w:hAnsi="Arial" w:cs="Arial"/>
          <w:color w:val="000000"/>
          <w:sz w:val="20"/>
        </w:rPr>
        <w:t xml:space="preserve">We believe that the entire signal analysis ideally has to be done by an edge platform for sensor signal analysis and transforming that analysis into actionable intelligence using a diverse set of architecture such as working with sensor edge, edge cloud or a public cloud (like Azure PaaS/IaaS). Sometimes even a cloud is not required, factories want to connect the data to a platform straight to HMI or mobile app or to a desktop app. Industrial 4.0 is not yet standard and therefore, it makes sense to offer an architecture which is highly flexible and offers all the cross-platform importing/exporting capability.  </w:t>
      </w:r>
    </w:p>
    <w:p w14:paraId="57200B3D" w14:textId="77777777" w:rsidR="00054BF0" w:rsidRDefault="00054BF0"/>
    <w:p w14:paraId="035C0BC4" w14:textId="77777777" w:rsidR="00054BF0" w:rsidRDefault="00000000">
      <w:pPr>
        <w:spacing w:before="60" w:line="260" w:lineRule="atLeast"/>
        <w:jc w:val="both"/>
      </w:pPr>
      <w:r>
        <w:rPr>
          <w:rFonts w:ascii="Arial" w:eastAsia="Arial" w:hAnsi="Arial" w:cs="Arial"/>
          <w:color w:val="000000"/>
          <w:sz w:val="20"/>
        </w:rPr>
        <w:t>So what does the Flexible Edge Architecture really mean?</w:t>
      </w:r>
    </w:p>
    <w:p w14:paraId="7D3C0131" w14:textId="77777777" w:rsidR="00054BF0" w:rsidRDefault="00054BF0"/>
    <w:p w14:paraId="0206AE57" w14:textId="77777777" w:rsidR="00054BF0" w:rsidRDefault="00000000">
      <w:pPr>
        <w:spacing w:before="60" w:line="260" w:lineRule="atLeast"/>
        <w:jc w:val="both"/>
      </w:pPr>
      <w:r>
        <w:rPr>
          <w:rFonts w:ascii="Arial" w:eastAsia="Arial" w:hAnsi="Arial" w:cs="Arial"/>
          <w:color w:val="000000"/>
          <w:sz w:val="20"/>
        </w:rPr>
        <w:t xml:space="preserve">Edge analytic or edge computation is set on a massive growth path. However, in the context of a factory or commercial building, edge architecture can penetrate into the diversified system architecture. Edge computation can happen with sensor electronics as close to the sensor as possible, it can happen on a gateway device, a PC or server connected to the Gateway or Router, a factory cloud which may be a server inside the factory or an external public cloud framework. The whole system may or may not be connected to a public cloud (like AWS or Azure) depending on end-customer requirements and restrictions.  </w:t>
      </w:r>
    </w:p>
    <w:p w14:paraId="555AE4B2" w14:textId="77777777" w:rsidR="00054BF0" w:rsidRDefault="00054BF0"/>
    <w:p w14:paraId="1B045723" w14:textId="77777777" w:rsidR="00054BF0" w:rsidRDefault="00000000">
      <w:pPr>
        <w:spacing w:before="60" w:line="260" w:lineRule="atLeast"/>
        <w:jc w:val="both"/>
      </w:pPr>
      <w:r>
        <w:rPr>
          <w:rFonts w:ascii="Arial" w:eastAsia="Arial" w:hAnsi="Arial" w:cs="Arial"/>
          <w:color w:val="000000"/>
          <w:sz w:val="20"/>
        </w:rPr>
        <w:t>Due to lack of a unified or standardized architecture of Industrial 4.0, it is extremely important for OEM (who wants to make a smart machine) to be cognizant of the reality that their customers (manufacturing plants) may or may not allow external cloud. Many may not have a factory cloud. They may or may not want the data to be displayed in PLC. They may want the system to be incubated into a major Industrial IoT PaaS platform like Azure IoT PaaS or Siemens Mindsphere, or these might be too costly propositions for them.</w:t>
      </w:r>
    </w:p>
    <w:p w14:paraId="108F955C" w14:textId="77777777" w:rsidR="00054BF0" w:rsidRDefault="00000000">
      <w:pPr>
        <w:spacing w:before="200" w:line="260" w:lineRule="atLeast"/>
        <w:jc w:val="both"/>
      </w:pPr>
      <w:r>
        <w:rPr>
          <w:rFonts w:ascii="Arial" w:eastAsia="Arial" w:hAnsi="Arial" w:cs="Arial"/>
          <w:color w:val="000000"/>
          <w:sz w:val="20"/>
        </w:rPr>
        <w:t xml:space="preserve">MachineSense.com also went through its own set of learning, spending enormous resources with each customer with its 'public cloud only' approach and had to re-engineer and re-architect its entire platform to be completely flexible, with the ability to feed data to any form of repository, be it a resident computer, a handheld device, an in-premise cloud or an external cloud. The architecture had to adapt to the requirements, had to be scaled </w:t>
      </w:r>
      <w:r>
        <w:rPr>
          <w:rFonts w:ascii="Arial" w:eastAsia="Arial" w:hAnsi="Arial" w:cs="Arial"/>
          <w:b/>
          <w:i/>
          <w:color w:val="000000"/>
          <w:sz w:val="20"/>
          <w:u w:val="single"/>
        </w:rPr>
        <w:t>up</w:t>
      </w:r>
      <w:r>
        <w:rPr>
          <w:rFonts w:ascii="Arial" w:eastAsia="Arial" w:hAnsi="Arial" w:cs="Arial"/>
          <w:color w:val="000000"/>
          <w:sz w:val="20"/>
        </w:rPr>
        <w:t xml:space="preserve"> or down based on the restrictions.</w:t>
      </w:r>
    </w:p>
    <w:p w14:paraId="6F61B460" w14:textId="77777777" w:rsidR="00054BF0" w:rsidRDefault="00054BF0"/>
    <w:p w14:paraId="1251AB6F" w14:textId="77777777" w:rsidR="00054BF0" w:rsidRDefault="00000000">
      <w:pPr>
        <w:spacing w:before="60" w:line="260" w:lineRule="atLeast"/>
        <w:jc w:val="both"/>
      </w:pPr>
      <w:r>
        <w:rPr>
          <w:rFonts w:ascii="Arial" w:eastAsia="Arial" w:hAnsi="Arial" w:cs="Arial"/>
          <w:color w:val="000000"/>
          <w:sz w:val="20"/>
        </w:rPr>
        <w:t>Subsequent articles will focus on the challenges in larger scale deployment and what are the typical ways to mitigate and address them. Many platforms do not provide these bells and whistles to manage and hence a lot of watchdogs, calibration routines, automation tools had to be built to ensure smooth operation for a large IoT deployment and to manage the device efficiently.</w:t>
      </w:r>
    </w:p>
    <w:p w14:paraId="622A6BCF" w14:textId="77777777" w:rsidR="00054BF0" w:rsidRDefault="00000000">
      <w:pPr>
        <w:spacing w:before="200" w:line="260" w:lineRule="atLeast"/>
        <w:jc w:val="both"/>
      </w:pPr>
      <w:r>
        <w:rPr>
          <w:rFonts w:ascii="Arial" w:eastAsia="Arial" w:hAnsi="Arial" w:cs="Arial"/>
          <w:color w:val="000000"/>
          <w:sz w:val="20"/>
        </w:rPr>
        <w:t>About The Authors</w:t>
      </w:r>
    </w:p>
    <w:p w14:paraId="1076BDAB" w14:textId="77777777" w:rsidR="00054BF0" w:rsidRDefault="00054BF0"/>
    <w:p w14:paraId="3656F7F4" w14:textId="77777777" w:rsidR="00054BF0" w:rsidRDefault="00000000">
      <w:pPr>
        <w:spacing w:before="200" w:line="260" w:lineRule="atLeast"/>
        <w:jc w:val="both"/>
      </w:pPr>
      <w:r>
        <w:rPr>
          <w:rFonts w:ascii="Arial" w:eastAsia="Arial" w:hAnsi="Arial" w:cs="Arial"/>
          <w:color w:val="000000"/>
          <w:sz w:val="20"/>
        </w:rPr>
        <w:t xml:space="preserve">Dr. Biplab Pal is the CTO and Founder of MachineSense. He has been a pioneer and practitioner in the IoT domain with years of experience in sensors and sensor networks. He </w:t>
      </w:r>
      <w:r>
        <w:rPr>
          <w:rFonts w:ascii="Arial" w:eastAsia="Arial" w:hAnsi="Arial" w:cs="Arial"/>
          <w:b/>
          <w:i/>
          <w:color w:val="000000"/>
          <w:sz w:val="20"/>
          <w:u w:val="single"/>
        </w:rPr>
        <w:t>started</w:t>
      </w:r>
      <w:r>
        <w:rPr>
          <w:rFonts w:ascii="Arial" w:eastAsia="Arial" w:hAnsi="Arial" w:cs="Arial"/>
          <w:color w:val="000000"/>
          <w:sz w:val="20"/>
        </w:rPr>
        <w:t xml:space="preserve"> his IoT company back in 2012. He has been instrumental in developing and deploying IOT solutions across factories, structural health monitoring for bridges and high-value assets, water, energy management, predictive maintenance of the machine and power quality for the last two decades.</w:t>
      </w:r>
    </w:p>
    <w:p w14:paraId="41731346" w14:textId="77777777" w:rsidR="00054BF0" w:rsidRDefault="00054BF0"/>
    <w:p w14:paraId="76B730C7" w14:textId="77777777" w:rsidR="00054BF0" w:rsidRDefault="00000000">
      <w:pPr>
        <w:spacing w:before="200" w:line="260" w:lineRule="atLeast"/>
        <w:jc w:val="both"/>
      </w:pPr>
      <w:r>
        <w:rPr>
          <w:rFonts w:ascii="Arial" w:eastAsia="Arial" w:hAnsi="Arial" w:cs="Arial"/>
          <w:color w:val="000000"/>
          <w:sz w:val="20"/>
        </w:rPr>
        <w:t xml:space="preserve">Som Pal Choudhury is a partner at Bharat Innovation Fund, a $100M venture fund focused on core technology </w:t>
      </w:r>
      <w:r>
        <w:rPr>
          <w:rFonts w:ascii="Arial" w:eastAsia="Arial" w:hAnsi="Arial" w:cs="Arial"/>
          <w:b/>
          <w:i/>
          <w:color w:val="000000"/>
          <w:sz w:val="20"/>
          <w:u w:val="single"/>
        </w:rPr>
        <w:t>startups</w:t>
      </w:r>
      <w:r>
        <w:rPr>
          <w:rFonts w:ascii="Arial" w:eastAsia="Arial" w:hAnsi="Arial" w:cs="Arial"/>
          <w:color w:val="000000"/>
          <w:sz w:val="20"/>
        </w:rPr>
        <w:t xml:space="preserve"> from India. He is also an advisor to several IoT companies, part of the core group of IoTForum (IoTforIndia.org), Co-Founder/Co-Chair of India's premium conference IoTNext and is a frequent speaker and thought leader on IoT. He was involved in the IoT/M2M space from early last decade as the first employee of a smart grid company, American Grid, and has traversed the entire 'IoT stack' from 'Sensor to the Cloud' while working for companies like Analog Devices and NETGEAR.</w:t>
      </w:r>
    </w:p>
    <w:p w14:paraId="6CD74604"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10, 2019</w:t>
      </w:r>
    </w:p>
    <w:p w14:paraId="19A5EDE2" w14:textId="77777777" w:rsidR="00054BF0" w:rsidRDefault="00054BF0"/>
    <w:p w14:paraId="0DA3B645" w14:textId="77777777" w:rsidR="00054BF0" w:rsidRDefault="00000000">
      <w:pPr>
        <w:ind w:left="200"/>
        <w:sectPr w:rsidR="00054BF0">
          <w:type w:val="continuous"/>
          <w:pgSz w:w="12240" w:h="15840"/>
          <w:pgMar w:top="840" w:right="1000" w:bottom="840" w:left="1000" w:header="400" w:footer="400" w:gutter="0"/>
          <w:cols w:space="720"/>
        </w:sectPr>
      </w:pPr>
      <w:r>
        <w:br/>
      </w:r>
      <w:r>
        <w:pict w14:anchorId="3ABCDB8E">
          <v:line id="_x0000_s2063" style="position:absolute;left:0;text-align:left;z-index:251666432;mso-position-horizontal-relative:text;mso-position-vertical-relative:text" from="0,10pt" to="512pt,10pt" strokeweight="1pt"/>
        </w:pict>
      </w:r>
      <w:r>
        <w:rPr>
          <w:rFonts w:ascii="Arial" w:eastAsia="Arial" w:hAnsi="Arial" w:cs="Arial"/>
          <w:b/>
          <w:color w:val="767676"/>
          <w:sz w:val="16"/>
        </w:rPr>
        <w:t>End of Document</w:t>
      </w:r>
    </w:p>
    <w:p w14:paraId="5C942D43" w14:textId="77777777" w:rsidR="00054BF0" w:rsidRDefault="00054BF0">
      <w:pPr>
        <w:sectPr w:rsidR="00054BF0">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gutter="0"/>
          <w:cols w:space="720"/>
          <w:titlePg/>
        </w:sectPr>
      </w:pPr>
    </w:p>
    <w:p w14:paraId="3B994605" w14:textId="77777777" w:rsidR="00054BF0" w:rsidRDefault="00054BF0">
      <w:bookmarkStart w:id="8" w:name="Bookmark_5"/>
      <w:bookmarkEnd w:id="8"/>
    </w:p>
    <w:p w14:paraId="02201020" w14:textId="77777777" w:rsidR="00054BF0" w:rsidRDefault="00BE2275">
      <w:r>
        <w:pict w14:anchorId="7A3FAD20">
          <v:shape id="_x0000_i1032" type="#_x0000_t75" alt="LexisNexis®" style="width:148pt;height:30pt">
            <v:imagedata r:id="rId6" o:title=""/>
          </v:shape>
        </w:pict>
      </w:r>
      <w:r w:rsidR="00A540D1">
        <w:cr/>
      </w:r>
    </w:p>
    <w:p w14:paraId="23175B17" w14:textId="77777777" w:rsidR="00054BF0" w:rsidRDefault="00000000">
      <w:pPr>
        <w:spacing w:before="240" w:after="200" w:line="340" w:lineRule="atLeast"/>
        <w:jc w:val="center"/>
        <w:outlineLvl w:val="0"/>
        <w:rPr>
          <w:rFonts w:ascii="Arial" w:hAnsi="Arial" w:cs="Arial"/>
          <w:b/>
          <w:bCs/>
          <w:kern w:val="32"/>
          <w:sz w:val="32"/>
          <w:szCs w:val="32"/>
        </w:rPr>
      </w:pPr>
      <w:hyperlink r:id="rId201" w:history="1">
        <w:r>
          <w:rPr>
            <w:rFonts w:ascii="Arial" w:eastAsia="Arial" w:hAnsi="Arial" w:cs="Arial"/>
            <w:b/>
            <w:bCs/>
            <w:i/>
            <w:color w:val="0077CC"/>
            <w:kern w:val="32"/>
            <w:sz w:val="28"/>
            <w:szCs w:val="32"/>
            <w:u w:val="single"/>
            <w:shd w:val="clear" w:color="auto" w:fill="FFFFFF"/>
          </w:rPr>
          <w:t>Creativity habits, influences, journeys: Tips and stories from the authors at Bangalore Business LitFest 2021</w:t>
        </w:r>
      </w:hyperlink>
    </w:p>
    <w:p w14:paraId="520E556D" w14:textId="77777777" w:rsidR="00054BF0" w:rsidRDefault="00000000">
      <w:pPr>
        <w:spacing w:before="120" w:line="260" w:lineRule="atLeast"/>
        <w:jc w:val="center"/>
      </w:pPr>
      <w:r>
        <w:rPr>
          <w:rFonts w:ascii="Arial" w:eastAsia="Arial" w:hAnsi="Arial" w:cs="Arial"/>
          <w:color w:val="000000"/>
          <w:sz w:val="20"/>
        </w:rPr>
        <w:t>Yourstory.in</w:t>
      </w:r>
    </w:p>
    <w:p w14:paraId="0AF01FCD" w14:textId="77777777" w:rsidR="00054BF0" w:rsidRDefault="00000000">
      <w:pPr>
        <w:spacing w:before="120" w:line="260" w:lineRule="atLeast"/>
        <w:jc w:val="center"/>
      </w:pPr>
      <w:r>
        <w:rPr>
          <w:rFonts w:ascii="Arial" w:eastAsia="Arial" w:hAnsi="Arial" w:cs="Arial"/>
          <w:color w:val="000000"/>
          <w:sz w:val="20"/>
        </w:rPr>
        <w:t>September 18, 2021 Saturday 6:30 AM EST</w:t>
      </w:r>
    </w:p>
    <w:p w14:paraId="3900AFD9" w14:textId="77777777" w:rsidR="00054BF0" w:rsidRDefault="00054BF0">
      <w:pPr>
        <w:spacing w:line="240" w:lineRule="atLeast"/>
        <w:jc w:val="both"/>
      </w:pPr>
    </w:p>
    <w:p w14:paraId="6A66F065" w14:textId="77777777" w:rsidR="00054BF0"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0A21475C"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2585 words</w:t>
      </w:r>
    </w:p>
    <w:p w14:paraId="39BB40C8"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5FB10083" w14:textId="77777777" w:rsidR="00054BF0" w:rsidRDefault="00000000">
      <w:pPr>
        <w:keepNext/>
        <w:spacing w:before="240" w:line="340" w:lineRule="atLeast"/>
      </w:pPr>
      <w:bookmarkStart w:id="9" w:name="Body_3"/>
      <w:bookmarkEnd w:id="9"/>
      <w:r>
        <w:rPr>
          <w:rFonts w:ascii="Arial" w:eastAsia="Arial" w:hAnsi="Arial" w:cs="Arial"/>
          <w:b/>
          <w:color w:val="000000"/>
          <w:sz w:val="28"/>
        </w:rPr>
        <w:t>Body</w:t>
      </w:r>
    </w:p>
    <w:p w14:paraId="246D82D9" w14:textId="77777777" w:rsidR="00054BF0" w:rsidRDefault="00000000">
      <w:pPr>
        <w:spacing w:line="60" w:lineRule="exact"/>
      </w:pPr>
      <w:r>
        <w:pict w14:anchorId="77E19CF5">
          <v:line id="_x0000_s2065" style="position:absolute;z-index:251667456" from="0,2pt" to="512pt,2pt" strokecolor="#009ddb" strokeweight="2pt">
            <w10:wrap type="topAndBottom"/>
          </v:line>
        </w:pict>
      </w:r>
    </w:p>
    <w:p w14:paraId="18418FD5" w14:textId="77777777" w:rsidR="00054BF0" w:rsidRDefault="00054BF0"/>
    <w:p w14:paraId="26379F6B" w14:textId="77777777" w:rsidR="00054BF0" w:rsidRDefault="00000000">
      <w:pPr>
        <w:spacing w:before="200" w:line="260" w:lineRule="atLeast"/>
        <w:jc w:val="both"/>
      </w:pPr>
      <w:r>
        <w:rPr>
          <w:rFonts w:ascii="Arial" w:eastAsia="Arial" w:hAnsi="Arial" w:cs="Arial"/>
          <w:color w:val="000000"/>
          <w:sz w:val="20"/>
        </w:rPr>
        <w:t>How does an author get inspired and become successful? Find out in these insights from speakers at the Bangalore Business Literature Festival.</w:t>
      </w:r>
    </w:p>
    <w:p w14:paraId="3EEB98D3" w14:textId="77777777" w:rsidR="00054BF0" w:rsidRDefault="00000000">
      <w:pPr>
        <w:spacing w:before="200" w:line="260" w:lineRule="atLeast"/>
        <w:jc w:val="both"/>
      </w:pPr>
      <w:r>
        <w:rPr>
          <w:rFonts w:ascii="Arial" w:eastAsia="Arial" w:hAnsi="Arial" w:cs="Arial"/>
          <w:color w:val="000000"/>
          <w:sz w:val="20"/>
        </w:rPr>
        <w:t>The seventh annual Bangalore Business Literature Festival (BBLF) will be held virtually this year due to the ongoing pandemic. As the festival media partner, see YourStory's coverage of the earlier editions in 2020, 2019, 2018, 2017, 2016, and 2015.</w:t>
      </w:r>
    </w:p>
    <w:p w14:paraId="6F529F08" w14:textId="77777777" w:rsidR="00054BF0" w:rsidRDefault="00000000">
      <w:pPr>
        <w:spacing w:before="200" w:line="260" w:lineRule="atLeast"/>
        <w:jc w:val="both"/>
      </w:pPr>
      <w:r>
        <w:rPr>
          <w:rFonts w:ascii="Arial" w:eastAsia="Arial" w:hAnsi="Arial" w:cs="Arial"/>
          <w:color w:val="000000"/>
          <w:sz w:val="20"/>
        </w:rPr>
        <w:t>See also YourStory's Book Review section with reviews of over 320 titles, and our compilation of 85 Quotes on World Book Day.</w:t>
      </w:r>
    </w:p>
    <w:p w14:paraId="4FABE194" w14:textId="77777777" w:rsidR="00054BF0" w:rsidRDefault="00000000">
      <w:pPr>
        <w:spacing w:before="200" w:line="260" w:lineRule="atLeast"/>
        <w:jc w:val="both"/>
      </w:pPr>
      <w:r>
        <w:rPr>
          <w:rFonts w:ascii="Arial" w:eastAsia="Arial" w:hAnsi="Arial" w:cs="Arial"/>
          <w:color w:val="000000"/>
          <w:sz w:val="20"/>
        </w:rPr>
        <w:t xml:space="preserve">BBLF 2021 will be held on September 21-23 next week. Our earlier four preview articles addressed </w:t>
      </w:r>
      <w:r>
        <w:rPr>
          <w:rFonts w:ascii="Arial" w:eastAsia="Arial" w:hAnsi="Arial" w:cs="Arial"/>
          <w:b/>
          <w:i/>
          <w:color w:val="000000"/>
          <w:sz w:val="20"/>
          <w:u w:val="single"/>
        </w:rPr>
        <w:t>startup</w:t>
      </w:r>
      <w:r>
        <w:rPr>
          <w:rFonts w:ascii="Arial" w:eastAsia="Arial" w:hAnsi="Arial" w:cs="Arial"/>
          <w:color w:val="000000"/>
          <w:sz w:val="20"/>
        </w:rPr>
        <w:t xml:space="preserve"> advice, </w:t>
      </w:r>
      <w:r>
        <w:rPr>
          <w:rFonts w:ascii="Arial" w:eastAsia="Arial" w:hAnsi="Arial" w:cs="Arial"/>
          <w:b/>
          <w:i/>
          <w:color w:val="000000"/>
          <w:sz w:val="20"/>
          <w:u w:val="single"/>
        </w:rPr>
        <w:t>failure</w:t>
      </w:r>
      <w:r>
        <w:rPr>
          <w:rFonts w:ascii="Arial" w:eastAsia="Arial" w:hAnsi="Arial" w:cs="Arial"/>
          <w:color w:val="000000"/>
          <w:sz w:val="20"/>
        </w:rPr>
        <w:t xml:space="preserve"> recovery, business resilience, and reader patterns. In this article, authors discuss their creativity habits, influencers, reader reactions, plans for their next books, and tips for aspiring writers.</w:t>
      </w:r>
    </w:p>
    <w:p w14:paraId="0FF9C55B" w14:textId="77777777" w:rsidR="00054BF0" w:rsidRDefault="00000000">
      <w:pPr>
        <w:spacing w:before="200" w:line="260" w:lineRule="atLeast"/>
        <w:jc w:val="both"/>
      </w:pPr>
      <w:r>
        <w:rPr>
          <w:rFonts w:ascii="Arial" w:eastAsia="Arial" w:hAnsi="Arial" w:cs="Arial"/>
          <w:color w:val="000000"/>
          <w:sz w:val="20"/>
        </w:rPr>
        <w:t>1. Creativity habits</w:t>
      </w:r>
    </w:p>
    <w:p w14:paraId="7C14FEAF" w14:textId="77777777" w:rsidR="00054BF0" w:rsidRDefault="00000000">
      <w:pPr>
        <w:spacing w:before="200" w:line="260" w:lineRule="atLeast"/>
        <w:jc w:val="both"/>
      </w:pPr>
      <w:r>
        <w:rPr>
          <w:rFonts w:ascii="Arial" w:eastAsia="Arial" w:hAnsi="Arial" w:cs="Arial"/>
          <w:color w:val="000000"/>
          <w:sz w:val="20"/>
        </w:rPr>
        <w:t>"I have some unusual habits as a writer. I only like to write when inspired, and the words flow," says Bhavna Dalal, Founder and CEO of Talent Power Partners, and author of Checkmate Office Politics.</w:t>
      </w:r>
    </w:p>
    <w:p w14:paraId="4C7B7C7B" w14:textId="77777777" w:rsidR="00054BF0" w:rsidRDefault="00000000">
      <w:pPr>
        <w:spacing w:before="200" w:line="260" w:lineRule="atLeast"/>
        <w:jc w:val="both"/>
      </w:pPr>
      <w:r>
        <w:rPr>
          <w:rFonts w:ascii="Arial" w:eastAsia="Arial" w:hAnsi="Arial" w:cs="Arial"/>
          <w:color w:val="000000"/>
          <w:sz w:val="20"/>
        </w:rPr>
        <w:t>"Most of my writings come from the real-life experiences of executives and leaders in the workplace as part of my coaching work. Although an avid reader in my childhood and teens, I consciously don't read other books when I am writing," she adds.</w:t>
      </w:r>
    </w:p>
    <w:p w14:paraId="38634CBB" w14:textId="77777777" w:rsidR="00054BF0" w:rsidRDefault="00000000">
      <w:pPr>
        <w:spacing w:before="200" w:line="260" w:lineRule="atLeast"/>
        <w:jc w:val="both"/>
      </w:pPr>
      <w:r>
        <w:rPr>
          <w:rFonts w:ascii="Arial" w:eastAsia="Arial" w:hAnsi="Arial" w:cs="Arial"/>
          <w:color w:val="000000"/>
          <w:sz w:val="20"/>
        </w:rPr>
        <w:t>"I do jot down ideas immediately when they come to me, such as in a flight, while walking, or during other mundane activities. Later, I sit down to develop them. Meditation is a powerful practice to develop as a writer," Bhavna emphasises.</w:t>
      </w:r>
    </w:p>
    <w:p w14:paraId="548377CD" w14:textId="77777777" w:rsidR="00054BF0" w:rsidRDefault="00000000">
      <w:pPr>
        <w:spacing w:before="200" w:line="260" w:lineRule="atLeast"/>
        <w:jc w:val="both"/>
      </w:pPr>
      <w:r>
        <w:rPr>
          <w:rFonts w:ascii="Arial" w:eastAsia="Arial" w:hAnsi="Arial" w:cs="Arial"/>
          <w:color w:val="000000"/>
          <w:sz w:val="20"/>
        </w:rPr>
        <w:t xml:space="preserve">"Journaling helps you to gain better clarity on your thoughts and ideas, and also clear </w:t>
      </w:r>
      <w:r>
        <w:rPr>
          <w:rFonts w:ascii="Arial" w:eastAsia="Arial" w:hAnsi="Arial" w:cs="Arial"/>
          <w:b/>
          <w:i/>
          <w:color w:val="000000"/>
          <w:sz w:val="20"/>
          <w:u w:val="single"/>
        </w:rPr>
        <w:t>up</w:t>
      </w:r>
      <w:r>
        <w:rPr>
          <w:rFonts w:ascii="Arial" w:eastAsia="Arial" w:hAnsi="Arial" w:cs="Arial"/>
          <w:color w:val="000000"/>
          <w:sz w:val="20"/>
        </w:rPr>
        <w:t xml:space="preserve"> any roadblocks you may have that are clogging your mental bandwidth," says Karthik Nagendra, CEO of ThoughtStarters, and author of The Thought Leader Way: Leading Your Business with Thought Leadership in an Altered World.</w:t>
      </w:r>
    </w:p>
    <w:p w14:paraId="5297D374" w14:textId="77777777" w:rsidR="00054BF0" w:rsidRDefault="00000000">
      <w:pPr>
        <w:spacing w:before="200" w:line="260" w:lineRule="atLeast"/>
        <w:jc w:val="both"/>
      </w:pPr>
      <w:r>
        <w:rPr>
          <w:rFonts w:ascii="Arial" w:eastAsia="Arial" w:hAnsi="Arial" w:cs="Arial"/>
          <w:color w:val="000000"/>
          <w:sz w:val="20"/>
        </w:rPr>
        <w:t>"Being a certified life coach, I understand the value of journaling and recommend to my clients that they practice journaling regularly," he adds.</w:t>
      </w:r>
    </w:p>
    <w:p w14:paraId="2597FD22" w14:textId="77777777" w:rsidR="00054BF0" w:rsidRDefault="00000000">
      <w:pPr>
        <w:spacing w:before="200" w:line="260" w:lineRule="atLeast"/>
        <w:jc w:val="both"/>
      </w:pPr>
      <w:r>
        <w:rPr>
          <w:rFonts w:ascii="Arial" w:eastAsia="Arial" w:hAnsi="Arial" w:cs="Arial"/>
          <w:color w:val="000000"/>
          <w:sz w:val="20"/>
        </w:rPr>
        <w:lastRenderedPageBreak/>
        <w:t>Karthik also practices painting and listening to music that boosts creativity. "Going on long drives, too, has helped me as it gives 'me time' to think about the book idea more clearly," he says.</w:t>
      </w:r>
    </w:p>
    <w:p w14:paraId="52D6BBB8" w14:textId="77777777" w:rsidR="00054BF0" w:rsidRDefault="00000000">
      <w:pPr>
        <w:spacing w:before="200" w:line="260" w:lineRule="atLeast"/>
        <w:jc w:val="both"/>
      </w:pPr>
      <w:r>
        <w:rPr>
          <w:rFonts w:ascii="Arial" w:eastAsia="Arial" w:hAnsi="Arial" w:cs="Arial"/>
          <w:color w:val="000000"/>
          <w:sz w:val="20"/>
        </w:rPr>
        <w:t>"I don't keep a journal, but I have a notebook where I write down ideas. Of course, I read a lot, but there is no target in a week or month. I do listen to music a lot," says Hari Pulakkat, author of Space. Life. Matter: The Coming of Age of Indian Science, and editor of science and technology magazine IITM Shaastra.</w:t>
      </w:r>
    </w:p>
    <w:p w14:paraId="12EC6ECB" w14:textId="77777777" w:rsidR="00054BF0" w:rsidRDefault="00000000">
      <w:pPr>
        <w:spacing w:before="200" w:line="260" w:lineRule="atLeast"/>
        <w:jc w:val="both"/>
      </w:pPr>
      <w:r>
        <w:rPr>
          <w:rFonts w:ascii="Arial" w:eastAsia="Arial" w:hAnsi="Arial" w:cs="Arial"/>
          <w:color w:val="000000"/>
          <w:sz w:val="20"/>
        </w:rPr>
        <w:t>"I read a lot and across different genres. I also feel that time away from social media and its incessant noise is essential to remain creative. So, I ensure I have at least one day a week when I do not access social media," explains Kaninika Mishra, author of The Indic Quotient: Reclaiming Heritage Through Cultural Enterprise.</w:t>
      </w:r>
    </w:p>
    <w:p w14:paraId="13631945" w14:textId="77777777" w:rsidR="00054BF0" w:rsidRDefault="00000000">
      <w:pPr>
        <w:spacing w:before="200" w:line="260" w:lineRule="atLeast"/>
        <w:jc w:val="both"/>
      </w:pPr>
      <w:r>
        <w:rPr>
          <w:rFonts w:ascii="Arial" w:eastAsia="Arial" w:hAnsi="Arial" w:cs="Arial"/>
          <w:color w:val="000000"/>
          <w:sz w:val="20"/>
        </w:rPr>
        <w:t>"I dedicate an hour a day for writing of all kinds. Another hour a day to read and share content from my feeds and my website," says Jessie Paul, CEO of B2B consulting firm, Paul Writer, and author of No-Money Marketing: From Upstart to Big Brand on a Frugal Budget.</w:t>
      </w:r>
    </w:p>
    <w:p w14:paraId="5BCD3665" w14:textId="77777777" w:rsidR="00054BF0" w:rsidRDefault="00000000">
      <w:pPr>
        <w:spacing w:before="200" w:line="260" w:lineRule="atLeast"/>
        <w:jc w:val="both"/>
      </w:pPr>
      <w:r>
        <w:rPr>
          <w:rFonts w:ascii="Arial" w:eastAsia="Arial" w:hAnsi="Arial" w:cs="Arial"/>
          <w:color w:val="000000"/>
          <w:sz w:val="20"/>
        </w:rPr>
        <w:t>"I also read fiction - whatever comes my way - for at least 30 minutes a day. I keep track of my ideas on Trello, a workflow tool," she adds.</w:t>
      </w:r>
    </w:p>
    <w:p w14:paraId="6AACA1B9" w14:textId="77777777" w:rsidR="00054BF0" w:rsidRDefault="00000000">
      <w:pPr>
        <w:spacing w:before="200" w:line="260" w:lineRule="atLeast"/>
        <w:jc w:val="both"/>
      </w:pPr>
      <w:r>
        <w:rPr>
          <w:rFonts w:ascii="Arial" w:eastAsia="Arial" w:hAnsi="Arial" w:cs="Arial"/>
          <w:color w:val="000000"/>
          <w:sz w:val="20"/>
        </w:rPr>
        <w:t>"One of the biggest challenges I faced initially was burnout because I was always thinking about and working on my research and book. That wasn't healthy," recalls Vivan Marwaha, user researcher and author of What Millennials Want: Decoding the Largest Generation in the World.</w:t>
      </w:r>
    </w:p>
    <w:p w14:paraId="7BC518A9" w14:textId="77777777" w:rsidR="00054BF0" w:rsidRDefault="00000000">
      <w:pPr>
        <w:spacing w:before="200" w:line="260" w:lineRule="atLeast"/>
        <w:jc w:val="both"/>
      </w:pPr>
      <w:r>
        <w:rPr>
          <w:rFonts w:ascii="Arial" w:eastAsia="Arial" w:hAnsi="Arial" w:cs="Arial"/>
          <w:color w:val="000000"/>
          <w:sz w:val="20"/>
        </w:rPr>
        <w:t xml:space="preserve">"The moment I </w:t>
      </w:r>
      <w:r>
        <w:rPr>
          <w:rFonts w:ascii="Arial" w:eastAsia="Arial" w:hAnsi="Arial" w:cs="Arial"/>
          <w:b/>
          <w:i/>
          <w:color w:val="000000"/>
          <w:sz w:val="20"/>
          <w:u w:val="single"/>
        </w:rPr>
        <w:t>started</w:t>
      </w:r>
      <w:r>
        <w:rPr>
          <w:rFonts w:ascii="Arial" w:eastAsia="Arial" w:hAnsi="Arial" w:cs="Arial"/>
          <w:color w:val="000000"/>
          <w:sz w:val="20"/>
        </w:rPr>
        <w:t xml:space="preserve"> taking more time off, I not only </w:t>
      </w:r>
      <w:r>
        <w:rPr>
          <w:rFonts w:ascii="Arial" w:eastAsia="Arial" w:hAnsi="Arial" w:cs="Arial"/>
          <w:b/>
          <w:i/>
          <w:color w:val="000000"/>
          <w:sz w:val="20"/>
          <w:u w:val="single"/>
        </w:rPr>
        <w:t>started</w:t>
      </w:r>
      <w:r>
        <w:rPr>
          <w:rFonts w:ascii="Arial" w:eastAsia="Arial" w:hAnsi="Arial" w:cs="Arial"/>
          <w:color w:val="000000"/>
          <w:sz w:val="20"/>
        </w:rPr>
        <w:t xml:space="preserve"> feeling better and had more energy, but I became much more productive as well," he adds.</w:t>
      </w:r>
    </w:p>
    <w:p w14:paraId="534FFF28" w14:textId="77777777" w:rsidR="00054BF0" w:rsidRDefault="00000000">
      <w:pPr>
        <w:spacing w:before="200" w:line="260" w:lineRule="atLeast"/>
        <w:jc w:val="both"/>
      </w:pPr>
      <w:r>
        <w:rPr>
          <w:rFonts w:ascii="Arial" w:eastAsia="Arial" w:hAnsi="Arial" w:cs="Arial"/>
          <w:color w:val="000000"/>
          <w:sz w:val="20"/>
        </w:rPr>
        <w:t>Rishad Tobaccowala reads every morning from 5 to 6 am. He is Senior Advisor to the Publicis Groupe and author of Restoring the Soul of Business: Staying Human in the Age of Data.</w:t>
      </w:r>
    </w:p>
    <w:p w14:paraId="3EFC93CC" w14:textId="77777777" w:rsidR="00054BF0" w:rsidRDefault="00000000">
      <w:pPr>
        <w:spacing w:before="200" w:line="260" w:lineRule="atLeast"/>
        <w:jc w:val="both"/>
      </w:pPr>
      <w:r>
        <w:rPr>
          <w:rFonts w:ascii="Arial" w:eastAsia="Arial" w:hAnsi="Arial" w:cs="Arial"/>
          <w:color w:val="000000"/>
          <w:sz w:val="20"/>
        </w:rPr>
        <w:t>"I mark my books with pencil and star key lines. I then copy them with a pen into a notebook. I keep a visual journal of photographs using an app called Day One," he says.</w:t>
      </w:r>
    </w:p>
    <w:p w14:paraId="7ABED305" w14:textId="77777777" w:rsidR="00054BF0" w:rsidRDefault="00000000">
      <w:pPr>
        <w:spacing w:before="200" w:line="260" w:lineRule="atLeast"/>
        <w:jc w:val="both"/>
      </w:pPr>
      <w:r>
        <w:rPr>
          <w:rFonts w:ascii="Arial" w:eastAsia="Arial" w:hAnsi="Arial" w:cs="Arial"/>
          <w:color w:val="000000"/>
          <w:sz w:val="20"/>
        </w:rPr>
        <w:t>"I exercise every day. Getting my mind ready to write is super important," says David Meerman Scott, author of The New Rules of Marketing and PR and Fanocracy: Turning Fans Into Customers and Customers Into Fans.</w:t>
      </w:r>
    </w:p>
    <w:p w14:paraId="05B265D3" w14:textId="77777777" w:rsidR="00054BF0" w:rsidRDefault="00000000">
      <w:pPr>
        <w:spacing w:before="200" w:line="260" w:lineRule="atLeast"/>
        <w:jc w:val="both"/>
      </w:pPr>
      <w:r>
        <w:rPr>
          <w:rFonts w:ascii="Arial" w:eastAsia="Arial" w:hAnsi="Arial" w:cs="Arial"/>
          <w:color w:val="000000"/>
          <w:sz w:val="20"/>
        </w:rPr>
        <w:t>"I listen to audiobooks a lot and also read Kindle books much more than earlier," says R Gopalakrishnan, author of over 15 books on management.</w:t>
      </w:r>
    </w:p>
    <w:p w14:paraId="27F8FEA2" w14:textId="77777777" w:rsidR="00054BF0" w:rsidRDefault="00000000">
      <w:pPr>
        <w:spacing w:before="200" w:line="260" w:lineRule="atLeast"/>
        <w:jc w:val="both"/>
      </w:pPr>
      <w:r>
        <w:rPr>
          <w:rFonts w:ascii="Arial" w:eastAsia="Arial" w:hAnsi="Arial" w:cs="Arial"/>
          <w:color w:val="000000"/>
          <w:sz w:val="20"/>
        </w:rPr>
        <w:t>2. Creative influences</w:t>
      </w:r>
    </w:p>
    <w:p w14:paraId="164D626C" w14:textId="77777777" w:rsidR="00054BF0" w:rsidRDefault="00000000">
      <w:pPr>
        <w:spacing w:before="200" w:line="260" w:lineRule="atLeast"/>
        <w:jc w:val="both"/>
      </w:pPr>
      <w:r>
        <w:rPr>
          <w:rFonts w:ascii="Arial" w:eastAsia="Arial" w:hAnsi="Arial" w:cs="Arial"/>
          <w:color w:val="000000"/>
          <w:sz w:val="20"/>
        </w:rPr>
        <w:t>Fiction and nonfiction writers have influenced Hari Pulakkat. "I had studied English literature in college, and so I have read many great writers. It is hard to pick a few, but Henry James and Charles Dickens are two that I have enjoyed the most," he says.</w:t>
      </w:r>
    </w:p>
    <w:p w14:paraId="31C58D58" w14:textId="77777777" w:rsidR="00054BF0" w:rsidRDefault="00000000">
      <w:pPr>
        <w:spacing w:before="200" w:line="260" w:lineRule="atLeast"/>
        <w:jc w:val="both"/>
      </w:pPr>
      <w:r>
        <w:rPr>
          <w:rFonts w:ascii="Arial" w:eastAsia="Arial" w:hAnsi="Arial" w:cs="Arial"/>
          <w:color w:val="000000"/>
          <w:sz w:val="20"/>
        </w:rPr>
        <w:t>Among the writers after World War II, Saul Bellow and John Updike are his favourites. "I read a lot of comic fiction, and I enjoyed David Lodge and Malcolm Bradbury a lot. Among contemporary writers, I would pick A S Byatt," he adds.</w:t>
      </w:r>
    </w:p>
    <w:p w14:paraId="02CC4715" w14:textId="77777777" w:rsidR="00054BF0" w:rsidRDefault="00000000">
      <w:pPr>
        <w:spacing w:before="200" w:line="260" w:lineRule="atLeast"/>
        <w:jc w:val="both"/>
      </w:pPr>
      <w:r>
        <w:rPr>
          <w:rFonts w:ascii="Arial" w:eastAsia="Arial" w:hAnsi="Arial" w:cs="Arial"/>
          <w:color w:val="000000"/>
          <w:sz w:val="20"/>
        </w:rPr>
        <w:t>"It is hard to pick favourite nonfiction writers, because of the sheer variety. In travel writing, I read a lot of Paul Theroux and some Pico Iyer," Hari says.</w:t>
      </w:r>
    </w:p>
    <w:p w14:paraId="71CFA97F" w14:textId="77777777" w:rsidR="00054BF0" w:rsidRDefault="00000000">
      <w:pPr>
        <w:spacing w:before="200" w:line="260" w:lineRule="atLeast"/>
        <w:jc w:val="both"/>
      </w:pPr>
      <w:r>
        <w:rPr>
          <w:rFonts w:ascii="Arial" w:eastAsia="Arial" w:hAnsi="Arial" w:cs="Arial"/>
          <w:color w:val="000000"/>
          <w:sz w:val="20"/>
        </w:rPr>
        <w:t>"In my own genre of science writing, two books (and writers) that I consider as the gold standard are Chaos by James Gleick and The Man Who Knew Infinity by Robert Kanigel," he explains.</w:t>
      </w:r>
    </w:p>
    <w:p w14:paraId="46A6682C" w14:textId="77777777" w:rsidR="00054BF0" w:rsidRDefault="00000000">
      <w:pPr>
        <w:spacing w:before="200" w:line="260" w:lineRule="atLeast"/>
        <w:jc w:val="both"/>
      </w:pPr>
      <w:r>
        <w:rPr>
          <w:rFonts w:ascii="Arial" w:eastAsia="Arial" w:hAnsi="Arial" w:cs="Arial"/>
          <w:color w:val="000000"/>
          <w:sz w:val="20"/>
        </w:rPr>
        <w:t>He also enjoys good books written by journalists. "There is something special about discovering a new subject and then writing about it," he observes.</w:t>
      </w:r>
    </w:p>
    <w:p w14:paraId="78F73447" w14:textId="77777777" w:rsidR="00054BF0" w:rsidRDefault="00000000">
      <w:pPr>
        <w:spacing w:before="200" w:line="260" w:lineRule="atLeast"/>
        <w:jc w:val="both"/>
      </w:pPr>
      <w:r>
        <w:rPr>
          <w:rFonts w:ascii="Arial" w:eastAsia="Arial" w:hAnsi="Arial" w:cs="Arial"/>
          <w:color w:val="000000"/>
          <w:sz w:val="20"/>
        </w:rPr>
        <w:lastRenderedPageBreak/>
        <w:t>Karthik Nagendra has read a lot of non-fiction books around leadership, psychology, and history. As notable influences, he cites What got you here won't get you there (Marshall Goldsmith), Man's search for Meaning (Viktor Frankl), Homo sapiens (Yoval Noah Harari), and A world with three zeroes (Muhammad Yunus).</w:t>
      </w:r>
    </w:p>
    <w:p w14:paraId="3E9D6EE5" w14:textId="77777777" w:rsidR="00054BF0" w:rsidRDefault="00000000">
      <w:pPr>
        <w:spacing w:before="200" w:line="260" w:lineRule="atLeast"/>
        <w:jc w:val="both"/>
      </w:pPr>
      <w:r>
        <w:rPr>
          <w:rFonts w:ascii="Arial" w:eastAsia="Arial" w:hAnsi="Arial" w:cs="Arial"/>
          <w:color w:val="000000"/>
          <w:sz w:val="20"/>
        </w:rPr>
        <w:t>"Each of them has impressed me with the research, insights, and narration that can make an impact on various aspects of an individual, business, and society," Karthik adds.</w:t>
      </w:r>
    </w:p>
    <w:p w14:paraId="38B41EA2" w14:textId="77777777" w:rsidR="00054BF0" w:rsidRDefault="00000000">
      <w:pPr>
        <w:spacing w:before="200" w:line="260" w:lineRule="atLeast"/>
        <w:jc w:val="both"/>
      </w:pPr>
      <w:r>
        <w:rPr>
          <w:rFonts w:ascii="Arial" w:eastAsia="Arial" w:hAnsi="Arial" w:cs="Arial"/>
          <w:color w:val="000000"/>
          <w:sz w:val="20"/>
        </w:rPr>
        <w:t>Jesse Paul enjoys books on consumer behaviour and consumer economics. "They make me think. The most recent book was Talking to Strangers by Malcolm Gladwell. I like all his books," she says.</w:t>
      </w:r>
    </w:p>
    <w:p w14:paraId="710805B7" w14:textId="77777777" w:rsidR="00054BF0" w:rsidRDefault="00000000">
      <w:pPr>
        <w:spacing w:before="200" w:line="260" w:lineRule="atLeast"/>
        <w:jc w:val="both"/>
      </w:pPr>
      <w:r>
        <w:rPr>
          <w:rFonts w:ascii="Arial" w:eastAsia="Arial" w:hAnsi="Arial" w:cs="Arial"/>
          <w:color w:val="000000"/>
          <w:sz w:val="20"/>
        </w:rPr>
        <w:t>"I even read The Bomber Mafia, which has nothing to do with business but was still a compelling read. Dan Ariely and Daniel Pink are other authors I enjoy. Freakonomics and The Undercover Economist are other fun books," she adds.</w:t>
      </w:r>
    </w:p>
    <w:p w14:paraId="5BD027A7" w14:textId="77777777" w:rsidR="00054BF0" w:rsidRDefault="00000000">
      <w:pPr>
        <w:spacing w:before="200" w:line="260" w:lineRule="atLeast"/>
        <w:jc w:val="both"/>
      </w:pPr>
      <w:r>
        <w:rPr>
          <w:rFonts w:ascii="Arial" w:eastAsia="Arial" w:hAnsi="Arial" w:cs="Arial"/>
          <w:color w:val="000000"/>
          <w:sz w:val="20"/>
        </w:rPr>
        <w:t>Jesse reads a lot of non-fiction and popular authors like John Grisham and Jeffrey Archer every time she visits an airport. "I'm not a fan of autobiographies, but Becoming by Michelle Obama was compelling," she recalls.</w:t>
      </w:r>
    </w:p>
    <w:p w14:paraId="5B8E1A57" w14:textId="77777777" w:rsidR="00054BF0" w:rsidRDefault="00000000">
      <w:pPr>
        <w:spacing w:before="200" w:line="260" w:lineRule="atLeast"/>
        <w:jc w:val="both"/>
      </w:pPr>
      <w:r>
        <w:rPr>
          <w:rFonts w:ascii="Arial" w:eastAsia="Arial" w:hAnsi="Arial" w:cs="Arial"/>
          <w:color w:val="000000"/>
          <w:sz w:val="20"/>
        </w:rPr>
        <w:t>"From a marketing thinking perspective, I'd say Kotler's textbooks, Al Ries, Jack Trout, David Ogilvy, and Rama Bijapurkar have influenced my thinking," she says.</w:t>
      </w:r>
    </w:p>
    <w:p w14:paraId="7595724A" w14:textId="77777777" w:rsidR="00054BF0" w:rsidRDefault="00000000">
      <w:pPr>
        <w:spacing w:before="200" w:line="260" w:lineRule="atLeast"/>
        <w:jc w:val="both"/>
      </w:pPr>
      <w:r>
        <w:rPr>
          <w:rFonts w:ascii="Arial" w:eastAsia="Arial" w:hAnsi="Arial" w:cs="Arial"/>
          <w:color w:val="000000"/>
          <w:sz w:val="20"/>
        </w:rPr>
        <w:t>3. Reader reactions</w:t>
      </w:r>
    </w:p>
    <w:p w14:paraId="014E764D" w14:textId="77777777" w:rsidR="00054BF0" w:rsidRDefault="00000000">
      <w:pPr>
        <w:spacing w:before="200" w:line="260" w:lineRule="atLeast"/>
        <w:jc w:val="both"/>
      </w:pPr>
      <w:r>
        <w:rPr>
          <w:rFonts w:ascii="Arial" w:eastAsia="Arial" w:hAnsi="Arial" w:cs="Arial"/>
          <w:color w:val="000000"/>
          <w:sz w:val="20"/>
        </w:rPr>
        <w:t>All the authors are proud their books are doing well, and share some unusual and inspiring reactions from readers.</w:t>
      </w:r>
    </w:p>
    <w:p w14:paraId="3A1D0D5D" w14:textId="77777777" w:rsidR="00054BF0" w:rsidRDefault="00000000">
      <w:pPr>
        <w:spacing w:before="200" w:line="260" w:lineRule="atLeast"/>
        <w:jc w:val="both"/>
      </w:pPr>
      <w:r>
        <w:rPr>
          <w:rFonts w:ascii="Arial" w:eastAsia="Arial" w:hAnsi="Arial" w:cs="Arial"/>
          <w:color w:val="000000"/>
          <w:sz w:val="20"/>
        </w:rPr>
        <w:t>"My LinkedIn, Instagram, and Twitter inboxes are full of messages from people many degrees removed from me telling me about how they have liked my book for its focus on those stories not always highlighted by the media," Vivan Marwaha explains.</w:t>
      </w:r>
    </w:p>
    <w:p w14:paraId="079674C4" w14:textId="77777777" w:rsidR="00054BF0" w:rsidRDefault="00000000">
      <w:pPr>
        <w:spacing w:before="200" w:line="260" w:lineRule="atLeast"/>
        <w:jc w:val="both"/>
      </w:pPr>
      <w:r>
        <w:rPr>
          <w:rFonts w:ascii="Arial" w:eastAsia="Arial" w:hAnsi="Arial" w:cs="Arial"/>
          <w:color w:val="000000"/>
          <w:sz w:val="20"/>
        </w:rPr>
        <w:t>"It's an amazing feeling to receive such praise from people you don't know since that demonstrates the book is reaching a wide and diverse audience," he enthuses.</w:t>
      </w:r>
    </w:p>
    <w:p w14:paraId="320A4930" w14:textId="77777777" w:rsidR="00054BF0" w:rsidRDefault="00000000">
      <w:pPr>
        <w:spacing w:before="200" w:line="260" w:lineRule="atLeast"/>
        <w:jc w:val="both"/>
      </w:pPr>
      <w:r>
        <w:rPr>
          <w:rFonts w:ascii="Arial" w:eastAsia="Arial" w:hAnsi="Arial" w:cs="Arial"/>
          <w:color w:val="000000"/>
          <w:sz w:val="20"/>
        </w:rPr>
        <w:t>"I received messages from people who read my book, saying they could identify what they needed to change in themselves to get out of repeated office politics patterns," says Bhavna Dalal.</w:t>
      </w:r>
    </w:p>
    <w:p w14:paraId="4FA682F0" w14:textId="77777777" w:rsidR="00054BF0" w:rsidRDefault="00000000">
      <w:pPr>
        <w:spacing w:before="200" w:line="260" w:lineRule="atLeast"/>
        <w:jc w:val="both"/>
      </w:pPr>
      <w:r>
        <w:rPr>
          <w:rFonts w:ascii="Arial" w:eastAsia="Arial" w:hAnsi="Arial" w:cs="Arial"/>
          <w:color w:val="000000"/>
          <w:sz w:val="20"/>
        </w:rPr>
        <w:t>"The most common feedback has been about the positive twist on a negative subject. People are intrigued to know more about an Indian woman's perspective on politics in the workplace," she adds.</w:t>
      </w:r>
    </w:p>
    <w:p w14:paraId="41FA1C7C" w14:textId="77777777" w:rsidR="00054BF0" w:rsidRDefault="00000000">
      <w:pPr>
        <w:spacing w:before="200" w:line="260" w:lineRule="atLeast"/>
        <w:jc w:val="both"/>
      </w:pPr>
      <w:r>
        <w:rPr>
          <w:rFonts w:ascii="Arial" w:eastAsia="Arial" w:hAnsi="Arial" w:cs="Arial"/>
          <w:color w:val="000000"/>
          <w:sz w:val="20"/>
        </w:rPr>
        <w:t>"My book has been very well received and continues to sell well. The most unusual response is that people think I wrote it post-COVID-19 because so many of the themes resonate even more now than ever before," says Rishad Tobaccowala. His book has a chapter on managing distributed workforces.</w:t>
      </w:r>
    </w:p>
    <w:p w14:paraId="33239F15" w14:textId="77777777" w:rsidR="00054BF0" w:rsidRDefault="00000000">
      <w:pPr>
        <w:spacing w:before="200" w:line="260" w:lineRule="atLeast"/>
        <w:jc w:val="both"/>
      </w:pPr>
      <w:r>
        <w:rPr>
          <w:rFonts w:ascii="Arial" w:eastAsia="Arial" w:hAnsi="Arial" w:cs="Arial"/>
          <w:color w:val="000000"/>
          <w:sz w:val="20"/>
        </w:rPr>
        <w:t>"Since my book, The Indic Quotient, converges two contemporary themes, namely the growing pride in India's heritage and the passion for enterprise, it resonates with a large number of readers," Kaninika Mishra explains.</w:t>
      </w:r>
    </w:p>
    <w:p w14:paraId="789AC0E4" w14:textId="77777777" w:rsidR="00054BF0" w:rsidRDefault="00000000">
      <w:pPr>
        <w:spacing w:before="200" w:line="260" w:lineRule="atLeast"/>
        <w:jc w:val="both"/>
      </w:pPr>
      <w:r>
        <w:rPr>
          <w:rFonts w:ascii="Arial" w:eastAsia="Arial" w:hAnsi="Arial" w:cs="Arial"/>
          <w:color w:val="000000"/>
          <w:sz w:val="20"/>
        </w:rPr>
        <w:t>The book coincided with the call for 'vocal for local' made by the Prime Minister in 2020 to promote indigenous products and ideas. "Therefore, the book became topical and generated interest," she adds. A young budding entrepreneur even requested her to invest in his 'vocal for local' venture!</w:t>
      </w:r>
    </w:p>
    <w:p w14:paraId="63E6E9FB" w14:textId="77777777" w:rsidR="00054BF0" w:rsidRDefault="00000000">
      <w:pPr>
        <w:spacing w:before="200" w:line="260" w:lineRule="atLeast"/>
        <w:jc w:val="both"/>
      </w:pPr>
      <w:r>
        <w:rPr>
          <w:rFonts w:ascii="Arial" w:eastAsia="Arial" w:hAnsi="Arial" w:cs="Arial"/>
          <w:color w:val="000000"/>
          <w:sz w:val="20"/>
        </w:rPr>
        <w:t>"My book, The Thought Leader Way, has been receiving a positive response from various segments - students, marketing professionals, CEOs, and entrepreneurs," says Karthik Nagendra.</w:t>
      </w:r>
    </w:p>
    <w:p w14:paraId="2CAB2577" w14:textId="77777777" w:rsidR="00054BF0" w:rsidRDefault="00000000">
      <w:pPr>
        <w:spacing w:before="200" w:line="260" w:lineRule="atLeast"/>
        <w:jc w:val="both"/>
      </w:pPr>
      <w:r>
        <w:rPr>
          <w:rFonts w:ascii="Arial" w:eastAsia="Arial" w:hAnsi="Arial" w:cs="Arial"/>
          <w:color w:val="000000"/>
          <w:sz w:val="20"/>
        </w:rPr>
        <w:t>"It was heartening to see some of them practically try out some of the strategies and approaches shared in the book and seeing positive traction. They have personally reached out to me and shared their experiences," he adds.</w:t>
      </w:r>
    </w:p>
    <w:p w14:paraId="3CC9138F" w14:textId="77777777" w:rsidR="00054BF0" w:rsidRDefault="00000000">
      <w:pPr>
        <w:spacing w:before="200" w:line="260" w:lineRule="atLeast"/>
        <w:jc w:val="both"/>
      </w:pPr>
      <w:r>
        <w:rPr>
          <w:rFonts w:ascii="Arial" w:eastAsia="Arial" w:hAnsi="Arial" w:cs="Arial"/>
          <w:color w:val="000000"/>
          <w:sz w:val="20"/>
        </w:rPr>
        <w:t xml:space="preserve">"My book, Marketing Without Money, is currently at the early review stage. I've shared it with people I look </w:t>
      </w:r>
      <w:r>
        <w:rPr>
          <w:rFonts w:ascii="Arial" w:eastAsia="Arial" w:hAnsi="Arial" w:cs="Arial"/>
          <w:b/>
          <w:i/>
          <w:color w:val="000000"/>
          <w:sz w:val="20"/>
          <w:u w:val="single"/>
        </w:rPr>
        <w:t>up</w:t>
      </w:r>
      <w:r>
        <w:rPr>
          <w:rFonts w:ascii="Arial" w:eastAsia="Arial" w:hAnsi="Arial" w:cs="Arial"/>
          <w:color w:val="000000"/>
          <w:sz w:val="20"/>
        </w:rPr>
        <w:t xml:space="preserve"> to in the business world, and, so far, the response has been that it is a very useful book for anyone with a product to take to market," Jesse Paul explains.</w:t>
      </w:r>
    </w:p>
    <w:p w14:paraId="090019D0" w14:textId="77777777" w:rsidR="00054BF0" w:rsidRDefault="00000000">
      <w:pPr>
        <w:spacing w:before="200" w:line="260" w:lineRule="atLeast"/>
        <w:jc w:val="both"/>
      </w:pPr>
      <w:r>
        <w:rPr>
          <w:rFonts w:ascii="Arial" w:eastAsia="Arial" w:hAnsi="Arial" w:cs="Arial"/>
          <w:color w:val="000000"/>
          <w:sz w:val="20"/>
        </w:rPr>
        <w:lastRenderedPageBreak/>
        <w:t>Her book has places where the reader can take notes and fill the answers from their own perspective into the frameworks provided. "That has been positively received as it makes the book more engaging. There is a demand for an audible version, which I've passed on to my publisher," she adds.</w:t>
      </w:r>
    </w:p>
    <w:p w14:paraId="63EAF144" w14:textId="77777777" w:rsidR="00054BF0" w:rsidRDefault="00000000">
      <w:pPr>
        <w:spacing w:before="200" w:line="260" w:lineRule="atLeast"/>
        <w:jc w:val="both"/>
      </w:pPr>
      <w:r>
        <w:rPr>
          <w:rFonts w:ascii="Arial" w:eastAsia="Arial" w:hAnsi="Arial" w:cs="Arial"/>
          <w:color w:val="000000"/>
          <w:sz w:val="20"/>
        </w:rPr>
        <w:t xml:space="preserve">"I think that my books have been well received. When the four publishers who have published my 16 books (17th coming in November 2021) still discuss new book ideas with me, I know they must have done reasonably well," says R Gopalakrishnan, whose titles include A Biography of Innovations and Wisdom For </w:t>
      </w:r>
      <w:r>
        <w:rPr>
          <w:rFonts w:ascii="Arial" w:eastAsia="Arial" w:hAnsi="Arial" w:cs="Arial"/>
          <w:b/>
          <w:i/>
          <w:color w:val="000000"/>
          <w:sz w:val="20"/>
          <w:u w:val="single"/>
        </w:rPr>
        <w:t>Startups</w:t>
      </w:r>
      <w:r>
        <w:rPr>
          <w:rFonts w:ascii="Arial" w:eastAsia="Arial" w:hAnsi="Arial" w:cs="Arial"/>
          <w:color w:val="000000"/>
          <w:sz w:val="20"/>
        </w:rPr>
        <w:t xml:space="preserve"> From Grown-</w:t>
      </w:r>
      <w:r>
        <w:rPr>
          <w:rFonts w:ascii="Arial" w:eastAsia="Arial" w:hAnsi="Arial" w:cs="Arial"/>
          <w:b/>
          <w:i/>
          <w:color w:val="000000"/>
          <w:sz w:val="20"/>
          <w:u w:val="single"/>
        </w:rPr>
        <w:t>ups</w:t>
      </w:r>
      <w:r>
        <w:rPr>
          <w:rFonts w:ascii="Arial" w:eastAsia="Arial" w:hAnsi="Arial" w:cs="Arial"/>
          <w:color w:val="000000"/>
          <w:sz w:val="20"/>
        </w:rPr>
        <w:t>.</w:t>
      </w:r>
    </w:p>
    <w:p w14:paraId="47369A17" w14:textId="77777777" w:rsidR="00054BF0" w:rsidRDefault="00000000">
      <w:pPr>
        <w:spacing w:before="200" w:line="260" w:lineRule="atLeast"/>
        <w:jc w:val="both"/>
      </w:pPr>
      <w:r>
        <w:rPr>
          <w:rFonts w:ascii="Arial" w:eastAsia="Arial" w:hAnsi="Arial" w:cs="Arial"/>
          <w:color w:val="000000"/>
          <w:sz w:val="20"/>
        </w:rPr>
        <w:t>He says the most unusual response from readers is, "How come there is no jargon or gyan, just simply anecdotes and examples?"</w:t>
      </w:r>
    </w:p>
    <w:p w14:paraId="14C23CC6" w14:textId="77777777" w:rsidR="00054BF0" w:rsidRDefault="00000000">
      <w:pPr>
        <w:spacing w:before="200" w:line="260" w:lineRule="atLeast"/>
        <w:jc w:val="both"/>
      </w:pPr>
      <w:r>
        <w:rPr>
          <w:rFonts w:ascii="Arial" w:eastAsia="Arial" w:hAnsi="Arial" w:cs="Arial"/>
          <w:color w:val="000000"/>
          <w:sz w:val="20"/>
        </w:rPr>
        <w:t>4. Author journeys</w:t>
      </w:r>
    </w:p>
    <w:p w14:paraId="7AA2384A" w14:textId="77777777" w:rsidR="00054BF0" w:rsidRDefault="00000000">
      <w:pPr>
        <w:spacing w:before="200" w:line="260" w:lineRule="atLeast"/>
        <w:jc w:val="both"/>
      </w:pPr>
      <w:r>
        <w:rPr>
          <w:rFonts w:ascii="Arial" w:eastAsia="Arial" w:hAnsi="Arial" w:cs="Arial"/>
          <w:color w:val="000000"/>
          <w:sz w:val="20"/>
        </w:rPr>
        <w:t>Some of the authors also share what excites them in the long journey of their books and what challenges they faced.</w:t>
      </w:r>
    </w:p>
    <w:p w14:paraId="3C567036" w14:textId="77777777" w:rsidR="00054BF0" w:rsidRDefault="00000000">
      <w:pPr>
        <w:spacing w:before="200" w:line="260" w:lineRule="atLeast"/>
        <w:jc w:val="both"/>
      </w:pPr>
      <w:r>
        <w:rPr>
          <w:rFonts w:ascii="Arial" w:eastAsia="Arial" w:hAnsi="Arial" w:cs="Arial"/>
          <w:color w:val="000000"/>
          <w:sz w:val="20"/>
        </w:rPr>
        <w:t>"The most exciting moment for an author is when a good book idea falls in place with a nearly audible click! The most challenging part is waiting to hear the sound of that click of a new idea," Raghunathan says.</w:t>
      </w:r>
    </w:p>
    <w:p w14:paraId="5B1B8EDF" w14:textId="77777777" w:rsidR="00054BF0" w:rsidRDefault="00000000">
      <w:pPr>
        <w:spacing w:before="200" w:line="260" w:lineRule="atLeast"/>
        <w:jc w:val="both"/>
      </w:pPr>
      <w:r>
        <w:rPr>
          <w:rFonts w:ascii="Arial" w:eastAsia="Arial" w:hAnsi="Arial" w:cs="Arial"/>
          <w:color w:val="000000"/>
          <w:sz w:val="20"/>
        </w:rPr>
        <w:t>"The most exciting part of an author's journey is that you are positioned as an expert in the subject matter. When you see your ideas making an impact on people's lives, the satisfaction is priceless," Karthik Nagendra enthuses.</w:t>
      </w:r>
    </w:p>
    <w:p w14:paraId="4B44F740" w14:textId="77777777" w:rsidR="00054BF0" w:rsidRDefault="00000000">
      <w:pPr>
        <w:spacing w:before="200" w:line="260" w:lineRule="atLeast"/>
        <w:jc w:val="both"/>
      </w:pPr>
      <w:r>
        <w:rPr>
          <w:rFonts w:ascii="Arial" w:eastAsia="Arial" w:hAnsi="Arial" w:cs="Arial"/>
          <w:color w:val="000000"/>
          <w:sz w:val="20"/>
        </w:rPr>
        <w:t>"The most challenging part would be to market the book well to ensure it captures the mind share of readers, and thereby garner better sales," he adds.</w:t>
      </w:r>
    </w:p>
    <w:p w14:paraId="2FCE1DDB" w14:textId="77777777" w:rsidR="00054BF0" w:rsidRDefault="00000000">
      <w:pPr>
        <w:spacing w:before="200" w:line="260" w:lineRule="atLeast"/>
        <w:jc w:val="both"/>
      </w:pPr>
      <w:r>
        <w:rPr>
          <w:rFonts w:ascii="Arial" w:eastAsia="Arial" w:hAnsi="Arial" w:cs="Arial"/>
          <w:color w:val="000000"/>
          <w:sz w:val="20"/>
        </w:rPr>
        <w:t>5. Next steps</w:t>
      </w:r>
    </w:p>
    <w:p w14:paraId="115C189A" w14:textId="77777777" w:rsidR="00054BF0" w:rsidRDefault="00000000">
      <w:pPr>
        <w:spacing w:before="200" w:line="260" w:lineRule="atLeast"/>
        <w:jc w:val="both"/>
      </w:pPr>
      <w:r>
        <w:rPr>
          <w:rFonts w:ascii="Arial" w:eastAsia="Arial" w:hAnsi="Arial" w:cs="Arial"/>
          <w:color w:val="000000"/>
          <w:sz w:val="20"/>
        </w:rPr>
        <w:t>Many featured authors at BBLF are already working on their next books or related projects. Others are exploring appropriate themes, formats, and publishers.</w:t>
      </w:r>
    </w:p>
    <w:p w14:paraId="15288EB6" w14:textId="77777777" w:rsidR="00054BF0" w:rsidRDefault="00000000">
      <w:pPr>
        <w:spacing w:before="200" w:line="260" w:lineRule="atLeast"/>
        <w:jc w:val="both"/>
      </w:pPr>
      <w:r>
        <w:rPr>
          <w:rFonts w:ascii="Arial" w:eastAsia="Arial" w:hAnsi="Arial" w:cs="Arial"/>
          <w:color w:val="000000"/>
          <w:sz w:val="20"/>
        </w:rPr>
        <w:t>Kaninika Mishra is currently working on two ideas. "One is a book for children that uses some ideas from The Indic Quotient. The other is a non-fiction book focused on Northeast India," she says.</w:t>
      </w:r>
    </w:p>
    <w:p w14:paraId="4FF78986" w14:textId="77777777" w:rsidR="00054BF0" w:rsidRDefault="00000000">
      <w:pPr>
        <w:spacing w:before="200" w:line="260" w:lineRule="atLeast"/>
        <w:jc w:val="both"/>
      </w:pPr>
      <w:r>
        <w:rPr>
          <w:rFonts w:ascii="Arial" w:eastAsia="Arial" w:hAnsi="Arial" w:cs="Arial"/>
          <w:color w:val="000000"/>
          <w:sz w:val="20"/>
        </w:rPr>
        <w:t>"I have been travelling extensively in the Northeast and have covered five of the seven states as of now. I am absolutely fascinated by the beauty and culture of the region," she enthuses.</w:t>
      </w:r>
    </w:p>
    <w:p w14:paraId="6663B65D" w14:textId="77777777" w:rsidR="00054BF0" w:rsidRDefault="00000000">
      <w:pPr>
        <w:spacing w:before="200" w:line="260" w:lineRule="atLeast"/>
        <w:jc w:val="both"/>
      </w:pPr>
      <w:r>
        <w:rPr>
          <w:rFonts w:ascii="Arial" w:eastAsia="Arial" w:hAnsi="Arial" w:cs="Arial"/>
          <w:color w:val="000000"/>
          <w:sz w:val="20"/>
        </w:rPr>
        <w:t>Rishad Tobaccowala says his one-year-old weekly newsletter has over 10,000 subscribers and 40,000 readers a week due to social media and sharing. "It is scaling really fast and may preclude the need for a book in that it is a living book filled with wonderful art. The book may be a container of the past," he explains.</w:t>
      </w:r>
    </w:p>
    <w:p w14:paraId="1A580214" w14:textId="77777777" w:rsidR="00054BF0" w:rsidRDefault="00000000">
      <w:pPr>
        <w:spacing w:before="200" w:line="260" w:lineRule="atLeast"/>
        <w:jc w:val="both"/>
      </w:pPr>
      <w:r>
        <w:rPr>
          <w:rFonts w:ascii="Arial" w:eastAsia="Arial" w:hAnsi="Arial" w:cs="Arial"/>
          <w:color w:val="000000"/>
          <w:sz w:val="20"/>
        </w:rPr>
        <w:t>Jesse Paul has written just under 500 issues of her newsletter. "The issues deal with a wide variety of topics - personal branding, diversity, marketing, strategy, and ethics. I want to curate these into a fast, snappy read," she says.</w:t>
      </w:r>
    </w:p>
    <w:p w14:paraId="3D546925" w14:textId="77777777" w:rsidR="00054BF0" w:rsidRDefault="00000000">
      <w:pPr>
        <w:spacing w:before="200" w:line="260" w:lineRule="atLeast"/>
        <w:jc w:val="both"/>
      </w:pPr>
      <w:r>
        <w:rPr>
          <w:rFonts w:ascii="Arial" w:eastAsia="Arial" w:hAnsi="Arial" w:cs="Arial"/>
          <w:color w:val="000000"/>
          <w:sz w:val="20"/>
        </w:rPr>
        <w:t xml:space="preserve">Bhavna Dalal has already </w:t>
      </w:r>
      <w:r>
        <w:rPr>
          <w:rFonts w:ascii="Arial" w:eastAsia="Arial" w:hAnsi="Arial" w:cs="Arial"/>
          <w:b/>
          <w:i/>
          <w:color w:val="000000"/>
          <w:sz w:val="20"/>
          <w:u w:val="single"/>
        </w:rPr>
        <w:t>started</w:t>
      </w:r>
      <w:r>
        <w:rPr>
          <w:rFonts w:ascii="Arial" w:eastAsia="Arial" w:hAnsi="Arial" w:cs="Arial"/>
          <w:color w:val="000000"/>
          <w:sz w:val="20"/>
        </w:rPr>
        <w:t xml:space="preserve"> work on her next book. "It will be about amplifying your influencing skills in the workplace. The approach is working inwards and on yourself to have the desired impact in the world outside," she says.</w:t>
      </w:r>
    </w:p>
    <w:p w14:paraId="6A528CE7" w14:textId="77777777" w:rsidR="00054BF0" w:rsidRDefault="00000000">
      <w:pPr>
        <w:spacing w:before="200" w:line="260" w:lineRule="atLeast"/>
        <w:jc w:val="both"/>
      </w:pPr>
      <w:r>
        <w:rPr>
          <w:rFonts w:ascii="Arial" w:eastAsia="Arial" w:hAnsi="Arial" w:cs="Arial"/>
          <w:color w:val="000000"/>
          <w:sz w:val="20"/>
        </w:rPr>
        <w:t>Karthik Nagendra is working on is a business topic with a fiction approach. "Tentatively titled I and AI, it chronicles the journey of a teenage girl on an industrial visit to a leading AI-services corporation. There, the curious teen has a chance conversation with a cyborg," he describes.</w:t>
      </w:r>
    </w:p>
    <w:p w14:paraId="7BF4594C" w14:textId="77777777" w:rsidR="00054BF0" w:rsidRDefault="00000000">
      <w:pPr>
        <w:spacing w:before="200" w:line="260" w:lineRule="atLeast"/>
        <w:jc w:val="both"/>
      </w:pPr>
      <w:r>
        <w:rPr>
          <w:rFonts w:ascii="Arial" w:eastAsia="Arial" w:hAnsi="Arial" w:cs="Arial"/>
          <w:color w:val="000000"/>
          <w:sz w:val="20"/>
        </w:rPr>
        <w:t>"A routine educational visit sets off a chain of events that forever entwines her future and that of the worlds. Set in 2035, I and AI explores the new world order built on AI and how it addresses the issues of the traditional world while inadvertently (maybe not so inadvertently) creating a new one of its own," Karthik explains.</w:t>
      </w:r>
    </w:p>
    <w:p w14:paraId="6812C193" w14:textId="77777777" w:rsidR="00054BF0" w:rsidRDefault="00000000">
      <w:pPr>
        <w:spacing w:before="200" w:line="260" w:lineRule="atLeast"/>
        <w:jc w:val="both"/>
      </w:pPr>
      <w:r>
        <w:rPr>
          <w:rFonts w:ascii="Arial" w:eastAsia="Arial" w:hAnsi="Arial" w:cs="Arial"/>
          <w:color w:val="000000"/>
          <w:sz w:val="20"/>
        </w:rPr>
        <w:lastRenderedPageBreak/>
        <w:t>He says such a book requires an impassioned writer with a nuance for exploring the depths of the future face of AI and sensitisation towards the need for a gender-equal society. "The book's theme pertains to AI and a woman's journey into the tech space," he adds.</w:t>
      </w:r>
    </w:p>
    <w:p w14:paraId="3299261B" w14:textId="77777777" w:rsidR="00054BF0" w:rsidRDefault="00000000">
      <w:pPr>
        <w:spacing w:before="200" w:line="260" w:lineRule="atLeast"/>
        <w:jc w:val="both"/>
      </w:pPr>
      <w:r>
        <w:rPr>
          <w:rFonts w:ascii="Arial" w:eastAsia="Arial" w:hAnsi="Arial" w:cs="Arial"/>
          <w:color w:val="000000"/>
          <w:sz w:val="20"/>
        </w:rPr>
        <w:t>"I have completed a book on behavioural economics, summarising the works of ten Nobel Laureates, telling the story of the transition of neo-classical economics to behavioural economics," explains V Raghunathan, BBLF Chair, and former Professor, IIM Ahmedabad.</w:t>
      </w:r>
    </w:p>
    <w:p w14:paraId="38579D65" w14:textId="77777777" w:rsidR="00054BF0" w:rsidRDefault="00000000">
      <w:pPr>
        <w:spacing w:before="200" w:line="260" w:lineRule="atLeast"/>
        <w:jc w:val="both"/>
      </w:pPr>
      <w:r>
        <w:rPr>
          <w:rFonts w:ascii="Arial" w:eastAsia="Arial" w:hAnsi="Arial" w:cs="Arial"/>
          <w:color w:val="000000"/>
          <w:sz w:val="20"/>
        </w:rPr>
        <w:t>His bestsellers include Games Indians Play, Ganesha on the Dashboard; The Corruption Conundrum; and Locks, Mahabharata and Mathematics. He has also been spending some time working on his collection of locks and showcasing them on a few platforms. Raghunathan writes occasional newspaper columns as well.</w:t>
      </w:r>
    </w:p>
    <w:p w14:paraId="143DFF64" w14:textId="77777777" w:rsidR="00054BF0" w:rsidRDefault="00000000">
      <w:pPr>
        <w:spacing w:before="200" w:line="260" w:lineRule="atLeast"/>
        <w:jc w:val="both"/>
      </w:pPr>
      <w:r>
        <w:rPr>
          <w:rFonts w:ascii="Arial" w:eastAsia="Arial" w:hAnsi="Arial" w:cs="Arial"/>
          <w:color w:val="000000"/>
          <w:sz w:val="20"/>
        </w:rPr>
        <w:t>"I am also working on a new book (with my wife for the first-ever time) on what the educational system as a whole (teachers, parents, schools) needs to teach more of to children to help them cope with a complex world, and grow into more confident, strong, trustworthy, and dutiful citizens," he adds.</w:t>
      </w:r>
    </w:p>
    <w:p w14:paraId="297B4EAF" w14:textId="77777777" w:rsidR="00054BF0" w:rsidRDefault="00000000">
      <w:pPr>
        <w:spacing w:before="200" w:line="260" w:lineRule="atLeast"/>
        <w:jc w:val="both"/>
      </w:pPr>
      <w:r>
        <w:rPr>
          <w:rFonts w:ascii="Arial" w:eastAsia="Arial" w:hAnsi="Arial" w:cs="Arial"/>
          <w:color w:val="000000"/>
          <w:sz w:val="20"/>
        </w:rPr>
        <w:t>Vivan Marwaha works at the intersection of people, policy, and technology. "I am fascinated by how technology is shrinking the opportunity gap around the world. My next book will most likely examine the role of technology in shaping the human endeavour," he says.</w:t>
      </w:r>
    </w:p>
    <w:p w14:paraId="7A86619E" w14:textId="77777777" w:rsidR="00054BF0" w:rsidRDefault="00000000">
      <w:pPr>
        <w:spacing w:before="200" w:line="260" w:lineRule="atLeast"/>
        <w:jc w:val="both"/>
      </w:pPr>
      <w:r>
        <w:rPr>
          <w:rFonts w:ascii="Arial" w:eastAsia="Arial" w:hAnsi="Arial" w:cs="Arial"/>
          <w:color w:val="000000"/>
          <w:sz w:val="20"/>
        </w:rPr>
        <w:t>"People love Fanocracy. It made the Wall Street Journal bestseller list," says David Meerman Scott. He is working on the new eighth edition of his international bestseller, The New Rules of Marketing and PR.</w:t>
      </w:r>
    </w:p>
    <w:p w14:paraId="105BE6A2" w14:textId="77777777" w:rsidR="00054BF0" w:rsidRDefault="00000000">
      <w:pPr>
        <w:spacing w:before="200" w:line="260" w:lineRule="atLeast"/>
        <w:jc w:val="both"/>
      </w:pPr>
      <w:r>
        <w:rPr>
          <w:rFonts w:ascii="Arial" w:eastAsia="Arial" w:hAnsi="Arial" w:cs="Arial"/>
          <w:color w:val="000000"/>
          <w:sz w:val="20"/>
        </w:rPr>
        <w:t>R Gopalakrishnan's next book is Pivots for Career Success: people and human relationships, along with R Srinivasan. Hari Pulakkat says he is thinking of exploring some ideas not fully developed in his first book but is also looking at other ideas.</w:t>
      </w:r>
    </w:p>
    <w:p w14:paraId="30AB8E9F" w14:textId="77777777" w:rsidR="00054BF0" w:rsidRDefault="00000000">
      <w:pPr>
        <w:spacing w:before="200" w:line="260" w:lineRule="atLeast"/>
        <w:jc w:val="both"/>
      </w:pPr>
      <w:r>
        <w:rPr>
          <w:rFonts w:ascii="Arial" w:eastAsia="Arial" w:hAnsi="Arial" w:cs="Arial"/>
          <w:color w:val="000000"/>
          <w:sz w:val="20"/>
        </w:rPr>
        <w:t>6. Tips for aspiring authors</w:t>
      </w:r>
    </w:p>
    <w:p w14:paraId="408B4553" w14:textId="77777777" w:rsidR="00054BF0" w:rsidRDefault="00000000">
      <w:pPr>
        <w:spacing w:before="200" w:line="260" w:lineRule="atLeast"/>
        <w:jc w:val="both"/>
      </w:pPr>
      <w:r>
        <w:rPr>
          <w:rFonts w:ascii="Arial" w:eastAsia="Arial" w:hAnsi="Arial" w:cs="Arial"/>
          <w:color w:val="000000"/>
          <w:sz w:val="20"/>
        </w:rPr>
        <w:t>The authors share a number of tips for aspiring authors on reading, writing, and market assessment.</w:t>
      </w:r>
    </w:p>
    <w:p w14:paraId="39EF59A5" w14:textId="77777777" w:rsidR="00054BF0" w:rsidRDefault="00000000">
      <w:pPr>
        <w:spacing w:before="200" w:line="260" w:lineRule="atLeast"/>
        <w:jc w:val="both"/>
      </w:pPr>
      <w:r>
        <w:rPr>
          <w:rFonts w:ascii="Arial" w:eastAsia="Arial" w:hAnsi="Arial" w:cs="Arial"/>
          <w:color w:val="000000"/>
          <w:sz w:val="20"/>
        </w:rPr>
        <w:t>"There is no difference between those who cannot read and those who do not read. And by reading, I mean reading books. Not online snippets or WhatsApp chatter," advises Raghunathan.</w:t>
      </w:r>
    </w:p>
    <w:p w14:paraId="2E4ED646" w14:textId="77777777" w:rsidR="00054BF0" w:rsidRDefault="00000000">
      <w:pPr>
        <w:spacing w:before="200" w:line="260" w:lineRule="atLeast"/>
        <w:jc w:val="both"/>
      </w:pPr>
      <w:r>
        <w:rPr>
          <w:rFonts w:ascii="Arial" w:eastAsia="Arial" w:hAnsi="Arial" w:cs="Arial"/>
          <w:color w:val="000000"/>
          <w:sz w:val="20"/>
        </w:rPr>
        <w:t>"It takes time and effort and a lot of revision to write a book. Without patience, nothing can be achieved," Hari Pulakkat says.</w:t>
      </w:r>
    </w:p>
    <w:p w14:paraId="217F1246" w14:textId="77777777" w:rsidR="00054BF0" w:rsidRDefault="00000000">
      <w:pPr>
        <w:spacing w:before="200" w:line="260" w:lineRule="atLeast"/>
        <w:jc w:val="both"/>
      </w:pPr>
      <w:r>
        <w:rPr>
          <w:rFonts w:ascii="Arial" w:eastAsia="Arial" w:hAnsi="Arial" w:cs="Arial"/>
          <w:color w:val="000000"/>
          <w:sz w:val="20"/>
        </w:rPr>
        <w:t>"Take the plunge. Swim as deep as you can. The result will be very rewarding," advises Benedict Paramanand, co-founder of BBLF and author of CK Prahalad - The Mind of the Futurist.</w:t>
      </w:r>
    </w:p>
    <w:p w14:paraId="22ECCEEA" w14:textId="77777777" w:rsidR="00054BF0" w:rsidRDefault="00000000">
      <w:pPr>
        <w:spacing w:before="200" w:line="260" w:lineRule="atLeast"/>
        <w:jc w:val="both"/>
      </w:pPr>
      <w:r>
        <w:rPr>
          <w:rFonts w:ascii="Arial" w:eastAsia="Arial" w:hAnsi="Arial" w:cs="Arial"/>
          <w:color w:val="000000"/>
          <w:sz w:val="20"/>
        </w:rPr>
        <w:t>"Don't write with the eye on Will it sell, Will I make money, Will anyone read my book. Write for yourself, for the experience of bringing alive an idea or a thought," he adds.</w:t>
      </w:r>
    </w:p>
    <w:p w14:paraId="71CAA56C" w14:textId="77777777" w:rsidR="00054BF0" w:rsidRDefault="00000000">
      <w:pPr>
        <w:spacing w:before="200" w:line="260" w:lineRule="atLeast"/>
        <w:jc w:val="both"/>
      </w:pPr>
      <w:r>
        <w:rPr>
          <w:rFonts w:ascii="Arial" w:eastAsia="Arial" w:hAnsi="Arial" w:cs="Arial"/>
          <w:color w:val="000000"/>
          <w:sz w:val="20"/>
        </w:rPr>
        <w:t>Many more author insights, tips, and journeys will be shared at BBLF next week. "It's truly a festival of ideas, journeys, stories, and insights," Benedict signs off.</w:t>
      </w:r>
    </w:p>
    <w:p w14:paraId="063905D7" w14:textId="77777777" w:rsidR="00054BF0"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as a creative and motivational guide for innovators (downloadable as apps here: Apple, Android).</w:t>
      </w:r>
    </w:p>
    <w:p w14:paraId="54A1C845"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18, 2021</w:t>
      </w:r>
    </w:p>
    <w:p w14:paraId="5D8CDDA0" w14:textId="77777777" w:rsidR="00054BF0" w:rsidRDefault="00054BF0"/>
    <w:p w14:paraId="001F25CF" w14:textId="77777777" w:rsidR="00054BF0" w:rsidRDefault="00000000">
      <w:pPr>
        <w:ind w:left="200"/>
        <w:sectPr w:rsidR="00054BF0">
          <w:type w:val="continuous"/>
          <w:pgSz w:w="12240" w:h="15840"/>
          <w:pgMar w:top="840" w:right="1000" w:bottom="840" w:left="1000" w:header="400" w:footer="400" w:gutter="0"/>
          <w:cols w:space="720"/>
        </w:sectPr>
      </w:pPr>
      <w:r>
        <w:br/>
      </w:r>
      <w:r>
        <w:pict w14:anchorId="254F586B">
          <v:line id="_x0000_s2066" style="position:absolute;left:0;text-align:left;z-index:251668480;mso-position-horizontal-relative:text;mso-position-vertical-relative:text" from="0,10pt" to="512pt,10pt" strokeweight="1pt"/>
        </w:pict>
      </w:r>
      <w:r>
        <w:rPr>
          <w:rFonts w:ascii="Arial" w:eastAsia="Arial" w:hAnsi="Arial" w:cs="Arial"/>
          <w:b/>
          <w:color w:val="767676"/>
          <w:sz w:val="16"/>
        </w:rPr>
        <w:t>End of Document</w:t>
      </w:r>
    </w:p>
    <w:p w14:paraId="45FA3224" w14:textId="77777777" w:rsidR="00054BF0" w:rsidRDefault="00054BF0">
      <w:pPr>
        <w:sectPr w:rsidR="00054BF0">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gutter="0"/>
          <w:cols w:space="720"/>
          <w:titlePg/>
        </w:sectPr>
      </w:pPr>
    </w:p>
    <w:p w14:paraId="2A6274E9" w14:textId="77777777" w:rsidR="00054BF0" w:rsidRDefault="00054BF0">
      <w:bookmarkStart w:id="10" w:name="Bookmark_6"/>
      <w:bookmarkEnd w:id="10"/>
    </w:p>
    <w:p w14:paraId="1E2BCABD" w14:textId="77777777" w:rsidR="00054BF0" w:rsidRDefault="00BE2275">
      <w:r>
        <w:pict w14:anchorId="6FFFCC9F">
          <v:shape id="_x0000_i1033" type="#_x0000_t75" alt="LexisNexis®" style="width:148pt;height:30pt">
            <v:imagedata r:id="rId6" o:title=""/>
          </v:shape>
        </w:pict>
      </w:r>
      <w:r w:rsidR="00A540D1">
        <w:cr/>
      </w:r>
    </w:p>
    <w:p w14:paraId="110D8210" w14:textId="77777777" w:rsidR="00054BF0" w:rsidRDefault="00000000">
      <w:pPr>
        <w:spacing w:before="240" w:after="200" w:line="340" w:lineRule="atLeast"/>
        <w:jc w:val="center"/>
        <w:outlineLvl w:val="0"/>
        <w:rPr>
          <w:rFonts w:ascii="Arial" w:hAnsi="Arial" w:cs="Arial"/>
          <w:b/>
          <w:bCs/>
          <w:kern w:val="32"/>
          <w:sz w:val="32"/>
          <w:szCs w:val="32"/>
        </w:rPr>
      </w:pPr>
      <w:hyperlink r:id="rId208" w:history="1">
        <w:r>
          <w:rPr>
            <w:rFonts w:ascii="Arial" w:eastAsia="Arial" w:hAnsi="Arial" w:cs="Arial"/>
            <w:b/>
            <w:bCs/>
            <w:i/>
            <w:color w:val="0077CC"/>
            <w:kern w:val="32"/>
            <w:sz w:val="28"/>
            <w:szCs w:val="32"/>
            <w:u w:val="single"/>
            <w:shd w:val="clear" w:color="auto" w:fill="FFFFFF"/>
          </w:rPr>
          <w:t>A Framework for Increasing Competition and Diffusion in Artificial Intelligence</w:t>
        </w:r>
      </w:hyperlink>
    </w:p>
    <w:p w14:paraId="4E436BA4" w14:textId="77777777" w:rsidR="00054BF0" w:rsidRDefault="00000000">
      <w:pPr>
        <w:spacing w:before="120" w:line="260" w:lineRule="atLeast"/>
        <w:jc w:val="center"/>
      </w:pPr>
      <w:r>
        <w:rPr>
          <w:rFonts w:ascii="Arial" w:eastAsia="Arial" w:hAnsi="Arial" w:cs="Arial"/>
          <w:color w:val="000000"/>
          <w:sz w:val="20"/>
        </w:rPr>
        <w:t>R Street Institute</w:t>
      </w:r>
    </w:p>
    <w:p w14:paraId="0B854587" w14:textId="77777777" w:rsidR="00054BF0" w:rsidRDefault="00000000">
      <w:pPr>
        <w:spacing w:before="120" w:line="260" w:lineRule="atLeast"/>
        <w:jc w:val="center"/>
      </w:pPr>
      <w:r>
        <w:rPr>
          <w:rFonts w:ascii="Arial" w:eastAsia="Arial" w:hAnsi="Arial" w:cs="Arial"/>
          <w:color w:val="000000"/>
          <w:sz w:val="20"/>
        </w:rPr>
        <w:t>March 21, 2019 Thursday</w:t>
      </w:r>
    </w:p>
    <w:p w14:paraId="12C90272" w14:textId="77777777" w:rsidR="00054BF0" w:rsidRDefault="00054BF0">
      <w:pPr>
        <w:spacing w:line="240" w:lineRule="atLeast"/>
        <w:jc w:val="both"/>
      </w:pPr>
    </w:p>
    <w:p w14:paraId="446F7DF2" w14:textId="77777777" w:rsidR="00054BF0" w:rsidRDefault="00000000">
      <w:pPr>
        <w:spacing w:before="120" w:line="220" w:lineRule="atLeast"/>
      </w:pPr>
      <w:r>
        <w:br/>
      </w:r>
      <w:r>
        <w:rPr>
          <w:rFonts w:ascii="Arial" w:eastAsia="Arial" w:hAnsi="Arial" w:cs="Arial"/>
          <w:color w:val="000000"/>
          <w:sz w:val="16"/>
        </w:rPr>
        <w:t>Copyright 2019 Content Engine, LLC.</w:t>
      </w:r>
    </w:p>
    <w:p w14:paraId="043F7F0A" w14:textId="77777777" w:rsidR="00054BF0" w:rsidRDefault="00000000">
      <w:pPr>
        <w:spacing w:line="220" w:lineRule="atLeast"/>
      </w:pPr>
      <w:r>
        <w:rPr>
          <w:rFonts w:ascii="Arial" w:eastAsia="Arial" w:hAnsi="Arial" w:cs="Arial"/>
          <w:color w:val="000000"/>
          <w:sz w:val="16"/>
        </w:rPr>
        <w:t>All Rights Reserved</w:t>
      </w:r>
    </w:p>
    <w:p w14:paraId="12F9591C" w14:textId="77777777" w:rsidR="00054BF0" w:rsidRDefault="00000000">
      <w:pPr>
        <w:spacing w:line="220" w:lineRule="atLeast"/>
      </w:pPr>
      <w:r>
        <w:rPr>
          <w:rFonts w:ascii="Arial" w:eastAsia="Arial" w:hAnsi="Arial" w:cs="Arial"/>
          <w:color w:val="000000"/>
          <w:sz w:val="16"/>
        </w:rPr>
        <w:t>Copyright 2019 R Street Institute, USA All Rights Reserved</w:t>
      </w:r>
    </w:p>
    <w:p w14:paraId="02DC3CAD"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2998 words</w:t>
      </w:r>
    </w:p>
    <w:p w14:paraId="5610607C"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Corinne Day</w:t>
      </w:r>
    </w:p>
    <w:p w14:paraId="4D525242" w14:textId="77777777" w:rsidR="00054BF0" w:rsidRDefault="00000000">
      <w:pPr>
        <w:keepNext/>
        <w:spacing w:before="240" w:line="340" w:lineRule="atLeast"/>
      </w:pPr>
      <w:bookmarkStart w:id="11" w:name="Body_4"/>
      <w:bookmarkEnd w:id="11"/>
      <w:r>
        <w:rPr>
          <w:rFonts w:ascii="Arial" w:eastAsia="Arial" w:hAnsi="Arial" w:cs="Arial"/>
          <w:b/>
          <w:color w:val="000000"/>
          <w:sz w:val="28"/>
        </w:rPr>
        <w:t>Body</w:t>
      </w:r>
    </w:p>
    <w:p w14:paraId="6A2A9D51" w14:textId="77777777" w:rsidR="00054BF0" w:rsidRDefault="00000000">
      <w:pPr>
        <w:spacing w:line="60" w:lineRule="exact"/>
      </w:pPr>
      <w:r>
        <w:pict w14:anchorId="4359E21A">
          <v:line id="_x0000_s2068" style="position:absolute;z-index:251669504" from="0,2pt" to="512pt,2pt" strokecolor="#009ddb" strokeweight="2pt">
            <w10:wrap type="topAndBottom"/>
          </v:line>
        </w:pict>
      </w:r>
    </w:p>
    <w:p w14:paraId="7FE2297A" w14:textId="77777777" w:rsidR="00054BF0" w:rsidRDefault="00054BF0"/>
    <w:p w14:paraId="225E3398" w14:textId="77777777" w:rsidR="00054BF0" w:rsidRDefault="00000000">
      <w:pPr>
        <w:spacing w:before="200" w:line="260" w:lineRule="atLeast"/>
        <w:jc w:val="both"/>
      </w:pPr>
      <w:r>
        <w:rPr>
          <w:rFonts w:ascii="Arial" w:eastAsia="Arial" w:hAnsi="Arial" w:cs="Arial"/>
          <w:color w:val="000000"/>
          <w:sz w:val="20"/>
        </w:rPr>
        <w:t>Artificial Intelligence (A.I.) is developingrapidly, and countries from around the globe are beginning to articulate nationalstrategies for handling the political ramifications. With A.I. powering innovations such as driverless cars, autonomous drones,full-sequence genetic analytics, and powerful voice-assistanttechnology, the future certainlylooks full of potential. Unsettledquestions, however, aboutwho will reapthese benefits and when theywill be achieved leave storm clouds on the political horizon.</w:t>
      </w:r>
    </w:p>
    <w:p w14:paraId="12EE14E1" w14:textId="77777777" w:rsidR="00054BF0" w:rsidRDefault="00000000">
      <w:pPr>
        <w:spacing w:before="200" w:line="260" w:lineRule="atLeast"/>
        <w:jc w:val="both"/>
      </w:pPr>
      <w:r>
        <w:rPr>
          <w:rFonts w:ascii="Arial" w:eastAsia="Arial" w:hAnsi="Arial" w:cs="Arial"/>
          <w:color w:val="000000"/>
          <w:sz w:val="20"/>
        </w:rPr>
        <w:t>Amid questions of industrial concentration and economic inequality on one side,and concerns aboutlagging U.S. productivity and the slow pace of A.I. diffusion on the other,there is an underexamined overlap that connects these questions to the same set of policies: high barriers to entrydue to supply-side constraints.</w:t>
      </w:r>
    </w:p>
    <w:p w14:paraId="52A3BA3A" w14:textId="77777777" w:rsidR="00054BF0" w:rsidRDefault="00000000">
      <w:pPr>
        <w:spacing w:line="260" w:lineRule="atLeast"/>
        <w:jc w:val="both"/>
      </w:pPr>
      <w:r>
        <w:rPr>
          <w:rFonts w:ascii="Arial" w:eastAsia="Arial" w:hAnsi="Arial" w:cs="Arial"/>
          <w:color w:val="000000"/>
          <w:sz w:val="20"/>
        </w:rPr>
        <w:t>There are significant barriers to entryin A.I. development and application, manyof which stem directly from government policies. These barriers haveinadvertently boosted themarket power of incumbent firms and in reducing them,we may enable new firms to compete better, while also removing someof the bottlenecks that slow down research andintegration of A.I.systems across the entire economy.</w:t>
      </w:r>
    </w:p>
    <w:p w14:paraId="6E2C2FA4" w14:textId="77777777" w:rsidR="00054BF0" w:rsidRDefault="00000000">
      <w:pPr>
        <w:spacing w:before="200" w:line="260" w:lineRule="atLeast"/>
        <w:jc w:val="both"/>
      </w:pPr>
      <w:r>
        <w:rPr>
          <w:rFonts w:ascii="Arial" w:eastAsia="Arial" w:hAnsi="Arial" w:cs="Arial"/>
          <w:b/>
          <w:color w:val="000000"/>
          <w:sz w:val="20"/>
        </w:rPr>
        <w:t>Supply of Skilled A.I. Analysts</w:t>
      </w:r>
    </w:p>
    <w:p w14:paraId="302C87FC" w14:textId="77777777" w:rsidR="00054BF0" w:rsidRDefault="00000000">
      <w:pPr>
        <w:spacing w:line="260" w:lineRule="atLeast"/>
        <w:jc w:val="both"/>
      </w:pPr>
      <w:r>
        <w:rPr>
          <w:rFonts w:ascii="Arial" w:eastAsia="Arial" w:hAnsi="Arial" w:cs="Arial"/>
          <w:color w:val="000000"/>
          <w:sz w:val="20"/>
        </w:rPr>
        <w:t>Perhaps the single biggest bottleneck in A.I.development and application today is the supply of skilled datascientists and machine-learning engineers. Typical A.I.specialists can expectto earn between $300,000and $500,000 at top tech firms, numbersthat are significantly higher than their peers in othercomputer-science-related subfields. In addition to these ballooning salaries, industryexperts such as Hal Varianhave pointed to the scarcityof adequate A.I.talent as the largest factor behind slow application in the economy.</w:t>
      </w:r>
    </w:p>
    <w:p w14:paraId="3769AD7B" w14:textId="77777777" w:rsidR="00054BF0" w:rsidRDefault="00000000">
      <w:pPr>
        <w:spacing w:line="260" w:lineRule="atLeast"/>
        <w:jc w:val="both"/>
      </w:pPr>
      <w:r>
        <w:rPr>
          <w:rFonts w:ascii="Arial" w:eastAsia="Arial" w:hAnsi="Arial" w:cs="Arial"/>
          <w:color w:val="000000"/>
          <w:sz w:val="20"/>
        </w:rPr>
        <w:t>Reform Our Immigration System toAllow More High-Skill A.I. Talent</w:t>
      </w:r>
    </w:p>
    <w:p w14:paraId="6C3126D7" w14:textId="77777777" w:rsidR="00054BF0" w:rsidRDefault="00000000">
      <w:pPr>
        <w:spacing w:line="260" w:lineRule="atLeast"/>
        <w:jc w:val="both"/>
      </w:pPr>
      <w:r>
        <w:rPr>
          <w:rFonts w:ascii="Arial" w:eastAsia="Arial" w:hAnsi="Arial" w:cs="Arial"/>
          <w:color w:val="000000"/>
          <w:sz w:val="20"/>
        </w:rPr>
        <w:t>Thepolicy lever with perhaps the highest degreeof leverage to begin immediately alleviating thistalent shortage is our immigration system and, morespecifically, reforming visasfor international graduate students.</w:t>
      </w:r>
    </w:p>
    <w:p w14:paraId="34ABFA2C" w14:textId="77777777" w:rsidR="00054BF0" w:rsidRDefault="00000000">
      <w:pPr>
        <w:spacing w:line="260" w:lineRule="atLeast"/>
        <w:jc w:val="both"/>
      </w:pPr>
      <w:r>
        <w:rPr>
          <w:rFonts w:ascii="Arial" w:eastAsia="Arial" w:hAnsi="Arial" w:cs="Arial"/>
          <w:color w:val="000000"/>
          <w:sz w:val="20"/>
        </w:rPr>
        <w:t>In 2015, the United States had 58,000 graduate students in computer science fields, the overwhelming majorityof which (79 percent) wereinternational. This influxof talent represents a significant portion of the overallA.I. talent supplybeing cultivated eachyear, as studentsfrom all over the world are attracted to the nation'stop education system.In particular, the United States</w:t>
      </w:r>
    </w:p>
    <w:p w14:paraId="44A92B66" w14:textId="77777777" w:rsidR="00054BF0" w:rsidRDefault="00000000">
      <w:pPr>
        <w:spacing w:line="260" w:lineRule="atLeast"/>
        <w:jc w:val="both"/>
      </w:pPr>
      <w:r>
        <w:rPr>
          <w:rFonts w:ascii="Arial" w:eastAsia="Arial" w:hAnsi="Arial" w:cs="Arial"/>
          <w:color w:val="000000"/>
          <w:sz w:val="20"/>
        </w:rPr>
        <w:t>attracts large numbersof students fromChina and India.Due to a limited numberof visa slots, however, only a fractionof these studentsare allowed to work in the countrylong term.</w:t>
      </w:r>
    </w:p>
    <w:p w14:paraId="28F2B17C" w14:textId="77777777" w:rsidR="00054BF0" w:rsidRDefault="00000000">
      <w:pPr>
        <w:spacing w:line="260" w:lineRule="atLeast"/>
        <w:jc w:val="both"/>
      </w:pPr>
      <w:r>
        <w:rPr>
          <w:rFonts w:ascii="Arial" w:eastAsia="Arial" w:hAnsi="Arial" w:cs="Arial"/>
          <w:color w:val="000000"/>
          <w:sz w:val="20"/>
        </w:rPr>
        <w:lastRenderedPageBreak/>
        <w:t>The primary pathwayfor these highlyskilled immigrants to stay in the countryis through the H-1Bvisa program. For the past 16 years, however, the H-1B limit has been exhaustedand, in more recent years, the number of applications filedhas consistently beentwice as highas the numberof available spots. This discrepancy is almost certainly understatingthe scope of the problem, as it does not accountfor the ways in whichforeknowledge about the difficulty of acquiring a work visa maydeter students from applying in the first place.</w:t>
      </w:r>
    </w:p>
    <w:p w14:paraId="018FBC31" w14:textId="77777777" w:rsidR="00054BF0" w:rsidRDefault="00000000">
      <w:pPr>
        <w:spacing w:before="200" w:line="260" w:lineRule="atLeast"/>
        <w:jc w:val="both"/>
      </w:pPr>
      <w:r>
        <w:rPr>
          <w:rFonts w:ascii="Arial" w:eastAsia="Arial" w:hAnsi="Arial" w:cs="Arial"/>
          <w:color w:val="000000"/>
          <w:sz w:val="20"/>
        </w:rPr>
        <w:t xml:space="preserve">Although it also limits the talent pool availableto large tech firms, the status quo is especially daunting for </w:t>
      </w:r>
      <w:r>
        <w:rPr>
          <w:rFonts w:ascii="Arial" w:eastAsia="Arial" w:hAnsi="Arial" w:cs="Arial"/>
          <w:b/>
          <w:i/>
          <w:color w:val="000000"/>
          <w:sz w:val="20"/>
          <w:u w:val="single"/>
        </w:rPr>
        <w:t>startups</w:t>
      </w:r>
      <w:r>
        <w:rPr>
          <w:rFonts w:ascii="Arial" w:eastAsia="Arial" w:hAnsi="Arial" w:cs="Arial"/>
          <w:color w:val="000000"/>
          <w:sz w:val="20"/>
        </w:rPr>
        <w:t>, as they do not have the specialized Human Resources personnel to handle the bureaucracy of the immigration visa application process.Including application andattorney fees, to sponsor a work visa typically costs around $5,000 per employee, and the paperworkburdens appear to be increasing. Boththe financial and bureaucratic costsare easier for established firmsto bear, given theirlarger size and increased resources.</w:t>
      </w:r>
    </w:p>
    <w:p w14:paraId="023344A0" w14:textId="77777777" w:rsidR="00054BF0" w:rsidRDefault="00000000">
      <w:pPr>
        <w:spacing w:before="200" w:line="260" w:lineRule="atLeast"/>
        <w:jc w:val="both"/>
      </w:pPr>
      <w:r>
        <w:rPr>
          <w:rFonts w:ascii="Arial" w:eastAsia="Arial" w:hAnsi="Arial" w:cs="Arial"/>
          <w:color w:val="000000"/>
          <w:sz w:val="20"/>
        </w:rPr>
        <w:t xml:space="preserve">In turn, thiscost impacts thetypes of firmshigh-skill immigrants willapply to workfor in the first place.Even when attracted to work at </w:t>
      </w:r>
      <w:r>
        <w:rPr>
          <w:rFonts w:ascii="Arial" w:eastAsia="Arial" w:hAnsi="Arial" w:cs="Arial"/>
          <w:b/>
          <w:i/>
          <w:color w:val="000000"/>
          <w:sz w:val="20"/>
          <w:u w:val="single"/>
        </w:rPr>
        <w:t>startups</w:t>
      </w:r>
      <w:r>
        <w:rPr>
          <w:rFonts w:ascii="Arial" w:eastAsia="Arial" w:hAnsi="Arial" w:cs="Arial"/>
          <w:color w:val="000000"/>
          <w:sz w:val="20"/>
        </w:rPr>
        <w:t xml:space="preserve">, foreign workers may ultimatelyprivilege their applications to incumbents because they willlikely have a better chanceof obtaining workvisas at established firms.Additionally, since </w:t>
      </w:r>
      <w:r>
        <w:rPr>
          <w:rFonts w:ascii="Arial" w:eastAsia="Arial" w:hAnsi="Arial" w:cs="Arial"/>
          <w:b/>
          <w:i/>
          <w:color w:val="000000"/>
          <w:sz w:val="20"/>
          <w:u w:val="single"/>
        </w:rPr>
        <w:t>startups</w:t>
      </w:r>
      <w:r>
        <w:rPr>
          <w:rFonts w:ascii="Arial" w:eastAsia="Arial" w:hAnsi="Arial" w:cs="Arial"/>
          <w:color w:val="000000"/>
          <w:sz w:val="20"/>
        </w:rPr>
        <w:t xml:space="preserve"> face high </w:t>
      </w:r>
      <w:r>
        <w:rPr>
          <w:rFonts w:ascii="Arial" w:eastAsia="Arial" w:hAnsi="Arial" w:cs="Arial"/>
          <w:b/>
          <w:i/>
          <w:color w:val="000000"/>
          <w:sz w:val="20"/>
          <w:u w:val="single"/>
        </w:rPr>
        <w:t>failure</w:t>
      </w:r>
      <w:r>
        <w:rPr>
          <w:rFonts w:ascii="Arial" w:eastAsia="Arial" w:hAnsi="Arial" w:cs="Arial"/>
          <w:color w:val="000000"/>
          <w:sz w:val="20"/>
        </w:rPr>
        <w:t xml:space="preserve"> rates, job loss could meantermination of work authorization as well - which would mean that the entire visaapplication process would have to be approached anew.</w:t>
      </w:r>
    </w:p>
    <w:p w14:paraId="03DC50AC" w14:textId="77777777" w:rsidR="00054BF0" w:rsidRDefault="00000000">
      <w:pPr>
        <w:spacing w:before="200" w:line="260" w:lineRule="atLeast"/>
        <w:jc w:val="both"/>
      </w:pPr>
      <w:r>
        <w:rPr>
          <w:rFonts w:ascii="Arial" w:eastAsia="Arial" w:hAnsi="Arial" w:cs="Arial"/>
          <w:color w:val="000000"/>
          <w:sz w:val="20"/>
        </w:rPr>
        <w:t xml:space="preserve">Accordingly, to allow more international studentsto live and work in the United States upon completion of their degree - eitherthrough an expansion and simplification of the H-1B visa program or through the creation of a new technical workervisa program - would be a relatively straightforward and effectivemethod to alleviate the country's talent shortage around A.I. In particular, this reform wouldbenefit smaller firmsand </w:t>
      </w:r>
      <w:r>
        <w:rPr>
          <w:rFonts w:ascii="Arial" w:eastAsia="Arial" w:hAnsi="Arial" w:cs="Arial"/>
          <w:b/>
          <w:i/>
          <w:color w:val="000000"/>
          <w:sz w:val="20"/>
          <w:u w:val="single"/>
        </w:rPr>
        <w:t>startups</w:t>
      </w:r>
      <w:r>
        <w:rPr>
          <w:rFonts w:ascii="Arial" w:eastAsia="Arial" w:hAnsi="Arial" w:cs="Arial"/>
          <w:color w:val="000000"/>
          <w:sz w:val="20"/>
        </w:rPr>
        <w:t xml:space="preserve"> that are unableto access existing foreign-born talentto the same degree as established firms.</w:t>
      </w:r>
    </w:p>
    <w:p w14:paraId="360F8B58" w14:textId="77777777" w:rsidR="00054BF0" w:rsidRDefault="00000000">
      <w:pPr>
        <w:spacing w:line="260" w:lineRule="atLeast"/>
        <w:jc w:val="both"/>
      </w:pPr>
      <w:r>
        <w:rPr>
          <w:rFonts w:ascii="Arial" w:eastAsia="Arial" w:hAnsi="Arial" w:cs="Arial"/>
          <w:color w:val="000000"/>
          <w:sz w:val="20"/>
        </w:rPr>
        <w:t>Allow Companies to Deduct the Cost of Training A.I. Talent</w:t>
      </w:r>
    </w:p>
    <w:p w14:paraId="0D618AA8" w14:textId="77777777" w:rsidR="00054BF0" w:rsidRDefault="00000000">
      <w:pPr>
        <w:spacing w:before="200" w:line="260" w:lineRule="atLeast"/>
        <w:jc w:val="both"/>
      </w:pPr>
      <w:r>
        <w:rPr>
          <w:rFonts w:ascii="Arial" w:eastAsia="Arial" w:hAnsi="Arial" w:cs="Arial"/>
          <w:color w:val="000000"/>
          <w:sz w:val="20"/>
        </w:rPr>
        <w:t xml:space="preserve">In addition to reforming our immigration pathwaysfor high-skilled A.I.talent, it wouldbe wise for theUnited States to extend moreeffort toward building </w:t>
      </w:r>
      <w:r>
        <w:rPr>
          <w:rFonts w:ascii="Arial" w:eastAsia="Arial" w:hAnsi="Arial" w:cs="Arial"/>
          <w:b/>
          <w:i/>
          <w:color w:val="000000"/>
          <w:sz w:val="20"/>
          <w:u w:val="single"/>
        </w:rPr>
        <w:t>up</w:t>
      </w:r>
      <w:r>
        <w:rPr>
          <w:rFonts w:ascii="Arial" w:eastAsia="Arial" w:hAnsi="Arial" w:cs="Arial"/>
          <w:color w:val="000000"/>
          <w:sz w:val="20"/>
        </w:rPr>
        <w:t xml:space="preserve"> domestic talent.One way to achieve this endwould be to better align incentives for companies to develop A.I. talent internally.</w:t>
      </w:r>
    </w:p>
    <w:p w14:paraId="721107AD" w14:textId="77777777" w:rsidR="00054BF0" w:rsidRDefault="00000000">
      <w:pPr>
        <w:spacing w:line="260" w:lineRule="atLeast"/>
        <w:jc w:val="both"/>
      </w:pPr>
      <w:r>
        <w:rPr>
          <w:rFonts w:ascii="Arial" w:eastAsia="Arial" w:hAnsi="Arial" w:cs="Arial"/>
          <w:color w:val="000000"/>
          <w:sz w:val="20"/>
        </w:rPr>
        <w:t>As the numberof newly mintedmachine learning (ML) Ph.D. students continues to dwindle, some companies are looking at training employees internally to essentially create new supply. Such training,however, requires significant investment on the company's part, both in timeand resources, to trainnew A.I. specialists this way, and the gainsfrom this training are mostly captured by the newly trained worker inthe form of higher wages. Since workers can jump ship from the companies that train them at any time for a highersalary at a competitor, employershave few</w:t>
      </w:r>
    </w:p>
    <w:p w14:paraId="12605DFA" w14:textId="77777777" w:rsidR="00054BF0" w:rsidRDefault="00000000">
      <w:pPr>
        <w:spacing w:line="260" w:lineRule="atLeast"/>
        <w:jc w:val="both"/>
      </w:pPr>
      <w:r>
        <w:rPr>
          <w:rFonts w:ascii="Arial" w:eastAsia="Arial" w:hAnsi="Arial" w:cs="Arial"/>
          <w:color w:val="000000"/>
          <w:sz w:val="20"/>
        </w:rPr>
        <w:t>opportunities to recoup the costs of worker training. It thus seems likely thatemployers are generally underinvesting in worker trainingwhen compared to the amountthat might otherwise be efficient. We should therefore look more closely atincentivizing this socially desirable behavior through the tax code.</w:t>
      </w:r>
    </w:p>
    <w:p w14:paraId="1602097A" w14:textId="77777777" w:rsidR="00054BF0" w:rsidRDefault="00000000">
      <w:pPr>
        <w:spacing w:line="260" w:lineRule="atLeast"/>
        <w:jc w:val="both"/>
      </w:pPr>
      <w:r>
        <w:rPr>
          <w:rFonts w:ascii="Arial" w:eastAsia="Arial" w:hAnsi="Arial" w:cs="Arial"/>
          <w:color w:val="000000"/>
          <w:sz w:val="20"/>
        </w:rPr>
        <w:t>Employers may currently deduct a portionof the costs of workertraining as longas it is to improve productivity in a role theyalready occupy, but this credit is fairly small and employers may not deduct the costs if it would qualifythem for a new tradeor business. Expanding this deduction - bothin size and scope - so that the full cost of worker trainingfor new tradescould be deducted, would incentivize moreinvestment in building the A.I. workforce that is needed to fuel our economy. Giventhe pre-existing levelof interest by employers in this strategy, it seems likelythis could become a fruitful part of our domestic A.I. pipeline, if given more support.</w:t>
      </w:r>
    </w:p>
    <w:p w14:paraId="67325600" w14:textId="77777777" w:rsidR="00054BF0" w:rsidRDefault="00000000">
      <w:pPr>
        <w:spacing w:line="260" w:lineRule="atLeast"/>
        <w:jc w:val="both"/>
      </w:pPr>
      <w:r>
        <w:rPr>
          <w:rFonts w:ascii="Arial" w:eastAsia="Arial" w:hAnsi="Arial" w:cs="Arial"/>
          <w:color w:val="000000"/>
          <w:sz w:val="20"/>
        </w:rPr>
        <w:t>Supply of Data</w:t>
      </w:r>
    </w:p>
    <w:p w14:paraId="111A1F2F" w14:textId="77777777" w:rsidR="00054BF0" w:rsidRDefault="00000000">
      <w:pPr>
        <w:spacing w:before="200" w:line="260" w:lineRule="atLeast"/>
        <w:jc w:val="both"/>
      </w:pPr>
      <w:r>
        <w:rPr>
          <w:rFonts w:ascii="Arial" w:eastAsia="Arial" w:hAnsi="Arial" w:cs="Arial"/>
          <w:color w:val="000000"/>
          <w:sz w:val="20"/>
        </w:rPr>
        <w:t xml:space="preserve">In many ways,the supply of high-quality machine-readable training data is the key enabler of ML.Without access to some underexplored dataset, a team of talented A.I.specialists can be left twiddling their thumbs.Consumer data in the UnitedStates is particularly valuable, but hereagain large incumbents have significant (thoughnot unsurmountable) data advantages over </w:t>
      </w:r>
      <w:r>
        <w:rPr>
          <w:rFonts w:ascii="Arial" w:eastAsia="Arial" w:hAnsi="Arial" w:cs="Arial"/>
          <w:b/>
          <w:i/>
          <w:color w:val="000000"/>
          <w:sz w:val="20"/>
          <w:u w:val="single"/>
        </w:rPr>
        <w:t>startups</w:t>
      </w:r>
      <w:r>
        <w:rPr>
          <w:rFonts w:ascii="Arial" w:eastAsia="Arial" w:hAnsi="Arial" w:cs="Arial"/>
          <w:color w:val="000000"/>
          <w:sz w:val="20"/>
        </w:rPr>
        <w:t>.</w:t>
      </w:r>
    </w:p>
    <w:p w14:paraId="322B181B" w14:textId="77777777" w:rsidR="00054BF0" w:rsidRDefault="00000000">
      <w:pPr>
        <w:spacing w:before="200" w:line="260" w:lineRule="atLeast"/>
        <w:jc w:val="both"/>
      </w:pPr>
      <w:r>
        <w:rPr>
          <w:rFonts w:ascii="Arial" w:eastAsia="Arial" w:hAnsi="Arial" w:cs="Arial"/>
          <w:color w:val="000000"/>
          <w:sz w:val="20"/>
        </w:rPr>
        <w:t xml:space="preserve">But we can potentially create high-leverageopportunities for </w:t>
      </w:r>
      <w:r>
        <w:rPr>
          <w:rFonts w:ascii="Arial" w:eastAsia="Arial" w:hAnsi="Arial" w:cs="Arial"/>
          <w:b/>
          <w:i/>
          <w:color w:val="000000"/>
          <w:sz w:val="20"/>
          <w:u w:val="single"/>
        </w:rPr>
        <w:t>startups</w:t>
      </w:r>
      <w:r>
        <w:rPr>
          <w:rFonts w:ascii="Arial" w:eastAsia="Arial" w:hAnsi="Arial" w:cs="Arial"/>
          <w:color w:val="000000"/>
          <w:sz w:val="20"/>
        </w:rPr>
        <w:t xml:space="preserve"> to compete against established firms if we canincrease the supply of high-quality datasets available to the public. As withincreasing the supply of A.I. talent, this reform will help both incumbents andstartups, but on the margin it will be the smallerfirms with less access to consumer data who benefitmost.</w:t>
      </w:r>
    </w:p>
    <w:p w14:paraId="3A4888F8" w14:textId="77777777" w:rsidR="00054BF0" w:rsidRDefault="00000000">
      <w:pPr>
        <w:spacing w:line="260" w:lineRule="atLeast"/>
        <w:jc w:val="both"/>
      </w:pPr>
      <w:r>
        <w:rPr>
          <w:rFonts w:ascii="Arial" w:eastAsia="Arial" w:hAnsi="Arial" w:cs="Arial"/>
          <w:color w:val="000000"/>
          <w:sz w:val="20"/>
        </w:rPr>
        <w:t>Encourage the Creation of OpenDatasets and Data Sharing</w:t>
      </w:r>
    </w:p>
    <w:p w14:paraId="0BBB5EAD" w14:textId="77777777" w:rsidR="00054BF0" w:rsidRDefault="00000000">
      <w:pPr>
        <w:spacing w:line="260" w:lineRule="atLeast"/>
        <w:jc w:val="both"/>
      </w:pPr>
      <w:r>
        <w:rPr>
          <w:rFonts w:ascii="Arial" w:eastAsia="Arial" w:hAnsi="Arial" w:cs="Arial"/>
          <w:color w:val="000000"/>
          <w:sz w:val="20"/>
        </w:rPr>
        <w:lastRenderedPageBreak/>
        <w:t>One of the easiest ways to begin this process wouldbe a more thorough examination of existing government datasets that are notpublic. As an example of previous projects that were broadly successful,consider the U.S.National Oceanic and Atmospheric Administration and Landsat projects,both of which made weather-satellite data available to the public and, in turn,developed into a multi-billion-dollar industry, creating more accurateforecasts of extreme weather and crop patterns.</w:t>
      </w:r>
    </w:p>
    <w:p w14:paraId="2E2BB863" w14:textId="77777777" w:rsidR="00054BF0" w:rsidRDefault="00000000">
      <w:pPr>
        <w:spacing w:line="260" w:lineRule="atLeast"/>
        <w:jc w:val="both"/>
      </w:pPr>
      <w:r>
        <w:rPr>
          <w:rFonts w:ascii="Arial" w:eastAsia="Arial" w:hAnsi="Arial" w:cs="Arial"/>
          <w:color w:val="000000"/>
          <w:sz w:val="20"/>
        </w:rPr>
        <w:t>There appears to be even more potential fromdatasets the government owns but has not made public. For example, many citiesand municipalities have useful data around traffic patterns, electricity usageand business development that, if made accessible, could lead to reduced-cost service provision andbetter analytics.</w:t>
      </w:r>
    </w:p>
    <w:p w14:paraId="5E4D87E1" w14:textId="77777777" w:rsidR="00054BF0" w:rsidRDefault="00000000">
      <w:pPr>
        <w:spacing w:line="260" w:lineRule="atLeast"/>
        <w:jc w:val="both"/>
      </w:pPr>
      <w:r>
        <w:rPr>
          <w:rFonts w:ascii="Arial" w:eastAsia="Arial" w:hAnsi="Arial" w:cs="Arial"/>
          <w:color w:val="000000"/>
          <w:sz w:val="20"/>
        </w:rPr>
        <w:t>There is also the matter of industries in whichopen data might become the norm if existing regulations are relaxed orstreamlined. The healthcare industry seems a particularly promising target inthis respect, as the Health Insurance Portability and Accountability Act(HIPAA) has long</w:t>
      </w:r>
    </w:p>
    <w:p w14:paraId="5F629B60" w14:textId="77777777" w:rsidR="00054BF0" w:rsidRDefault="00000000">
      <w:pPr>
        <w:spacing w:line="260" w:lineRule="atLeast"/>
        <w:jc w:val="both"/>
      </w:pPr>
      <w:r>
        <w:rPr>
          <w:rFonts w:ascii="Arial" w:eastAsia="Arial" w:hAnsi="Arial" w:cs="Arial"/>
          <w:color w:val="000000"/>
          <w:sz w:val="20"/>
        </w:rPr>
        <w:t>been considered a barrier to the development of data sharing betweenmedical professionals and companies. Allowing consumer healthdata to be more easily shared with the proper privacy safeguards couldenable a renaissance in drug development and personalized medicine, as recent ML advances have proven quite promisingwhen appropriate data have been available.</w:t>
      </w:r>
    </w:p>
    <w:p w14:paraId="64EFAD81" w14:textId="77777777" w:rsidR="00054BF0" w:rsidRDefault="00000000">
      <w:pPr>
        <w:spacing w:before="200" w:line="260" w:lineRule="atLeast"/>
        <w:jc w:val="both"/>
      </w:pPr>
      <w:r>
        <w:rPr>
          <w:rFonts w:ascii="Arial" w:eastAsia="Arial" w:hAnsi="Arial" w:cs="Arial"/>
          <w:color w:val="000000"/>
          <w:sz w:val="20"/>
        </w:rPr>
        <w:t xml:space="preserve">Each new datasetthat can be easily shared or, when appropriate, made public, increases the odds both that anew </w:t>
      </w:r>
      <w:r>
        <w:rPr>
          <w:rFonts w:ascii="Arial" w:eastAsia="Arial" w:hAnsi="Arial" w:cs="Arial"/>
          <w:b/>
          <w:i/>
          <w:color w:val="000000"/>
          <w:sz w:val="20"/>
          <w:u w:val="single"/>
        </w:rPr>
        <w:t>startup</w:t>
      </w:r>
      <w:r>
        <w:rPr>
          <w:rFonts w:ascii="Arial" w:eastAsia="Arial" w:hAnsi="Arial" w:cs="Arial"/>
          <w:color w:val="000000"/>
          <w:sz w:val="20"/>
        </w:rPr>
        <w:t xml:space="preserve"> will be able to leverage it for success, and also that a newindustry can thrive around the increased predictive analysis the releaseddata has enabled.For recent advances in A.I. to diffusethroughout the economy, we must makesure the underlying data is accessible.</w:t>
      </w:r>
    </w:p>
    <w:p w14:paraId="59E022D3" w14:textId="77777777" w:rsidR="00054BF0" w:rsidRDefault="00000000">
      <w:pPr>
        <w:spacing w:line="260" w:lineRule="atLeast"/>
        <w:jc w:val="both"/>
      </w:pPr>
      <w:r>
        <w:rPr>
          <w:rFonts w:ascii="Arial" w:eastAsia="Arial" w:hAnsi="Arial" w:cs="Arial"/>
          <w:color w:val="000000"/>
          <w:sz w:val="20"/>
        </w:rPr>
        <w:t>Clarify the Fair-Use Exemption forTraining Data</w:t>
      </w:r>
    </w:p>
    <w:p w14:paraId="06A4E740" w14:textId="77777777" w:rsidR="00054BF0" w:rsidRDefault="00000000">
      <w:pPr>
        <w:spacing w:line="260" w:lineRule="atLeast"/>
        <w:jc w:val="both"/>
      </w:pPr>
      <w:r>
        <w:rPr>
          <w:rFonts w:ascii="Arial" w:eastAsia="Arial" w:hAnsi="Arial" w:cs="Arial"/>
          <w:color w:val="000000"/>
          <w:sz w:val="20"/>
        </w:rPr>
        <w:t>In addition to making more government datasets opensource, we should also take a second look at some of the intellectual propertylaws that intersect and interact with the ML process, specifically copyright law.</w:t>
      </w:r>
    </w:p>
    <w:p w14:paraId="7F48399E" w14:textId="77777777" w:rsidR="00054BF0" w:rsidRDefault="00000000">
      <w:pPr>
        <w:spacing w:before="200" w:line="260" w:lineRule="atLeast"/>
        <w:jc w:val="both"/>
      </w:pPr>
      <w:r>
        <w:rPr>
          <w:rFonts w:ascii="Arial" w:eastAsia="Arial" w:hAnsi="Arial" w:cs="Arial"/>
          <w:color w:val="000000"/>
          <w:sz w:val="20"/>
        </w:rPr>
        <w:t xml:space="preserve">Imagine a hypothetical </w:t>
      </w:r>
      <w:r>
        <w:rPr>
          <w:rFonts w:ascii="Arial" w:eastAsia="Arial" w:hAnsi="Arial" w:cs="Arial"/>
          <w:b/>
          <w:i/>
          <w:color w:val="000000"/>
          <w:sz w:val="20"/>
          <w:u w:val="single"/>
        </w:rPr>
        <w:t>startup</w:t>
      </w:r>
      <w:r>
        <w:rPr>
          <w:rFonts w:ascii="Arial" w:eastAsia="Arial" w:hAnsi="Arial" w:cs="Arial"/>
          <w:color w:val="000000"/>
          <w:sz w:val="20"/>
        </w:rPr>
        <w:t xml:space="preserve"> focused on thecreation of a natural-language-processing application. One readily available source of humandialogue the companymight consider learning from would be the last 50 years of Hollywood scripts,many of whichare scrapable fromvarious online databases. Such an endeavor, however, would standon legally dubiousgrounds, as these scripts remain copyrighted worksand there have not been clear legal guidelines established to delineate whatis allowable as fair usein ML training data. Giventhis uncertainty, it is morelikely that such a </w:t>
      </w:r>
      <w:r>
        <w:rPr>
          <w:rFonts w:ascii="Arial" w:eastAsia="Arial" w:hAnsi="Arial" w:cs="Arial"/>
          <w:b/>
          <w:i/>
          <w:color w:val="000000"/>
          <w:sz w:val="20"/>
          <w:u w:val="single"/>
        </w:rPr>
        <w:t>startup</w:t>
      </w:r>
      <w:r>
        <w:rPr>
          <w:rFonts w:ascii="Arial" w:eastAsia="Arial" w:hAnsi="Arial" w:cs="Arial"/>
          <w:color w:val="000000"/>
          <w:sz w:val="20"/>
        </w:rPr>
        <w:t xml:space="preserve"> would avoid this potential legal minefieldand consider what other datasets might be availablewith less risk.</w:t>
      </w:r>
    </w:p>
    <w:p w14:paraId="10D76B85" w14:textId="77777777" w:rsidR="00054BF0" w:rsidRDefault="00000000">
      <w:pPr>
        <w:spacing w:line="260" w:lineRule="atLeast"/>
        <w:jc w:val="both"/>
      </w:pPr>
      <w:r>
        <w:rPr>
          <w:rFonts w:ascii="Arial" w:eastAsia="Arial" w:hAnsi="Arial" w:cs="Arial"/>
          <w:color w:val="000000"/>
          <w:sz w:val="20"/>
        </w:rPr>
        <w:t>Such is the ambiguous state of copyrightenforcement in ML today. And it may also have important and underexploredapplications for the state of competition in A.I.</w:t>
      </w:r>
    </w:p>
    <w:p w14:paraId="33449061" w14:textId="77777777" w:rsidR="00054BF0" w:rsidRDefault="00000000">
      <w:pPr>
        <w:spacing w:line="260" w:lineRule="atLeast"/>
        <w:jc w:val="both"/>
      </w:pPr>
      <w:r>
        <w:rPr>
          <w:rFonts w:ascii="Arial" w:eastAsia="Arial" w:hAnsi="Arial" w:cs="Arial"/>
          <w:color w:val="000000"/>
          <w:sz w:val="20"/>
        </w:rPr>
        <w:t>There are an enormous numberof copyrighted worksthat are scrapable from the Internet, the data of which iscurrently underexploited in part because of its legally dubious standing ifused as training data. This reform could represent, then, a significant leverto create new arbitrage opportunities for scrappystartups willing to find and leverage interesting datasets.</w:t>
      </w:r>
    </w:p>
    <w:p w14:paraId="6863A284" w14:textId="77777777" w:rsidR="00054BF0" w:rsidRDefault="00000000">
      <w:pPr>
        <w:spacing w:line="260" w:lineRule="atLeast"/>
        <w:jc w:val="both"/>
      </w:pPr>
      <w:r>
        <w:rPr>
          <w:rFonts w:ascii="Arial" w:eastAsia="Arial" w:hAnsi="Arial" w:cs="Arial"/>
          <w:color w:val="000000"/>
          <w:sz w:val="20"/>
        </w:rPr>
        <w:t>Given the existing ambiguity around theissue and thelarge potential benefits to be reaped,further study and clarification of the legalstatus of trainingdata in copyright law should be a top prioritywhen considering new ways to boost the prospects of competition and innovation in the A.I. space.</w:t>
      </w:r>
    </w:p>
    <w:p w14:paraId="515E9485" w14:textId="77777777" w:rsidR="00054BF0" w:rsidRDefault="00000000">
      <w:pPr>
        <w:spacing w:line="260" w:lineRule="atLeast"/>
        <w:jc w:val="both"/>
      </w:pPr>
      <w:r>
        <w:rPr>
          <w:rFonts w:ascii="Arial" w:eastAsia="Arial" w:hAnsi="Arial" w:cs="Arial"/>
          <w:color w:val="000000"/>
          <w:sz w:val="20"/>
        </w:rPr>
        <w:t>Access to Specialized Hardware</w:t>
      </w:r>
    </w:p>
    <w:p w14:paraId="347481BE" w14:textId="77777777" w:rsidR="00054BF0" w:rsidRDefault="00000000">
      <w:pPr>
        <w:spacing w:line="260" w:lineRule="atLeast"/>
        <w:jc w:val="both"/>
      </w:pPr>
      <w:r>
        <w:rPr>
          <w:rFonts w:ascii="Arial" w:eastAsia="Arial" w:hAnsi="Arial" w:cs="Arial"/>
          <w:color w:val="000000"/>
          <w:sz w:val="20"/>
        </w:rPr>
        <w:t>Underlying the data being used to train ML modelsand the data scientists who are building them is the physical infrastructure ofthe A.I. world. This primarily takes the form of the computer servers</w:t>
      </w:r>
    </w:p>
    <w:p w14:paraId="74A21E2D" w14:textId="77777777" w:rsidR="00054BF0" w:rsidRDefault="00000000">
      <w:pPr>
        <w:spacing w:before="200" w:line="260" w:lineRule="atLeast"/>
        <w:jc w:val="both"/>
      </w:pPr>
      <w:r>
        <w:rPr>
          <w:rFonts w:ascii="Arial" w:eastAsia="Arial" w:hAnsi="Arial" w:cs="Arial"/>
          <w:color w:val="000000"/>
          <w:sz w:val="20"/>
        </w:rPr>
        <w:t xml:space="preserve">and chipsets that ML models are trained andoperated on. In recent years, this hardware has become increasingly specialized to keep </w:t>
      </w:r>
      <w:r>
        <w:rPr>
          <w:rFonts w:ascii="Arial" w:eastAsia="Arial" w:hAnsi="Arial" w:cs="Arial"/>
          <w:b/>
          <w:i/>
          <w:color w:val="000000"/>
          <w:sz w:val="20"/>
          <w:u w:val="single"/>
        </w:rPr>
        <w:t>up</w:t>
      </w:r>
      <w:r>
        <w:rPr>
          <w:rFonts w:ascii="Arial" w:eastAsia="Arial" w:hAnsi="Arial" w:cs="Arial"/>
          <w:color w:val="000000"/>
          <w:sz w:val="20"/>
        </w:rPr>
        <w:t xml:space="preserve"> with the pace of A.I. development.</w:t>
      </w:r>
    </w:p>
    <w:p w14:paraId="0A6CA17B" w14:textId="77777777" w:rsidR="00054BF0" w:rsidRDefault="00000000">
      <w:pPr>
        <w:spacing w:before="200" w:line="260" w:lineRule="atLeast"/>
        <w:jc w:val="both"/>
      </w:pPr>
      <w:r>
        <w:rPr>
          <w:rFonts w:ascii="Arial" w:eastAsia="Arial" w:hAnsi="Arial" w:cs="Arial"/>
          <w:color w:val="000000"/>
          <w:sz w:val="20"/>
        </w:rPr>
        <w:t xml:space="preserve">While a naturaland necessary partof the A.I. development process,such a trend toward specialized hardware does increase the fixed costsrequired to be competitive. This cost manifests not only in theexpense of these systems, but in the elaborate supplychains that have been built </w:t>
      </w:r>
      <w:r>
        <w:rPr>
          <w:rFonts w:ascii="Arial" w:eastAsia="Arial" w:hAnsi="Arial" w:cs="Arial"/>
          <w:b/>
          <w:i/>
          <w:color w:val="000000"/>
          <w:sz w:val="20"/>
          <w:u w:val="single"/>
        </w:rPr>
        <w:t>up</w:t>
      </w:r>
      <w:r>
        <w:rPr>
          <w:rFonts w:ascii="Arial" w:eastAsia="Arial" w:hAnsi="Arial" w:cs="Arial"/>
          <w:color w:val="000000"/>
          <w:sz w:val="20"/>
        </w:rPr>
        <w:t xml:space="preserve"> to supportthem. While the policy recommendations that flow out of this insight are less clearcut than those for the supply of A.I. analysts ordatasets, maintaining access to valuable A.I. hardware is a key policy consideration.</w:t>
      </w:r>
    </w:p>
    <w:p w14:paraId="047BAC5A" w14:textId="77777777" w:rsidR="00054BF0" w:rsidRDefault="00000000">
      <w:pPr>
        <w:spacing w:line="260" w:lineRule="atLeast"/>
        <w:jc w:val="both"/>
      </w:pPr>
      <w:r>
        <w:rPr>
          <w:rFonts w:ascii="Arial" w:eastAsia="Arial" w:hAnsi="Arial" w:cs="Arial"/>
          <w:color w:val="000000"/>
          <w:sz w:val="20"/>
        </w:rPr>
        <w:t>Avoid Political Instability inInternational Supply Chains</w:t>
      </w:r>
    </w:p>
    <w:p w14:paraId="178FA2CF" w14:textId="77777777" w:rsidR="00054BF0" w:rsidRDefault="00000000">
      <w:pPr>
        <w:spacing w:line="260" w:lineRule="atLeast"/>
        <w:jc w:val="both"/>
      </w:pPr>
      <w:r>
        <w:rPr>
          <w:rFonts w:ascii="Arial" w:eastAsia="Arial" w:hAnsi="Arial" w:cs="Arial"/>
          <w:color w:val="000000"/>
          <w:sz w:val="20"/>
        </w:rPr>
        <w:lastRenderedPageBreak/>
        <w:t>As A.I. hardware becomes more specialized, the supply chainsfor very specific chips become a critical ingredient for cutting-edgeML research. While the United States maintains advanced manufacturing facilities that are vitalto the supply chain, much of the production for particularparts (like back-end semiconductor fabrication) have been outsourced. Given the importance of chip foundries in Taiwan andChina in particular, the perceived stability of trade in the regionwill alter investment patternsand domestic accessto these sophisticated chips.</w:t>
      </w:r>
    </w:p>
    <w:p w14:paraId="7C6595D2" w14:textId="77777777" w:rsidR="00054BF0" w:rsidRDefault="00000000">
      <w:pPr>
        <w:spacing w:before="200" w:line="260" w:lineRule="atLeast"/>
        <w:jc w:val="both"/>
      </w:pPr>
      <w:r>
        <w:rPr>
          <w:rFonts w:ascii="Arial" w:eastAsia="Arial" w:hAnsi="Arial" w:cs="Arial"/>
          <w:color w:val="000000"/>
          <w:sz w:val="20"/>
        </w:rPr>
        <w:t xml:space="preserve">To ensure accessin spite of political tensions, large companies suchas Apple, Google,and Nvidia are beginning to re-shore production of especially valuable chips. Smaller competitors and </w:t>
      </w:r>
      <w:r>
        <w:rPr>
          <w:rFonts w:ascii="Arial" w:eastAsia="Arial" w:hAnsi="Arial" w:cs="Arial"/>
          <w:b/>
          <w:i/>
          <w:color w:val="000000"/>
          <w:sz w:val="20"/>
          <w:u w:val="single"/>
        </w:rPr>
        <w:t>startups</w:t>
      </w:r>
      <w:r>
        <w:rPr>
          <w:rFonts w:ascii="Arial" w:eastAsia="Arial" w:hAnsi="Arial" w:cs="Arial"/>
          <w:color w:val="000000"/>
          <w:sz w:val="20"/>
        </w:rPr>
        <w:t>,however, are much more limitedin this capacityand thus are more relianton existing international supply chains.</w:t>
      </w:r>
    </w:p>
    <w:p w14:paraId="60318316" w14:textId="77777777" w:rsidR="00054BF0" w:rsidRDefault="00000000">
      <w:pPr>
        <w:spacing w:line="260" w:lineRule="atLeast"/>
        <w:jc w:val="both"/>
      </w:pPr>
      <w:r>
        <w:rPr>
          <w:rFonts w:ascii="Arial" w:eastAsia="Arial" w:hAnsi="Arial" w:cs="Arial"/>
          <w:color w:val="000000"/>
          <w:sz w:val="20"/>
        </w:rPr>
        <w:t>Insofar as recent U.S. trade tensions with Chinahave increased the perceived instability of regional trade, thedisparate impact this instability will have on smaller firms should berecognized.</w:t>
      </w:r>
    </w:p>
    <w:p w14:paraId="667ECF1D" w14:textId="77777777" w:rsidR="00054BF0" w:rsidRDefault="00000000">
      <w:pPr>
        <w:spacing w:line="260" w:lineRule="atLeast"/>
        <w:jc w:val="both"/>
      </w:pPr>
      <w:r>
        <w:rPr>
          <w:rFonts w:ascii="Arial" w:eastAsia="Arial" w:hAnsi="Arial" w:cs="Arial"/>
          <w:color w:val="000000"/>
          <w:sz w:val="20"/>
        </w:rPr>
        <w:t>Ultimately, new foundries andsemiconductor manufacturing plantswill shift wherever they are most profitable. Accordingly, in the event of a long-term trade war, production could eventuallyshift elsewhere. Tradetensions, however, willcertainly shape short-and medium-term accessto specialized hardware.</w:t>
      </w:r>
    </w:p>
    <w:p w14:paraId="29DC697F" w14:textId="77777777" w:rsidR="00054BF0" w:rsidRDefault="00000000">
      <w:pPr>
        <w:spacing w:line="260" w:lineRule="atLeast"/>
        <w:jc w:val="both"/>
      </w:pPr>
      <w:r>
        <w:rPr>
          <w:rFonts w:ascii="Arial" w:eastAsia="Arial" w:hAnsi="Arial" w:cs="Arial"/>
          <w:color w:val="000000"/>
          <w:sz w:val="20"/>
        </w:rPr>
        <w:t>Maintain a Healthy Ecosystem AroundDistributed Platforms</w:t>
      </w:r>
    </w:p>
    <w:p w14:paraId="07C7FE70" w14:textId="77777777" w:rsidR="00054BF0" w:rsidRDefault="00000000">
      <w:pPr>
        <w:spacing w:line="260" w:lineRule="atLeast"/>
        <w:jc w:val="both"/>
      </w:pPr>
      <w:r>
        <w:rPr>
          <w:rFonts w:ascii="Arial" w:eastAsia="Arial" w:hAnsi="Arial" w:cs="Arial"/>
          <w:color w:val="000000"/>
          <w:sz w:val="20"/>
        </w:rPr>
        <w:t>The other significant trend in A.I. hardware utilization is the growthof cloud-computing platforms such as Amazon Web Services (AWS)and the GoogleCloud platform. Cloudcomputing has notable pro-competitive effects in that it transforms what is normallya fixed costin server capacity into a variable one.Allowing a startupto buy onlythe discrete serverspace they willneed for thatmonth significantly reduces the amount of venture capitalneeded to get a companyoff the ground.</w:t>
      </w:r>
    </w:p>
    <w:p w14:paraId="1E78C53D" w14:textId="77777777" w:rsidR="00054BF0" w:rsidRDefault="00000000">
      <w:pPr>
        <w:spacing w:before="200" w:line="260" w:lineRule="atLeast"/>
        <w:jc w:val="both"/>
      </w:pPr>
      <w:r>
        <w:rPr>
          <w:rFonts w:ascii="Arial" w:eastAsia="Arial" w:hAnsi="Arial" w:cs="Arial"/>
          <w:color w:val="000000"/>
          <w:sz w:val="20"/>
        </w:rPr>
        <w:t xml:space="preserve">This becomes even more important asA.I. hardware becomes more specialized. Requiring a </w:t>
      </w:r>
      <w:r>
        <w:rPr>
          <w:rFonts w:ascii="Arial" w:eastAsia="Arial" w:hAnsi="Arial" w:cs="Arial"/>
          <w:b/>
          <w:i/>
          <w:color w:val="000000"/>
          <w:sz w:val="20"/>
          <w:u w:val="single"/>
        </w:rPr>
        <w:t>startup</w:t>
      </w:r>
      <w:r>
        <w:rPr>
          <w:rFonts w:ascii="Arial" w:eastAsia="Arial" w:hAnsi="Arial" w:cs="Arial"/>
          <w:color w:val="000000"/>
          <w:sz w:val="20"/>
        </w:rPr>
        <w:t xml:space="preserve"> to buy differentchips for the various life cycles of training and operating an ML algorithmwould be a significant financial outlay and almost certainly hurt the abilityof </w:t>
      </w:r>
      <w:r>
        <w:rPr>
          <w:rFonts w:ascii="Arial" w:eastAsia="Arial" w:hAnsi="Arial" w:cs="Arial"/>
          <w:b/>
          <w:i/>
          <w:color w:val="000000"/>
          <w:sz w:val="20"/>
          <w:u w:val="single"/>
        </w:rPr>
        <w:t>startups</w:t>
      </w:r>
      <w:r>
        <w:rPr>
          <w:rFonts w:ascii="Arial" w:eastAsia="Arial" w:hAnsi="Arial" w:cs="Arial"/>
          <w:color w:val="000000"/>
          <w:sz w:val="20"/>
        </w:rPr>
        <w:t xml:space="preserve"> to compete.</w:t>
      </w:r>
    </w:p>
    <w:p w14:paraId="1A3371A1" w14:textId="77777777" w:rsidR="00054BF0" w:rsidRDefault="00000000">
      <w:pPr>
        <w:spacing w:line="260" w:lineRule="atLeast"/>
        <w:jc w:val="both"/>
      </w:pPr>
      <w:r>
        <w:rPr>
          <w:rFonts w:ascii="Arial" w:eastAsia="Arial" w:hAnsi="Arial" w:cs="Arial"/>
          <w:color w:val="000000"/>
          <w:sz w:val="20"/>
        </w:rPr>
        <w:t>Fortunately, both AWS and GoogleCloud have been competing with one another by adding</w:t>
      </w:r>
    </w:p>
    <w:p w14:paraId="429AF75E" w14:textId="77777777" w:rsidR="00054BF0" w:rsidRDefault="00000000">
      <w:pPr>
        <w:spacing w:before="200" w:line="260" w:lineRule="atLeast"/>
        <w:jc w:val="both"/>
      </w:pPr>
      <w:r>
        <w:rPr>
          <w:rFonts w:ascii="Arial" w:eastAsia="Arial" w:hAnsi="Arial" w:cs="Arial"/>
          <w:color w:val="000000"/>
          <w:sz w:val="20"/>
        </w:rPr>
        <w:t xml:space="preserve">specialized A.I. hardware as a part of theirplatform offerings. This offering essentially allows </w:t>
      </w:r>
      <w:r>
        <w:rPr>
          <w:rFonts w:ascii="Arial" w:eastAsia="Arial" w:hAnsi="Arial" w:cs="Arial"/>
          <w:b/>
          <w:i/>
          <w:color w:val="000000"/>
          <w:sz w:val="20"/>
          <w:u w:val="single"/>
        </w:rPr>
        <w:t>startups</w:t>
      </w:r>
      <w:r>
        <w:rPr>
          <w:rFonts w:ascii="Arial" w:eastAsia="Arial" w:hAnsi="Arial" w:cs="Arial"/>
          <w:color w:val="000000"/>
          <w:sz w:val="20"/>
        </w:rPr>
        <w:t xml:space="preserve"> to spread out theincreased fixed costs of specialized hardware over a longer time horizon, whichmakes it more manageable.</w:t>
      </w:r>
    </w:p>
    <w:p w14:paraId="4E10AEBC" w14:textId="77777777" w:rsidR="00054BF0" w:rsidRDefault="00000000">
      <w:pPr>
        <w:spacing w:before="200" w:line="260" w:lineRule="atLeast"/>
        <w:jc w:val="both"/>
      </w:pPr>
      <w:r>
        <w:rPr>
          <w:rFonts w:ascii="Arial" w:eastAsia="Arial" w:hAnsi="Arial" w:cs="Arial"/>
          <w:color w:val="000000"/>
          <w:sz w:val="20"/>
        </w:rPr>
        <w:t xml:space="preserve">In addition to the physical servers themselves,cloud computing companies are increasingly offering ML services suchas voice recognition, translation, and imagerecognition to savestartups the hassle of building theirown software tools for each discrete task. Again, it is difficult to understate how much easierthis makes the process of launching a </w:t>
      </w:r>
      <w:r>
        <w:rPr>
          <w:rFonts w:ascii="Arial" w:eastAsia="Arial" w:hAnsi="Arial" w:cs="Arial"/>
          <w:b/>
          <w:i/>
          <w:color w:val="000000"/>
          <w:sz w:val="20"/>
          <w:u w:val="single"/>
        </w:rPr>
        <w:t>startup</w:t>
      </w:r>
      <w:r>
        <w:rPr>
          <w:rFonts w:ascii="Arial" w:eastAsia="Arial" w:hAnsi="Arial" w:cs="Arial"/>
          <w:color w:val="000000"/>
          <w:sz w:val="20"/>
        </w:rPr>
        <w:t>, and it is a very positivedevelopment for the overall healthof the A.I. ecosystem.</w:t>
      </w:r>
    </w:p>
    <w:p w14:paraId="710C371D" w14:textId="77777777" w:rsidR="00054BF0" w:rsidRDefault="00000000">
      <w:pPr>
        <w:spacing w:line="260" w:lineRule="atLeast"/>
        <w:jc w:val="both"/>
      </w:pPr>
      <w:r>
        <w:rPr>
          <w:rFonts w:ascii="Arial" w:eastAsia="Arial" w:hAnsi="Arial" w:cs="Arial"/>
          <w:color w:val="000000"/>
          <w:sz w:val="20"/>
        </w:rPr>
        <w:t>As this portion of the ecosystem largely seems tobe developing in a healthy manner, the United States should be careful to avoid data-localization laws, excessive privacylaws, and otherlegislative efforts that mightdisrupt the carefulbalance. On the whole, recommendations for this areashould largely follow the Hippocratic Oath and "First,do no harm."</w:t>
      </w:r>
    </w:p>
    <w:p w14:paraId="7CAB450C" w14:textId="77777777" w:rsidR="00054BF0" w:rsidRDefault="00000000">
      <w:pPr>
        <w:spacing w:line="260" w:lineRule="atLeast"/>
        <w:jc w:val="both"/>
      </w:pPr>
      <w:r>
        <w:rPr>
          <w:rFonts w:ascii="Arial" w:eastAsia="Arial" w:hAnsi="Arial" w:cs="Arial"/>
          <w:color w:val="000000"/>
          <w:sz w:val="20"/>
        </w:rPr>
        <w:t>What About Antitrust?</w:t>
      </w:r>
    </w:p>
    <w:p w14:paraId="5184E4C1" w14:textId="77777777" w:rsidR="00054BF0" w:rsidRDefault="00000000">
      <w:pPr>
        <w:spacing w:line="260" w:lineRule="atLeast"/>
        <w:jc w:val="both"/>
      </w:pPr>
      <w:r>
        <w:rPr>
          <w:rFonts w:ascii="Arial" w:eastAsia="Arial" w:hAnsi="Arial" w:cs="Arial"/>
          <w:color w:val="000000"/>
          <w:sz w:val="20"/>
        </w:rPr>
        <w:t>It is worth contrasting this general approach ofreducing barriers to entry with another commonly cited remedy: strongerantitrust enforcement.While concern over the level of domestic competition faced by large tech firmsis, of course, not unique to A.I., it has certainly raised the stakes given howcentral the technology is to their current and future business models.</w:t>
      </w:r>
    </w:p>
    <w:p w14:paraId="7248A2A4" w14:textId="77777777" w:rsidR="00054BF0" w:rsidRDefault="00000000">
      <w:pPr>
        <w:spacing w:line="260" w:lineRule="atLeast"/>
        <w:jc w:val="both"/>
      </w:pPr>
      <w:r>
        <w:rPr>
          <w:rFonts w:ascii="Arial" w:eastAsia="Arial" w:hAnsi="Arial" w:cs="Arial"/>
          <w:color w:val="000000"/>
          <w:sz w:val="20"/>
        </w:rPr>
        <w:t>Traditional antitrust measures, however, may proveto be both fairly difficult to implement and high risk for dealing with thisperceived problem. After all, there are many plausible arguments supporting the current consolidated structure of the A.I. industry, particularly those thatemphasize the importance of cross-cutting technical expertise,and the ability to leverage data and services from one business application to another.</w:t>
      </w:r>
    </w:p>
    <w:p w14:paraId="6794684F" w14:textId="77777777" w:rsidR="00054BF0" w:rsidRDefault="00000000">
      <w:pPr>
        <w:spacing w:before="200" w:line="260" w:lineRule="atLeast"/>
        <w:jc w:val="both"/>
      </w:pPr>
      <w:r>
        <w:rPr>
          <w:rFonts w:ascii="Arial" w:eastAsia="Arial" w:hAnsi="Arial" w:cs="Arial"/>
          <w:color w:val="000000"/>
          <w:sz w:val="20"/>
        </w:rPr>
        <w:t xml:space="preserve">If critics are right, breaking </w:t>
      </w:r>
      <w:r>
        <w:rPr>
          <w:rFonts w:ascii="Arial" w:eastAsia="Arial" w:hAnsi="Arial" w:cs="Arial"/>
          <w:b/>
          <w:i/>
          <w:color w:val="000000"/>
          <w:sz w:val="20"/>
          <w:u w:val="single"/>
        </w:rPr>
        <w:t>up</w:t>
      </w:r>
      <w:r>
        <w:rPr>
          <w:rFonts w:ascii="Arial" w:eastAsia="Arial" w:hAnsi="Arial" w:cs="Arial"/>
          <w:color w:val="000000"/>
          <w:sz w:val="20"/>
        </w:rPr>
        <w:t xml:space="preserve"> or activelyrestricting the mergeractivities of largetech firms could lead to more innovation in the long run. If these companies are indeed leveraging their significantmarket power to make it harder for </w:t>
      </w:r>
      <w:r>
        <w:rPr>
          <w:rFonts w:ascii="Arial" w:eastAsia="Arial" w:hAnsi="Arial" w:cs="Arial"/>
          <w:b/>
          <w:i/>
          <w:color w:val="000000"/>
          <w:sz w:val="20"/>
          <w:u w:val="single"/>
        </w:rPr>
        <w:t>startups</w:t>
      </w:r>
      <w:r>
        <w:rPr>
          <w:rFonts w:ascii="Arial" w:eastAsia="Arial" w:hAnsi="Arial" w:cs="Arial"/>
          <w:color w:val="000000"/>
          <w:sz w:val="20"/>
        </w:rPr>
        <w:t xml:space="preserve"> to compete with them, breaking themup or constraining them could be a remedy.</w:t>
      </w:r>
    </w:p>
    <w:p w14:paraId="43728CEB" w14:textId="77777777" w:rsidR="00054BF0" w:rsidRDefault="00000000">
      <w:pPr>
        <w:spacing w:before="200" w:line="260" w:lineRule="atLeast"/>
        <w:jc w:val="both"/>
      </w:pPr>
      <w:r>
        <w:rPr>
          <w:rFonts w:ascii="Arial" w:eastAsia="Arial" w:hAnsi="Arial" w:cs="Arial"/>
          <w:color w:val="000000"/>
          <w:sz w:val="20"/>
        </w:rPr>
        <w:t xml:space="preserve">If critics are wrong aboutthe optimal marketstructure of A.I.development and strongantitrust action is pursued,however, the consequences could be dire.An increasing amountof evidence suggests thata small sliverof </w:t>
      </w:r>
      <w:r>
        <w:rPr>
          <w:rFonts w:ascii="Arial" w:eastAsia="Arial" w:hAnsi="Arial" w:cs="Arial"/>
          <w:color w:val="000000"/>
          <w:sz w:val="20"/>
        </w:rPr>
        <w:lastRenderedPageBreak/>
        <w:t xml:space="preserve">firms on the technological frontier have beenresponsible for the lion's share of productivity gainsin the economy. Breaking </w:t>
      </w:r>
      <w:r>
        <w:rPr>
          <w:rFonts w:ascii="Arial" w:eastAsia="Arial" w:hAnsi="Arial" w:cs="Arial"/>
          <w:b/>
          <w:i/>
          <w:color w:val="000000"/>
          <w:sz w:val="20"/>
          <w:u w:val="single"/>
        </w:rPr>
        <w:t>up</w:t>
      </w:r>
      <w:r>
        <w:rPr>
          <w:rFonts w:ascii="Arial" w:eastAsia="Arial" w:hAnsi="Arial" w:cs="Arial"/>
          <w:color w:val="000000"/>
          <w:sz w:val="20"/>
        </w:rPr>
        <w:t xml:space="preserve"> these largetech firms potentially risks killing the goose that lays the golden egg.</w:t>
      </w:r>
    </w:p>
    <w:p w14:paraId="1C94F4A1" w14:textId="77777777" w:rsidR="00054BF0" w:rsidRDefault="00000000">
      <w:pPr>
        <w:spacing w:line="260" w:lineRule="atLeast"/>
        <w:jc w:val="both"/>
      </w:pPr>
      <w:r>
        <w:rPr>
          <w:rFonts w:ascii="Arial" w:eastAsia="Arial" w:hAnsi="Arial" w:cs="Arial"/>
          <w:color w:val="000000"/>
          <w:sz w:val="20"/>
        </w:rPr>
        <w:t>By contrast, focusing on lower barriers to entry isa fairly low-risk strategy for injecting more competition into the A.I.landscape. If the United Statescan make it easier forstartups to compete against large, established incumbents, it increases the likelihood of achieving the boosts to</w:t>
      </w:r>
    </w:p>
    <w:p w14:paraId="1979957D" w14:textId="77777777" w:rsidR="00054BF0" w:rsidRDefault="00000000">
      <w:pPr>
        <w:spacing w:before="200" w:line="260" w:lineRule="atLeast"/>
        <w:jc w:val="both"/>
      </w:pPr>
      <w:r>
        <w:rPr>
          <w:rFonts w:ascii="Arial" w:eastAsia="Arial" w:hAnsi="Arial" w:cs="Arial"/>
          <w:color w:val="000000"/>
          <w:sz w:val="20"/>
        </w:rPr>
        <w:t xml:space="preserve">dynamism and innovation that antitrust advocateschampion. Further, it would do so without risking the destruction of thecurrent market equilibrium that is producing significant gains for consumers and for thebroader economy. If incumbents can withstand the Schumpeterian windsof increased competition from </w:t>
      </w:r>
      <w:r>
        <w:rPr>
          <w:rFonts w:ascii="Arial" w:eastAsia="Arial" w:hAnsi="Arial" w:cs="Arial"/>
          <w:b/>
          <w:i/>
          <w:color w:val="000000"/>
          <w:sz w:val="20"/>
          <w:u w:val="single"/>
        </w:rPr>
        <w:t>startups</w:t>
      </w:r>
      <w:r>
        <w:rPr>
          <w:rFonts w:ascii="Arial" w:eastAsia="Arial" w:hAnsi="Arial" w:cs="Arial"/>
          <w:color w:val="000000"/>
          <w:sz w:val="20"/>
        </w:rPr>
        <w:t>, it is all the betterfor them.</w:t>
      </w:r>
    </w:p>
    <w:p w14:paraId="68689D72" w14:textId="77777777" w:rsidR="00054BF0" w:rsidRDefault="00000000">
      <w:pPr>
        <w:spacing w:before="200" w:line="260" w:lineRule="atLeast"/>
        <w:jc w:val="both"/>
      </w:pPr>
      <w:r>
        <w:rPr>
          <w:rFonts w:ascii="Arial" w:eastAsia="Arial" w:hAnsi="Arial" w:cs="Arial"/>
          <w:color w:val="000000"/>
          <w:sz w:val="20"/>
        </w:rPr>
        <w:t xml:space="preserve">As this essaysuggests, there are significant barriersto entry in A.I. development that have boosted the market power of incumbentfirms. If, in the absence of these barriers, new </w:t>
      </w:r>
      <w:r>
        <w:rPr>
          <w:rFonts w:ascii="Arial" w:eastAsia="Arial" w:hAnsi="Arial" w:cs="Arial"/>
          <w:b/>
          <w:i/>
          <w:color w:val="000000"/>
          <w:sz w:val="20"/>
          <w:u w:val="single"/>
        </w:rPr>
        <w:t>startups</w:t>
      </w:r>
      <w:r>
        <w:rPr>
          <w:rFonts w:ascii="Arial" w:eastAsia="Arial" w:hAnsi="Arial" w:cs="Arial"/>
          <w:color w:val="000000"/>
          <w:sz w:val="20"/>
        </w:rPr>
        <w:t xml:space="preserve"> can successfullycompete, it will be a win for innovation, consumers and for the dynamism of theeconomy as a whole. To ensure a competitive and innovative ecosystem goingforward, policymakers should prioritize reducing the barriersto entry as our first line of defense.</w:t>
      </w:r>
    </w:p>
    <w:p w14:paraId="106D11BB" w14:textId="77777777" w:rsidR="00054BF0" w:rsidRDefault="00000000">
      <w:pPr>
        <w:spacing w:line="260" w:lineRule="atLeast"/>
        <w:jc w:val="both"/>
      </w:pPr>
      <w:r>
        <w:rPr>
          <w:rFonts w:ascii="Arial" w:eastAsia="Arial" w:hAnsi="Arial" w:cs="Arial"/>
          <w:color w:val="000000"/>
          <w:sz w:val="20"/>
        </w:rPr>
        <w:t>The post A Framework for Increasing Competition and Diffusion in Artificial Intelligence appeared first on R Street.</w:t>
      </w:r>
    </w:p>
    <w:p w14:paraId="434DFB50"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16, 2019</w:t>
      </w:r>
    </w:p>
    <w:p w14:paraId="21AF17BD" w14:textId="77777777" w:rsidR="00054BF0" w:rsidRDefault="00054BF0"/>
    <w:p w14:paraId="552E61CF" w14:textId="77777777" w:rsidR="00054BF0" w:rsidRDefault="00000000">
      <w:pPr>
        <w:ind w:left="200"/>
        <w:sectPr w:rsidR="00054BF0">
          <w:type w:val="continuous"/>
          <w:pgSz w:w="12240" w:h="15840"/>
          <w:pgMar w:top="840" w:right="1000" w:bottom="840" w:left="1000" w:header="400" w:footer="400" w:gutter="0"/>
          <w:cols w:space="720"/>
        </w:sectPr>
      </w:pPr>
      <w:r>
        <w:br/>
      </w:r>
      <w:r>
        <w:pict w14:anchorId="6A43E07A">
          <v:line id="_x0000_s2069" style="position:absolute;left:0;text-align:left;z-index:251670528;mso-position-horizontal-relative:text;mso-position-vertical-relative:text" from="0,10pt" to="512pt,10pt" strokeweight="1pt"/>
        </w:pict>
      </w:r>
      <w:r>
        <w:rPr>
          <w:rFonts w:ascii="Arial" w:eastAsia="Arial" w:hAnsi="Arial" w:cs="Arial"/>
          <w:b/>
          <w:color w:val="767676"/>
          <w:sz w:val="16"/>
        </w:rPr>
        <w:t>End of Document</w:t>
      </w:r>
    </w:p>
    <w:p w14:paraId="6F6B2C38" w14:textId="77777777" w:rsidR="00054BF0" w:rsidRDefault="00054BF0">
      <w:pPr>
        <w:sectPr w:rsidR="00054BF0">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gutter="0"/>
          <w:cols w:space="720"/>
          <w:titlePg/>
        </w:sectPr>
      </w:pPr>
    </w:p>
    <w:p w14:paraId="7D8C615E" w14:textId="77777777" w:rsidR="00054BF0" w:rsidRDefault="00054BF0">
      <w:bookmarkStart w:id="12" w:name="Bookmark_7"/>
      <w:bookmarkEnd w:id="12"/>
    </w:p>
    <w:p w14:paraId="0D804B43" w14:textId="77777777" w:rsidR="00054BF0" w:rsidRDefault="00BE2275">
      <w:r>
        <w:pict w14:anchorId="49078AC7">
          <v:shape id="_x0000_i1034" type="#_x0000_t75" alt="LexisNexis®" style="width:148pt;height:30pt">
            <v:imagedata r:id="rId6" o:title=""/>
          </v:shape>
        </w:pict>
      </w:r>
      <w:r w:rsidR="00A540D1">
        <w:cr/>
      </w:r>
    </w:p>
    <w:p w14:paraId="0DD4036A" w14:textId="77777777" w:rsidR="00054BF0" w:rsidRDefault="00000000">
      <w:pPr>
        <w:spacing w:before="240" w:after="200" w:line="340" w:lineRule="atLeast"/>
        <w:jc w:val="center"/>
        <w:outlineLvl w:val="0"/>
        <w:rPr>
          <w:rFonts w:ascii="Arial" w:hAnsi="Arial" w:cs="Arial"/>
          <w:b/>
          <w:bCs/>
          <w:kern w:val="32"/>
          <w:sz w:val="32"/>
          <w:szCs w:val="32"/>
        </w:rPr>
      </w:pPr>
      <w:hyperlink r:id="rId215" w:history="1">
        <w:r>
          <w:rPr>
            <w:rFonts w:ascii="Arial" w:eastAsia="Arial" w:hAnsi="Arial" w:cs="Arial"/>
            <w:b/>
            <w:bCs/>
            <w:i/>
            <w:color w:val="0077CC"/>
            <w:kern w:val="32"/>
            <w:sz w:val="28"/>
            <w:szCs w:val="32"/>
            <w:u w:val="single"/>
            <w:shd w:val="clear" w:color="auto" w:fill="FFFFFF"/>
          </w:rPr>
          <w:t>These founders took the road less travelled to reap rewards</w:t>
        </w:r>
      </w:hyperlink>
    </w:p>
    <w:p w14:paraId="1993A438" w14:textId="77777777" w:rsidR="00054BF0" w:rsidRDefault="00000000">
      <w:pPr>
        <w:spacing w:before="120" w:line="260" w:lineRule="atLeast"/>
        <w:jc w:val="center"/>
      </w:pPr>
      <w:r>
        <w:rPr>
          <w:rFonts w:ascii="Arial" w:eastAsia="Arial" w:hAnsi="Arial" w:cs="Arial"/>
          <w:color w:val="000000"/>
          <w:sz w:val="20"/>
        </w:rPr>
        <w:t>MINT</w:t>
      </w:r>
    </w:p>
    <w:p w14:paraId="500FC059" w14:textId="77777777" w:rsidR="00054BF0" w:rsidRDefault="00000000">
      <w:pPr>
        <w:spacing w:before="120" w:line="260" w:lineRule="atLeast"/>
        <w:jc w:val="center"/>
      </w:pPr>
      <w:r>
        <w:rPr>
          <w:rFonts w:ascii="Arial" w:eastAsia="Arial" w:hAnsi="Arial" w:cs="Arial"/>
          <w:color w:val="000000"/>
          <w:sz w:val="20"/>
        </w:rPr>
        <w:t>December 14, 2020 Monday</w:t>
      </w:r>
    </w:p>
    <w:p w14:paraId="07530588" w14:textId="77777777" w:rsidR="00054BF0" w:rsidRDefault="00054BF0">
      <w:pPr>
        <w:spacing w:line="240" w:lineRule="atLeast"/>
        <w:jc w:val="both"/>
      </w:pPr>
    </w:p>
    <w:p w14:paraId="1707D4CD" w14:textId="77777777" w:rsidR="00054BF0" w:rsidRDefault="00000000">
      <w:pPr>
        <w:spacing w:before="120" w:line="220" w:lineRule="atLeast"/>
      </w:pPr>
      <w:r>
        <w:br/>
      </w:r>
      <w:r>
        <w:rPr>
          <w:rFonts w:ascii="Arial" w:eastAsia="Arial" w:hAnsi="Arial" w:cs="Arial"/>
          <w:color w:val="000000"/>
          <w:sz w:val="16"/>
        </w:rPr>
        <w:t>Copyright 2020 HT Media Ltd. All Rights Reserved</w:t>
      </w:r>
    </w:p>
    <w:p w14:paraId="227B7E43"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860 words</w:t>
      </w:r>
    </w:p>
    <w:p w14:paraId="76A7963F"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63BDAC9" w14:textId="77777777" w:rsidR="00054BF0" w:rsidRDefault="00000000">
      <w:pPr>
        <w:keepNext/>
        <w:spacing w:before="240" w:line="340" w:lineRule="atLeast"/>
      </w:pPr>
      <w:bookmarkStart w:id="13" w:name="Body_5"/>
      <w:bookmarkEnd w:id="13"/>
      <w:r>
        <w:rPr>
          <w:rFonts w:ascii="Arial" w:eastAsia="Arial" w:hAnsi="Arial" w:cs="Arial"/>
          <w:b/>
          <w:color w:val="000000"/>
          <w:sz w:val="28"/>
        </w:rPr>
        <w:t>Body</w:t>
      </w:r>
    </w:p>
    <w:p w14:paraId="11451A14" w14:textId="77777777" w:rsidR="00054BF0" w:rsidRDefault="00000000">
      <w:pPr>
        <w:spacing w:line="60" w:lineRule="exact"/>
      </w:pPr>
      <w:r>
        <w:pict w14:anchorId="4163C1B2">
          <v:line id="_x0000_s2071" style="position:absolute;z-index:251671552" from="0,2pt" to="512pt,2pt" strokecolor="#009ddb" strokeweight="2pt">
            <w10:wrap type="topAndBottom"/>
          </v:line>
        </w:pict>
      </w:r>
    </w:p>
    <w:p w14:paraId="23062891" w14:textId="77777777" w:rsidR="00054BF0" w:rsidRDefault="00054BF0"/>
    <w:p w14:paraId="3E4EF81A" w14:textId="77777777" w:rsidR="00054BF0" w:rsidRDefault="00000000">
      <w:pPr>
        <w:spacing w:before="200" w:line="260" w:lineRule="atLeast"/>
        <w:jc w:val="both"/>
      </w:pPr>
      <w:r>
        <w:rPr>
          <w:rFonts w:ascii="Arial" w:eastAsia="Arial" w:hAnsi="Arial" w:cs="Arial"/>
          <w:color w:val="000000"/>
          <w:sz w:val="20"/>
        </w:rPr>
        <w:t xml:space="preserve">New Delhi, Dec. 14 -- The Silicon Valley venture capital (VC) model followed around the world has an investment thesis skewed towards finding mega winners. The acquisition of Flipkart for $18 billion by Walmart in 2018 gave its early backer Accel India a manifold return that more than made </w:t>
      </w:r>
      <w:r>
        <w:rPr>
          <w:rFonts w:ascii="Arial" w:eastAsia="Arial" w:hAnsi="Arial" w:cs="Arial"/>
          <w:b/>
          <w:i/>
          <w:color w:val="000000"/>
          <w:sz w:val="20"/>
          <w:u w:val="single"/>
        </w:rPr>
        <w:t>up</w:t>
      </w:r>
      <w:r>
        <w:rPr>
          <w:rFonts w:ascii="Arial" w:eastAsia="Arial" w:hAnsi="Arial" w:cs="Arial"/>
          <w:color w:val="000000"/>
          <w:sz w:val="20"/>
        </w:rPr>
        <w:t xml:space="preserve"> for any "</w:t>
      </w:r>
      <w:r>
        <w:rPr>
          <w:rFonts w:ascii="Arial" w:eastAsia="Arial" w:hAnsi="Arial" w:cs="Arial"/>
          <w:b/>
          <w:i/>
          <w:color w:val="000000"/>
          <w:sz w:val="20"/>
          <w:u w:val="single"/>
        </w:rPr>
        <w:t>failures</w:t>
      </w:r>
      <w:r>
        <w:rPr>
          <w:rFonts w:ascii="Arial" w:eastAsia="Arial" w:hAnsi="Arial" w:cs="Arial"/>
          <w:color w:val="000000"/>
          <w:sz w:val="20"/>
        </w:rPr>
        <w:t xml:space="preserve">" of other </w:t>
      </w:r>
      <w:r>
        <w:rPr>
          <w:rFonts w:ascii="Arial" w:eastAsia="Arial" w:hAnsi="Arial" w:cs="Arial"/>
          <w:b/>
          <w:i/>
          <w:color w:val="000000"/>
          <w:sz w:val="20"/>
          <w:u w:val="single"/>
        </w:rPr>
        <w:t>startups</w:t>
      </w:r>
      <w:r>
        <w:rPr>
          <w:rFonts w:ascii="Arial" w:eastAsia="Arial" w:hAnsi="Arial" w:cs="Arial"/>
          <w:color w:val="000000"/>
          <w:sz w:val="20"/>
        </w:rPr>
        <w:t xml:space="preserve"> in its portfolio. A Facebook initial public offering in 2012 gave the California VC a reported 1,000-fold return on its $12.7 million investment seven years earlier.</w:t>
      </w:r>
    </w:p>
    <w:p w14:paraId="7690C479" w14:textId="77777777" w:rsidR="00054BF0" w:rsidRDefault="00000000">
      <w:pPr>
        <w:spacing w:before="200" w:line="260" w:lineRule="atLeast"/>
        <w:jc w:val="both"/>
      </w:pPr>
      <w:r>
        <w:rPr>
          <w:rFonts w:ascii="Arial" w:eastAsia="Arial" w:hAnsi="Arial" w:cs="Arial"/>
          <w:color w:val="000000"/>
          <w:sz w:val="20"/>
        </w:rPr>
        <w:t xml:space="preserve">While such stories hog the headlines, there's many a tale of a </w:t>
      </w:r>
      <w:r>
        <w:rPr>
          <w:rFonts w:ascii="Arial" w:eastAsia="Arial" w:hAnsi="Arial" w:cs="Arial"/>
          <w:b/>
          <w:i/>
          <w:color w:val="000000"/>
          <w:sz w:val="20"/>
          <w:u w:val="single"/>
        </w:rPr>
        <w:t>startup</w:t>
      </w:r>
      <w:r>
        <w:rPr>
          <w:rFonts w:ascii="Arial" w:eastAsia="Arial" w:hAnsi="Arial" w:cs="Arial"/>
          <w:color w:val="000000"/>
          <w:sz w:val="20"/>
        </w:rPr>
        <w:t xml:space="preserve"> fallen by the wayside in this quest for a "hockey stick" growth trajectory. While a VC focuses on the top 10% of its </w:t>
      </w:r>
      <w:r>
        <w:rPr>
          <w:rFonts w:ascii="Arial" w:eastAsia="Arial" w:hAnsi="Arial" w:cs="Arial"/>
          <w:b/>
          <w:i/>
          <w:color w:val="000000"/>
          <w:sz w:val="20"/>
          <w:u w:val="single"/>
        </w:rPr>
        <w:t>startups</w:t>
      </w:r>
      <w:r>
        <w:rPr>
          <w:rFonts w:ascii="Arial" w:eastAsia="Arial" w:hAnsi="Arial" w:cs="Arial"/>
          <w:color w:val="000000"/>
          <w:sz w:val="20"/>
        </w:rPr>
        <w:t xml:space="preserve"> that can scale fast by pumping capital into marketing and expansion, others come under pressure to meet growth expectations that may not suit their </w:t>
      </w:r>
      <w:r>
        <w:rPr>
          <w:rFonts w:ascii="Arial" w:eastAsia="Arial" w:hAnsi="Arial" w:cs="Arial"/>
          <w:b/>
          <w:i/>
          <w:color w:val="000000"/>
          <w:sz w:val="20"/>
          <w:u w:val="single"/>
        </w:rPr>
        <w:t>startups</w:t>
      </w:r>
      <w:r>
        <w:rPr>
          <w:rFonts w:ascii="Arial" w:eastAsia="Arial" w:hAnsi="Arial" w:cs="Arial"/>
          <w:color w:val="000000"/>
          <w:sz w:val="20"/>
        </w:rPr>
        <w:t>.</w:t>
      </w:r>
    </w:p>
    <w:p w14:paraId="2ACE5DA7" w14:textId="77777777" w:rsidR="00054BF0" w:rsidRDefault="00000000">
      <w:pPr>
        <w:spacing w:before="200" w:line="260" w:lineRule="atLeast"/>
        <w:jc w:val="both"/>
      </w:pPr>
      <w:r>
        <w:rPr>
          <w:rFonts w:ascii="Arial" w:eastAsia="Arial" w:hAnsi="Arial" w:cs="Arial"/>
          <w:color w:val="000000"/>
          <w:sz w:val="20"/>
        </w:rPr>
        <w:t>Also read: Why your health plan premium is suddenly spiking</w:t>
      </w:r>
    </w:p>
    <w:p w14:paraId="49EBA7B5" w14:textId="77777777" w:rsidR="00054BF0" w:rsidRDefault="00000000">
      <w:pPr>
        <w:spacing w:before="200" w:line="260" w:lineRule="atLeast"/>
        <w:jc w:val="both"/>
      </w:pPr>
      <w:r>
        <w:rPr>
          <w:rFonts w:ascii="Arial" w:eastAsia="Arial" w:hAnsi="Arial" w:cs="Arial"/>
          <w:color w:val="000000"/>
          <w:sz w:val="20"/>
        </w:rPr>
        <w:t xml:space="preserve">This has prompted a new breed of </w:t>
      </w:r>
      <w:r>
        <w:rPr>
          <w:rFonts w:ascii="Arial" w:eastAsia="Arial" w:hAnsi="Arial" w:cs="Arial"/>
          <w:b/>
          <w:i/>
          <w:color w:val="000000"/>
          <w:sz w:val="20"/>
          <w:u w:val="single"/>
        </w:rPr>
        <w:t>startup</w:t>
      </w:r>
      <w:r>
        <w:rPr>
          <w:rFonts w:ascii="Arial" w:eastAsia="Arial" w:hAnsi="Arial" w:cs="Arial"/>
          <w:color w:val="000000"/>
          <w:sz w:val="20"/>
        </w:rPr>
        <w:t xml:space="preserve"> founders who push back against such a model. And supporting them are alternative VCs like Indie.vc, TinySeed and Earnest Capital that are positioned to back founders aiming for modest revenue-led growth rather than being rocketships.</w:t>
      </w:r>
    </w:p>
    <w:p w14:paraId="708DB500" w14:textId="77777777" w:rsidR="00054BF0" w:rsidRDefault="00000000">
      <w:pPr>
        <w:spacing w:before="200" w:line="260" w:lineRule="atLeast"/>
        <w:jc w:val="both"/>
      </w:pPr>
      <w:r>
        <w:rPr>
          <w:rFonts w:ascii="Arial" w:eastAsia="Arial" w:hAnsi="Arial" w:cs="Arial"/>
          <w:color w:val="000000"/>
          <w:sz w:val="20"/>
        </w:rPr>
        <w:t xml:space="preserve">The classic case is that of San Francisco-based Gumroad, whose founder Sahil Lavingia raised millions of dollars from top-tier VCs when he was 19 years old. After a couple of years, growth stalled. The business was still going </w:t>
      </w:r>
      <w:r>
        <w:rPr>
          <w:rFonts w:ascii="Arial" w:eastAsia="Arial" w:hAnsi="Arial" w:cs="Arial"/>
          <w:b/>
          <w:i/>
          <w:color w:val="000000"/>
          <w:sz w:val="20"/>
          <w:u w:val="single"/>
        </w:rPr>
        <w:t>up</w:t>
      </w:r>
      <w:r>
        <w:rPr>
          <w:rFonts w:ascii="Arial" w:eastAsia="Arial" w:hAnsi="Arial" w:cs="Arial"/>
          <w:color w:val="000000"/>
          <w:sz w:val="20"/>
        </w:rPr>
        <w:t>, "but we were venture-funded, which was like playing a game of double or nothing", wrote Lavingia in a blog post.</w:t>
      </w:r>
    </w:p>
    <w:p w14:paraId="0765B092" w14:textId="77777777" w:rsidR="00054BF0" w:rsidRDefault="00000000">
      <w:pPr>
        <w:spacing w:before="200" w:line="260" w:lineRule="atLeast"/>
        <w:jc w:val="both"/>
      </w:pPr>
      <w:r>
        <w:rPr>
          <w:rFonts w:ascii="Arial" w:eastAsia="Arial" w:hAnsi="Arial" w:cs="Arial"/>
          <w:color w:val="000000"/>
          <w:sz w:val="20"/>
        </w:rPr>
        <w:t>To cut a long story short, Gumroad got written off by its lead VCs, but Lavingia stayed the course to build a profitable company that creates value for its users, without measuring his success in terms of becoming a unicorn in valuation.</w:t>
      </w:r>
    </w:p>
    <w:p w14:paraId="63339659" w14:textId="77777777" w:rsidR="00054BF0" w:rsidRDefault="00000000">
      <w:pPr>
        <w:spacing w:before="200" w:line="260" w:lineRule="atLeast"/>
        <w:jc w:val="both"/>
      </w:pPr>
      <w:r>
        <w:rPr>
          <w:rFonts w:ascii="Arial" w:eastAsia="Arial" w:hAnsi="Arial" w:cs="Arial"/>
          <w:color w:val="000000"/>
          <w:sz w:val="20"/>
        </w:rPr>
        <w:t>Alternative path</w:t>
      </w:r>
    </w:p>
    <w:p w14:paraId="4D1BAED8" w14:textId="77777777" w:rsidR="00054BF0" w:rsidRDefault="00000000">
      <w:pPr>
        <w:spacing w:before="200" w:line="260" w:lineRule="atLeast"/>
        <w:jc w:val="both"/>
      </w:pPr>
      <w:r>
        <w:rPr>
          <w:rFonts w:ascii="Arial" w:eastAsia="Arial" w:hAnsi="Arial" w:cs="Arial"/>
          <w:color w:val="000000"/>
          <w:sz w:val="20"/>
        </w:rPr>
        <w:t xml:space="preserve">Many SaaS (software-as-a-service) </w:t>
      </w:r>
      <w:r>
        <w:rPr>
          <w:rFonts w:ascii="Arial" w:eastAsia="Arial" w:hAnsi="Arial" w:cs="Arial"/>
          <w:b/>
          <w:i/>
          <w:color w:val="000000"/>
          <w:sz w:val="20"/>
          <w:u w:val="single"/>
        </w:rPr>
        <w:t>startups</w:t>
      </w:r>
      <w:r>
        <w:rPr>
          <w:rFonts w:ascii="Arial" w:eastAsia="Arial" w:hAnsi="Arial" w:cs="Arial"/>
          <w:color w:val="000000"/>
          <w:sz w:val="20"/>
        </w:rPr>
        <w:t xml:space="preserve"> out of India making a dent in global markets are similarly drawn towards this alternative path. "You don't need a lot of venture capital to build a software product. Go-to-market (GTM) is where it gets expensive and that's where large VC rounds are raised. In our case, we decided we could not afford a marketing-led GTM. We wanted a product-led GTM," says Vijay Rayapati, founder of Minjar in Bengaluru, which got acquired in 2018 by US-based Nutanix for an undisclosed amount, rumoured to be around $50 million. The total funding it had raised was $2 million.</w:t>
      </w:r>
    </w:p>
    <w:p w14:paraId="3A0F7E7E" w14:textId="77777777" w:rsidR="00054BF0" w:rsidRDefault="00000000">
      <w:pPr>
        <w:spacing w:before="200" w:line="260" w:lineRule="atLeast"/>
        <w:jc w:val="both"/>
      </w:pPr>
      <w:r>
        <w:rPr>
          <w:rFonts w:ascii="Arial" w:eastAsia="Arial" w:hAnsi="Arial" w:cs="Arial"/>
          <w:color w:val="000000"/>
          <w:sz w:val="20"/>
        </w:rPr>
        <w:lastRenderedPageBreak/>
        <w:t xml:space="preserve">Rayapati was influenced by an article he read early on in his </w:t>
      </w:r>
      <w:r>
        <w:rPr>
          <w:rFonts w:ascii="Arial" w:eastAsia="Arial" w:hAnsi="Arial" w:cs="Arial"/>
          <w:b/>
          <w:i/>
          <w:color w:val="000000"/>
          <w:sz w:val="20"/>
          <w:u w:val="single"/>
        </w:rPr>
        <w:t>startup</w:t>
      </w:r>
      <w:r>
        <w:rPr>
          <w:rFonts w:ascii="Arial" w:eastAsia="Arial" w:hAnsi="Arial" w:cs="Arial"/>
          <w:color w:val="000000"/>
          <w:sz w:val="20"/>
        </w:rPr>
        <w:t xml:space="preserve"> journey that began in 2013. It made the point that a founder who raises $2 million and sells a company for $30 million often makes the same amount of money as a founder who raises $40-50 million and sells a company for $200 million. "I didn't believe in raising a lot of venture capital because then you would have to show high growth, which puts pressure," he explains.</w:t>
      </w:r>
    </w:p>
    <w:p w14:paraId="7F74826F" w14:textId="77777777" w:rsidR="00054BF0" w:rsidRDefault="00000000">
      <w:pPr>
        <w:spacing w:before="200" w:line="260" w:lineRule="atLeast"/>
        <w:jc w:val="both"/>
      </w:pPr>
      <w:r>
        <w:rPr>
          <w:rFonts w:ascii="Arial" w:eastAsia="Arial" w:hAnsi="Arial" w:cs="Arial"/>
          <w:color w:val="000000"/>
          <w:sz w:val="20"/>
        </w:rPr>
        <w:t>"A VC can have a portfolio of 50 companies and he would always put pressure on growth. It doesn't matter so much to a VC if one company works out or not as long as he gets a few big winners in his portfolio. But for you as a founder, this is the only thing you are doing."</w:t>
      </w:r>
    </w:p>
    <w:p w14:paraId="33BCD449" w14:textId="77777777" w:rsidR="00054BF0" w:rsidRDefault="00000000">
      <w:pPr>
        <w:spacing w:before="200" w:line="260" w:lineRule="atLeast"/>
        <w:jc w:val="both"/>
      </w:pPr>
      <w:r>
        <w:rPr>
          <w:rFonts w:ascii="Arial" w:eastAsia="Arial" w:hAnsi="Arial" w:cs="Arial"/>
          <w:color w:val="000000"/>
          <w:sz w:val="20"/>
        </w:rPr>
        <w:t xml:space="preserve">Another Bengaluru SaaS </w:t>
      </w:r>
      <w:r>
        <w:rPr>
          <w:rFonts w:ascii="Arial" w:eastAsia="Arial" w:hAnsi="Arial" w:cs="Arial"/>
          <w:b/>
          <w:i/>
          <w:color w:val="000000"/>
          <w:sz w:val="20"/>
          <w:u w:val="single"/>
        </w:rPr>
        <w:t>startup</w:t>
      </w:r>
      <w:r>
        <w:rPr>
          <w:rFonts w:ascii="Arial" w:eastAsia="Arial" w:hAnsi="Arial" w:cs="Arial"/>
          <w:color w:val="000000"/>
          <w:sz w:val="20"/>
        </w:rPr>
        <w:t xml:space="preserve"> that eschewed VC funding was Recruiterbox. The HR tech company was bootstrapped through its seven-year journey to profitable growth before being sold to San Francisco-based Turn/River Capital in 2018 for an undisclosed amount.</w:t>
      </w:r>
    </w:p>
    <w:p w14:paraId="6E28C703" w14:textId="77777777" w:rsidR="00054BF0" w:rsidRDefault="00000000">
      <w:pPr>
        <w:spacing w:before="200" w:line="260" w:lineRule="atLeast"/>
        <w:jc w:val="both"/>
      </w:pPr>
      <w:r>
        <w:rPr>
          <w:rFonts w:ascii="Arial" w:eastAsia="Arial" w:hAnsi="Arial" w:cs="Arial"/>
          <w:color w:val="000000"/>
          <w:sz w:val="20"/>
        </w:rPr>
        <w:t>"As with a lot of B2B (business-to-business) SaaS, we were very quick to get revenue. We were basically reinvesting our revenue into the business. We deliberated raising funds but we were not convinced we had the right strategy," recalls Raj Sheth, who was Recruiterbox's co-founder and CEO.</w:t>
      </w:r>
    </w:p>
    <w:p w14:paraId="2D67BDC5" w14:textId="77777777" w:rsidR="00054BF0" w:rsidRDefault="00000000">
      <w:pPr>
        <w:spacing w:before="200" w:line="260" w:lineRule="atLeast"/>
        <w:jc w:val="both"/>
      </w:pPr>
      <w:r>
        <w:rPr>
          <w:rFonts w:ascii="Arial" w:eastAsia="Arial" w:hAnsi="Arial" w:cs="Arial"/>
          <w:color w:val="000000"/>
          <w:sz w:val="20"/>
        </w:rPr>
        <w:t>Around three years into its journey, Recruiterbox got an angel investor in Freeman Murray, a tech entrepreneur who co-founded Jaaga as a collaborative space for the artist and techie communities in Bengaluru.</w:t>
      </w:r>
    </w:p>
    <w:p w14:paraId="7FE7F5D2" w14:textId="77777777" w:rsidR="00054BF0" w:rsidRDefault="00000000">
      <w:pPr>
        <w:spacing w:before="200" w:line="260" w:lineRule="atLeast"/>
        <w:jc w:val="both"/>
      </w:pPr>
      <w:r>
        <w:rPr>
          <w:rFonts w:ascii="Arial" w:eastAsia="Arial" w:hAnsi="Arial" w:cs="Arial"/>
          <w:color w:val="000000"/>
          <w:sz w:val="20"/>
        </w:rPr>
        <w:t xml:space="preserve">Murray agreed to provide capital as debt instead of taking equity because Recruiterbox already had enough revenue to show by then. Recruiterbox needed the debt to fuel its growth and Murray's contribution was handy at a time when loans for </w:t>
      </w:r>
      <w:r>
        <w:rPr>
          <w:rFonts w:ascii="Arial" w:eastAsia="Arial" w:hAnsi="Arial" w:cs="Arial"/>
          <w:b/>
          <w:i/>
          <w:color w:val="000000"/>
          <w:sz w:val="20"/>
          <w:u w:val="single"/>
        </w:rPr>
        <w:t>startups</w:t>
      </w:r>
      <w:r>
        <w:rPr>
          <w:rFonts w:ascii="Arial" w:eastAsia="Arial" w:hAnsi="Arial" w:cs="Arial"/>
          <w:color w:val="000000"/>
          <w:sz w:val="20"/>
        </w:rPr>
        <w:t xml:space="preserve"> were not readily available.</w:t>
      </w:r>
    </w:p>
    <w:p w14:paraId="00CE6F88" w14:textId="77777777" w:rsidR="00054BF0" w:rsidRDefault="00000000">
      <w:pPr>
        <w:spacing w:before="200" w:line="260" w:lineRule="atLeast"/>
        <w:jc w:val="both"/>
      </w:pPr>
      <w:r>
        <w:rPr>
          <w:rFonts w:ascii="Arial" w:eastAsia="Arial" w:hAnsi="Arial" w:cs="Arial"/>
          <w:color w:val="000000"/>
          <w:sz w:val="20"/>
        </w:rPr>
        <w:t>Better options</w:t>
      </w:r>
    </w:p>
    <w:p w14:paraId="0A9959CD" w14:textId="77777777" w:rsidR="00054BF0" w:rsidRDefault="00000000">
      <w:pPr>
        <w:spacing w:before="200" w:line="260" w:lineRule="atLeast"/>
        <w:jc w:val="both"/>
      </w:pPr>
      <w:r>
        <w:rPr>
          <w:rFonts w:ascii="Arial" w:eastAsia="Arial" w:hAnsi="Arial" w:cs="Arial"/>
          <w:color w:val="000000"/>
          <w:sz w:val="20"/>
        </w:rPr>
        <w:t xml:space="preserve">That has changed. Venture debt from the likes of Alteria, Innoven and Trifecta was available for </w:t>
      </w:r>
      <w:r>
        <w:rPr>
          <w:rFonts w:ascii="Arial" w:eastAsia="Arial" w:hAnsi="Arial" w:cs="Arial"/>
          <w:b/>
          <w:i/>
          <w:color w:val="000000"/>
          <w:sz w:val="20"/>
          <w:u w:val="single"/>
        </w:rPr>
        <w:t>startups</w:t>
      </w:r>
      <w:r>
        <w:rPr>
          <w:rFonts w:ascii="Arial" w:eastAsia="Arial" w:hAnsi="Arial" w:cs="Arial"/>
          <w:color w:val="000000"/>
          <w:sz w:val="20"/>
        </w:rPr>
        <w:t xml:space="preserve"> that had raised series A or later stage funding. Now, entities like Startuploan have brought venture debt to even the pre-series A stage for </w:t>
      </w:r>
      <w:r>
        <w:rPr>
          <w:rFonts w:ascii="Arial" w:eastAsia="Arial" w:hAnsi="Arial" w:cs="Arial"/>
          <w:b/>
          <w:i/>
          <w:color w:val="000000"/>
          <w:sz w:val="20"/>
          <w:u w:val="single"/>
        </w:rPr>
        <w:t>startups</w:t>
      </w:r>
      <w:r>
        <w:rPr>
          <w:rFonts w:ascii="Arial" w:eastAsia="Arial" w:hAnsi="Arial" w:cs="Arial"/>
          <w:color w:val="000000"/>
          <w:sz w:val="20"/>
        </w:rPr>
        <w:t xml:space="preserve"> reluctant to dilute their equity too much.</w:t>
      </w:r>
    </w:p>
    <w:p w14:paraId="3816B317" w14:textId="77777777" w:rsidR="00054BF0" w:rsidRDefault="00000000">
      <w:pPr>
        <w:spacing w:before="200" w:line="260" w:lineRule="atLeast"/>
        <w:jc w:val="both"/>
      </w:pPr>
      <w:r>
        <w:rPr>
          <w:rFonts w:ascii="Arial" w:eastAsia="Arial" w:hAnsi="Arial" w:cs="Arial"/>
          <w:color w:val="000000"/>
          <w:sz w:val="20"/>
        </w:rPr>
        <w:t>There are different derisking models at such an early stage. GetVantage, for example, provides revenue-based financing but restricts the usage of the debt to sales and marketing where return on investment can be tracked. Startuploan provides unrestricted debt but takes a small equity stake.</w:t>
      </w:r>
    </w:p>
    <w:p w14:paraId="59E13F60" w14:textId="77777777" w:rsidR="00054BF0" w:rsidRDefault="00000000">
      <w:pPr>
        <w:spacing w:before="200" w:line="260" w:lineRule="atLeast"/>
        <w:jc w:val="both"/>
      </w:pPr>
      <w:r>
        <w:rPr>
          <w:rFonts w:ascii="Arial" w:eastAsia="Arial" w:hAnsi="Arial" w:cs="Arial"/>
          <w:color w:val="000000"/>
          <w:sz w:val="20"/>
        </w:rPr>
        <w:t xml:space="preserve">"We typically give three to four times the monthly revenue of a </w:t>
      </w:r>
      <w:r>
        <w:rPr>
          <w:rFonts w:ascii="Arial" w:eastAsia="Arial" w:hAnsi="Arial" w:cs="Arial"/>
          <w:b/>
          <w:i/>
          <w:color w:val="000000"/>
          <w:sz w:val="20"/>
          <w:u w:val="single"/>
        </w:rPr>
        <w:t>startup</w:t>
      </w:r>
      <w:r>
        <w:rPr>
          <w:rFonts w:ascii="Arial" w:eastAsia="Arial" w:hAnsi="Arial" w:cs="Arial"/>
          <w:color w:val="000000"/>
          <w:sz w:val="20"/>
        </w:rPr>
        <w:t xml:space="preserve"> as the loan amount. It varies from Rs.20 lakh to Rs.1 crore," says Hari Krishnan, co-founder of Startuploan, which has invested in 19 early-stage </w:t>
      </w:r>
      <w:r>
        <w:rPr>
          <w:rFonts w:ascii="Arial" w:eastAsia="Arial" w:hAnsi="Arial" w:cs="Arial"/>
          <w:b/>
          <w:i/>
          <w:color w:val="000000"/>
          <w:sz w:val="20"/>
          <w:u w:val="single"/>
        </w:rPr>
        <w:t>startups</w:t>
      </w:r>
      <w:r>
        <w:rPr>
          <w:rFonts w:ascii="Arial" w:eastAsia="Arial" w:hAnsi="Arial" w:cs="Arial"/>
          <w:color w:val="000000"/>
          <w:sz w:val="20"/>
        </w:rPr>
        <w:t xml:space="preserve"> so far.</w:t>
      </w:r>
    </w:p>
    <w:p w14:paraId="31492915"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216" w:history="1">
        <w:r>
          <w:rPr>
            <w:rFonts w:ascii="Arial" w:eastAsia="Arial" w:hAnsi="Arial" w:cs="Arial"/>
            <w:i/>
            <w:color w:val="0077CC"/>
            <w:sz w:val="20"/>
            <w:u w:val="single"/>
            <w:shd w:val="clear" w:color="auto" w:fill="FFFFFF"/>
          </w:rPr>
          <w:t>contentservices@htlive.com</w:t>
        </w:r>
      </w:hyperlink>
    </w:p>
    <w:p w14:paraId="5EB9D0FC"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14, 2020</w:t>
      </w:r>
    </w:p>
    <w:p w14:paraId="199342E5" w14:textId="77777777" w:rsidR="00054BF0" w:rsidRDefault="00054BF0"/>
    <w:p w14:paraId="4179FB85" w14:textId="77777777" w:rsidR="00054BF0" w:rsidRDefault="00000000">
      <w:pPr>
        <w:ind w:left="200"/>
        <w:sectPr w:rsidR="00054BF0">
          <w:type w:val="continuous"/>
          <w:pgSz w:w="12240" w:h="15840"/>
          <w:pgMar w:top="840" w:right="1000" w:bottom="840" w:left="1000" w:header="400" w:footer="400" w:gutter="0"/>
          <w:cols w:space="720"/>
        </w:sectPr>
      </w:pPr>
      <w:r>
        <w:br/>
      </w:r>
      <w:r>
        <w:pict w14:anchorId="2B0A957E">
          <v:line id="_x0000_s2072" style="position:absolute;left:0;text-align:left;z-index:251672576;mso-position-horizontal-relative:text;mso-position-vertical-relative:text" from="0,10pt" to="512pt,10pt" strokeweight="1pt"/>
        </w:pict>
      </w:r>
      <w:r>
        <w:rPr>
          <w:rFonts w:ascii="Arial" w:eastAsia="Arial" w:hAnsi="Arial" w:cs="Arial"/>
          <w:b/>
          <w:color w:val="767676"/>
          <w:sz w:val="16"/>
        </w:rPr>
        <w:t>End of Document</w:t>
      </w:r>
    </w:p>
    <w:p w14:paraId="7FB2FD39" w14:textId="77777777" w:rsidR="00054BF0" w:rsidRDefault="00054BF0">
      <w:pPr>
        <w:sectPr w:rsidR="00054BF0">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gutter="0"/>
          <w:cols w:space="720"/>
          <w:titlePg/>
        </w:sectPr>
      </w:pPr>
    </w:p>
    <w:p w14:paraId="10A960BB" w14:textId="77777777" w:rsidR="00054BF0" w:rsidRDefault="00054BF0">
      <w:bookmarkStart w:id="14" w:name="Bookmark_8"/>
      <w:bookmarkEnd w:id="14"/>
    </w:p>
    <w:p w14:paraId="4CF0A480" w14:textId="77777777" w:rsidR="00054BF0" w:rsidRDefault="00BE2275">
      <w:r>
        <w:pict w14:anchorId="5015D5B8">
          <v:shape id="_x0000_i1035" type="#_x0000_t75" alt="LexisNexis®" style="width:148pt;height:30pt">
            <v:imagedata r:id="rId6" o:title=""/>
          </v:shape>
        </w:pict>
      </w:r>
      <w:r w:rsidR="00A540D1">
        <w:cr/>
      </w:r>
    </w:p>
    <w:p w14:paraId="46E38FAD" w14:textId="77777777" w:rsidR="00054BF0" w:rsidRDefault="00000000">
      <w:pPr>
        <w:spacing w:before="240" w:after="200" w:line="340" w:lineRule="atLeast"/>
        <w:jc w:val="center"/>
        <w:outlineLvl w:val="0"/>
        <w:rPr>
          <w:rFonts w:ascii="Arial" w:hAnsi="Arial" w:cs="Arial"/>
          <w:b/>
          <w:bCs/>
          <w:kern w:val="32"/>
          <w:sz w:val="32"/>
          <w:szCs w:val="32"/>
        </w:rPr>
      </w:pPr>
      <w:hyperlink r:id="rId223" w:history="1">
        <w:r>
          <w:rPr>
            <w:rFonts w:ascii="Arial" w:eastAsia="Arial" w:hAnsi="Arial" w:cs="Arial"/>
            <w:b/>
            <w:bCs/>
            <w:i/>
            <w:color w:val="0077CC"/>
            <w:kern w:val="32"/>
            <w:sz w:val="28"/>
            <w:szCs w:val="32"/>
            <w:u w:val="single"/>
            <w:shd w:val="clear" w:color="auto" w:fill="FFFFFF"/>
          </w:rPr>
          <w:t>Rivian founder and CEO RJ Scaringe is coming to TechCrunch Disrupt this October</w:t>
        </w:r>
      </w:hyperlink>
    </w:p>
    <w:p w14:paraId="230BBD23" w14:textId="77777777" w:rsidR="00054BF0" w:rsidRDefault="00000000">
      <w:pPr>
        <w:spacing w:before="120" w:line="260" w:lineRule="atLeast"/>
        <w:jc w:val="center"/>
      </w:pPr>
      <w:r>
        <w:rPr>
          <w:rFonts w:ascii="Arial" w:eastAsia="Arial" w:hAnsi="Arial" w:cs="Arial"/>
          <w:color w:val="000000"/>
          <w:sz w:val="20"/>
        </w:rPr>
        <w:t>Indian Technology news</w:t>
      </w:r>
    </w:p>
    <w:p w14:paraId="1463A0AA" w14:textId="77777777" w:rsidR="00054BF0" w:rsidRDefault="00000000">
      <w:pPr>
        <w:spacing w:before="120" w:line="260" w:lineRule="atLeast"/>
        <w:jc w:val="center"/>
      </w:pPr>
      <w:r>
        <w:rPr>
          <w:rFonts w:ascii="Arial" w:eastAsia="Arial" w:hAnsi="Arial" w:cs="Arial"/>
          <w:color w:val="000000"/>
          <w:sz w:val="20"/>
        </w:rPr>
        <w:t>May 13, 2022 Friday</w:t>
      </w:r>
    </w:p>
    <w:p w14:paraId="4D174F08" w14:textId="77777777" w:rsidR="00054BF0" w:rsidRDefault="00054BF0">
      <w:pPr>
        <w:spacing w:line="240" w:lineRule="atLeast"/>
        <w:jc w:val="both"/>
      </w:pPr>
    </w:p>
    <w:p w14:paraId="123FC55E" w14:textId="77777777" w:rsidR="00054BF0"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33836A5C" w14:textId="77777777" w:rsidR="00054BF0" w:rsidRDefault="00000000">
      <w:pPr>
        <w:spacing w:before="120" w:line="220" w:lineRule="atLeast"/>
      </w:pPr>
      <w:r>
        <w:br/>
      </w:r>
      <w:r w:rsidR="00BE2275">
        <w:pict w14:anchorId="70B4D09A">
          <v:shape id="_x0000_i1036" type="#_x0000_t75" style="width:169pt;height:169pt">
            <v:imagedata r:id="rId177" o:title=""/>
          </v:shape>
        </w:pict>
      </w:r>
    </w:p>
    <w:p w14:paraId="539422A3"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415 words</w:t>
      </w:r>
    </w:p>
    <w:p w14:paraId="7501B189"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2022-05-13 13:41:18 </w:t>
      </w:r>
    </w:p>
    <w:p w14:paraId="5D04CB4E" w14:textId="77777777" w:rsidR="00054BF0" w:rsidRDefault="00000000">
      <w:pPr>
        <w:keepNext/>
        <w:spacing w:before="240" w:line="340" w:lineRule="atLeast"/>
      </w:pPr>
      <w:bookmarkStart w:id="15" w:name="Body_6"/>
      <w:bookmarkEnd w:id="15"/>
      <w:r>
        <w:rPr>
          <w:rFonts w:ascii="Arial" w:eastAsia="Arial" w:hAnsi="Arial" w:cs="Arial"/>
          <w:b/>
          <w:color w:val="000000"/>
          <w:sz w:val="28"/>
        </w:rPr>
        <w:t>Body</w:t>
      </w:r>
    </w:p>
    <w:p w14:paraId="1BF856F7" w14:textId="77777777" w:rsidR="00054BF0" w:rsidRDefault="00000000">
      <w:pPr>
        <w:spacing w:line="60" w:lineRule="exact"/>
      </w:pPr>
      <w:r>
        <w:pict w14:anchorId="63B39F33">
          <v:line id="_x0000_s2075" style="position:absolute;z-index:251673600" from="0,2pt" to="512pt,2pt" strokecolor="#009ddb" strokeweight="2pt">
            <w10:wrap type="topAndBottom"/>
          </v:line>
        </w:pict>
      </w:r>
    </w:p>
    <w:p w14:paraId="212CFD3A" w14:textId="77777777" w:rsidR="00054BF0" w:rsidRDefault="00054BF0"/>
    <w:p w14:paraId="55FB5616" w14:textId="77777777" w:rsidR="00054BF0" w:rsidRDefault="00000000">
      <w:pPr>
        <w:spacing w:before="200" w:line="260" w:lineRule="atLeast"/>
        <w:jc w:val="both"/>
      </w:pPr>
      <w:r>
        <w:rPr>
          <w:rFonts w:ascii="Arial" w:eastAsia="Arial" w:hAnsi="Arial" w:cs="Arial"/>
          <w:color w:val="000000"/>
          <w:sz w:val="20"/>
        </w:rPr>
        <w:t xml:space="preserve"> May 13 -- In the growing catalog of EV automakers that have launched in recent years, Rivian is perhaps the buzziest.</w:t>
      </w:r>
    </w:p>
    <w:p w14:paraId="262276CA" w14:textId="77777777" w:rsidR="00054BF0" w:rsidRDefault="00000000">
      <w:pPr>
        <w:spacing w:before="60" w:line="260" w:lineRule="atLeast"/>
        <w:jc w:val="both"/>
      </w:pPr>
      <w:r>
        <w:rPr>
          <w:rFonts w:ascii="Arial" w:eastAsia="Arial" w:hAnsi="Arial" w:cs="Arial"/>
          <w:color w:val="000000"/>
          <w:sz w:val="20"/>
        </w:rPr>
        <w:t>The company's two all-electric vehicles, the R1S SUV and R1T pickup, have captured the attention of consumers and the media. Rivian has wooed a high-profile list of investors, including Coatue, Fidelity Management and Research Company, Ford Motor and funds and accounts advised by T. Rowe Price Associates Inc. And then there's Amazon, which not only backs Rivian, it's also a customer that has ordered 100,000 electric commercial vans.</w:t>
      </w:r>
    </w:p>
    <w:p w14:paraId="1333F356" w14:textId="77777777" w:rsidR="00054BF0" w:rsidRDefault="00000000">
      <w:pPr>
        <w:spacing w:before="200" w:line="260" w:lineRule="atLeast"/>
        <w:jc w:val="both"/>
      </w:pPr>
      <w:r>
        <w:rPr>
          <w:rFonts w:ascii="Arial" w:eastAsia="Arial" w:hAnsi="Arial" w:cs="Arial"/>
          <w:color w:val="000000"/>
          <w:sz w:val="20"/>
        </w:rPr>
        <w:t>But it wasn't until Rivian made its debut as a publicly traded company last November that the attention and scrutiny launched into the stratosphere. And right in the middle of the rapid growth and three vehicle launches, production bottlenecks and supply chain constraints, accolades and factory expansions is founder and CEO RJ Scaringe.</w:t>
      </w:r>
    </w:p>
    <w:p w14:paraId="4B0AD673" w14:textId="77777777" w:rsidR="00054BF0" w:rsidRDefault="00000000">
      <w:pPr>
        <w:spacing w:line="260" w:lineRule="atLeast"/>
        <w:jc w:val="both"/>
      </w:pPr>
      <w:r>
        <w:rPr>
          <w:rFonts w:ascii="Arial" w:eastAsia="Arial" w:hAnsi="Arial" w:cs="Arial"/>
          <w:color w:val="000000"/>
          <w:sz w:val="20"/>
        </w:rPr>
        <w:t> </w:t>
      </w:r>
    </w:p>
    <w:p w14:paraId="79D1DA0F" w14:textId="77777777" w:rsidR="00054BF0" w:rsidRDefault="00000000">
      <w:pPr>
        <w:spacing w:before="200" w:line="260" w:lineRule="atLeast"/>
        <w:jc w:val="both"/>
      </w:pPr>
      <w:r>
        <w:rPr>
          <w:rFonts w:ascii="Arial" w:eastAsia="Arial" w:hAnsi="Arial" w:cs="Arial"/>
          <w:color w:val="000000"/>
          <w:sz w:val="20"/>
        </w:rPr>
        <w:t xml:space="preserve">We're excited to announce that Scaringe will join us on stage at TechCrunch Disrupt, our annual conference that brings together the best and brightest minds in tech and a global </w:t>
      </w:r>
      <w:r>
        <w:rPr>
          <w:rFonts w:ascii="Arial" w:eastAsia="Arial" w:hAnsi="Arial" w:cs="Arial"/>
          <w:b/>
          <w:i/>
          <w:color w:val="000000"/>
          <w:sz w:val="20"/>
          <w:u w:val="single"/>
        </w:rPr>
        <w:t>startup</w:t>
      </w:r>
      <w:r>
        <w:rPr>
          <w:rFonts w:ascii="Arial" w:eastAsia="Arial" w:hAnsi="Arial" w:cs="Arial"/>
          <w:color w:val="000000"/>
          <w:sz w:val="20"/>
        </w:rPr>
        <w:t xml:space="preserve"> community. TC Disrupt, which is back as </w:t>
      </w:r>
      <w:r>
        <w:rPr>
          <w:rFonts w:ascii="Arial" w:eastAsia="Arial" w:hAnsi="Arial" w:cs="Arial"/>
          <w:color w:val="000000"/>
          <w:sz w:val="20"/>
        </w:rPr>
        <w:lastRenderedPageBreak/>
        <w:t>an in-person event, will be held October 18 to October 20 at the Moscone West Convention Center followed by an online recap event on October 21.</w:t>
      </w:r>
    </w:p>
    <w:p w14:paraId="02A75AF4" w14:textId="77777777" w:rsidR="00054BF0" w:rsidRDefault="00000000">
      <w:pPr>
        <w:spacing w:before="200" w:line="260" w:lineRule="atLeast"/>
        <w:jc w:val="both"/>
      </w:pPr>
      <w:r>
        <w:rPr>
          <w:rFonts w:ascii="Arial" w:eastAsia="Arial" w:hAnsi="Arial" w:cs="Arial"/>
          <w:color w:val="000000"/>
          <w:sz w:val="20"/>
        </w:rPr>
        <w:t xml:space="preserve">Scaringe will join us in person for a wide-ranging interview that will cover the </w:t>
      </w:r>
      <w:r>
        <w:rPr>
          <w:rFonts w:ascii="Arial" w:eastAsia="Arial" w:hAnsi="Arial" w:cs="Arial"/>
          <w:b/>
          <w:i/>
          <w:color w:val="000000"/>
          <w:sz w:val="20"/>
          <w:u w:val="single"/>
        </w:rPr>
        <w:t>startup</w:t>
      </w:r>
      <w:r>
        <w:rPr>
          <w:rFonts w:ascii="Arial" w:eastAsia="Arial" w:hAnsi="Arial" w:cs="Arial"/>
          <w:color w:val="000000"/>
          <w:sz w:val="20"/>
        </w:rPr>
        <w:t xml:space="preserve">'s early </w:t>
      </w:r>
      <w:r>
        <w:rPr>
          <w:rFonts w:ascii="Arial" w:eastAsia="Arial" w:hAnsi="Arial" w:cs="Arial"/>
          <w:b/>
          <w:i/>
          <w:color w:val="000000"/>
          <w:sz w:val="20"/>
          <w:u w:val="single"/>
        </w:rPr>
        <w:t>failures</w:t>
      </w:r>
      <w:r>
        <w:rPr>
          <w:rFonts w:ascii="Arial" w:eastAsia="Arial" w:hAnsi="Arial" w:cs="Arial"/>
          <w:color w:val="000000"/>
          <w:sz w:val="20"/>
        </w:rPr>
        <w:t xml:space="preserve"> and successes, Rivian's progress and quest to become a vertically integrated company and plans for the future as well as his insights on the wave of EVs coming to market, battery tech and automated driving.</w:t>
      </w:r>
    </w:p>
    <w:p w14:paraId="6958EC86" w14:textId="77777777" w:rsidR="00054BF0" w:rsidRDefault="00000000">
      <w:pPr>
        <w:spacing w:before="200" w:line="260" w:lineRule="atLeast"/>
        <w:jc w:val="both"/>
      </w:pPr>
      <w:r>
        <w:rPr>
          <w:rFonts w:ascii="Arial" w:eastAsia="Arial" w:hAnsi="Arial" w:cs="Arial"/>
          <w:color w:val="000000"/>
          <w:sz w:val="20"/>
        </w:rPr>
        <w:t xml:space="preserve">TC Disrupt will feature three days of interviews with founders, investors and some of the most interesting leaders and experts in climate tech, consumer tech, crypto, entertainment, enterprise software, hardware and robotics, security, science, space and transportation. As always, TC Disrupt is the place for </w:t>
      </w:r>
      <w:r>
        <w:rPr>
          <w:rFonts w:ascii="Arial" w:eastAsia="Arial" w:hAnsi="Arial" w:cs="Arial"/>
          <w:b/>
          <w:i/>
          <w:color w:val="000000"/>
          <w:sz w:val="20"/>
          <w:u w:val="single"/>
        </w:rPr>
        <w:t>startup</w:t>
      </w:r>
      <w:r>
        <w:rPr>
          <w:rFonts w:ascii="Arial" w:eastAsia="Arial" w:hAnsi="Arial" w:cs="Arial"/>
          <w:color w:val="000000"/>
          <w:sz w:val="20"/>
        </w:rPr>
        <w:t xml:space="preserve"> founders from all over the world to come together and connect, meet investors, media and potential future employees. And all tickets will get access to a bonus online day will include analyst commentary, highlights from the in-person event and even some special guests!</w:t>
      </w:r>
    </w:p>
    <w:p w14:paraId="1376BF21" w14:textId="77777777" w:rsidR="00054BF0" w:rsidRDefault="00000000">
      <w:pPr>
        <w:spacing w:line="260" w:lineRule="atLeast"/>
        <w:jc w:val="both"/>
      </w:pPr>
      <w:r>
        <w:rPr>
          <w:rFonts w:ascii="Arial" w:eastAsia="Arial" w:hAnsi="Arial" w:cs="Arial"/>
          <w:color w:val="000000"/>
          <w:sz w:val="20"/>
        </w:rPr>
        <w:t>Now's the time to book your pass to be there with us in-person at the lowest price available - but time is running short on savings. Launch prices disappear at the end of the month so grab yours today! Plus, if you're a student or work at a non-profit, government or military organization, you can get in the door for less than $100!</w:t>
      </w:r>
    </w:p>
    <w:p w14:paraId="4D8F156D"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13, 2022</w:t>
      </w:r>
    </w:p>
    <w:p w14:paraId="0535D888" w14:textId="77777777" w:rsidR="00054BF0" w:rsidRDefault="00054BF0"/>
    <w:p w14:paraId="7DC09C64" w14:textId="77777777" w:rsidR="00054BF0" w:rsidRDefault="00000000">
      <w:pPr>
        <w:ind w:left="200"/>
        <w:sectPr w:rsidR="00054BF0">
          <w:type w:val="continuous"/>
          <w:pgSz w:w="12240" w:h="15840"/>
          <w:pgMar w:top="840" w:right="1000" w:bottom="840" w:left="1000" w:header="400" w:footer="400" w:gutter="0"/>
          <w:cols w:space="720"/>
        </w:sectPr>
      </w:pPr>
      <w:r>
        <w:br/>
      </w:r>
      <w:r>
        <w:pict w14:anchorId="7CEF6015">
          <v:line id="_x0000_s2076" style="position:absolute;left:0;text-align:left;z-index:251674624;mso-position-horizontal-relative:text;mso-position-vertical-relative:text" from="0,10pt" to="512pt,10pt" strokeweight="1pt"/>
        </w:pict>
      </w:r>
      <w:r>
        <w:rPr>
          <w:rFonts w:ascii="Arial" w:eastAsia="Arial" w:hAnsi="Arial" w:cs="Arial"/>
          <w:b/>
          <w:color w:val="767676"/>
          <w:sz w:val="16"/>
        </w:rPr>
        <w:t>End of Document</w:t>
      </w:r>
    </w:p>
    <w:p w14:paraId="613C9100" w14:textId="77777777" w:rsidR="00054BF0" w:rsidRDefault="00054BF0">
      <w:pPr>
        <w:sectPr w:rsidR="00054BF0">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gutter="0"/>
          <w:cols w:space="720"/>
          <w:titlePg/>
        </w:sectPr>
      </w:pPr>
    </w:p>
    <w:p w14:paraId="6B93A3C2" w14:textId="77777777" w:rsidR="00054BF0" w:rsidRDefault="00054BF0">
      <w:bookmarkStart w:id="16" w:name="Bookmark_9"/>
      <w:bookmarkEnd w:id="16"/>
    </w:p>
    <w:p w14:paraId="19FE45DC" w14:textId="77777777" w:rsidR="00054BF0" w:rsidRDefault="00BE2275">
      <w:r>
        <w:pict w14:anchorId="06460FCD">
          <v:shape id="_x0000_i1037" type="#_x0000_t75" alt="LexisNexis®" style="width:148pt;height:30pt">
            <v:imagedata r:id="rId6" o:title=""/>
          </v:shape>
        </w:pict>
      </w:r>
      <w:r w:rsidR="00A540D1">
        <w:cr/>
      </w:r>
    </w:p>
    <w:p w14:paraId="4ACAD07A" w14:textId="77777777" w:rsidR="00054BF0" w:rsidRDefault="00000000">
      <w:pPr>
        <w:spacing w:before="240" w:after="200" w:line="340" w:lineRule="atLeast"/>
        <w:jc w:val="center"/>
        <w:outlineLvl w:val="0"/>
        <w:rPr>
          <w:rFonts w:ascii="Arial" w:hAnsi="Arial" w:cs="Arial"/>
          <w:b/>
          <w:bCs/>
          <w:kern w:val="32"/>
          <w:sz w:val="32"/>
          <w:szCs w:val="32"/>
        </w:rPr>
      </w:pPr>
      <w:hyperlink r:id="rId230" w:history="1">
        <w:r>
          <w:rPr>
            <w:rFonts w:ascii="Arial" w:eastAsia="Arial" w:hAnsi="Arial" w:cs="Arial"/>
            <w:b/>
            <w:bCs/>
            <w:i/>
            <w:color w:val="0077CC"/>
            <w:kern w:val="32"/>
            <w:sz w:val="28"/>
            <w:szCs w:val="32"/>
            <w:u w:val="single"/>
            <w:shd w:val="clear" w:color="auto" w:fill="FFFFFF"/>
          </w:rPr>
          <w:t>How one Pakistani techie helped build a $20 million</w:t>
        </w:r>
      </w:hyperlink>
    </w:p>
    <w:p w14:paraId="61ACC411" w14:textId="77777777" w:rsidR="00054BF0" w:rsidRDefault="00000000">
      <w:pPr>
        <w:spacing w:before="120" w:line="260" w:lineRule="atLeast"/>
        <w:jc w:val="center"/>
      </w:pPr>
      <w:r>
        <w:rPr>
          <w:rFonts w:ascii="Arial" w:eastAsia="Arial" w:hAnsi="Arial" w:cs="Arial"/>
          <w:color w:val="000000"/>
          <w:sz w:val="20"/>
        </w:rPr>
        <w:t>The Financial Post (Pakistan)</w:t>
      </w:r>
    </w:p>
    <w:p w14:paraId="3BEAA1A8" w14:textId="77777777" w:rsidR="00054BF0" w:rsidRDefault="00000000">
      <w:pPr>
        <w:spacing w:before="120" w:line="260" w:lineRule="atLeast"/>
        <w:jc w:val="center"/>
      </w:pPr>
      <w:r>
        <w:rPr>
          <w:rFonts w:ascii="Arial" w:eastAsia="Arial" w:hAnsi="Arial" w:cs="Arial"/>
          <w:color w:val="000000"/>
          <w:sz w:val="20"/>
        </w:rPr>
        <w:t>October 21, 2019 Monday</w:t>
      </w:r>
    </w:p>
    <w:p w14:paraId="33488FEF" w14:textId="77777777" w:rsidR="00054BF0" w:rsidRDefault="00054BF0">
      <w:pPr>
        <w:spacing w:line="240" w:lineRule="atLeast"/>
        <w:jc w:val="both"/>
      </w:pPr>
    </w:p>
    <w:p w14:paraId="01C69EDE" w14:textId="77777777" w:rsidR="00054BF0" w:rsidRDefault="00000000">
      <w:pPr>
        <w:spacing w:before="120" w:line="220" w:lineRule="atLeast"/>
      </w:pPr>
      <w:r>
        <w:br/>
      </w:r>
      <w:r>
        <w:rPr>
          <w:rFonts w:ascii="Arial" w:eastAsia="Arial" w:hAnsi="Arial" w:cs="Arial"/>
          <w:color w:val="000000"/>
          <w:sz w:val="16"/>
        </w:rPr>
        <w:t>Copyright 2019 Daily Financial Post All Rights Reserved</w:t>
      </w:r>
    </w:p>
    <w:p w14:paraId="3BC9525C"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1681 words</w:t>
      </w:r>
    </w:p>
    <w:p w14:paraId="3569779B"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Islamabad </w:t>
      </w:r>
    </w:p>
    <w:p w14:paraId="2A1E3A2B" w14:textId="77777777" w:rsidR="00054BF0" w:rsidRDefault="00000000">
      <w:pPr>
        <w:keepNext/>
        <w:spacing w:before="240" w:line="340" w:lineRule="atLeast"/>
      </w:pPr>
      <w:bookmarkStart w:id="17" w:name="Body_7"/>
      <w:bookmarkEnd w:id="17"/>
      <w:r>
        <w:rPr>
          <w:rFonts w:ascii="Arial" w:eastAsia="Arial" w:hAnsi="Arial" w:cs="Arial"/>
          <w:b/>
          <w:color w:val="000000"/>
          <w:sz w:val="28"/>
        </w:rPr>
        <w:t>Body</w:t>
      </w:r>
    </w:p>
    <w:p w14:paraId="64AA5AB0" w14:textId="77777777" w:rsidR="00054BF0" w:rsidRDefault="00000000">
      <w:pPr>
        <w:spacing w:line="60" w:lineRule="exact"/>
      </w:pPr>
      <w:r>
        <w:pict w14:anchorId="48D8DCDA">
          <v:line id="_x0000_s2078" style="position:absolute;z-index:251675648" from="0,2pt" to="512pt,2pt" strokecolor="#009ddb" strokeweight="2pt">
            <w10:wrap type="topAndBottom"/>
          </v:line>
        </w:pict>
      </w:r>
    </w:p>
    <w:p w14:paraId="7665EE52" w14:textId="77777777" w:rsidR="00054BF0" w:rsidRDefault="00054BF0"/>
    <w:p w14:paraId="3F74BE91" w14:textId="77777777" w:rsidR="00054BF0" w:rsidRDefault="00000000">
      <w:pPr>
        <w:spacing w:before="200" w:line="260" w:lineRule="atLeast"/>
        <w:jc w:val="both"/>
      </w:pPr>
      <w:r>
        <w:rPr>
          <w:rFonts w:ascii="Arial" w:eastAsia="Arial" w:hAnsi="Arial" w:cs="Arial"/>
          <w:color w:val="000000"/>
          <w:sz w:val="20"/>
        </w:rPr>
        <w:t xml:space="preserve">Islamabad, Oct. 21 -- Many </w:t>
      </w:r>
      <w:r>
        <w:rPr>
          <w:rFonts w:ascii="Arial" w:eastAsia="Arial" w:hAnsi="Arial" w:cs="Arial"/>
          <w:b/>
          <w:i/>
          <w:color w:val="000000"/>
          <w:sz w:val="20"/>
          <w:u w:val="single"/>
        </w:rPr>
        <w:t>startups</w:t>
      </w:r>
      <w:r>
        <w:rPr>
          <w:rFonts w:ascii="Arial" w:eastAsia="Arial" w:hAnsi="Arial" w:cs="Arial"/>
          <w:color w:val="000000"/>
          <w:sz w:val="20"/>
        </w:rPr>
        <w:t xml:space="preserve"> do not even pass the first or second year of their existence. And if they somehow do pass this phase, well, it was just their honeymoon period. Everything looks great at the time, your idea seems to be working, you might even have your first few customers and people might be wanting to join your team. But once you pass that phase and the </w:t>
      </w:r>
      <w:r>
        <w:rPr>
          <w:rFonts w:ascii="Arial" w:eastAsia="Arial" w:hAnsi="Arial" w:cs="Arial"/>
          <w:b/>
          <w:i/>
          <w:color w:val="000000"/>
          <w:sz w:val="20"/>
          <w:u w:val="single"/>
        </w:rPr>
        <w:t>startup</w:t>
      </w:r>
      <w:r>
        <w:rPr>
          <w:rFonts w:ascii="Arial" w:eastAsia="Arial" w:hAnsi="Arial" w:cs="Arial"/>
          <w:color w:val="000000"/>
          <w:sz w:val="20"/>
        </w:rPr>
        <w:t xml:space="preserve"> becomes a business, that is when it becomes difficult to sustain, grow and succeed.</w:t>
      </w:r>
    </w:p>
    <w:p w14:paraId="7CBFA766" w14:textId="77777777" w:rsidR="00054BF0" w:rsidRDefault="00000000">
      <w:pPr>
        <w:spacing w:before="200" w:line="260" w:lineRule="atLeast"/>
        <w:jc w:val="both"/>
      </w:pPr>
      <w:r>
        <w:rPr>
          <w:rFonts w:ascii="Arial" w:eastAsia="Arial" w:hAnsi="Arial" w:cs="Arial"/>
          <w:color w:val="000000"/>
          <w:sz w:val="20"/>
        </w:rPr>
        <w:t>Fahad Aziz is the co-founder and chief technical officer of healthcare company CareAxiom, a subsidiary of US based company Caremerge, with offices in Chicago, San Francisco and Lahore. It was founded in 2012, and provides web and mobile-based solutions to improve coordinating care for senior citizens. It was named one of the fastest growing companies in the US by Inc5000 last year, and currently serves over 100,000 senior citizens.</w:t>
      </w:r>
    </w:p>
    <w:p w14:paraId="5F85F561" w14:textId="77777777" w:rsidR="00054BF0" w:rsidRDefault="00000000">
      <w:pPr>
        <w:spacing w:before="200" w:line="260" w:lineRule="atLeast"/>
        <w:jc w:val="both"/>
      </w:pPr>
      <w:r>
        <w:rPr>
          <w:rFonts w:ascii="Arial" w:eastAsia="Arial" w:hAnsi="Arial" w:cs="Arial"/>
          <w:color w:val="000000"/>
          <w:sz w:val="20"/>
        </w:rPr>
        <w:t xml:space="preserve">How CareAxiom became a high-growth </w:t>
      </w:r>
      <w:r>
        <w:rPr>
          <w:rFonts w:ascii="Arial" w:eastAsia="Arial" w:hAnsi="Arial" w:cs="Arial"/>
          <w:b/>
          <w:i/>
          <w:color w:val="000000"/>
          <w:sz w:val="20"/>
          <w:u w:val="single"/>
        </w:rPr>
        <w:t>startup</w:t>
      </w:r>
      <w:r>
        <w:rPr>
          <w:rFonts w:ascii="Arial" w:eastAsia="Arial" w:hAnsi="Arial" w:cs="Arial"/>
          <w:color w:val="000000"/>
          <w:sz w:val="20"/>
        </w:rPr>
        <w:t xml:space="preserve"> is a story of its own. Like all successful ventures, their journey had its period of tribulations. But one defining factor that allowed CareAxiom to achieve high growth was that they were able to raise investment whenever required.</w:t>
      </w:r>
    </w:p>
    <w:p w14:paraId="312377DC" w14:textId="77777777" w:rsidR="00054BF0" w:rsidRDefault="00000000">
      <w:pPr>
        <w:spacing w:before="200" w:line="260" w:lineRule="atLeast"/>
        <w:jc w:val="both"/>
      </w:pPr>
      <w:r>
        <w:rPr>
          <w:rFonts w:ascii="Arial" w:eastAsia="Arial" w:hAnsi="Arial" w:cs="Arial"/>
          <w:color w:val="000000"/>
          <w:sz w:val="20"/>
        </w:rPr>
        <w:t>"You can grow organically but that is much slower. You have to raise money to grow. In the last five years, we [CareAxiom] raised $20 million in funding from various investors. This, however, was not a one-time effort. It was an ongoing process. We raised $500,000 at first, then we did $2 million, and then $4 million, $14 million and so on," says Fahad.</w:t>
      </w:r>
    </w:p>
    <w:p w14:paraId="38BA02CC" w14:textId="77777777" w:rsidR="00054BF0" w:rsidRDefault="00000000">
      <w:pPr>
        <w:spacing w:before="200" w:line="260" w:lineRule="atLeast"/>
        <w:jc w:val="both"/>
      </w:pPr>
      <w:r>
        <w:rPr>
          <w:rFonts w:ascii="Arial" w:eastAsia="Arial" w:hAnsi="Arial" w:cs="Arial"/>
          <w:color w:val="000000"/>
          <w:sz w:val="20"/>
        </w:rPr>
        <w:t xml:space="preserve">He was speaking to Profit at a tech summit organised by CareAxiom and Open Lahore at Lahore's Arfa Karim Tower - the same building that houses Plan9, the Punjab government's incubation center for </w:t>
      </w:r>
      <w:r>
        <w:rPr>
          <w:rFonts w:ascii="Arial" w:eastAsia="Arial" w:hAnsi="Arial" w:cs="Arial"/>
          <w:b/>
          <w:i/>
          <w:color w:val="000000"/>
          <w:sz w:val="20"/>
          <w:u w:val="single"/>
        </w:rPr>
        <w:t>startups</w:t>
      </w:r>
      <w:r>
        <w:rPr>
          <w:rFonts w:ascii="Arial" w:eastAsia="Arial" w:hAnsi="Arial" w:cs="Arial"/>
          <w:color w:val="000000"/>
          <w:sz w:val="20"/>
        </w:rPr>
        <w:t>.</w:t>
      </w:r>
    </w:p>
    <w:p w14:paraId="530A17B6" w14:textId="77777777" w:rsidR="00054BF0" w:rsidRDefault="00000000">
      <w:pPr>
        <w:spacing w:before="200" w:line="260" w:lineRule="atLeast"/>
        <w:jc w:val="both"/>
      </w:pPr>
      <w:r>
        <w:rPr>
          <w:rFonts w:ascii="Arial" w:eastAsia="Arial" w:hAnsi="Arial" w:cs="Arial"/>
          <w:color w:val="000000"/>
          <w:sz w:val="20"/>
        </w:rPr>
        <w:t xml:space="preserve">In his quest to raise investment for CareAxiom, Fahad sat in multiple sessions with over 135 investors. That precious time spent in fundraising rounds has given him an insight into what investors are looking for. He outlined four crucial aspects to Profit that make or break an investor's interest in any </w:t>
      </w:r>
      <w:r>
        <w:rPr>
          <w:rFonts w:ascii="Arial" w:eastAsia="Arial" w:hAnsi="Arial" w:cs="Arial"/>
          <w:b/>
          <w:i/>
          <w:color w:val="000000"/>
          <w:sz w:val="20"/>
          <w:u w:val="single"/>
        </w:rPr>
        <w:t>startup</w:t>
      </w:r>
      <w:r>
        <w:rPr>
          <w:rFonts w:ascii="Arial" w:eastAsia="Arial" w:hAnsi="Arial" w:cs="Arial"/>
          <w:color w:val="000000"/>
          <w:sz w:val="20"/>
        </w:rPr>
        <w:t>.</w:t>
      </w:r>
    </w:p>
    <w:p w14:paraId="453C8585" w14:textId="77777777" w:rsidR="00054BF0" w:rsidRDefault="00000000">
      <w:pPr>
        <w:spacing w:before="200" w:line="260" w:lineRule="atLeast"/>
        <w:jc w:val="both"/>
      </w:pPr>
      <w:r>
        <w:rPr>
          <w:rFonts w:ascii="Arial" w:eastAsia="Arial" w:hAnsi="Arial" w:cs="Arial"/>
          <w:color w:val="000000"/>
          <w:sz w:val="20"/>
        </w:rPr>
        <w:t>The Team</w:t>
      </w:r>
    </w:p>
    <w:p w14:paraId="3DDB2871" w14:textId="77777777" w:rsidR="00054BF0" w:rsidRDefault="00000000">
      <w:pPr>
        <w:spacing w:before="200" w:line="260" w:lineRule="atLeast"/>
        <w:jc w:val="both"/>
      </w:pPr>
      <w:r>
        <w:rPr>
          <w:rFonts w:ascii="Arial" w:eastAsia="Arial" w:hAnsi="Arial" w:cs="Arial"/>
          <w:color w:val="000000"/>
          <w:sz w:val="20"/>
        </w:rPr>
        <w:t>The investor looks at the team's ability to deliver on what they are promising. And that requires the team members to complement one another. Investors are watching out for any overlap in the team members' skills, and will instead go for a team that possesses a diverse skill set.</w:t>
      </w:r>
    </w:p>
    <w:p w14:paraId="1BAB4AD3" w14:textId="77777777" w:rsidR="00054BF0" w:rsidRDefault="00000000">
      <w:pPr>
        <w:spacing w:before="200" w:line="260" w:lineRule="atLeast"/>
        <w:jc w:val="both"/>
      </w:pPr>
      <w:r>
        <w:rPr>
          <w:rFonts w:ascii="Arial" w:eastAsia="Arial" w:hAnsi="Arial" w:cs="Arial"/>
          <w:color w:val="000000"/>
          <w:sz w:val="20"/>
        </w:rPr>
        <w:lastRenderedPageBreak/>
        <w:t>"If you have two co-founders and both of them are technical [persons], it may not go very well [with the investor]. A technical co-founder and another one who has a business acumen would go rather well since the skill sets are diverse. Same would be true for someone in the team who has a background in marketing. They need to complement each other," Fahad says.</w:t>
      </w:r>
    </w:p>
    <w:p w14:paraId="156236FA" w14:textId="77777777" w:rsidR="00054BF0" w:rsidRDefault="00000000">
      <w:pPr>
        <w:spacing w:before="200" w:line="260" w:lineRule="atLeast"/>
        <w:jc w:val="both"/>
      </w:pPr>
      <w:r>
        <w:rPr>
          <w:rFonts w:ascii="Arial" w:eastAsia="Arial" w:hAnsi="Arial" w:cs="Arial"/>
          <w:color w:val="000000"/>
          <w:sz w:val="20"/>
        </w:rPr>
        <w:t>According to him, investors are keen observers. They can decode the body language of a team and look for signs about whether the team has any contradictions among its members, or whether a team member negates what is said by his peers.</w:t>
      </w:r>
    </w:p>
    <w:p w14:paraId="73E3E2BE" w14:textId="77777777" w:rsidR="00054BF0" w:rsidRDefault="00000000">
      <w:pPr>
        <w:spacing w:before="200" w:line="260" w:lineRule="atLeast"/>
        <w:jc w:val="both"/>
      </w:pPr>
      <w:r>
        <w:rPr>
          <w:rFonts w:ascii="Arial" w:eastAsia="Arial" w:hAnsi="Arial" w:cs="Arial"/>
          <w:color w:val="000000"/>
          <w:sz w:val="20"/>
        </w:rPr>
        <w:t>"They [the investors] want to make sure that those who are presenting before them can work together. They are looking at your body language. That you are not negating each other, not interrupting each other's conversation. This first conversation with the investors is going to tell them whether the team members are doers or will simply waste the money," he adds.</w:t>
      </w:r>
    </w:p>
    <w:p w14:paraId="087E8FA2" w14:textId="77777777" w:rsidR="00054BF0" w:rsidRDefault="00000000">
      <w:pPr>
        <w:spacing w:before="200" w:line="260" w:lineRule="atLeast"/>
        <w:jc w:val="both"/>
      </w:pPr>
      <w:r>
        <w:rPr>
          <w:rFonts w:ascii="Arial" w:eastAsia="Arial" w:hAnsi="Arial" w:cs="Arial"/>
          <w:color w:val="000000"/>
          <w:sz w:val="20"/>
        </w:rPr>
        <w:t>The Product</w:t>
      </w:r>
    </w:p>
    <w:p w14:paraId="7A58F006" w14:textId="77777777" w:rsidR="00054BF0" w:rsidRDefault="00000000">
      <w:pPr>
        <w:spacing w:before="200" w:line="260" w:lineRule="atLeast"/>
        <w:jc w:val="both"/>
      </w:pPr>
      <w:r>
        <w:rPr>
          <w:rFonts w:ascii="Arial" w:eastAsia="Arial" w:hAnsi="Arial" w:cs="Arial"/>
          <w:color w:val="000000"/>
          <w:sz w:val="20"/>
        </w:rPr>
        <w:t>"Your product has to be good, it has to be unique, it has to be 10 times better than what is in the market," says Fahad.</w:t>
      </w:r>
    </w:p>
    <w:p w14:paraId="40FCFC88" w14:textId="77777777" w:rsidR="00054BF0" w:rsidRDefault="00000000">
      <w:pPr>
        <w:spacing w:before="200" w:line="260" w:lineRule="atLeast"/>
        <w:jc w:val="both"/>
      </w:pPr>
      <w:r>
        <w:rPr>
          <w:rFonts w:ascii="Arial" w:eastAsia="Arial" w:hAnsi="Arial" w:cs="Arial"/>
          <w:color w:val="000000"/>
          <w:sz w:val="20"/>
        </w:rPr>
        <w:t xml:space="preserve">If you want investors drooling over the money your </w:t>
      </w:r>
      <w:r>
        <w:rPr>
          <w:rFonts w:ascii="Arial" w:eastAsia="Arial" w:hAnsi="Arial" w:cs="Arial"/>
          <w:b/>
          <w:i/>
          <w:color w:val="000000"/>
          <w:sz w:val="20"/>
          <w:u w:val="single"/>
        </w:rPr>
        <w:t>startup</w:t>
      </w:r>
      <w:r>
        <w:rPr>
          <w:rFonts w:ascii="Arial" w:eastAsia="Arial" w:hAnsi="Arial" w:cs="Arial"/>
          <w:color w:val="000000"/>
          <w:sz w:val="20"/>
        </w:rPr>
        <w:t xml:space="preserve"> could potentially earn them, just a good product won't cut it (unless you are building something that doesn't exist just yet). But if you are debuting in a market where there is already some competition, it is ideal that you build something that is at least 10 times better, and has the potential to significantly grow.</w:t>
      </w:r>
    </w:p>
    <w:p w14:paraId="4470CC0A" w14:textId="77777777" w:rsidR="00054BF0" w:rsidRDefault="00000000">
      <w:pPr>
        <w:spacing w:before="200" w:line="260" w:lineRule="atLeast"/>
        <w:jc w:val="both"/>
      </w:pPr>
      <w:r>
        <w:rPr>
          <w:rFonts w:ascii="Arial" w:eastAsia="Arial" w:hAnsi="Arial" w:cs="Arial"/>
          <w:color w:val="000000"/>
          <w:sz w:val="20"/>
        </w:rPr>
        <w:t xml:space="preserve">For instance, if you tell a potential investor that you are entering the ride-sharing </w:t>
      </w:r>
      <w:r>
        <w:rPr>
          <w:rFonts w:ascii="Arial" w:eastAsia="Arial" w:hAnsi="Arial" w:cs="Arial"/>
          <w:b/>
          <w:i/>
          <w:color w:val="000000"/>
          <w:sz w:val="20"/>
          <w:u w:val="single"/>
        </w:rPr>
        <w:t>startup</w:t>
      </w:r>
      <w:r>
        <w:rPr>
          <w:rFonts w:ascii="Arial" w:eastAsia="Arial" w:hAnsi="Arial" w:cs="Arial"/>
          <w:color w:val="000000"/>
          <w:sz w:val="20"/>
        </w:rPr>
        <w:t xml:space="preserve"> space with a Careem or Uber-like app, you'll only look absurd while pitching that idea. Copying the same model won't cut it. Of course, unless your investor is Softbank or something similar, and you have an idea so appealing that your investors can't resist, they'll probably still think twice before investing in your ride-sharing </w:t>
      </w:r>
      <w:r>
        <w:rPr>
          <w:rFonts w:ascii="Arial" w:eastAsia="Arial" w:hAnsi="Arial" w:cs="Arial"/>
          <w:b/>
          <w:i/>
          <w:color w:val="000000"/>
          <w:sz w:val="20"/>
          <w:u w:val="single"/>
        </w:rPr>
        <w:t>startup</w:t>
      </w:r>
      <w:r>
        <w:rPr>
          <w:rFonts w:ascii="Arial" w:eastAsia="Arial" w:hAnsi="Arial" w:cs="Arial"/>
          <w:color w:val="000000"/>
          <w:sz w:val="20"/>
        </w:rPr>
        <w:t xml:space="preserve">. Uber and Careem are established competitors, while your </w:t>
      </w:r>
      <w:r>
        <w:rPr>
          <w:rFonts w:ascii="Arial" w:eastAsia="Arial" w:hAnsi="Arial" w:cs="Arial"/>
          <w:b/>
          <w:i/>
          <w:color w:val="000000"/>
          <w:sz w:val="20"/>
          <w:u w:val="single"/>
        </w:rPr>
        <w:t>startup</w:t>
      </w:r>
      <w:r>
        <w:rPr>
          <w:rFonts w:ascii="Arial" w:eastAsia="Arial" w:hAnsi="Arial" w:cs="Arial"/>
          <w:color w:val="000000"/>
          <w:sz w:val="20"/>
        </w:rPr>
        <w:t xml:space="preserve"> is on a shoestring.</w:t>
      </w:r>
    </w:p>
    <w:p w14:paraId="36508548" w14:textId="77777777" w:rsidR="00054BF0" w:rsidRDefault="00000000">
      <w:pPr>
        <w:spacing w:before="200" w:line="260" w:lineRule="atLeast"/>
        <w:jc w:val="both"/>
      </w:pPr>
      <w:r>
        <w:rPr>
          <w:rFonts w:ascii="Arial" w:eastAsia="Arial" w:hAnsi="Arial" w:cs="Arial"/>
          <w:color w:val="000000"/>
          <w:sz w:val="20"/>
        </w:rPr>
        <w:t>"If you are building something that is already in the market and your solution is one or two times better, that might not go very well. It needs to have something that really affects that, so it has to be 10 times better," says Fahad.</w:t>
      </w:r>
    </w:p>
    <w:p w14:paraId="4A15F957" w14:textId="77777777" w:rsidR="00054BF0" w:rsidRDefault="00000000">
      <w:pPr>
        <w:spacing w:before="200" w:line="260" w:lineRule="atLeast"/>
        <w:jc w:val="both"/>
      </w:pPr>
      <w:r>
        <w:rPr>
          <w:rFonts w:ascii="Arial" w:eastAsia="Arial" w:hAnsi="Arial" w:cs="Arial"/>
          <w:color w:val="000000"/>
          <w:sz w:val="20"/>
        </w:rPr>
        <w:t>In short, don't build if you can't build the best.</w:t>
      </w:r>
    </w:p>
    <w:p w14:paraId="480B64CF" w14:textId="77777777" w:rsidR="00054BF0" w:rsidRDefault="00000000">
      <w:pPr>
        <w:spacing w:before="200" w:line="260" w:lineRule="atLeast"/>
        <w:jc w:val="both"/>
      </w:pPr>
      <w:r>
        <w:rPr>
          <w:rFonts w:ascii="Arial" w:eastAsia="Arial" w:hAnsi="Arial" w:cs="Arial"/>
          <w:color w:val="000000"/>
          <w:sz w:val="20"/>
        </w:rPr>
        <w:t>The Market</w:t>
      </w:r>
    </w:p>
    <w:p w14:paraId="782729BE" w14:textId="77777777" w:rsidR="00054BF0" w:rsidRDefault="00000000">
      <w:pPr>
        <w:spacing w:before="200" w:line="260" w:lineRule="atLeast"/>
        <w:jc w:val="both"/>
      </w:pPr>
      <w:r>
        <w:rPr>
          <w:rFonts w:ascii="Arial" w:eastAsia="Arial" w:hAnsi="Arial" w:cs="Arial"/>
          <w:color w:val="000000"/>
          <w:sz w:val="20"/>
        </w:rPr>
        <w:t>"If you are building a technology, you want to make sure it can grow," says Fahad. "You are building a great product, but what if your market size is too small?" he questions.</w:t>
      </w:r>
    </w:p>
    <w:p w14:paraId="11796858" w14:textId="77777777" w:rsidR="00054BF0" w:rsidRDefault="00000000">
      <w:pPr>
        <w:spacing w:before="200" w:line="260" w:lineRule="atLeast"/>
        <w:jc w:val="both"/>
      </w:pPr>
      <w:r>
        <w:rPr>
          <w:rFonts w:ascii="Arial" w:eastAsia="Arial" w:hAnsi="Arial" w:cs="Arial"/>
          <w:color w:val="000000"/>
          <w:sz w:val="20"/>
        </w:rPr>
        <w:t xml:space="preserve">The size of a market is an indicator of how much your </w:t>
      </w:r>
      <w:r>
        <w:rPr>
          <w:rFonts w:ascii="Arial" w:eastAsia="Arial" w:hAnsi="Arial" w:cs="Arial"/>
          <w:b/>
          <w:i/>
          <w:color w:val="000000"/>
          <w:sz w:val="20"/>
          <w:u w:val="single"/>
        </w:rPr>
        <w:t>startup</w:t>
      </w:r>
      <w:r>
        <w:rPr>
          <w:rFonts w:ascii="Arial" w:eastAsia="Arial" w:hAnsi="Arial" w:cs="Arial"/>
          <w:color w:val="000000"/>
          <w:sz w:val="20"/>
        </w:rPr>
        <w:t xml:space="preserve"> can grow. Investors simply won't spend money on a </w:t>
      </w:r>
      <w:r>
        <w:rPr>
          <w:rFonts w:ascii="Arial" w:eastAsia="Arial" w:hAnsi="Arial" w:cs="Arial"/>
          <w:b/>
          <w:i/>
          <w:color w:val="000000"/>
          <w:sz w:val="20"/>
          <w:u w:val="single"/>
        </w:rPr>
        <w:t>startup</w:t>
      </w:r>
      <w:r>
        <w:rPr>
          <w:rFonts w:ascii="Arial" w:eastAsia="Arial" w:hAnsi="Arial" w:cs="Arial"/>
          <w:color w:val="000000"/>
          <w:sz w:val="20"/>
        </w:rPr>
        <w:t xml:space="preserve"> if they don't see a potential for growth, unless your investors are philanthropists that seek no return.</w:t>
      </w:r>
    </w:p>
    <w:p w14:paraId="79A4B76E" w14:textId="77777777" w:rsidR="00054BF0" w:rsidRDefault="00000000">
      <w:pPr>
        <w:spacing w:before="200" w:line="260" w:lineRule="atLeast"/>
        <w:jc w:val="both"/>
      </w:pPr>
      <w:r>
        <w:rPr>
          <w:rFonts w:ascii="Arial" w:eastAsia="Arial" w:hAnsi="Arial" w:cs="Arial"/>
          <w:color w:val="000000"/>
          <w:sz w:val="20"/>
        </w:rPr>
        <w:t>Safwan Khan, the founder of Xgrid, an Islamabad-based tech firm, said that if you are building a product that has a market of millions of people, you are looking at a billion-dollar company, but if your market is of 10 people, you can't achieve anything.</w:t>
      </w:r>
    </w:p>
    <w:p w14:paraId="3F1DF165" w14:textId="77777777" w:rsidR="00054BF0" w:rsidRDefault="00000000">
      <w:pPr>
        <w:spacing w:before="200" w:line="260" w:lineRule="atLeast"/>
        <w:jc w:val="both"/>
      </w:pPr>
      <w:r>
        <w:rPr>
          <w:rFonts w:ascii="Arial" w:eastAsia="Arial" w:hAnsi="Arial" w:cs="Arial"/>
          <w:color w:val="000000"/>
          <w:sz w:val="20"/>
        </w:rPr>
        <w:t>Let's say you are a budding entrepreneur. You want to solve a problem in Pakistan, because let's face it, we have a lot of them. You are also an educationist at heart, so you want to solve a problem in the field of education. You have identified a problem and you build an application - a solution that allows doctoral candidates to do, let's say, research more efficiently.</w:t>
      </w:r>
    </w:p>
    <w:p w14:paraId="7AC28209" w14:textId="77777777" w:rsidR="00054BF0" w:rsidRDefault="00000000">
      <w:pPr>
        <w:spacing w:before="200" w:line="260" w:lineRule="atLeast"/>
        <w:jc w:val="both"/>
      </w:pPr>
      <w:r>
        <w:rPr>
          <w:rFonts w:ascii="Arial" w:eastAsia="Arial" w:hAnsi="Arial" w:cs="Arial"/>
          <w:color w:val="000000"/>
          <w:sz w:val="20"/>
        </w:rPr>
        <w:t>You have built a great product, but will you be able to grow it? Or put it this way how much can you scale it?</w:t>
      </w:r>
    </w:p>
    <w:p w14:paraId="13038504" w14:textId="77777777" w:rsidR="00054BF0" w:rsidRDefault="00000000">
      <w:pPr>
        <w:spacing w:before="200" w:line="260" w:lineRule="atLeast"/>
        <w:jc w:val="both"/>
      </w:pPr>
      <w:r>
        <w:rPr>
          <w:rFonts w:ascii="Arial" w:eastAsia="Arial" w:hAnsi="Arial" w:cs="Arial"/>
          <w:color w:val="000000"/>
          <w:sz w:val="20"/>
        </w:rPr>
        <w:lastRenderedPageBreak/>
        <w:t>The answer is obvious. No matter how amazing your product is, your target market is too small. Pakistan only produces a few thousand doctoral candidates every year, making it extremely unlikely that an investor would be interested.</w:t>
      </w:r>
    </w:p>
    <w:p w14:paraId="091293BE" w14:textId="77777777" w:rsidR="00054BF0" w:rsidRDefault="00000000">
      <w:pPr>
        <w:spacing w:before="200" w:line="260" w:lineRule="atLeast"/>
        <w:jc w:val="both"/>
      </w:pPr>
      <w:r>
        <w:rPr>
          <w:rFonts w:ascii="Arial" w:eastAsia="Arial" w:hAnsi="Arial" w:cs="Arial"/>
          <w:color w:val="000000"/>
          <w:sz w:val="20"/>
        </w:rPr>
        <w:t>"You are better off building an application for students who are in matriculation," says Fahad.</w:t>
      </w:r>
    </w:p>
    <w:p w14:paraId="28BA96B9" w14:textId="77777777" w:rsidR="00054BF0" w:rsidRDefault="00000000">
      <w:pPr>
        <w:spacing w:before="200" w:line="260" w:lineRule="atLeast"/>
        <w:jc w:val="both"/>
      </w:pPr>
      <w:r>
        <w:rPr>
          <w:rFonts w:ascii="Arial" w:eastAsia="Arial" w:hAnsi="Arial" w:cs="Arial"/>
          <w:color w:val="000000"/>
          <w:sz w:val="20"/>
        </w:rPr>
        <w:t>Traction</w:t>
      </w:r>
    </w:p>
    <w:p w14:paraId="1935019D" w14:textId="77777777" w:rsidR="00054BF0" w:rsidRDefault="00000000">
      <w:pPr>
        <w:spacing w:before="200" w:line="260" w:lineRule="atLeast"/>
        <w:jc w:val="both"/>
      </w:pPr>
      <w:r>
        <w:rPr>
          <w:rFonts w:ascii="Arial" w:eastAsia="Arial" w:hAnsi="Arial" w:cs="Arial"/>
          <w:color w:val="000000"/>
          <w:sz w:val="20"/>
        </w:rPr>
        <w:t xml:space="preserve">Probably the most important component investors look at is traction. It's one of the main reasons behind the </w:t>
      </w:r>
      <w:r>
        <w:rPr>
          <w:rFonts w:ascii="Arial" w:eastAsia="Arial" w:hAnsi="Arial" w:cs="Arial"/>
          <w:b/>
          <w:i/>
          <w:color w:val="000000"/>
          <w:sz w:val="20"/>
          <w:u w:val="single"/>
        </w:rPr>
        <w:t>failure</w:t>
      </w:r>
      <w:r>
        <w:rPr>
          <w:rFonts w:ascii="Arial" w:eastAsia="Arial" w:hAnsi="Arial" w:cs="Arial"/>
          <w:color w:val="000000"/>
          <w:sz w:val="20"/>
        </w:rPr>
        <w:t xml:space="preserve"> of most </w:t>
      </w:r>
      <w:r>
        <w:rPr>
          <w:rFonts w:ascii="Arial" w:eastAsia="Arial" w:hAnsi="Arial" w:cs="Arial"/>
          <w:b/>
          <w:i/>
          <w:color w:val="000000"/>
          <w:sz w:val="20"/>
          <w:u w:val="single"/>
        </w:rPr>
        <w:t>startups</w:t>
      </w:r>
      <w:r>
        <w:rPr>
          <w:rFonts w:ascii="Arial" w:eastAsia="Arial" w:hAnsi="Arial" w:cs="Arial"/>
          <w:color w:val="000000"/>
          <w:sz w:val="20"/>
        </w:rPr>
        <w:t xml:space="preserve">. Fahad believes traction is often an afterthought for most </w:t>
      </w:r>
      <w:r>
        <w:rPr>
          <w:rFonts w:ascii="Arial" w:eastAsia="Arial" w:hAnsi="Arial" w:cs="Arial"/>
          <w:b/>
          <w:i/>
          <w:color w:val="000000"/>
          <w:sz w:val="20"/>
          <w:u w:val="single"/>
        </w:rPr>
        <w:t>startups</w:t>
      </w:r>
      <w:r>
        <w:rPr>
          <w:rFonts w:ascii="Arial" w:eastAsia="Arial" w:hAnsi="Arial" w:cs="Arial"/>
          <w:color w:val="000000"/>
          <w:sz w:val="20"/>
        </w:rPr>
        <w:t>.</w:t>
      </w:r>
    </w:p>
    <w:p w14:paraId="218BA5AD" w14:textId="77777777" w:rsidR="00054BF0" w:rsidRDefault="00000000">
      <w:pPr>
        <w:spacing w:before="200" w:line="260" w:lineRule="atLeast"/>
        <w:jc w:val="both"/>
      </w:pPr>
      <w:r>
        <w:rPr>
          <w:rFonts w:ascii="Arial" w:eastAsia="Arial" w:hAnsi="Arial" w:cs="Arial"/>
          <w:color w:val="000000"/>
          <w:sz w:val="20"/>
        </w:rPr>
        <w:t xml:space="preserve">What defines traction? Traction is having a measurable set of customers or users that can tell the progress of a </w:t>
      </w:r>
      <w:r>
        <w:rPr>
          <w:rFonts w:ascii="Arial" w:eastAsia="Arial" w:hAnsi="Arial" w:cs="Arial"/>
          <w:b/>
          <w:i/>
          <w:color w:val="000000"/>
          <w:sz w:val="20"/>
          <w:u w:val="single"/>
        </w:rPr>
        <w:t>startup</w:t>
      </w:r>
      <w:r>
        <w:rPr>
          <w:rFonts w:ascii="Arial" w:eastAsia="Arial" w:hAnsi="Arial" w:cs="Arial"/>
          <w:color w:val="000000"/>
          <w:sz w:val="20"/>
        </w:rPr>
        <w:t xml:space="preserve">. Every </w:t>
      </w:r>
      <w:r>
        <w:rPr>
          <w:rFonts w:ascii="Arial" w:eastAsia="Arial" w:hAnsi="Arial" w:cs="Arial"/>
          <w:b/>
          <w:i/>
          <w:color w:val="000000"/>
          <w:sz w:val="20"/>
          <w:u w:val="single"/>
        </w:rPr>
        <w:t>startup</w:t>
      </w:r>
      <w:r>
        <w:rPr>
          <w:rFonts w:ascii="Arial" w:eastAsia="Arial" w:hAnsi="Arial" w:cs="Arial"/>
          <w:color w:val="000000"/>
          <w:sz w:val="20"/>
        </w:rPr>
        <w:t xml:space="preserve">'s traction is different; for some, it is revenue, or how much how much money a </w:t>
      </w:r>
      <w:r>
        <w:rPr>
          <w:rFonts w:ascii="Arial" w:eastAsia="Arial" w:hAnsi="Arial" w:cs="Arial"/>
          <w:b/>
          <w:i/>
          <w:color w:val="000000"/>
          <w:sz w:val="20"/>
          <w:u w:val="single"/>
        </w:rPr>
        <w:t>startup</w:t>
      </w:r>
      <w:r>
        <w:rPr>
          <w:rFonts w:ascii="Arial" w:eastAsia="Arial" w:hAnsi="Arial" w:cs="Arial"/>
          <w:color w:val="000000"/>
          <w:sz w:val="20"/>
        </w:rPr>
        <w:t xml:space="preserve"> is making. In some cases, it is about engagement can you continue to engage your users over time?</w:t>
      </w:r>
    </w:p>
    <w:p w14:paraId="055F95D3" w14:textId="77777777" w:rsidR="00054BF0" w:rsidRDefault="00000000">
      <w:pPr>
        <w:spacing w:before="200" w:line="260" w:lineRule="atLeast"/>
        <w:jc w:val="both"/>
      </w:pPr>
      <w:r>
        <w:rPr>
          <w:rFonts w:ascii="Arial" w:eastAsia="Arial" w:hAnsi="Arial" w:cs="Arial"/>
          <w:color w:val="000000"/>
          <w:sz w:val="20"/>
        </w:rPr>
        <w:t xml:space="preserve">This is what investors love, says Fahad. They want to participate in your </w:t>
      </w:r>
      <w:r>
        <w:rPr>
          <w:rFonts w:ascii="Arial" w:eastAsia="Arial" w:hAnsi="Arial" w:cs="Arial"/>
          <w:b/>
          <w:i/>
          <w:color w:val="000000"/>
          <w:sz w:val="20"/>
          <w:u w:val="single"/>
        </w:rPr>
        <w:t>startup</w:t>
      </w:r>
      <w:r>
        <w:rPr>
          <w:rFonts w:ascii="Arial" w:eastAsia="Arial" w:hAnsi="Arial" w:cs="Arial"/>
          <w:color w:val="000000"/>
          <w:sz w:val="20"/>
        </w:rPr>
        <w:t xml:space="preserve"> so that they can get a return on their investment, which is why your </w:t>
      </w:r>
      <w:r>
        <w:rPr>
          <w:rFonts w:ascii="Arial" w:eastAsia="Arial" w:hAnsi="Arial" w:cs="Arial"/>
          <w:b/>
          <w:i/>
          <w:color w:val="000000"/>
          <w:sz w:val="20"/>
          <w:u w:val="single"/>
        </w:rPr>
        <w:t>startup</w:t>
      </w:r>
      <w:r>
        <w:rPr>
          <w:rFonts w:ascii="Arial" w:eastAsia="Arial" w:hAnsi="Arial" w:cs="Arial"/>
          <w:color w:val="000000"/>
          <w:sz w:val="20"/>
        </w:rPr>
        <w:t xml:space="preserve"> needs to have some traction.</w:t>
      </w:r>
    </w:p>
    <w:p w14:paraId="3F036711" w14:textId="77777777" w:rsidR="00054BF0" w:rsidRDefault="00000000">
      <w:pPr>
        <w:spacing w:before="200" w:line="260" w:lineRule="atLeast"/>
        <w:jc w:val="both"/>
      </w:pPr>
      <w:r>
        <w:rPr>
          <w:rFonts w:ascii="Arial" w:eastAsia="Arial" w:hAnsi="Arial" w:cs="Arial"/>
          <w:color w:val="000000"/>
          <w:sz w:val="20"/>
        </w:rPr>
        <w:t xml:space="preserve">There are a lot of misconceptions among </w:t>
      </w:r>
      <w:r>
        <w:rPr>
          <w:rFonts w:ascii="Arial" w:eastAsia="Arial" w:hAnsi="Arial" w:cs="Arial"/>
          <w:b/>
          <w:i/>
          <w:color w:val="000000"/>
          <w:sz w:val="20"/>
          <w:u w:val="single"/>
        </w:rPr>
        <w:t>startups</w:t>
      </w:r>
      <w:r>
        <w:rPr>
          <w:rFonts w:ascii="Arial" w:eastAsia="Arial" w:hAnsi="Arial" w:cs="Arial"/>
          <w:color w:val="000000"/>
          <w:sz w:val="20"/>
        </w:rPr>
        <w:t xml:space="preserve"> [about what user engagement means], he says.</w:t>
      </w:r>
    </w:p>
    <w:p w14:paraId="0095BF7C" w14:textId="77777777" w:rsidR="00054BF0" w:rsidRDefault="00000000">
      <w:pPr>
        <w:spacing w:before="200" w:line="260" w:lineRule="atLeast"/>
        <w:jc w:val="both"/>
      </w:pPr>
      <w:r>
        <w:rPr>
          <w:rFonts w:ascii="Arial" w:eastAsia="Arial" w:hAnsi="Arial" w:cs="Arial"/>
          <w:color w:val="000000"/>
          <w:sz w:val="20"/>
        </w:rPr>
        <w:t xml:space="preserve">"It might mean the number of people downloading an application. That is a good matrix, but not good enough. For some people it can be that how many people are signing </w:t>
      </w:r>
      <w:r>
        <w:rPr>
          <w:rFonts w:ascii="Arial" w:eastAsia="Arial" w:hAnsi="Arial" w:cs="Arial"/>
          <w:b/>
          <w:i/>
          <w:color w:val="000000"/>
          <w:sz w:val="20"/>
          <w:u w:val="single"/>
        </w:rPr>
        <w:t>up</w:t>
      </w:r>
      <w:r>
        <w:rPr>
          <w:rFonts w:ascii="Arial" w:eastAsia="Arial" w:hAnsi="Arial" w:cs="Arial"/>
          <w:color w:val="000000"/>
          <w:sz w:val="20"/>
        </w:rPr>
        <w:t xml:space="preserve"> on their application and registering on it. A good matrix but still not good enough. It has to be something that is a core action that you want them [users] to perform. And you need to measure on that core action. That's what grows the business and that is what brings value to the user. Downloading an application or registering on your application, sadly, is not good enough," he says.</w:t>
      </w:r>
    </w:p>
    <w:p w14:paraId="0BDFB664" w14:textId="77777777" w:rsidR="00054BF0" w:rsidRDefault="00000000">
      <w:pPr>
        <w:spacing w:before="200" w:line="260" w:lineRule="atLeast"/>
        <w:jc w:val="both"/>
      </w:pPr>
      <w:r>
        <w:rPr>
          <w:rFonts w:ascii="Arial" w:eastAsia="Arial" w:hAnsi="Arial" w:cs="Arial"/>
          <w:color w:val="000000"/>
          <w:sz w:val="20"/>
        </w:rPr>
        <w:t>Let's understand what these core actions can be. For Google, that core action is 'googling'. They want more and more people to google and they make it very easy for the users to do it. For Careem, that core action is booking, not just downloading the application and registering. The more rides you as a user book, the better it is for Careem's business. For Twitter, this core action is tweeting. For Youtube, it is about generating content.</w:t>
      </w:r>
    </w:p>
    <w:p w14:paraId="2064D29A" w14:textId="77777777" w:rsidR="00054BF0" w:rsidRDefault="00000000">
      <w:pPr>
        <w:spacing w:before="200" w:line="260" w:lineRule="atLeast"/>
        <w:jc w:val="both"/>
      </w:pPr>
      <w:r>
        <w:rPr>
          <w:rFonts w:ascii="Arial" w:eastAsia="Arial" w:hAnsi="Arial" w:cs="Arial"/>
          <w:color w:val="000000"/>
          <w:sz w:val="20"/>
        </w:rPr>
        <w:t>In all of these cases, the core action should be the easiest to perform. Tweeting is hassle-free and uploading a video on Youtube is relatively seamless.</w:t>
      </w:r>
    </w:p>
    <w:p w14:paraId="56F02CBB" w14:textId="77777777" w:rsidR="00054BF0" w:rsidRDefault="00000000">
      <w:pPr>
        <w:spacing w:before="200" w:line="260" w:lineRule="atLeast"/>
        <w:jc w:val="both"/>
      </w:pPr>
      <w:r>
        <w:rPr>
          <w:rFonts w:ascii="Arial" w:eastAsia="Arial" w:hAnsi="Arial" w:cs="Arial"/>
          <w:color w:val="000000"/>
          <w:sz w:val="20"/>
        </w:rPr>
        <w:t xml:space="preserve">It is for this reason </w:t>
      </w:r>
      <w:r>
        <w:rPr>
          <w:rFonts w:ascii="Arial" w:eastAsia="Arial" w:hAnsi="Arial" w:cs="Arial"/>
          <w:b/>
          <w:i/>
          <w:color w:val="000000"/>
          <w:sz w:val="20"/>
          <w:u w:val="single"/>
        </w:rPr>
        <w:t>startups</w:t>
      </w:r>
      <w:r>
        <w:rPr>
          <w:rFonts w:ascii="Arial" w:eastAsia="Arial" w:hAnsi="Arial" w:cs="Arial"/>
          <w:color w:val="000000"/>
          <w:sz w:val="20"/>
        </w:rPr>
        <w:t xml:space="preserve"> offer free goodies to prompt users to initiate these core actions on their applications to increase their user base. Airlift, a ride-sharing </w:t>
      </w:r>
      <w:r>
        <w:rPr>
          <w:rFonts w:ascii="Arial" w:eastAsia="Arial" w:hAnsi="Arial" w:cs="Arial"/>
          <w:b/>
          <w:i/>
          <w:color w:val="000000"/>
          <w:sz w:val="20"/>
          <w:u w:val="single"/>
        </w:rPr>
        <w:t>startup</w:t>
      </w:r>
      <w:r>
        <w:rPr>
          <w:rFonts w:ascii="Arial" w:eastAsia="Arial" w:hAnsi="Arial" w:cs="Arial"/>
          <w:color w:val="000000"/>
          <w:sz w:val="20"/>
        </w:rPr>
        <w:t>, offers five free rides to customers using it for the first time. By offering these free rides, Airlift is is increasing its user base ie. it's initial traction. It is pulling customers to perform the core action that forms the basis of its traction booking rides. For comparison, Airlift does not offer free rides on downloading the application or creating an account with them.</w:t>
      </w:r>
    </w:p>
    <w:p w14:paraId="56F0EEC4" w14:textId="77777777" w:rsidR="00054BF0" w:rsidRDefault="00000000">
      <w:pPr>
        <w:spacing w:before="200" w:line="260" w:lineRule="atLeast"/>
        <w:jc w:val="both"/>
      </w:pPr>
      <w:r>
        <w:rPr>
          <w:rFonts w:ascii="Arial" w:eastAsia="Arial" w:hAnsi="Arial" w:cs="Arial"/>
          <w:color w:val="000000"/>
          <w:sz w:val="20"/>
        </w:rPr>
        <w:t xml:space="preserve">"The first problem, which is very difficult for the </w:t>
      </w:r>
      <w:r>
        <w:rPr>
          <w:rFonts w:ascii="Arial" w:eastAsia="Arial" w:hAnsi="Arial" w:cs="Arial"/>
          <w:b/>
          <w:i/>
          <w:color w:val="000000"/>
          <w:sz w:val="20"/>
          <w:u w:val="single"/>
        </w:rPr>
        <w:t>startup</w:t>
      </w:r>
      <w:r>
        <w:rPr>
          <w:rFonts w:ascii="Arial" w:eastAsia="Arial" w:hAnsi="Arial" w:cs="Arial"/>
          <w:color w:val="000000"/>
          <w:sz w:val="20"/>
        </w:rPr>
        <w:t xml:space="preserve"> to figure out, is what is their core action. Then there is the 'leaky bucket'. That is what if you have people who do the core action but never come back," says Fahad.</w:t>
      </w:r>
    </w:p>
    <w:p w14:paraId="7404BBDA" w14:textId="77777777" w:rsidR="00054BF0" w:rsidRDefault="00000000">
      <w:pPr>
        <w:spacing w:before="200" w:line="260" w:lineRule="atLeast"/>
        <w:jc w:val="both"/>
      </w:pPr>
      <w:r>
        <w:rPr>
          <w:rFonts w:ascii="Arial" w:eastAsia="Arial" w:hAnsi="Arial" w:cs="Arial"/>
          <w:color w:val="000000"/>
          <w:sz w:val="20"/>
        </w:rPr>
        <w:t>"We need to stop that and that is the next step retaining your user base. There are two ways to do that. One is by giving so many benefits to the user that they don't want to leave. You have to get your users to when they use your system, they benefit from it so much, they use it more and more and more," he says.</w:t>
      </w:r>
    </w:p>
    <w:p w14:paraId="74A7948D" w14:textId="77777777" w:rsidR="00054BF0" w:rsidRDefault="00000000">
      <w:pPr>
        <w:spacing w:before="200" w:line="260" w:lineRule="atLeast"/>
        <w:jc w:val="both"/>
      </w:pPr>
      <w:r>
        <w:rPr>
          <w:rFonts w:ascii="Arial" w:eastAsia="Arial" w:hAnsi="Arial" w:cs="Arial"/>
          <w:color w:val="000000"/>
          <w:sz w:val="20"/>
        </w:rPr>
        <w:t>Does that ring a bell? Every now and then Uber and Careem offer discounts to its existing customers. Why? To retain their customers, of course.</w:t>
      </w:r>
    </w:p>
    <w:p w14:paraId="5BFAD6E3" w14:textId="77777777" w:rsidR="00054BF0" w:rsidRDefault="00000000">
      <w:pPr>
        <w:spacing w:before="200" w:line="260" w:lineRule="atLeast"/>
        <w:jc w:val="both"/>
      </w:pPr>
      <w:r>
        <w:rPr>
          <w:rFonts w:ascii="Arial" w:eastAsia="Arial" w:hAnsi="Arial" w:cs="Arial"/>
          <w:color w:val="000000"/>
          <w:sz w:val="20"/>
        </w:rPr>
        <w:t>Secondly, says Fahad, you need to build enough value around your product so that the more consumers use it, the harder it is for them to leave.</w:t>
      </w:r>
    </w:p>
    <w:p w14:paraId="4112B16F" w14:textId="77777777" w:rsidR="00054BF0" w:rsidRDefault="00000000">
      <w:pPr>
        <w:spacing w:before="200" w:line="260" w:lineRule="atLeast"/>
        <w:jc w:val="both"/>
      </w:pPr>
      <w:r>
        <w:rPr>
          <w:rFonts w:ascii="Arial" w:eastAsia="Arial" w:hAnsi="Arial" w:cs="Arial"/>
          <w:color w:val="000000"/>
          <w:sz w:val="20"/>
        </w:rPr>
        <w:t xml:space="preserve">"An example of this is Evernote. It allows you to take notes. But more than taking notes, it allows you to send your PDF files and emails. It becomes a repository of all your documents. Imagine losing all your documents. But then </w:t>
      </w:r>
      <w:r>
        <w:rPr>
          <w:rFonts w:ascii="Arial" w:eastAsia="Arial" w:hAnsi="Arial" w:cs="Arial"/>
          <w:color w:val="000000"/>
          <w:sz w:val="20"/>
        </w:rPr>
        <w:lastRenderedPageBreak/>
        <w:t>you remember there is a repository where these are safe and you can find these documents there. It would be impossible to stop using it. There is so much accruing benefit that leaving is not a choice anymore," he says.</w:t>
      </w:r>
    </w:p>
    <w:p w14:paraId="052DC98B"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The Financial Post. For any query with respect to this article or any other content requirement, please contact Editor at </w:t>
      </w:r>
      <w:hyperlink r:id="rId231" w:history="1">
        <w:r>
          <w:rPr>
            <w:rFonts w:ascii="Arial" w:eastAsia="Arial" w:hAnsi="Arial" w:cs="Arial"/>
            <w:i/>
            <w:color w:val="0077CC"/>
            <w:sz w:val="20"/>
            <w:u w:val="single"/>
            <w:shd w:val="clear" w:color="auto" w:fill="FFFFFF"/>
          </w:rPr>
          <w:t>contentservices@htlive.com</w:t>
        </w:r>
      </w:hyperlink>
    </w:p>
    <w:p w14:paraId="48998148"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22, 2019</w:t>
      </w:r>
    </w:p>
    <w:p w14:paraId="4401924E" w14:textId="77777777" w:rsidR="00054BF0" w:rsidRDefault="00054BF0"/>
    <w:p w14:paraId="0B568A70" w14:textId="77777777" w:rsidR="00054BF0" w:rsidRDefault="00000000">
      <w:pPr>
        <w:ind w:left="200"/>
        <w:sectPr w:rsidR="00054BF0">
          <w:type w:val="continuous"/>
          <w:pgSz w:w="12240" w:h="15840"/>
          <w:pgMar w:top="840" w:right="1000" w:bottom="840" w:left="1000" w:header="400" w:footer="400" w:gutter="0"/>
          <w:cols w:space="720"/>
        </w:sectPr>
      </w:pPr>
      <w:r>
        <w:br/>
      </w:r>
      <w:r>
        <w:pict w14:anchorId="429D6592">
          <v:line id="_x0000_s2079" style="position:absolute;left:0;text-align:left;z-index:251676672;mso-position-horizontal-relative:text;mso-position-vertical-relative:text" from="0,10pt" to="512pt,10pt" strokeweight="1pt"/>
        </w:pict>
      </w:r>
      <w:r>
        <w:rPr>
          <w:rFonts w:ascii="Arial" w:eastAsia="Arial" w:hAnsi="Arial" w:cs="Arial"/>
          <w:b/>
          <w:color w:val="767676"/>
          <w:sz w:val="16"/>
        </w:rPr>
        <w:t>End of Document</w:t>
      </w:r>
    </w:p>
    <w:p w14:paraId="1209A4D6" w14:textId="77777777" w:rsidR="00054BF0" w:rsidRDefault="00054BF0">
      <w:pPr>
        <w:sectPr w:rsidR="00054BF0">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gutter="0"/>
          <w:cols w:space="720"/>
          <w:titlePg/>
        </w:sectPr>
      </w:pPr>
    </w:p>
    <w:p w14:paraId="1705576C" w14:textId="77777777" w:rsidR="00054BF0" w:rsidRDefault="00054BF0">
      <w:bookmarkStart w:id="18" w:name="Bookmark_10"/>
      <w:bookmarkEnd w:id="18"/>
    </w:p>
    <w:p w14:paraId="42F78E1F" w14:textId="77777777" w:rsidR="00054BF0" w:rsidRDefault="00BE2275">
      <w:r>
        <w:pict w14:anchorId="2B4E6BBB">
          <v:shape id="_x0000_i1038" type="#_x0000_t75" alt="LexisNexis®" style="width:148pt;height:30pt">
            <v:imagedata r:id="rId6" o:title=""/>
          </v:shape>
        </w:pict>
      </w:r>
      <w:r w:rsidR="00A540D1">
        <w:cr/>
      </w:r>
    </w:p>
    <w:p w14:paraId="2E140478" w14:textId="77777777" w:rsidR="00054BF0" w:rsidRDefault="00000000">
      <w:pPr>
        <w:spacing w:before="240" w:after="200" w:line="340" w:lineRule="atLeast"/>
        <w:jc w:val="center"/>
        <w:outlineLvl w:val="0"/>
        <w:rPr>
          <w:rFonts w:ascii="Arial" w:hAnsi="Arial" w:cs="Arial"/>
          <w:b/>
          <w:bCs/>
          <w:kern w:val="32"/>
          <w:sz w:val="32"/>
          <w:szCs w:val="32"/>
        </w:rPr>
      </w:pPr>
      <w:hyperlink r:id="rId238" w:history="1">
        <w:r>
          <w:rPr>
            <w:rFonts w:ascii="Arial" w:eastAsia="Arial" w:hAnsi="Arial" w:cs="Arial"/>
            <w:b/>
            <w:bCs/>
            <w:i/>
            <w:color w:val="0077CC"/>
            <w:kern w:val="32"/>
            <w:sz w:val="28"/>
            <w:szCs w:val="32"/>
            <w:u w:val="single"/>
            <w:shd w:val="clear" w:color="auto" w:fill="FFFFFF"/>
          </w:rPr>
          <w:t>This repulsive app generates nudes from photos of clothed women</w:t>
        </w:r>
      </w:hyperlink>
    </w:p>
    <w:p w14:paraId="50FC34D4" w14:textId="77777777" w:rsidR="00054BF0" w:rsidRDefault="00000000">
      <w:pPr>
        <w:spacing w:before="120" w:line="260" w:lineRule="atLeast"/>
        <w:jc w:val="center"/>
      </w:pPr>
      <w:r>
        <w:rPr>
          <w:rFonts w:ascii="Arial" w:eastAsia="Arial" w:hAnsi="Arial" w:cs="Arial"/>
          <w:color w:val="000000"/>
          <w:sz w:val="20"/>
        </w:rPr>
        <w:t>IT Next</w:t>
      </w:r>
    </w:p>
    <w:p w14:paraId="76837C8F" w14:textId="77777777" w:rsidR="00054BF0" w:rsidRDefault="00000000">
      <w:pPr>
        <w:spacing w:before="120" w:line="260" w:lineRule="atLeast"/>
        <w:jc w:val="center"/>
      </w:pPr>
      <w:r>
        <w:rPr>
          <w:rFonts w:ascii="Arial" w:eastAsia="Arial" w:hAnsi="Arial" w:cs="Arial"/>
          <w:color w:val="000000"/>
          <w:sz w:val="20"/>
        </w:rPr>
        <w:t>June 28, 2019</w:t>
      </w:r>
    </w:p>
    <w:p w14:paraId="2D4E6818" w14:textId="77777777" w:rsidR="00054BF0" w:rsidRDefault="00054BF0">
      <w:pPr>
        <w:spacing w:line="240" w:lineRule="atLeast"/>
        <w:jc w:val="both"/>
      </w:pPr>
    </w:p>
    <w:p w14:paraId="33FC3B29" w14:textId="77777777" w:rsidR="00054BF0"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6E765095" w14:textId="77777777" w:rsidR="00054BF0" w:rsidRDefault="00000000">
      <w:pPr>
        <w:spacing w:before="120" w:line="220" w:lineRule="atLeast"/>
      </w:pPr>
      <w:r>
        <w:br/>
      </w:r>
      <w:r w:rsidR="00BE2275">
        <w:pict w14:anchorId="7A87A8AA">
          <v:shape id="_x0000_i1039" type="#_x0000_t75" style="width:169pt;height:51pt">
            <v:imagedata r:id="rId239" o:title=""/>
          </v:shape>
        </w:pict>
      </w:r>
    </w:p>
    <w:p w14:paraId="4BFE6947"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428 words</w:t>
      </w:r>
    </w:p>
    <w:p w14:paraId="7A199A16"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June 28 </w:t>
      </w:r>
    </w:p>
    <w:p w14:paraId="43394144" w14:textId="77777777" w:rsidR="00054BF0" w:rsidRDefault="00000000">
      <w:pPr>
        <w:keepNext/>
        <w:spacing w:before="240" w:line="340" w:lineRule="atLeast"/>
      </w:pPr>
      <w:bookmarkStart w:id="19" w:name="Body_8"/>
      <w:bookmarkEnd w:id="19"/>
      <w:r>
        <w:rPr>
          <w:rFonts w:ascii="Arial" w:eastAsia="Arial" w:hAnsi="Arial" w:cs="Arial"/>
          <w:b/>
          <w:color w:val="000000"/>
          <w:sz w:val="28"/>
        </w:rPr>
        <w:t>Body</w:t>
      </w:r>
    </w:p>
    <w:p w14:paraId="0689B08A" w14:textId="77777777" w:rsidR="00054BF0" w:rsidRDefault="00000000">
      <w:pPr>
        <w:spacing w:line="60" w:lineRule="exact"/>
      </w:pPr>
      <w:r>
        <w:pict w14:anchorId="415E89C1">
          <v:line id="_x0000_s2082" style="position:absolute;z-index:251677696" from="0,2pt" to="512pt,2pt" strokecolor="#009ddb" strokeweight="2pt">
            <w10:wrap type="topAndBottom"/>
          </v:line>
        </w:pict>
      </w:r>
    </w:p>
    <w:p w14:paraId="6B4641A6" w14:textId="77777777" w:rsidR="00054BF0" w:rsidRDefault="00054BF0"/>
    <w:p w14:paraId="01515AE5" w14:textId="77777777" w:rsidR="00054BF0" w:rsidRDefault="00000000">
      <w:pPr>
        <w:spacing w:before="200" w:line="260" w:lineRule="atLeast"/>
        <w:jc w:val="both"/>
      </w:pPr>
      <w:r>
        <w:rPr>
          <w:rFonts w:ascii="Arial" w:eastAsia="Arial" w:hAnsi="Arial" w:cs="Arial"/>
          <w:color w:val="000000"/>
          <w:sz w:val="20"/>
        </w:rPr>
        <w:t xml:space="preserve"> June 28 -- If you think creating anyone's nude photos or deepfake was a difficult task, think again. An app called DeepNude has developed a scary AI that can create a nude picture out of a woman's fully clothed photo.</w:t>
      </w:r>
    </w:p>
    <w:p w14:paraId="2918B1B9" w14:textId="77777777" w:rsidR="00054BF0" w:rsidRDefault="00000000">
      <w:pPr>
        <w:spacing w:before="200" w:line="260" w:lineRule="atLeast"/>
        <w:jc w:val="both"/>
      </w:pPr>
      <w:r>
        <w:rPr>
          <w:rFonts w:ascii="Arial" w:eastAsia="Arial" w:hAnsi="Arial" w:cs="Arial"/>
          <w:color w:val="000000"/>
          <w:sz w:val="20"/>
        </w:rPr>
        <w:t xml:space="preserve"> First reported by Vice, the Windows and Linux app was launched in March. DeepNude can take any clothed photo of a woman and turn into a realistic nude picture using its AI.</w:t>
      </w:r>
    </w:p>
    <w:p w14:paraId="3366D855" w14:textId="77777777" w:rsidR="00054BF0" w:rsidRDefault="00000000">
      <w:pPr>
        <w:spacing w:line="260" w:lineRule="atLeast"/>
        <w:jc w:val="both"/>
      </w:pPr>
      <w:r>
        <w:rPr>
          <w:rFonts w:ascii="Arial" w:eastAsia="Arial" w:hAnsi="Arial" w:cs="Arial"/>
          <w:color w:val="000000"/>
          <w:sz w:val="20"/>
        </w:rPr>
        <w:t xml:space="preserve"> The app is free to download and try, but you'll need to pay $50 for the ability to remove its large watermark and export the results. It works offline and requires a 155MB download, as well as 2.1GB of additional files for its libraries before you can use it.</w:t>
      </w:r>
    </w:p>
    <w:p w14:paraId="0B85F6DB" w14:textId="77777777" w:rsidR="00054BF0" w:rsidRDefault="00000000">
      <w:pPr>
        <w:spacing w:line="260" w:lineRule="atLeast"/>
        <w:jc w:val="both"/>
      </w:pPr>
      <w:r>
        <w:rPr>
          <w:rFonts w:ascii="Arial" w:eastAsia="Arial" w:hAnsi="Arial" w:cs="Arial"/>
          <w:color w:val="000000"/>
          <w:sz w:val="20"/>
        </w:rPr>
        <w:t xml:space="preserve"> We tried the free version of the app with a few pictures, and it worked to some degree (full-length dresses threw the app for a loop). But the results are sometimes enough for bad actors to use to harass people.</w:t>
      </w:r>
    </w:p>
    <w:p w14:paraId="2D5BF3B5" w14:textId="77777777" w:rsidR="00054BF0" w:rsidRDefault="00000000">
      <w:pPr>
        <w:spacing w:line="260" w:lineRule="atLeast"/>
        <w:jc w:val="both"/>
      </w:pPr>
      <w:r>
        <w:rPr>
          <w:rFonts w:ascii="Arial" w:eastAsia="Arial" w:hAnsi="Arial" w:cs="Arial"/>
          <w:color w:val="000000"/>
          <w:sz w:val="20"/>
        </w:rPr>
        <w:t xml:space="preserve"> The unnamed creator of the app told Vice that the AI is based on the Pix2Pix algorithm developed by researchers from the University of California, Berkeley, that turns black and white images into color images. He trained the model with over 10,000 images of nude women, and is hoping to create a male version of this as well.</w:t>
      </w:r>
    </w:p>
    <w:p w14:paraId="3BA1352B" w14:textId="77777777" w:rsidR="00054BF0" w:rsidRDefault="00000000">
      <w:pPr>
        <w:spacing w:line="260" w:lineRule="atLeast"/>
        <w:jc w:val="both"/>
      </w:pPr>
      <w:r>
        <w:rPr>
          <w:rFonts w:ascii="Arial" w:eastAsia="Arial" w:hAnsi="Arial" w:cs="Arial"/>
          <w:color w:val="000000"/>
          <w:sz w:val="20"/>
        </w:rPr>
        <w:t xml:space="preserve"> He told the publication that he created the app out of curiosity and just for "fun":</w:t>
      </w:r>
    </w:p>
    <w:p w14:paraId="32817C9D" w14:textId="77777777" w:rsidR="00054BF0" w:rsidRDefault="00000000">
      <w:pPr>
        <w:spacing w:before="200" w:line="260" w:lineRule="atLeast"/>
        <w:jc w:val="both"/>
      </w:pPr>
      <w:r>
        <w:rPr>
          <w:rFonts w:ascii="Arial" w:eastAsia="Arial" w:hAnsi="Arial" w:cs="Arial"/>
          <w:color w:val="000000"/>
          <w:sz w:val="20"/>
        </w:rPr>
        <w:t xml:space="preserve"> I'm not a voyeur, I'm a technology enthusiast. Continuing to improve the algorithm. Recently, also due to previous </w:t>
      </w:r>
      <w:r>
        <w:rPr>
          <w:rFonts w:ascii="Arial" w:eastAsia="Arial" w:hAnsi="Arial" w:cs="Arial"/>
          <w:b/>
          <w:i/>
          <w:color w:val="000000"/>
          <w:sz w:val="20"/>
          <w:u w:val="single"/>
        </w:rPr>
        <w:t>failures</w:t>
      </w:r>
      <w:r>
        <w:rPr>
          <w:rFonts w:ascii="Arial" w:eastAsia="Arial" w:hAnsi="Arial" w:cs="Arial"/>
          <w:color w:val="000000"/>
          <w:sz w:val="20"/>
        </w:rPr>
        <w:t xml:space="preserve"> (other </w:t>
      </w:r>
      <w:r>
        <w:rPr>
          <w:rFonts w:ascii="Arial" w:eastAsia="Arial" w:hAnsi="Arial" w:cs="Arial"/>
          <w:b/>
          <w:i/>
          <w:color w:val="000000"/>
          <w:sz w:val="20"/>
          <w:u w:val="single"/>
        </w:rPr>
        <w:t>startups</w:t>
      </w:r>
      <w:r>
        <w:rPr>
          <w:rFonts w:ascii="Arial" w:eastAsia="Arial" w:hAnsi="Arial" w:cs="Arial"/>
          <w:color w:val="000000"/>
          <w:sz w:val="20"/>
        </w:rPr>
        <w:t>) and economic problems, I asked myself if I could have an economic return from this algorithm. That's why I created DeepNude.</w:t>
      </w:r>
    </w:p>
    <w:p w14:paraId="2C9667DB" w14:textId="77777777" w:rsidR="00054BF0" w:rsidRDefault="00000000">
      <w:pPr>
        <w:spacing w:line="260" w:lineRule="atLeast"/>
        <w:jc w:val="both"/>
      </w:pPr>
      <w:r>
        <w:rPr>
          <w:rFonts w:ascii="Arial" w:eastAsia="Arial" w:hAnsi="Arial" w:cs="Arial"/>
          <w:color w:val="000000"/>
          <w:sz w:val="20"/>
        </w:rPr>
        <w:t xml:space="preserve"> The creator defended himself saying that anyone can do this with few tutorials of Photoshop. But from his statement, it appears that he isn't cognizant of the fact that this could allow people to harm women by manipulating their photos far more easily than ever before. We've sent an email to DeepNude to learn more about the algorithm and its intentions.</w:t>
      </w:r>
    </w:p>
    <w:p w14:paraId="211B07B7" w14:textId="77777777" w:rsidR="00054BF0" w:rsidRDefault="00000000">
      <w:pPr>
        <w:spacing w:line="260" w:lineRule="atLeast"/>
        <w:jc w:val="both"/>
      </w:pPr>
      <w:r>
        <w:rPr>
          <w:rFonts w:ascii="Arial" w:eastAsia="Arial" w:hAnsi="Arial" w:cs="Arial"/>
          <w:color w:val="000000"/>
          <w:sz w:val="20"/>
        </w:rPr>
        <w:t xml:space="preserve"> Deepfakes have been around for a couple of years, and mainly to create porn videos featuring women and celebrities. We've recently covered advancements in this field that allows you to edit a video just by altering the transcript or create a talking head video using only one image.</w:t>
      </w:r>
    </w:p>
    <w:p w14:paraId="2503B214" w14:textId="77777777" w:rsidR="00054BF0" w:rsidRDefault="00000000">
      <w:pPr>
        <w:spacing w:line="260" w:lineRule="atLeast"/>
        <w:jc w:val="both"/>
      </w:pPr>
      <w:r>
        <w:rPr>
          <w:rFonts w:ascii="Arial" w:eastAsia="Arial" w:hAnsi="Arial" w:cs="Arial"/>
          <w:color w:val="000000"/>
          <w:sz w:val="20"/>
        </w:rPr>
        <w:t xml:space="preserve"> Despite researchers claiming that new algorithms will help professionals in various ways, examples like DeepNude show that right now, it's causing more harm and chaos than benefiting the world.</w:t>
      </w:r>
    </w:p>
    <w:p w14:paraId="19D35E64" w14:textId="77777777" w:rsidR="00054BF0" w:rsidRDefault="00000000">
      <w:pPr>
        <w:spacing w:line="260" w:lineRule="atLeast"/>
        <w:jc w:val="both"/>
      </w:pPr>
      <w:r>
        <w:rPr>
          <w:rFonts w:ascii="Arial" w:eastAsia="Arial" w:hAnsi="Arial" w:cs="Arial"/>
          <w:color w:val="000000"/>
          <w:sz w:val="20"/>
        </w:rPr>
        <w:lastRenderedPageBreak/>
        <w:t xml:space="preserve"> Update: Readers correctly identified we should not have been linking to this awful, awful app. That was irresponsible. We've removed the links, scrubbed the cache, and very much regret the error.</w:t>
      </w:r>
    </w:p>
    <w:p w14:paraId="5CD8F3D9"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28, 2019</w:t>
      </w:r>
    </w:p>
    <w:p w14:paraId="0A0FBDA7" w14:textId="77777777" w:rsidR="00054BF0" w:rsidRDefault="00054BF0"/>
    <w:p w14:paraId="18EB5FC6" w14:textId="77777777" w:rsidR="00054BF0" w:rsidRDefault="00000000">
      <w:pPr>
        <w:ind w:left="200"/>
        <w:sectPr w:rsidR="00054BF0">
          <w:type w:val="continuous"/>
          <w:pgSz w:w="12240" w:h="15840"/>
          <w:pgMar w:top="840" w:right="1000" w:bottom="840" w:left="1000" w:header="400" w:footer="400" w:gutter="0"/>
          <w:cols w:space="720"/>
        </w:sectPr>
      </w:pPr>
      <w:r>
        <w:br/>
      </w:r>
      <w:r>
        <w:pict w14:anchorId="62D77EAA">
          <v:line id="_x0000_s2083" style="position:absolute;left:0;text-align:left;z-index:251678720;mso-position-horizontal-relative:text;mso-position-vertical-relative:text" from="0,10pt" to="512pt,10pt" strokeweight="1pt"/>
        </w:pict>
      </w:r>
      <w:r>
        <w:rPr>
          <w:rFonts w:ascii="Arial" w:eastAsia="Arial" w:hAnsi="Arial" w:cs="Arial"/>
          <w:b/>
          <w:color w:val="767676"/>
          <w:sz w:val="16"/>
        </w:rPr>
        <w:t>End of Document</w:t>
      </w:r>
    </w:p>
    <w:p w14:paraId="18C5F9F0" w14:textId="77777777" w:rsidR="00054BF0" w:rsidRDefault="00054BF0">
      <w:pPr>
        <w:sectPr w:rsidR="00054BF0">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gutter="0"/>
          <w:cols w:space="720"/>
          <w:titlePg/>
        </w:sectPr>
      </w:pPr>
    </w:p>
    <w:p w14:paraId="7E1218D7" w14:textId="77777777" w:rsidR="00054BF0" w:rsidRDefault="00054BF0">
      <w:bookmarkStart w:id="20" w:name="Bookmark_11"/>
      <w:bookmarkEnd w:id="20"/>
    </w:p>
    <w:p w14:paraId="174FFA33" w14:textId="77777777" w:rsidR="00054BF0" w:rsidRDefault="00BE2275">
      <w:r>
        <w:pict w14:anchorId="00231987">
          <v:shape id="_x0000_i1040" type="#_x0000_t75" alt="LexisNexis®" style="width:148pt;height:30pt">
            <v:imagedata r:id="rId6" o:title=""/>
          </v:shape>
        </w:pict>
      </w:r>
      <w:r w:rsidR="00A540D1">
        <w:cr/>
      </w:r>
    </w:p>
    <w:p w14:paraId="723E475F" w14:textId="77777777" w:rsidR="00054BF0" w:rsidRDefault="00000000">
      <w:pPr>
        <w:spacing w:before="240" w:after="200" w:line="340" w:lineRule="atLeast"/>
        <w:jc w:val="center"/>
        <w:outlineLvl w:val="0"/>
        <w:rPr>
          <w:rFonts w:ascii="Arial" w:hAnsi="Arial" w:cs="Arial"/>
          <w:b/>
          <w:bCs/>
          <w:kern w:val="32"/>
          <w:sz w:val="32"/>
          <w:szCs w:val="32"/>
        </w:rPr>
      </w:pPr>
      <w:hyperlink r:id="rId246" w:history="1">
        <w:r>
          <w:rPr>
            <w:rFonts w:ascii="Arial" w:eastAsia="Arial" w:hAnsi="Arial" w:cs="Arial"/>
            <w:b/>
            <w:bCs/>
            <w:i/>
            <w:color w:val="0077CC"/>
            <w:kern w:val="32"/>
            <w:sz w:val="28"/>
            <w:szCs w:val="32"/>
            <w:u w:val="single"/>
            <w:shd w:val="clear" w:color="auto" w:fill="FFFFFF"/>
          </w:rPr>
          <w:t xml:space="preserve">Pakistan </w:t>
        </w:r>
      </w:hyperlink>
      <w:hyperlink r:id="rId247" w:history="1">
        <w:r>
          <w:rPr>
            <w:rFonts w:ascii="Arial" w:eastAsia="Arial" w:hAnsi="Arial" w:cs="Arial"/>
            <w:b/>
            <w:bCs/>
            <w:i/>
            <w:color w:val="0077CC"/>
            <w:kern w:val="32"/>
            <w:sz w:val="28"/>
            <w:szCs w:val="32"/>
            <w:u w:val="single"/>
            <w:shd w:val="clear" w:color="auto" w:fill="FFFFFF"/>
          </w:rPr>
          <w:t>startups</w:t>
        </w:r>
      </w:hyperlink>
      <w:hyperlink r:id="rId248" w:history="1">
        <w:r>
          <w:rPr>
            <w:rFonts w:ascii="Arial" w:eastAsia="Arial" w:hAnsi="Arial" w:cs="Arial"/>
            <w:b/>
            <w:bCs/>
            <w:i/>
            <w:color w:val="0077CC"/>
            <w:kern w:val="32"/>
            <w:sz w:val="28"/>
            <w:szCs w:val="32"/>
            <w:u w:val="single"/>
            <w:shd w:val="clear" w:color="auto" w:fill="FFFFFF"/>
          </w:rPr>
          <w:t>, the last massive untapped opportunity in the world</w:t>
        </w:r>
      </w:hyperlink>
    </w:p>
    <w:p w14:paraId="5A450757" w14:textId="77777777" w:rsidR="00054BF0" w:rsidRDefault="00000000">
      <w:pPr>
        <w:spacing w:before="120" w:line="260" w:lineRule="atLeast"/>
        <w:jc w:val="center"/>
      </w:pPr>
      <w:r>
        <w:rPr>
          <w:rFonts w:ascii="Arial" w:eastAsia="Arial" w:hAnsi="Arial" w:cs="Arial"/>
          <w:color w:val="000000"/>
          <w:sz w:val="20"/>
        </w:rPr>
        <w:t xml:space="preserve">Newstex Blogs </w:t>
      </w:r>
    </w:p>
    <w:p w14:paraId="253769F3" w14:textId="77777777" w:rsidR="00054BF0" w:rsidRDefault="00000000">
      <w:pPr>
        <w:spacing w:before="120" w:line="260" w:lineRule="atLeast"/>
        <w:jc w:val="center"/>
      </w:pPr>
      <w:r>
        <w:rPr>
          <w:rFonts w:ascii="Arial" w:eastAsia="Arial" w:hAnsi="Arial" w:cs="Arial"/>
          <w:color w:val="000000"/>
          <w:sz w:val="20"/>
        </w:rPr>
        <w:t>e27</w:t>
      </w:r>
    </w:p>
    <w:p w14:paraId="59E864D8" w14:textId="77777777" w:rsidR="00054BF0" w:rsidRDefault="00000000">
      <w:pPr>
        <w:spacing w:before="120" w:line="260" w:lineRule="atLeast"/>
        <w:jc w:val="center"/>
      </w:pPr>
      <w:r>
        <w:rPr>
          <w:rFonts w:ascii="Arial" w:eastAsia="Arial" w:hAnsi="Arial" w:cs="Arial"/>
          <w:color w:val="000000"/>
          <w:sz w:val="20"/>
        </w:rPr>
        <w:t>May 17, 2022 Tuesday 6:08 AM EST</w:t>
      </w:r>
    </w:p>
    <w:p w14:paraId="43719CF1" w14:textId="77777777" w:rsidR="00054BF0" w:rsidRDefault="00054BF0">
      <w:pPr>
        <w:spacing w:line="240" w:lineRule="atLeast"/>
        <w:jc w:val="both"/>
      </w:pPr>
    </w:p>
    <w:p w14:paraId="789EA7A8" w14:textId="77777777" w:rsidR="00054BF0" w:rsidRDefault="00000000">
      <w:pPr>
        <w:spacing w:before="120" w:line="220" w:lineRule="atLeast"/>
      </w:pPr>
      <w:r>
        <w:br/>
      </w:r>
      <w:r>
        <w:rPr>
          <w:rFonts w:ascii="Arial" w:eastAsia="Arial" w:hAnsi="Arial" w:cs="Arial"/>
          <w:color w:val="000000"/>
          <w:sz w:val="16"/>
        </w:rPr>
        <w:t>Copyright 2022 Newstex LLC All Rights Reserved</w:t>
      </w:r>
    </w:p>
    <w:p w14:paraId="7992DDA0"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2383 words</w:t>
      </w:r>
    </w:p>
    <w:p w14:paraId="124D3E3C"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Sainul</w:t>
      </w:r>
    </w:p>
    <w:p w14:paraId="3859480F" w14:textId="77777777" w:rsidR="00054BF0" w:rsidRDefault="00000000">
      <w:pPr>
        <w:keepNext/>
        <w:spacing w:before="240" w:line="340" w:lineRule="atLeast"/>
      </w:pPr>
      <w:bookmarkStart w:id="21" w:name="Body_9"/>
      <w:bookmarkEnd w:id="21"/>
      <w:r>
        <w:rPr>
          <w:rFonts w:ascii="Arial" w:eastAsia="Arial" w:hAnsi="Arial" w:cs="Arial"/>
          <w:b/>
          <w:color w:val="000000"/>
          <w:sz w:val="28"/>
        </w:rPr>
        <w:t>Body</w:t>
      </w:r>
    </w:p>
    <w:p w14:paraId="542E2D22" w14:textId="77777777" w:rsidR="00054BF0" w:rsidRDefault="00000000">
      <w:pPr>
        <w:spacing w:line="60" w:lineRule="exact"/>
      </w:pPr>
      <w:r>
        <w:pict w14:anchorId="5D96F462">
          <v:line id="_x0000_s2085" style="position:absolute;z-index:251679744" from="0,2pt" to="512pt,2pt" strokecolor="#009ddb" strokeweight="2pt">
            <w10:wrap type="topAndBottom"/>
          </v:line>
        </w:pict>
      </w:r>
    </w:p>
    <w:p w14:paraId="0A864859" w14:textId="77777777" w:rsidR="00054BF0" w:rsidRDefault="00054BF0"/>
    <w:p w14:paraId="5C922D63" w14:textId="77777777" w:rsidR="00054BF0" w:rsidRDefault="00000000">
      <w:pPr>
        <w:spacing w:before="240" w:line="260" w:lineRule="atLeast"/>
        <w:jc w:val="both"/>
      </w:pPr>
      <w:r>
        <w:rPr>
          <w:rFonts w:ascii="Arial" w:eastAsia="Arial" w:hAnsi="Arial" w:cs="Arial"/>
          <w:color w:val="000000"/>
          <w:sz w:val="20"/>
        </w:rPr>
        <w:t xml:space="preserve">May 17, 2022( e27: </w:t>
      </w:r>
      <w:hyperlink r:id="rId249"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Newstex)  </w:t>
      </w:r>
    </w:p>
    <w:p w14:paraId="6EE40B80" w14:textId="77777777" w:rsidR="00054BF0" w:rsidRDefault="00000000">
      <w:pPr>
        <w:spacing w:before="60" w:line="260" w:lineRule="atLeast"/>
        <w:jc w:val="both"/>
      </w:pPr>
      <w:r>
        <w:rPr>
          <w:rFonts w:ascii="Arial" w:eastAsia="Arial" w:hAnsi="Arial" w:cs="Arial"/>
          <w:color w:val="000000"/>
          <w:sz w:val="20"/>
        </w:rPr>
        <w:t xml:space="preserve"> The Pakistan Monument in Islamabad </w:t>
      </w:r>
    </w:p>
    <w:p w14:paraId="3D9A13DA" w14:textId="77777777" w:rsidR="00054BF0" w:rsidRDefault="00000000">
      <w:pPr>
        <w:spacing w:before="60" w:line="260" w:lineRule="atLeast"/>
        <w:jc w:val="both"/>
      </w:pPr>
      <w:r>
        <w:rPr>
          <w:rFonts w:ascii="Arial" w:eastAsia="Arial" w:hAnsi="Arial" w:cs="Arial"/>
          <w:color w:val="000000"/>
          <w:sz w:val="20"/>
        </w:rPr>
        <w:t xml:space="preserve">On August 25, 2021, a tweet by Mattias Martinsson, Chief Investment Officer at Tundra Fonder, a Swedish asset manager specialising in frontier markets, drew the attention of many. </w:t>
      </w:r>
    </w:p>
    <w:p w14:paraId="5AF870D4" w14:textId="77777777" w:rsidR="00054BF0" w:rsidRDefault="00000000">
      <w:pPr>
        <w:spacing w:before="60" w:line="260" w:lineRule="atLeast"/>
        <w:jc w:val="both"/>
      </w:pPr>
      <w:r>
        <w:rPr>
          <w:rFonts w:ascii="Arial" w:eastAsia="Arial" w:hAnsi="Arial" w:cs="Arial"/>
          <w:color w:val="000000"/>
          <w:sz w:val="20"/>
        </w:rPr>
        <w:t xml:space="preserve">'Have followed Pakistan for 15 years. Can't recall any time when VC activity was anywhere near [that] we've seen in the last few months. Impact of reforms kicking in?', he tweeted. </w:t>
      </w:r>
    </w:p>
    <w:p w14:paraId="080D5EAB" w14:textId="77777777" w:rsidR="00054BF0" w:rsidRDefault="00000000">
      <w:pPr>
        <w:spacing w:before="200" w:line="260" w:lineRule="atLeast"/>
        <w:jc w:val="both"/>
      </w:pPr>
      <w:r>
        <w:rPr>
          <w:rFonts w:ascii="Arial" w:eastAsia="Arial" w:hAnsi="Arial" w:cs="Arial"/>
          <w:color w:val="000000"/>
          <w:sz w:val="20"/>
        </w:rPr>
        <w:t xml:space="preserve">The tweet, which referred to the record amounts of venture funding being poured into Pakistan in 2021, well captured the changing market sentiment. </w:t>
      </w:r>
    </w:p>
    <w:p w14:paraId="03F57DF2" w14:textId="77777777" w:rsidR="00054BF0" w:rsidRDefault="00000000">
      <w:pPr>
        <w:spacing w:before="200" w:line="260" w:lineRule="atLeast"/>
        <w:jc w:val="both"/>
      </w:pPr>
      <w:r>
        <w:rPr>
          <w:rFonts w:ascii="Arial" w:eastAsia="Arial" w:hAnsi="Arial" w:cs="Arial"/>
          <w:color w:val="000000"/>
          <w:sz w:val="20"/>
        </w:rPr>
        <w:t xml:space="preserve">And this positive sentiment could, well, mark a new dawn for the Islamic republic's </w:t>
      </w:r>
      <w:r>
        <w:rPr>
          <w:rFonts w:ascii="Arial" w:eastAsia="Arial" w:hAnsi="Arial" w:cs="Arial"/>
          <w:b/>
          <w:i/>
          <w:color w:val="000000"/>
          <w:sz w:val="20"/>
          <w:u w:val="single"/>
        </w:rPr>
        <w:t>startup</w:t>
      </w:r>
      <w:r>
        <w:rPr>
          <w:rFonts w:ascii="Arial" w:eastAsia="Arial" w:hAnsi="Arial" w:cs="Arial"/>
          <w:color w:val="000000"/>
          <w:sz w:val="20"/>
        </w:rPr>
        <w:t xml:space="preserve"> ecosystem. </w:t>
      </w:r>
    </w:p>
    <w:p w14:paraId="7BED6CC0" w14:textId="77777777" w:rsidR="00054BF0" w:rsidRDefault="00000000">
      <w:pPr>
        <w:spacing w:line="260" w:lineRule="atLeast"/>
        <w:jc w:val="both"/>
      </w:pPr>
      <w:r>
        <w:rPr>
          <w:rFonts w:ascii="Arial" w:eastAsia="Arial" w:hAnsi="Arial" w:cs="Arial"/>
          <w:color w:val="000000"/>
          <w:sz w:val="20"/>
        </w:rPr>
        <w:t xml:space="preserve">However, the picture was totally different until three-four years ago. Pakistan, plagued by security concerns for many years, had not been a preferred destination for foreign VCs. The unrest in neighbouring Afghanistan, following its invasion by a US-led coalition in the 2000s, had ripples in Pakistan. Consequently, the country faced several massive terrorist attacks. Its unpredictable and unstable political system added to the woes. </w:t>
      </w:r>
    </w:p>
    <w:p w14:paraId="5E71F8A9" w14:textId="77777777" w:rsidR="00054BF0" w:rsidRDefault="00000000">
      <w:pPr>
        <w:spacing w:line="260" w:lineRule="atLeast"/>
        <w:jc w:val="both"/>
      </w:pPr>
      <w:r>
        <w:rPr>
          <w:rFonts w:ascii="Arial" w:eastAsia="Arial" w:hAnsi="Arial" w:cs="Arial"/>
          <w:color w:val="000000"/>
          <w:sz w:val="20"/>
        </w:rPr>
        <w:t xml:space="preserve">This precariousness scared away global investors from investing in the nation. </w:t>
      </w:r>
    </w:p>
    <w:p w14:paraId="555D4F6C" w14:textId="77777777" w:rsidR="00054BF0" w:rsidRDefault="00000000">
      <w:pPr>
        <w:spacing w:line="260" w:lineRule="atLeast"/>
        <w:jc w:val="both"/>
      </w:pPr>
      <w:r>
        <w:rPr>
          <w:rFonts w:ascii="Arial" w:eastAsia="Arial" w:hAnsi="Arial" w:cs="Arial"/>
          <w:color w:val="000000"/>
          <w:sz w:val="20"/>
        </w:rPr>
        <w:t xml:space="preserve">While Pakistan was struggling to check the growing terrorist activities and shed its image as an insecure nation, its arch-rival India was marching ahead, attracting billions of dollars in VC money. India, whose digitisation[1] rate grew fast in the recent years, also minted around 100 unicorns[2] in the last 10-plus years, whereas Pakistan produced none. </w:t>
      </w:r>
    </w:p>
    <w:p w14:paraId="77BCCEE1" w14:textId="77777777" w:rsidR="00054BF0" w:rsidRDefault="00000000">
      <w:pPr>
        <w:spacing w:line="260" w:lineRule="atLeast"/>
        <w:jc w:val="both"/>
      </w:pPr>
      <w:r>
        <w:rPr>
          <w:rFonts w:ascii="Arial" w:eastAsia="Arial" w:hAnsi="Arial" w:cs="Arial"/>
          <w:color w:val="000000"/>
          <w:sz w:val="20"/>
        </w:rPr>
        <w:t xml:space="preserve">Finding the feet </w:t>
      </w:r>
    </w:p>
    <w:p w14:paraId="2159761E" w14:textId="77777777" w:rsidR="00054BF0" w:rsidRDefault="00000000">
      <w:pPr>
        <w:spacing w:before="200" w:line="260" w:lineRule="atLeast"/>
        <w:jc w:val="both"/>
      </w:pPr>
      <w:r>
        <w:rPr>
          <w:rFonts w:ascii="Arial" w:eastAsia="Arial" w:hAnsi="Arial" w:cs="Arial"/>
          <w:color w:val="000000"/>
          <w:sz w:val="20"/>
        </w:rPr>
        <w:t xml:space="preserve">After two decades of uncertainty and confusion, Pakistan's tech </w:t>
      </w:r>
      <w:r>
        <w:rPr>
          <w:rFonts w:ascii="Arial" w:eastAsia="Arial" w:hAnsi="Arial" w:cs="Arial"/>
          <w:b/>
          <w:i/>
          <w:color w:val="000000"/>
          <w:sz w:val="20"/>
          <w:u w:val="single"/>
        </w:rPr>
        <w:t>startup</w:t>
      </w:r>
      <w:r>
        <w:rPr>
          <w:rFonts w:ascii="Arial" w:eastAsia="Arial" w:hAnsi="Arial" w:cs="Arial"/>
          <w:color w:val="000000"/>
          <w:sz w:val="20"/>
        </w:rPr>
        <w:t xml:space="preserve"> ecosystem appears to have finally found its feet — if the growing VC activity is any indicator. In 2021, a record US$352 million was raised by more than 50 local </w:t>
      </w:r>
      <w:r>
        <w:rPr>
          <w:rFonts w:ascii="Arial" w:eastAsia="Arial" w:hAnsi="Arial" w:cs="Arial"/>
          <w:b/>
          <w:i/>
          <w:color w:val="000000"/>
          <w:sz w:val="20"/>
          <w:u w:val="single"/>
        </w:rPr>
        <w:t>startups</w:t>
      </w:r>
      <w:r>
        <w:rPr>
          <w:rFonts w:ascii="Arial" w:eastAsia="Arial" w:hAnsi="Arial" w:cs="Arial"/>
          <w:color w:val="000000"/>
          <w:sz w:val="20"/>
        </w:rPr>
        <w:t xml:space="preserve">, statistics[3] by consulting agency Invest2Innovate[4] (i2i) showed. To put this in context, local </w:t>
      </w:r>
      <w:r>
        <w:rPr>
          <w:rFonts w:ascii="Arial" w:eastAsia="Arial" w:hAnsi="Arial" w:cs="Arial"/>
          <w:b/>
          <w:i/>
          <w:color w:val="000000"/>
          <w:sz w:val="20"/>
          <w:u w:val="single"/>
        </w:rPr>
        <w:t>startups</w:t>
      </w:r>
      <w:r>
        <w:rPr>
          <w:rFonts w:ascii="Arial" w:eastAsia="Arial" w:hAnsi="Arial" w:cs="Arial"/>
          <w:color w:val="000000"/>
          <w:sz w:val="20"/>
        </w:rPr>
        <w:t xml:space="preserve"> secured only US$465 million between 2016 and 2021 (see the graph). </w:t>
      </w:r>
    </w:p>
    <w:p w14:paraId="0015116D" w14:textId="77777777" w:rsidR="00054BF0" w:rsidRDefault="00000000">
      <w:pPr>
        <w:spacing w:line="260" w:lineRule="atLeast"/>
        <w:jc w:val="both"/>
      </w:pPr>
      <w:r>
        <w:rPr>
          <w:rFonts w:ascii="Arial" w:eastAsia="Arial" w:hAnsi="Arial" w:cs="Arial"/>
          <w:color w:val="000000"/>
          <w:sz w:val="20"/>
        </w:rPr>
        <w:t xml:space="preserve">What made the 2021 boom more exciting was that a big chunk of the dollars came from international investors. Among them were notable VCs, such as Kleiner Perkins (the US), Defy Partners Management (the US), Wavemaker Partners (Singapore), and Zayn Capital (UAE). </w:t>
      </w:r>
    </w:p>
    <w:p w14:paraId="434A42BD" w14:textId="77777777" w:rsidR="00054BF0" w:rsidRDefault="00000000">
      <w:pPr>
        <w:spacing w:before="200" w:line="260" w:lineRule="atLeast"/>
        <w:jc w:val="both"/>
      </w:pPr>
      <w:r>
        <w:rPr>
          <w:rFonts w:ascii="Arial" w:eastAsia="Arial" w:hAnsi="Arial" w:cs="Arial"/>
          <w:color w:val="000000"/>
          <w:sz w:val="20"/>
        </w:rPr>
        <w:lastRenderedPageBreak/>
        <w:t xml:space="preserve">The kind of VC money invested in 2022 so far also brings cheers to the ecosystem. In the first three-month period, </w:t>
      </w:r>
      <w:r>
        <w:rPr>
          <w:rFonts w:ascii="Arial" w:eastAsia="Arial" w:hAnsi="Arial" w:cs="Arial"/>
          <w:b/>
          <w:i/>
          <w:color w:val="000000"/>
          <w:sz w:val="20"/>
          <w:u w:val="single"/>
        </w:rPr>
        <w:t>startups</w:t>
      </w:r>
      <w:r>
        <w:rPr>
          <w:rFonts w:ascii="Arial" w:eastAsia="Arial" w:hAnsi="Arial" w:cs="Arial"/>
          <w:color w:val="000000"/>
          <w:sz w:val="20"/>
        </w:rPr>
        <w:t xml:space="preserve"> secured 7x as much investment[5] as in Q1 last year, with names such as Indus Valley Capital, Defy Partners, Acrew Capital, Wavemaker Partners, B&amp;Y Venture Partners, and Zayn Capital injecting capital. </w:t>
      </w:r>
    </w:p>
    <w:p w14:paraId="12EF12B9" w14:textId="77777777" w:rsidR="00054BF0" w:rsidRDefault="00000000">
      <w:pPr>
        <w:spacing w:line="260" w:lineRule="atLeast"/>
        <w:jc w:val="both"/>
      </w:pPr>
      <w:r>
        <w:rPr>
          <w:rFonts w:ascii="Arial" w:eastAsia="Arial" w:hAnsi="Arial" w:cs="Arial"/>
          <w:color w:val="000000"/>
          <w:sz w:val="20"/>
        </w:rPr>
        <w:t xml:space="preserve">Also Read:The 5 women in tech from Pakistan you must know[6] </w:t>
      </w:r>
    </w:p>
    <w:p w14:paraId="78ADFDF3" w14:textId="77777777" w:rsidR="00054BF0" w:rsidRDefault="00000000">
      <w:pPr>
        <w:spacing w:line="260" w:lineRule="atLeast"/>
        <w:jc w:val="both"/>
      </w:pPr>
      <w:r>
        <w:rPr>
          <w:rFonts w:ascii="Arial" w:eastAsia="Arial" w:hAnsi="Arial" w:cs="Arial"/>
          <w:color w:val="000000"/>
          <w:sz w:val="20"/>
        </w:rPr>
        <w:t xml:space="preserve">Many factors are attributed to this investor confidence. The primary reason is the improved security situation; the number of terror-related incidents in the nationhas dropped in recent years[7]. An improved digital infrastructure also worked in its favour. Pakistan, with a population of 228 million[8], had 82.90 million (about 36.5 per cent) internet users as of January 2022. </w:t>
      </w:r>
    </w:p>
    <w:p w14:paraId="45F43CB4" w14:textId="77777777" w:rsidR="00054BF0" w:rsidRDefault="00000000">
      <w:pPr>
        <w:spacing w:before="200" w:line="260" w:lineRule="atLeast"/>
        <w:jc w:val="both"/>
      </w:pPr>
      <w:r>
        <w:rPr>
          <w:rFonts w:ascii="Arial" w:eastAsia="Arial" w:hAnsi="Arial" w:cs="Arial"/>
          <w:color w:val="000000"/>
          <w:sz w:val="20"/>
        </w:rPr>
        <w:t xml:space="preserve">Besides, Pakistan recently introduced[9] new reforms to become more </w:t>
      </w:r>
      <w:r>
        <w:rPr>
          <w:rFonts w:ascii="Arial" w:eastAsia="Arial" w:hAnsi="Arial" w:cs="Arial"/>
          <w:b/>
          <w:i/>
          <w:color w:val="000000"/>
          <w:sz w:val="20"/>
          <w:u w:val="single"/>
        </w:rPr>
        <w:t>startup</w:t>
      </w:r>
      <w:r>
        <w:rPr>
          <w:rFonts w:ascii="Arial" w:eastAsia="Arial" w:hAnsi="Arial" w:cs="Arial"/>
          <w:color w:val="000000"/>
          <w:sz w:val="20"/>
        </w:rPr>
        <w:t xml:space="preserve">-friendly.The previous PTI government, led by Imran Khan,realised the importance of </w:t>
      </w:r>
      <w:r>
        <w:rPr>
          <w:rFonts w:ascii="Arial" w:eastAsia="Arial" w:hAnsi="Arial" w:cs="Arial"/>
          <w:b/>
          <w:i/>
          <w:color w:val="000000"/>
          <w:sz w:val="20"/>
          <w:u w:val="single"/>
        </w:rPr>
        <w:t>startups</w:t>
      </w:r>
      <w:r>
        <w:rPr>
          <w:rFonts w:ascii="Arial" w:eastAsia="Arial" w:hAnsi="Arial" w:cs="Arial"/>
          <w:color w:val="000000"/>
          <w:sz w:val="20"/>
        </w:rPr>
        <w:t xml:space="preserve"> [10]to the country's economic growth and wanted it to be a hub for new businesses, along the lines of Silicon Valley. The government had also been very responsive to the growing </w:t>
      </w:r>
      <w:r>
        <w:rPr>
          <w:rFonts w:ascii="Arial" w:eastAsia="Arial" w:hAnsi="Arial" w:cs="Arial"/>
          <w:b/>
          <w:i/>
          <w:color w:val="000000"/>
          <w:sz w:val="20"/>
          <w:u w:val="single"/>
        </w:rPr>
        <w:t>startup</w:t>
      </w:r>
      <w:r>
        <w:rPr>
          <w:rFonts w:ascii="Arial" w:eastAsia="Arial" w:hAnsi="Arial" w:cs="Arial"/>
          <w:color w:val="000000"/>
          <w:sz w:val="20"/>
        </w:rPr>
        <w:t xml:space="preserve"> ecosystem and instituted several policies from 'tax holidays' through special zones to regularising holding companies to creating fintech licenses. </w:t>
      </w:r>
    </w:p>
    <w:p w14:paraId="45C98EBF" w14:textId="77777777" w:rsidR="00054BF0" w:rsidRDefault="00000000">
      <w:pPr>
        <w:spacing w:before="200" w:line="260" w:lineRule="atLeast"/>
        <w:jc w:val="both"/>
      </w:pPr>
      <w:r>
        <w:rPr>
          <w:rFonts w:ascii="Arial" w:eastAsia="Arial" w:hAnsi="Arial" w:cs="Arial"/>
          <w:color w:val="000000"/>
          <w:sz w:val="20"/>
        </w:rPr>
        <w:t xml:space="preserve">In February this year, the government also established[11] Pakistan Technology </w:t>
      </w:r>
      <w:r>
        <w:rPr>
          <w:rFonts w:ascii="Arial" w:eastAsia="Arial" w:hAnsi="Arial" w:cs="Arial"/>
          <w:b/>
          <w:i/>
          <w:color w:val="000000"/>
          <w:sz w:val="20"/>
          <w:u w:val="single"/>
        </w:rPr>
        <w:t>Startup</w:t>
      </w:r>
      <w:r>
        <w:rPr>
          <w:rFonts w:ascii="Arial" w:eastAsia="Arial" w:hAnsi="Arial" w:cs="Arial"/>
          <w:color w:val="000000"/>
          <w:sz w:val="20"/>
        </w:rPr>
        <w:t xml:space="preserve"> Fund worth one billion rupees (US$5.4 million) to provide seed financing to 50 </w:t>
      </w:r>
      <w:r>
        <w:rPr>
          <w:rFonts w:ascii="Arial" w:eastAsia="Arial" w:hAnsi="Arial" w:cs="Arial"/>
          <w:b/>
          <w:i/>
          <w:color w:val="000000"/>
          <w:sz w:val="20"/>
          <w:u w:val="single"/>
        </w:rPr>
        <w:t>startups</w:t>
      </w:r>
      <w:r>
        <w:rPr>
          <w:rFonts w:ascii="Arial" w:eastAsia="Arial" w:hAnsi="Arial" w:cs="Arial"/>
          <w:color w:val="000000"/>
          <w:sz w:val="20"/>
        </w:rPr>
        <w:t xml:space="preserve"> annually. </w:t>
      </w:r>
    </w:p>
    <w:p w14:paraId="6076088E" w14:textId="77777777" w:rsidR="00054BF0" w:rsidRDefault="00000000">
      <w:pPr>
        <w:spacing w:line="260" w:lineRule="atLeast"/>
        <w:jc w:val="both"/>
      </w:pPr>
      <w:r>
        <w:rPr>
          <w:rFonts w:ascii="Arial" w:eastAsia="Arial" w:hAnsi="Arial" w:cs="Arial"/>
          <w:color w:val="000000"/>
          <w:sz w:val="20"/>
        </w:rPr>
        <w:t xml:space="preserve">In addition to these initiatives, the central bank, the SBP, introduced new legislation that[12]allows international investors to invest in an entity registered in a foreign land but has operations in Pakistan (it was disallowed earlier). </w:t>
      </w:r>
    </w:p>
    <w:p w14:paraId="2B332141" w14:textId="77777777" w:rsidR="00054BF0" w:rsidRDefault="00000000">
      <w:pPr>
        <w:spacing w:before="200" w:line="260" w:lineRule="atLeast"/>
        <w:jc w:val="both"/>
      </w:pPr>
      <w:r>
        <w:rPr>
          <w:rFonts w:ascii="Arial" w:eastAsia="Arial" w:hAnsi="Arial" w:cs="Arial"/>
          <w:color w:val="000000"/>
          <w:sz w:val="20"/>
        </w:rPr>
        <w:t xml:space="preserve">The reforms also included a legal framework for Electronic Money Institutions (aimed at offering innovative payment services to the general public), the Digital Banking Policy (aimed at granting the license to set </w:t>
      </w:r>
      <w:r>
        <w:rPr>
          <w:rFonts w:ascii="Arial" w:eastAsia="Arial" w:hAnsi="Arial" w:cs="Arial"/>
          <w:b/>
          <w:i/>
          <w:color w:val="000000"/>
          <w:sz w:val="20"/>
          <w:u w:val="single"/>
        </w:rPr>
        <w:t>up</w:t>
      </w:r>
      <w:r>
        <w:rPr>
          <w:rFonts w:ascii="Arial" w:eastAsia="Arial" w:hAnsi="Arial" w:cs="Arial"/>
          <w:color w:val="000000"/>
          <w:sz w:val="20"/>
        </w:rPr>
        <w:t xml:space="preserve"> wholly digital banks), and the setting </w:t>
      </w:r>
      <w:r>
        <w:rPr>
          <w:rFonts w:ascii="Arial" w:eastAsia="Arial" w:hAnsi="Arial" w:cs="Arial"/>
          <w:b/>
          <w:i/>
          <w:color w:val="000000"/>
          <w:sz w:val="20"/>
          <w:u w:val="single"/>
        </w:rPr>
        <w:t>up</w:t>
      </w:r>
      <w:r>
        <w:rPr>
          <w:rFonts w:ascii="Arial" w:eastAsia="Arial" w:hAnsi="Arial" w:cs="Arial"/>
          <w:color w:val="000000"/>
          <w:sz w:val="20"/>
        </w:rPr>
        <w:t xml:space="preserve"> of Special Technology Zones. </w:t>
      </w:r>
    </w:p>
    <w:p w14:paraId="638F8324" w14:textId="77777777" w:rsidR="00054BF0" w:rsidRDefault="00000000">
      <w:pPr>
        <w:spacing w:before="200" w:line="260" w:lineRule="atLeast"/>
        <w:jc w:val="both"/>
      </w:pPr>
      <w:r>
        <w:rPr>
          <w:rFonts w:ascii="Arial" w:eastAsia="Arial" w:hAnsi="Arial" w:cs="Arial"/>
          <w:color w:val="000000"/>
          <w:sz w:val="20"/>
        </w:rPr>
        <w:t xml:space="preserve">With all this in place, Pakistan now has an active </w:t>
      </w:r>
      <w:r>
        <w:rPr>
          <w:rFonts w:ascii="Arial" w:eastAsia="Arial" w:hAnsi="Arial" w:cs="Arial"/>
          <w:b/>
          <w:i/>
          <w:color w:val="000000"/>
          <w:sz w:val="20"/>
          <w:u w:val="single"/>
        </w:rPr>
        <w:t>startup</w:t>
      </w:r>
      <w:r>
        <w:rPr>
          <w:rFonts w:ascii="Arial" w:eastAsia="Arial" w:hAnsi="Arial" w:cs="Arial"/>
          <w:color w:val="000000"/>
          <w:sz w:val="20"/>
        </w:rPr>
        <w:t xml:space="preserve"> ecosystem, with many incubators and accelerators[13], including i2i, the National Incubation Centers, Nest IO, Plan 9, and Plan X. Several co-working places like COLABS, Daftarkhawan, and The Hive have also emerged recently. </w:t>
      </w:r>
    </w:p>
    <w:p w14:paraId="13A6F5B1" w14:textId="77777777" w:rsidR="00054BF0" w:rsidRDefault="00000000">
      <w:pPr>
        <w:spacing w:line="260" w:lineRule="atLeast"/>
        <w:jc w:val="both"/>
      </w:pPr>
      <w:r>
        <w:rPr>
          <w:rFonts w:ascii="Arial" w:eastAsia="Arial" w:hAnsi="Arial" w:cs="Arial"/>
          <w:color w:val="000000"/>
          <w:sz w:val="20"/>
        </w:rPr>
        <w:t xml:space="preserve">Many early-stage VCs and angel networks are also operational in the nation. The names include CresVentures, DotZero, Planet N, Lakson Investments, Fatima Ventures, Deosai Ventures, 47 Ventures, i2i Ventures, HBL ventures, Indus Valley Capital, Virtual Force, Karavan, Zayn Capital, Walled City Co. </w:t>
      </w:r>
    </w:p>
    <w:p w14:paraId="072C3336" w14:textId="77777777" w:rsidR="00054BF0" w:rsidRDefault="00000000">
      <w:pPr>
        <w:spacing w:line="260" w:lineRule="atLeast"/>
        <w:jc w:val="both"/>
      </w:pPr>
      <w:r>
        <w:rPr>
          <w:rFonts w:ascii="Arial" w:eastAsia="Arial" w:hAnsi="Arial" w:cs="Arial"/>
          <w:color w:val="000000"/>
          <w:sz w:val="20"/>
        </w:rPr>
        <w:t xml:space="preserve">According to Kalsoom Lakhani,[14]Co-Founder and General Partner of i2i Ventures (the US$15-million VC arm of i2i), the pace at which things are moving in Pakistan right now is probably 20x faster than she had ever seen. Moreover, the time between two successive financing rounds is also getting shorter, she says. </w:t>
      </w:r>
    </w:p>
    <w:p w14:paraId="45B56307" w14:textId="77777777" w:rsidR="00054BF0" w:rsidRDefault="00000000">
      <w:pPr>
        <w:spacing w:before="200" w:line="260" w:lineRule="atLeast"/>
        <w:jc w:val="both"/>
      </w:pPr>
      <w:r>
        <w:rPr>
          <w:rFonts w:ascii="Arial" w:eastAsia="Arial" w:hAnsi="Arial" w:cs="Arial"/>
          <w:color w:val="000000"/>
          <w:sz w:val="20"/>
        </w:rPr>
        <w:t xml:space="preserve">As a result of the changing business environment, many foreign-educated young Pakistanis have </w:t>
      </w:r>
      <w:r>
        <w:rPr>
          <w:rFonts w:ascii="Arial" w:eastAsia="Arial" w:hAnsi="Arial" w:cs="Arial"/>
          <w:b/>
          <w:i/>
          <w:color w:val="000000"/>
          <w:sz w:val="20"/>
          <w:u w:val="single"/>
        </w:rPr>
        <w:t>started</w:t>
      </w:r>
      <w:r>
        <w:rPr>
          <w:rFonts w:ascii="Arial" w:eastAsia="Arial" w:hAnsi="Arial" w:cs="Arial"/>
          <w:color w:val="000000"/>
          <w:sz w:val="20"/>
        </w:rPr>
        <w:t xml:space="preserve"> quitting their overseas plum jobs at MNCs like Morgan Stanley and McKinsey to set </w:t>
      </w:r>
      <w:r>
        <w:rPr>
          <w:rFonts w:ascii="Arial" w:eastAsia="Arial" w:hAnsi="Arial" w:cs="Arial"/>
          <w:b/>
          <w:i/>
          <w:color w:val="000000"/>
          <w:sz w:val="20"/>
          <w:u w:val="single"/>
        </w:rPr>
        <w:t>up</w:t>
      </w:r>
      <w:r>
        <w:rPr>
          <w:rFonts w:ascii="Arial" w:eastAsia="Arial" w:hAnsi="Arial" w:cs="Arial"/>
          <w:color w:val="000000"/>
          <w:sz w:val="20"/>
        </w:rPr>
        <w:t xml:space="preserve"> their own ventures back home. For instance, Aatif Awan, with over a decade working for tech behemoths such as LinkedIn, came back in early 2020 to launch his own VC firm Indus Valley Capital[15]. This early-stage VC firm has already backed eight companies, including Bazaar (a B2B e-commerce marketplace, which recently secured US$70M[16] in a Series B round) and Airlift (a quick commerce </w:t>
      </w:r>
      <w:r>
        <w:rPr>
          <w:rFonts w:ascii="Arial" w:eastAsia="Arial" w:hAnsi="Arial" w:cs="Arial"/>
          <w:b/>
          <w:i/>
          <w:color w:val="000000"/>
          <w:sz w:val="20"/>
          <w:u w:val="single"/>
        </w:rPr>
        <w:t>startup</w:t>
      </w:r>
      <w:r>
        <w:rPr>
          <w:rFonts w:ascii="Arial" w:eastAsia="Arial" w:hAnsi="Arial" w:cs="Arial"/>
          <w:color w:val="000000"/>
          <w:sz w:val="20"/>
        </w:rPr>
        <w:t xml:space="preserve"> that bagged US$85M[17] in Series B in 2021). </w:t>
      </w:r>
    </w:p>
    <w:p w14:paraId="5AA4D729" w14:textId="77777777" w:rsidR="00054BF0" w:rsidRDefault="00000000">
      <w:pPr>
        <w:spacing w:before="200" w:line="260" w:lineRule="atLeast"/>
        <w:jc w:val="both"/>
      </w:pPr>
      <w:r>
        <w:rPr>
          <w:rFonts w:ascii="Arial" w:eastAsia="Arial" w:hAnsi="Arial" w:cs="Arial"/>
          <w:color w:val="000000"/>
          <w:sz w:val="20"/>
        </w:rPr>
        <w:t xml:space="preserve">According to Awan, Pakistan now has all the necessary ingredients[18] to grow — quality </w:t>
      </w:r>
      <w:r>
        <w:rPr>
          <w:rFonts w:ascii="Arial" w:eastAsia="Arial" w:hAnsi="Arial" w:cs="Arial"/>
          <w:b/>
          <w:i/>
          <w:color w:val="000000"/>
          <w:sz w:val="20"/>
          <w:u w:val="single"/>
        </w:rPr>
        <w:t>startups</w:t>
      </w:r>
      <w:r>
        <w:rPr>
          <w:rFonts w:ascii="Arial" w:eastAsia="Arial" w:hAnsi="Arial" w:cs="Arial"/>
          <w:color w:val="000000"/>
          <w:sz w:val="20"/>
        </w:rPr>
        <w:t xml:space="preserve">, a critical mass of internet users, and smart VC money. It is geographically smaller and well-connected, with fewer provinces. Regulatory barriers are also lower. </w:t>
      </w:r>
    </w:p>
    <w:p w14:paraId="00DF3503" w14:textId="77777777" w:rsidR="00054BF0" w:rsidRDefault="00000000">
      <w:pPr>
        <w:spacing w:line="260" w:lineRule="atLeast"/>
        <w:jc w:val="both"/>
      </w:pPr>
      <w:r>
        <w:rPr>
          <w:rFonts w:ascii="Arial" w:eastAsia="Arial" w:hAnsi="Arial" w:cs="Arial"/>
          <w:color w:val="000000"/>
          <w:sz w:val="20"/>
        </w:rPr>
        <w:t xml:space="preserve">All these factors have attracted foreign VCs to Pakistan — the last big untapped market globally. </w:t>
      </w:r>
    </w:p>
    <w:p w14:paraId="0E0163E6" w14:textId="77777777" w:rsidR="00054BF0" w:rsidRDefault="00000000">
      <w:pPr>
        <w:spacing w:before="200" w:line="260" w:lineRule="atLeast"/>
        <w:jc w:val="both"/>
      </w:pPr>
      <w:r>
        <w:rPr>
          <w:rFonts w:ascii="Arial" w:eastAsia="Arial" w:hAnsi="Arial" w:cs="Arial"/>
          <w:color w:val="000000"/>
          <w:sz w:val="20"/>
        </w:rPr>
        <w:t xml:space="preserve">However, the road ahead is still more than bumpy for local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66621DAF" w14:textId="77777777" w:rsidR="00054BF0" w:rsidRDefault="00000000">
      <w:pPr>
        <w:spacing w:line="260" w:lineRule="atLeast"/>
        <w:jc w:val="both"/>
      </w:pPr>
      <w:r>
        <w:rPr>
          <w:rFonts w:ascii="Arial" w:eastAsia="Arial" w:hAnsi="Arial" w:cs="Arial"/>
          <w:color w:val="000000"/>
          <w:sz w:val="20"/>
        </w:rPr>
        <w:t xml:space="preserve">Lack of exits a problem </w:t>
      </w:r>
    </w:p>
    <w:p w14:paraId="5D19B194" w14:textId="77777777" w:rsidR="00054BF0" w:rsidRDefault="00000000">
      <w:pPr>
        <w:spacing w:before="200" w:line="260" w:lineRule="atLeast"/>
        <w:jc w:val="both"/>
      </w:pPr>
      <w:r>
        <w:rPr>
          <w:rFonts w:ascii="Arial" w:eastAsia="Arial" w:hAnsi="Arial" w:cs="Arial"/>
          <w:color w:val="000000"/>
          <w:sz w:val="20"/>
        </w:rPr>
        <w:t xml:space="preserve">As </w:t>
      </w:r>
      <w:r>
        <w:rPr>
          <w:rFonts w:ascii="Arial" w:eastAsia="Arial" w:hAnsi="Arial" w:cs="Arial"/>
          <w:b/>
          <w:i/>
          <w:color w:val="000000"/>
          <w:sz w:val="20"/>
          <w:u w:val="single"/>
        </w:rPr>
        <w:t>startups</w:t>
      </w:r>
      <w:r>
        <w:rPr>
          <w:rFonts w:ascii="Arial" w:eastAsia="Arial" w:hAnsi="Arial" w:cs="Arial"/>
          <w:color w:val="000000"/>
          <w:sz w:val="20"/>
        </w:rPr>
        <w:t xml:space="preserve"> make waves and put their names on the global map, new problems worry the ecosystem. They include lack of access to growth-stage capital[19] and reluctance among people to open bank accounts (about 100 million adults don't have access[20] to formal and regulated financial services). </w:t>
      </w:r>
    </w:p>
    <w:p w14:paraId="3DBE6B9C" w14:textId="77777777" w:rsidR="00054BF0" w:rsidRDefault="00000000">
      <w:pPr>
        <w:spacing w:before="200" w:line="260" w:lineRule="atLeast"/>
        <w:jc w:val="both"/>
      </w:pPr>
      <w:r>
        <w:rPr>
          <w:rFonts w:ascii="Arial" w:eastAsia="Arial" w:hAnsi="Arial" w:cs="Arial"/>
          <w:color w:val="000000"/>
          <w:sz w:val="20"/>
        </w:rPr>
        <w:t xml:space="preserve">As for exits, the higher valuation of </w:t>
      </w:r>
      <w:r>
        <w:rPr>
          <w:rFonts w:ascii="Arial" w:eastAsia="Arial" w:hAnsi="Arial" w:cs="Arial"/>
          <w:b/>
          <w:i/>
          <w:color w:val="000000"/>
          <w:sz w:val="20"/>
          <w:u w:val="single"/>
        </w:rPr>
        <w:t>startups</w:t>
      </w:r>
      <w:r>
        <w:rPr>
          <w:rFonts w:ascii="Arial" w:eastAsia="Arial" w:hAnsi="Arial" w:cs="Arial"/>
          <w:color w:val="000000"/>
          <w:sz w:val="20"/>
        </w:rPr>
        <w:t xml:space="preserve"> is a common concern for many investors. This effectively closes the possible exit routes for </w:t>
      </w:r>
      <w:r>
        <w:rPr>
          <w:rFonts w:ascii="Arial" w:eastAsia="Arial" w:hAnsi="Arial" w:cs="Arial"/>
          <w:b/>
          <w:i/>
          <w:color w:val="000000"/>
          <w:sz w:val="20"/>
          <w:u w:val="single"/>
        </w:rPr>
        <w:t>startups</w:t>
      </w:r>
      <w:r>
        <w:rPr>
          <w:rFonts w:ascii="Arial" w:eastAsia="Arial" w:hAnsi="Arial" w:cs="Arial"/>
          <w:color w:val="000000"/>
          <w:sz w:val="20"/>
        </w:rPr>
        <w:t xml:space="preserve">. According to Suleman Rafiq Maniya (Head of Advisory) at Vector Securities, it </w:t>
      </w:r>
      <w:r>
        <w:rPr>
          <w:rFonts w:ascii="Arial" w:eastAsia="Arial" w:hAnsi="Arial" w:cs="Arial"/>
          <w:color w:val="000000"/>
          <w:sz w:val="20"/>
        </w:rPr>
        <w:lastRenderedPageBreak/>
        <w:t xml:space="preserve">may be hard for VCs to get an exit through the stock market because the valuations of </w:t>
      </w:r>
      <w:r>
        <w:rPr>
          <w:rFonts w:ascii="Arial" w:eastAsia="Arial" w:hAnsi="Arial" w:cs="Arial"/>
          <w:b/>
          <w:i/>
          <w:color w:val="000000"/>
          <w:sz w:val="20"/>
          <w:u w:val="single"/>
        </w:rPr>
        <w:t>startups</w:t>
      </w:r>
      <w:r>
        <w:rPr>
          <w:rFonts w:ascii="Arial" w:eastAsia="Arial" w:hAnsi="Arial" w:cs="Arial"/>
          <w:color w:val="000000"/>
          <w:sz w:val="20"/>
        </w:rPr>
        <w:t xml:space="preserve"> are higher compared to listed companies. </w:t>
      </w:r>
    </w:p>
    <w:p w14:paraId="4D330847" w14:textId="77777777" w:rsidR="00054BF0" w:rsidRDefault="00000000">
      <w:pPr>
        <w:spacing w:before="200" w:line="260" w:lineRule="atLeast"/>
        <w:jc w:val="both"/>
      </w:pPr>
      <w:r>
        <w:rPr>
          <w:rFonts w:ascii="Arial" w:eastAsia="Arial" w:hAnsi="Arial" w:cs="Arial"/>
          <w:color w:val="000000"/>
          <w:sz w:val="20"/>
        </w:rPr>
        <w:t xml:space="preserve">Exit through acquisitions is also scarce, likely discouraging investors from investing further in local </w:t>
      </w:r>
      <w:r>
        <w:rPr>
          <w:rFonts w:ascii="Arial" w:eastAsia="Arial" w:hAnsi="Arial" w:cs="Arial"/>
          <w:b/>
          <w:i/>
          <w:color w:val="000000"/>
          <w:sz w:val="20"/>
          <w:u w:val="single"/>
        </w:rPr>
        <w:t>startups</w:t>
      </w:r>
      <w:r>
        <w:rPr>
          <w:rFonts w:ascii="Arial" w:eastAsia="Arial" w:hAnsi="Arial" w:cs="Arial"/>
          <w:color w:val="000000"/>
          <w:sz w:val="20"/>
        </w:rPr>
        <w:t xml:space="preserve">. Barring Alibaba's acquisition[21] of Daraz and Ant Group's buying of a 45 per cent stake[22] in Telenor's EasyPaisa in 2018, there have not been any major exits in the past three years. Awan says that the market is still too early for material exits, and it will take the ecosystem a few years for more substantial exits to materialise. </w:t>
      </w:r>
    </w:p>
    <w:p w14:paraId="39D16602" w14:textId="77777777" w:rsidR="00054BF0" w:rsidRDefault="00000000">
      <w:pPr>
        <w:spacing w:before="200" w:line="260" w:lineRule="atLeast"/>
        <w:jc w:val="both"/>
      </w:pPr>
      <w:r>
        <w:rPr>
          <w:rFonts w:ascii="Arial" w:eastAsia="Arial" w:hAnsi="Arial" w:cs="Arial"/>
          <w:color w:val="000000"/>
          <w:sz w:val="20"/>
        </w:rPr>
        <w:t xml:space="preserve">The Pakistan </w:t>
      </w:r>
      <w:r>
        <w:rPr>
          <w:rFonts w:ascii="Arial" w:eastAsia="Arial" w:hAnsi="Arial" w:cs="Arial"/>
          <w:b/>
          <w:i/>
          <w:color w:val="000000"/>
          <w:sz w:val="20"/>
          <w:u w:val="single"/>
        </w:rPr>
        <w:t>Startup</w:t>
      </w:r>
      <w:r>
        <w:rPr>
          <w:rFonts w:ascii="Arial" w:eastAsia="Arial" w:hAnsi="Arial" w:cs="Arial"/>
          <w:color w:val="000000"/>
          <w:sz w:val="20"/>
        </w:rPr>
        <w:t xml:space="preserve"> Ecosystem Report 2021[23]by i2i warns that if foreign VCs don't see clear long-term prospects locally, they may desist from cutting bigger cheques or making strategic investments. </w:t>
      </w:r>
    </w:p>
    <w:p w14:paraId="314328E1" w14:textId="77777777" w:rsidR="00054BF0" w:rsidRDefault="00000000">
      <w:pPr>
        <w:spacing w:line="260" w:lineRule="atLeast"/>
        <w:jc w:val="both"/>
      </w:pPr>
      <w:r>
        <w:rPr>
          <w:rFonts w:ascii="Arial" w:eastAsia="Arial" w:hAnsi="Arial" w:cs="Arial"/>
          <w:color w:val="000000"/>
          <w:sz w:val="20"/>
        </w:rPr>
        <w:t xml:space="preserve">The Series A and growth-stage capital crunch also poses a problem to Pakistan like any other emerging ecosystem. 'There is a lot that a government can do here but I think it is the private sector that should take the lead here. The government can ensure a fair playing field. For that reason, early-stage Pakistani VCs should take the lead to fill the gap. If they fill this gap, they will be able to attract foreign VCs,' says Taraec Hussein, an investor with Gobi Partners, one of the most active VCs in Pakistan. </w:t>
      </w:r>
    </w:p>
    <w:p w14:paraId="78840485" w14:textId="77777777" w:rsidR="00054BF0" w:rsidRDefault="00000000">
      <w:pPr>
        <w:spacing w:line="260" w:lineRule="atLeast"/>
        <w:jc w:val="both"/>
      </w:pPr>
      <w:r>
        <w:rPr>
          <w:rFonts w:ascii="Arial" w:eastAsia="Arial" w:hAnsi="Arial" w:cs="Arial"/>
          <w:color w:val="000000"/>
          <w:sz w:val="20"/>
        </w:rPr>
        <w:t xml:space="preserve">What future holds for Pakistan </w:t>
      </w:r>
    </w:p>
    <w:p w14:paraId="7BAE58C6" w14:textId="77777777" w:rsidR="00054BF0" w:rsidRDefault="00000000">
      <w:pPr>
        <w:spacing w:before="200" w:line="260" w:lineRule="atLeast"/>
        <w:jc w:val="both"/>
      </w:pPr>
      <w:r>
        <w:rPr>
          <w:rFonts w:ascii="Arial" w:eastAsia="Arial" w:hAnsi="Arial" w:cs="Arial"/>
          <w:color w:val="000000"/>
          <w:sz w:val="20"/>
        </w:rPr>
        <w:t xml:space="preserve">Indus Valley's Awan believes that the momentum that Pakistani </w:t>
      </w:r>
      <w:r>
        <w:rPr>
          <w:rFonts w:ascii="Arial" w:eastAsia="Arial" w:hAnsi="Arial" w:cs="Arial"/>
          <w:b/>
          <w:i/>
          <w:color w:val="000000"/>
          <w:sz w:val="20"/>
          <w:u w:val="single"/>
        </w:rPr>
        <w:t>startups</w:t>
      </w:r>
      <w:r>
        <w:rPr>
          <w:rFonts w:ascii="Arial" w:eastAsia="Arial" w:hAnsi="Arial" w:cs="Arial"/>
          <w:color w:val="000000"/>
          <w:sz w:val="20"/>
        </w:rPr>
        <w:t xml:space="preserve"> gained in H1 2021 will continue in 2022. More top investors, including traditional and cross-border VC funds, will come to invest in Pakistan. Global accelerators like Y Combinator and 500 Global will also double down on local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6A90AAE0" w14:textId="77777777" w:rsidR="00054BF0" w:rsidRDefault="00000000">
      <w:pPr>
        <w:spacing w:before="200" w:line="260" w:lineRule="atLeast"/>
        <w:jc w:val="both"/>
      </w:pPr>
      <w:r>
        <w:rPr>
          <w:rFonts w:ascii="Arial" w:eastAsia="Arial" w:hAnsi="Arial" w:cs="Arial"/>
          <w:color w:val="000000"/>
          <w:sz w:val="20"/>
        </w:rPr>
        <w:t xml:space="preserve">'The Pakistani </w:t>
      </w:r>
      <w:r>
        <w:rPr>
          <w:rFonts w:ascii="Arial" w:eastAsia="Arial" w:hAnsi="Arial" w:cs="Arial"/>
          <w:b/>
          <w:i/>
          <w:color w:val="000000"/>
          <w:sz w:val="20"/>
          <w:u w:val="single"/>
        </w:rPr>
        <w:t>startup</w:t>
      </w:r>
      <w:r>
        <w:rPr>
          <w:rFonts w:ascii="Arial" w:eastAsia="Arial" w:hAnsi="Arial" w:cs="Arial"/>
          <w:color w:val="000000"/>
          <w:sz w:val="20"/>
        </w:rPr>
        <w:t xml:space="preserve"> ecosystem has had a late </w:t>
      </w:r>
      <w:r>
        <w:rPr>
          <w:rFonts w:ascii="Arial" w:eastAsia="Arial" w:hAnsi="Arial" w:cs="Arial"/>
          <w:b/>
          <w:i/>
          <w:color w:val="000000"/>
          <w:sz w:val="20"/>
          <w:u w:val="single"/>
        </w:rPr>
        <w:t>start</w:t>
      </w:r>
      <w:r>
        <w:rPr>
          <w:rFonts w:ascii="Arial" w:eastAsia="Arial" w:hAnsi="Arial" w:cs="Arial"/>
          <w:color w:val="000000"/>
          <w:sz w:val="20"/>
        </w:rPr>
        <w:t xml:space="preserve">, but it's taking off quickly. The year 2021 saw more VC funding than all prior years combined, and 2022 seems on track to more than double that. By 2025, the VC funding in Pakistan is projected to exceed US$2 billion annually. In the next three-five years, several unicorns will be minted in Pakistan across B2C e-commerce, B2B e-commerce, logistics, and fintech,' believes Awan. </w:t>
      </w:r>
    </w:p>
    <w:p w14:paraId="4AF83275" w14:textId="77777777" w:rsidR="00054BF0" w:rsidRDefault="00000000">
      <w:pPr>
        <w:spacing w:before="200" w:line="260" w:lineRule="atLeast"/>
        <w:jc w:val="both"/>
      </w:pPr>
      <w:r>
        <w:rPr>
          <w:rFonts w:ascii="Arial" w:eastAsia="Arial" w:hAnsi="Arial" w:cs="Arial"/>
          <w:color w:val="000000"/>
          <w:sz w:val="20"/>
        </w:rPr>
        <w:t xml:space="preserve">Also Read: Gobi-backed Pakistani </w:t>
      </w:r>
      <w:r>
        <w:rPr>
          <w:rFonts w:ascii="Arial" w:eastAsia="Arial" w:hAnsi="Arial" w:cs="Arial"/>
          <w:b/>
          <w:i/>
          <w:color w:val="000000"/>
          <w:sz w:val="20"/>
          <w:u w:val="single"/>
        </w:rPr>
        <w:t>startup</w:t>
      </w:r>
      <w:r>
        <w:rPr>
          <w:rFonts w:ascii="Arial" w:eastAsia="Arial" w:hAnsi="Arial" w:cs="Arial"/>
          <w:color w:val="000000"/>
          <w:sz w:val="20"/>
        </w:rPr>
        <w:t xml:space="preserve"> Airlift raises US$12M Series A led by Uber investor First Round Capital[24] </w:t>
      </w:r>
    </w:p>
    <w:p w14:paraId="2EB49F9A" w14:textId="77777777" w:rsidR="00054BF0" w:rsidRDefault="00000000">
      <w:pPr>
        <w:spacing w:before="200" w:line="260" w:lineRule="atLeast"/>
        <w:jc w:val="both"/>
      </w:pPr>
      <w:r>
        <w:rPr>
          <w:rFonts w:ascii="Arial" w:eastAsia="Arial" w:hAnsi="Arial" w:cs="Arial"/>
          <w:color w:val="000000"/>
          <w:sz w:val="20"/>
        </w:rPr>
        <w:t xml:space="preserve">'We expect the new government to continue with </w:t>
      </w:r>
      <w:r>
        <w:rPr>
          <w:rFonts w:ascii="Arial" w:eastAsia="Arial" w:hAnsi="Arial" w:cs="Arial"/>
          <w:b/>
          <w:i/>
          <w:color w:val="000000"/>
          <w:sz w:val="20"/>
          <w:u w:val="single"/>
        </w:rPr>
        <w:t>startup</w:t>
      </w:r>
      <w:r>
        <w:rPr>
          <w:rFonts w:ascii="Arial" w:eastAsia="Arial" w:hAnsi="Arial" w:cs="Arial"/>
          <w:color w:val="000000"/>
          <w:sz w:val="20"/>
        </w:rPr>
        <w:t xml:space="preserve">-friendly policies. There is broad recognition across the political spectrum on tech being the major driver of foreign direct investment (FDI) and exports, so all parties recognise the importance of investing in the tech ecosystem,' Awan shares. </w:t>
      </w:r>
    </w:p>
    <w:p w14:paraId="625B9C67" w14:textId="77777777" w:rsidR="00054BF0" w:rsidRDefault="00000000">
      <w:pPr>
        <w:spacing w:before="200" w:line="260" w:lineRule="atLeast"/>
        <w:jc w:val="both"/>
      </w:pPr>
      <w:r>
        <w:rPr>
          <w:rFonts w:ascii="Arial" w:eastAsia="Arial" w:hAnsi="Arial" w:cs="Arial"/>
          <w:color w:val="000000"/>
          <w:sz w:val="20"/>
        </w:rPr>
        <w:t xml:space="preserve">Conrurrs Gobi's Hussein: 'Venture capitalis now a key economic pillar of any country and for that reason, it will be extremely foolish for the new government to pull back some of the reforms brought by the previous government. Also, there is so much buzz, interest and hype around VCs and entrepreneurship, founders and </w:t>
      </w:r>
      <w:r>
        <w:rPr>
          <w:rFonts w:ascii="Arial" w:eastAsia="Arial" w:hAnsi="Arial" w:cs="Arial"/>
          <w:b/>
          <w:i/>
          <w:color w:val="000000"/>
          <w:sz w:val="20"/>
          <w:u w:val="single"/>
        </w:rPr>
        <w:t>startups</w:t>
      </w:r>
      <w:r>
        <w:rPr>
          <w:rFonts w:ascii="Arial" w:eastAsia="Arial" w:hAnsi="Arial" w:cs="Arial"/>
          <w:color w:val="000000"/>
          <w:sz w:val="20"/>
        </w:rPr>
        <w:t xml:space="preserve"> in Pakistan.' </w:t>
      </w:r>
    </w:p>
    <w:p w14:paraId="6F8C03DE" w14:textId="77777777" w:rsidR="00054BF0" w:rsidRDefault="00000000">
      <w:pPr>
        <w:spacing w:before="200" w:line="260" w:lineRule="atLeast"/>
        <w:jc w:val="both"/>
      </w:pPr>
      <w:r>
        <w:rPr>
          <w:rFonts w:ascii="Arial" w:eastAsia="Arial" w:hAnsi="Arial" w:cs="Arial"/>
          <w:color w:val="000000"/>
          <w:sz w:val="20"/>
        </w:rPr>
        <w:t xml:space="preserve">However, Awan warns that there will be some </w:t>
      </w:r>
      <w:r>
        <w:rPr>
          <w:rFonts w:ascii="Arial" w:eastAsia="Arial" w:hAnsi="Arial" w:cs="Arial"/>
          <w:b/>
          <w:i/>
          <w:color w:val="000000"/>
          <w:sz w:val="20"/>
          <w:u w:val="single"/>
        </w:rPr>
        <w:t>failures</w:t>
      </w:r>
      <w:r>
        <w:rPr>
          <w:rFonts w:ascii="Arial" w:eastAsia="Arial" w:hAnsi="Arial" w:cs="Arial"/>
          <w:color w:val="000000"/>
          <w:sz w:val="20"/>
        </w:rPr>
        <w:t xml:space="preserve"> in the local </w:t>
      </w:r>
      <w:r>
        <w:rPr>
          <w:rFonts w:ascii="Arial" w:eastAsia="Arial" w:hAnsi="Arial" w:cs="Arial"/>
          <w:b/>
          <w:i/>
          <w:color w:val="000000"/>
          <w:sz w:val="20"/>
          <w:u w:val="single"/>
        </w:rPr>
        <w:t>startup</w:t>
      </w:r>
      <w:r>
        <w:rPr>
          <w:rFonts w:ascii="Arial" w:eastAsia="Arial" w:hAnsi="Arial" w:cs="Arial"/>
          <w:color w:val="000000"/>
          <w:sz w:val="20"/>
        </w:rPr>
        <w:t xml:space="preserve"> scene. 'As more and more </w:t>
      </w:r>
      <w:r>
        <w:rPr>
          <w:rFonts w:ascii="Arial" w:eastAsia="Arial" w:hAnsi="Arial" w:cs="Arial"/>
          <w:b/>
          <w:i/>
          <w:color w:val="000000"/>
          <w:sz w:val="20"/>
          <w:u w:val="single"/>
        </w:rPr>
        <w:t>startups</w:t>
      </w:r>
      <w:r>
        <w:rPr>
          <w:rFonts w:ascii="Arial" w:eastAsia="Arial" w:hAnsi="Arial" w:cs="Arial"/>
          <w:color w:val="000000"/>
          <w:sz w:val="20"/>
        </w:rPr>
        <w:t xml:space="preserve"> get early-stage funding, the founders will realise that capital isn't the hardest part of building a great company. Finding product-market fit is hard. Building a world-class team is hard. Competing with multiple well-funded </w:t>
      </w:r>
      <w:r>
        <w:rPr>
          <w:rFonts w:ascii="Arial" w:eastAsia="Arial" w:hAnsi="Arial" w:cs="Arial"/>
          <w:b/>
          <w:i/>
          <w:color w:val="000000"/>
          <w:sz w:val="20"/>
          <w:u w:val="single"/>
        </w:rPr>
        <w:t>startups</w:t>
      </w:r>
      <w:r>
        <w:rPr>
          <w:rFonts w:ascii="Arial" w:eastAsia="Arial" w:hAnsi="Arial" w:cs="Arial"/>
          <w:color w:val="000000"/>
          <w:sz w:val="20"/>
        </w:rPr>
        <w:t xml:space="preserve"> and going after the same market is hard.' </w:t>
      </w:r>
    </w:p>
    <w:p w14:paraId="697D3D6D" w14:textId="77777777" w:rsidR="00054BF0" w:rsidRDefault="00000000">
      <w:pPr>
        <w:spacing w:before="200" w:line="260" w:lineRule="atLeast"/>
        <w:jc w:val="both"/>
      </w:pPr>
      <w:r>
        <w:rPr>
          <w:rFonts w:ascii="Arial" w:eastAsia="Arial" w:hAnsi="Arial" w:cs="Arial"/>
          <w:color w:val="000000"/>
          <w:sz w:val="20"/>
        </w:rPr>
        <w:t xml:space="preserve">Some </w:t>
      </w:r>
      <w:r>
        <w:rPr>
          <w:rFonts w:ascii="Arial" w:eastAsia="Arial" w:hAnsi="Arial" w:cs="Arial"/>
          <w:b/>
          <w:i/>
          <w:color w:val="000000"/>
          <w:sz w:val="20"/>
          <w:u w:val="single"/>
        </w:rPr>
        <w:t>startups</w:t>
      </w:r>
      <w:r>
        <w:rPr>
          <w:rFonts w:ascii="Arial" w:eastAsia="Arial" w:hAnsi="Arial" w:cs="Arial"/>
          <w:color w:val="000000"/>
          <w:sz w:val="20"/>
        </w:rPr>
        <w:t xml:space="preserve"> may scale to a certain level but then fail to go past that thanks to any of the reasons mentioned above. It is not a bad thing but is actually a positive thing for the ecosystem. 'Because in the long run, people will learn from these experiences and go on to build something bigger and better,' Awan concludes. </w:t>
      </w:r>
    </w:p>
    <w:p w14:paraId="04AA8074" w14:textId="77777777" w:rsidR="00054BF0" w:rsidRDefault="00000000">
      <w:pPr>
        <w:spacing w:line="260" w:lineRule="atLeast"/>
        <w:jc w:val="both"/>
      </w:pPr>
      <w:r>
        <w:rPr>
          <w:rFonts w:ascii="Arial" w:eastAsia="Arial" w:hAnsi="Arial" w:cs="Arial"/>
          <w:color w:val="000000"/>
          <w:sz w:val="20"/>
        </w:rPr>
        <w:t xml:space="preserve">— </w:t>
      </w:r>
    </w:p>
    <w:p w14:paraId="1C0E8D4D" w14:textId="77777777" w:rsidR="00054BF0" w:rsidRDefault="00000000">
      <w:pPr>
        <w:spacing w:line="260" w:lineRule="atLeast"/>
        <w:jc w:val="both"/>
      </w:pPr>
      <w:r>
        <w:rPr>
          <w:rFonts w:ascii="Arial" w:eastAsia="Arial" w:hAnsi="Arial" w:cs="Arial"/>
          <w:color w:val="000000"/>
          <w:sz w:val="20"/>
        </w:rPr>
        <w:t xml:space="preserve">Copyright: sakhaphotos[25] </w:t>
      </w:r>
    </w:p>
    <w:p w14:paraId="754F8E6C" w14:textId="77777777" w:rsidR="00054BF0" w:rsidRDefault="00000000">
      <w:pPr>
        <w:spacing w:before="200" w:line="260" w:lineRule="atLeast"/>
        <w:jc w:val="both"/>
      </w:pPr>
      <w:r>
        <w:rPr>
          <w:rFonts w:ascii="Arial" w:eastAsia="Arial" w:hAnsi="Arial" w:cs="Arial"/>
          <w:color w:val="000000"/>
          <w:sz w:val="20"/>
        </w:rPr>
        <w:t xml:space="preserve">The post Pakistan </w:t>
      </w:r>
      <w:r>
        <w:rPr>
          <w:rFonts w:ascii="Arial" w:eastAsia="Arial" w:hAnsi="Arial" w:cs="Arial"/>
          <w:b/>
          <w:i/>
          <w:color w:val="000000"/>
          <w:sz w:val="20"/>
          <w:u w:val="single"/>
        </w:rPr>
        <w:t>startups</w:t>
      </w:r>
      <w:r>
        <w:rPr>
          <w:rFonts w:ascii="Arial" w:eastAsia="Arial" w:hAnsi="Arial" w:cs="Arial"/>
          <w:color w:val="000000"/>
          <w:sz w:val="20"/>
        </w:rPr>
        <w:t xml:space="preserve">, the last massive untapped opportunity in the world[26] appeared first on e27[27]. </w:t>
      </w:r>
    </w:p>
    <w:p w14:paraId="0817C212" w14:textId="77777777" w:rsidR="00054BF0" w:rsidRDefault="00000000">
      <w:pPr>
        <w:spacing w:before="240" w:line="260" w:lineRule="atLeast"/>
        <w:jc w:val="both"/>
      </w:pPr>
      <w:r>
        <w:rPr>
          <w:rFonts w:ascii="Arial" w:eastAsia="Arial" w:hAnsi="Arial" w:cs="Arial"/>
          <w:color w:val="000000"/>
          <w:sz w:val="20"/>
        </w:rPr>
        <w:t xml:space="preserve"> [ 1]: </w:t>
      </w:r>
      <w:hyperlink r:id="rId250" w:history="1">
        <w:r>
          <w:rPr>
            <w:rFonts w:ascii="Arial" w:eastAsia="Arial" w:hAnsi="Arial" w:cs="Arial"/>
            <w:i/>
            <w:color w:val="0077CC"/>
            <w:sz w:val="20"/>
            <w:u w:val="single"/>
            <w:shd w:val="clear" w:color="auto" w:fill="FFFFFF"/>
          </w:rPr>
          <w:t>https://www.hindustantimes.com/brand-post/paradigm-shift-to-digitization-leading-way-towards-the-development-of-india-101637159372683.html</w:t>
        </w:r>
      </w:hyperlink>
      <w:r>
        <w:rPr>
          <w:rFonts w:ascii="Arial" w:eastAsia="Arial" w:hAnsi="Arial" w:cs="Arial"/>
          <w:color w:val="000000"/>
          <w:sz w:val="20"/>
        </w:rPr>
        <w:t xml:space="preserve"> [ 2]: </w:t>
      </w:r>
      <w:hyperlink r:id="rId251" w:history="1">
        <w:r>
          <w:rPr>
            <w:rFonts w:ascii="Arial" w:eastAsia="Arial" w:hAnsi="Arial" w:cs="Arial"/>
            <w:i/>
            <w:color w:val="0077CC"/>
            <w:sz w:val="20"/>
            <w:u w:val="single"/>
            <w:shd w:val="clear" w:color="auto" w:fill="FFFFFF"/>
          </w:rPr>
          <w:t>https://www.businesstoday.in/entrepreneurship/news/story/indian-</w:t>
        </w:r>
      </w:hyperlink>
      <w:hyperlink r:id="rId252" w:history="1">
        <w:r>
          <w:rPr>
            <w:rFonts w:ascii="Arial" w:eastAsia="Arial" w:hAnsi="Arial" w:cs="Arial"/>
            <w:b/>
            <w:i/>
            <w:color w:val="0077CC"/>
            <w:sz w:val="20"/>
            <w:u w:val="single"/>
            <w:shd w:val="clear" w:color="auto" w:fill="FFFFFF"/>
          </w:rPr>
          <w:t>startups</w:t>
        </w:r>
      </w:hyperlink>
      <w:hyperlink r:id="rId253" w:history="1">
        <w:r>
          <w:rPr>
            <w:rFonts w:ascii="Arial" w:eastAsia="Arial" w:hAnsi="Arial" w:cs="Arial"/>
            <w:i/>
            <w:color w:val="0077CC"/>
            <w:sz w:val="20"/>
            <w:u w:val="single"/>
            <w:shd w:val="clear" w:color="auto" w:fill="FFFFFF"/>
          </w:rPr>
          <w:t>-raised-84-bn-in-q1-2022-india-ranks-4th-globally-with-96-unicorns-328859-2022-04-06</w:t>
        </w:r>
      </w:hyperlink>
      <w:r>
        <w:rPr>
          <w:rFonts w:ascii="Arial" w:eastAsia="Arial" w:hAnsi="Arial" w:cs="Arial"/>
          <w:color w:val="000000"/>
          <w:sz w:val="20"/>
        </w:rPr>
        <w:t xml:space="preserve"> [ 3]: </w:t>
      </w:r>
      <w:hyperlink r:id="rId254" w:history="1">
        <w:r>
          <w:rPr>
            <w:rFonts w:ascii="Arial" w:eastAsia="Arial" w:hAnsi="Arial" w:cs="Arial"/>
            <w:i/>
            <w:color w:val="0077CC"/>
            <w:sz w:val="20"/>
            <w:u w:val="single"/>
            <w:shd w:val="clear" w:color="auto" w:fill="FFFFFF"/>
          </w:rPr>
          <w:t>https://airtable.com/shrsy589UNNLpKHXD/tblhdIGjrR9k0NWHM/viwJ3XTiKVYqEkxxW</w:t>
        </w:r>
      </w:hyperlink>
      <w:r>
        <w:rPr>
          <w:rFonts w:ascii="Arial" w:eastAsia="Arial" w:hAnsi="Arial" w:cs="Arial"/>
          <w:color w:val="000000"/>
          <w:sz w:val="20"/>
        </w:rPr>
        <w:t xml:space="preserve"> [ 4]: </w:t>
      </w:r>
      <w:hyperlink r:id="rId255" w:history="1">
        <w:r>
          <w:rPr>
            <w:rFonts w:ascii="Arial" w:eastAsia="Arial" w:hAnsi="Arial" w:cs="Arial"/>
            <w:i/>
            <w:color w:val="0077CC"/>
            <w:sz w:val="20"/>
            <w:u w:val="single"/>
            <w:shd w:val="clear" w:color="auto" w:fill="FFFFFF"/>
          </w:rPr>
          <w:t>https://invest2innovate.com</w:t>
        </w:r>
      </w:hyperlink>
      <w:r>
        <w:rPr>
          <w:rFonts w:ascii="Arial" w:eastAsia="Arial" w:hAnsi="Arial" w:cs="Arial"/>
          <w:color w:val="000000"/>
          <w:sz w:val="20"/>
        </w:rPr>
        <w:t xml:space="preserve">/ [ 5]: </w:t>
      </w:r>
      <w:hyperlink r:id="rId256" w:history="1">
        <w:r>
          <w:rPr>
            <w:rFonts w:ascii="Arial" w:eastAsia="Arial" w:hAnsi="Arial" w:cs="Arial"/>
            <w:i/>
            <w:color w:val="0077CC"/>
            <w:sz w:val="20"/>
            <w:u w:val="single"/>
            <w:shd w:val="clear" w:color="auto" w:fill="FFFFFF"/>
          </w:rPr>
          <w:t>https://www.linkedin.com/search/results/content/?keywords=kalsoom%20lakhani&amp;position=0&amp;searchId=cd8c7940-2576-4418-afba-e8546cc82635&amp;sid=k6%3B&amp;update=urn%3Ali%3Afs_updateV2%3A(urn%3Ali%3Aactivity%3A6915681461404602368%2CBLENDED_SEARCH_FEED%2CEMPTY%2CDEFAULT%2Cfalse)</w:t>
        </w:r>
      </w:hyperlink>
      <w:r>
        <w:rPr>
          <w:rFonts w:ascii="Arial" w:eastAsia="Arial" w:hAnsi="Arial" w:cs="Arial"/>
          <w:color w:val="000000"/>
          <w:sz w:val="20"/>
        </w:rPr>
        <w:t xml:space="preserve"> [ 6]: </w:t>
      </w:r>
      <w:hyperlink r:id="rId257" w:history="1">
        <w:r>
          <w:rPr>
            <w:rFonts w:ascii="Arial" w:eastAsia="Arial" w:hAnsi="Arial" w:cs="Arial"/>
            <w:i/>
            <w:color w:val="0077CC"/>
            <w:sz w:val="20"/>
            <w:u w:val="single"/>
            <w:shd w:val="clear" w:color="auto" w:fill="FFFFFF"/>
          </w:rPr>
          <w:t>https://e27.co/empowering-pakistani-women-through-tech-art-and-entrepreneurship-20220329</w:t>
        </w:r>
      </w:hyperlink>
      <w:r>
        <w:rPr>
          <w:rFonts w:ascii="Arial" w:eastAsia="Arial" w:hAnsi="Arial" w:cs="Arial"/>
          <w:color w:val="000000"/>
          <w:sz w:val="20"/>
        </w:rPr>
        <w:t xml:space="preserve">/ [ 7]: </w:t>
      </w:r>
      <w:hyperlink r:id="rId258" w:history="1">
        <w:r>
          <w:rPr>
            <w:rFonts w:ascii="Arial" w:eastAsia="Arial" w:hAnsi="Arial" w:cs="Arial"/>
            <w:i/>
            <w:color w:val="0077CC"/>
            <w:sz w:val="20"/>
            <w:u w:val="single"/>
            <w:shd w:val="clear" w:color="auto" w:fill="FFFFFF"/>
          </w:rPr>
          <w:t>https://www.brookings.edu/blog/order-from-chaos/2021/01/15/terrorism-in-pakistan-has-declined-but-the-underlying-roots-of-extremism-remain/</w:t>
        </w:r>
      </w:hyperlink>
      <w:r>
        <w:rPr>
          <w:rFonts w:ascii="Arial" w:eastAsia="Arial" w:hAnsi="Arial" w:cs="Arial"/>
          <w:color w:val="000000"/>
          <w:sz w:val="20"/>
        </w:rPr>
        <w:t xml:space="preserve"> [ 8]: </w:t>
      </w:r>
      <w:hyperlink r:id="rId259" w:history="1">
        <w:r>
          <w:rPr>
            <w:rFonts w:ascii="Arial" w:eastAsia="Arial" w:hAnsi="Arial" w:cs="Arial"/>
            <w:i/>
            <w:color w:val="0077CC"/>
            <w:sz w:val="20"/>
            <w:u w:val="single"/>
            <w:shd w:val="clear" w:color="auto" w:fill="FFFFFF"/>
          </w:rPr>
          <w:t>https://www.worldometers.info/world-population/pakistan-population/</w:t>
        </w:r>
      </w:hyperlink>
      <w:r>
        <w:rPr>
          <w:rFonts w:ascii="Arial" w:eastAsia="Arial" w:hAnsi="Arial" w:cs="Arial"/>
          <w:color w:val="000000"/>
          <w:sz w:val="20"/>
        </w:rPr>
        <w:t xml:space="preserve"> [ 9]: </w:t>
      </w:r>
      <w:hyperlink r:id="rId260" w:history="1">
        <w:r>
          <w:rPr>
            <w:rFonts w:ascii="Arial" w:eastAsia="Arial" w:hAnsi="Arial" w:cs="Arial"/>
            <w:i/>
            <w:color w:val="0077CC"/>
            <w:sz w:val="20"/>
            <w:u w:val="single"/>
            <w:shd w:val="clear" w:color="auto" w:fill="FFFFFF"/>
          </w:rPr>
          <w:t>https://www.aljazeera.com/economy/2022/3/16/pakistans-</w:t>
        </w:r>
      </w:hyperlink>
      <w:hyperlink r:id="rId261" w:history="1">
        <w:r>
          <w:rPr>
            <w:rFonts w:ascii="Arial" w:eastAsia="Arial" w:hAnsi="Arial" w:cs="Arial"/>
            <w:b/>
            <w:i/>
            <w:color w:val="0077CC"/>
            <w:sz w:val="20"/>
            <w:u w:val="single"/>
            <w:shd w:val="clear" w:color="auto" w:fill="FFFFFF"/>
          </w:rPr>
          <w:t>startups</w:t>
        </w:r>
      </w:hyperlink>
      <w:hyperlink r:id="rId262" w:history="1">
        <w:r>
          <w:rPr>
            <w:rFonts w:ascii="Arial" w:eastAsia="Arial" w:hAnsi="Arial" w:cs="Arial"/>
            <w:i/>
            <w:color w:val="0077CC"/>
            <w:sz w:val="20"/>
            <w:u w:val="single"/>
            <w:shd w:val="clear" w:color="auto" w:fill="FFFFFF"/>
          </w:rPr>
          <w:t>-take-center-stage</w:t>
        </w:r>
      </w:hyperlink>
      <w:r>
        <w:rPr>
          <w:rFonts w:ascii="Arial" w:eastAsia="Arial" w:hAnsi="Arial" w:cs="Arial"/>
          <w:color w:val="000000"/>
          <w:sz w:val="20"/>
        </w:rPr>
        <w:t xml:space="preserve"> [ 10]: </w:t>
      </w:r>
      <w:hyperlink r:id="rId263" w:history="1">
        <w:r>
          <w:rPr>
            <w:rFonts w:ascii="Arial" w:eastAsia="Arial" w:hAnsi="Arial" w:cs="Arial"/>
            <w:i/>
            <w:color w:val="0077CC"/>
            <w:sz w:val="20"/>
            <w:u w:val="single"/>
            <w:shd w:val="clear" w:color="auto" w:fill="FFFFFF"/>
          </w:rPr>
          <w:t>https://www.dawn.com/news/1670432</w:t>
        </w:r>
      </w:hyperlink>
      <w:r>
        <w:rPr>
          <w:rFonts w:ascii="Arial" w:eastAsia="Arial" w:hAnsi="Arial" w:cs="Arial"/>
          <w:color w:val="000000"/>
          <w:sz w:val="20"/>
        </w:rPr>
        <w:t xml:space="preserve"> [ 11]: </w:t>
      </w:r>
      <w:hyperlink r:id="rId264" w:history="1">
        <w:r>
          <w:rPr>
            <w:rFonts w:ascii="Arial" w:eastAsia="Arial" w:hAnsi="Arial" w:cs="Arial"/>
            <w:i/>
            <w:color w:val="0077CC"/>
            <w:sz w:val="20"/>
            <w:u w:val="single"/>
            <w:shd w:val="clear" w:color="auto" w:fill="FFFFFF"/>
          </w:rPr>
          <w:t>https://www.radio.gov.pk/22-02-2022/pm-announces-establishment-of-pakistan-technology-</w:t>
        </w:r>
      </w:hyperlink>
      <w:hyperlink r:id="rId265" w:history="1">
        <w:r>
          <w:rPr>
            <w:rFonts w:ascii="Arial" w:eastAsia="Arial" w:hAnsi="Arial" w:cs="Arial"/>
            <w:b/>
            <w:i/>
            <w:color w:val="0077CC"/>
            <w:sz w:val="20"/>
            <w:u w:val="single"/>
            <w:shd w:val="clear" w:color="auto" w:fill="FFFFFF"/>
          </w:rPr>
          <w:t>startup</w:t>
        </w:r>
      </w:hyperlink>
      <w:hyperlink r:id="rId266" w:history="1">
        <w:r>
          <w:rPr>
            <w:rFonts w:ascii="Arial" w:eastAsia="Arial" w:hAnsi="Arial" w:cs="Arial"/>
            <w:i/>
            <w:color w:val="0077CC"/>
            <w:sz w:val="20"/>
            <w:u w:val="single"/>
            <w:shd w:val="clear" w:color="auto" w:fill="FFFFFF"/>
          </w:rPr>
          <w:t>-fund</w:t>
        </w:r>
      </w:hyperlink>
      <w:r>
        <w:rPr>
          <w:rFonts w:ascii="Arial" w:eastAsia="Arial" w:hAnsi="Arial" w:cs="Arial"/>
          <w:color w:val="000000"/>
          <w:sz w:val="20"/>
        </w:rPr>
        <w:t xml:space="preserve"> [ 12]: </w:t>
      </w:r>
      <w:hyperlink r:id="rId267" w:history="1">
        <w:r>
          <w:rPr>
            <w:rFonts w:ascii="Arial" w:eastAsia="Arial" w:hAnsi="Arial" w:cs="Arial"/>
            <w:i/>
            <w:color w:val="0077CC"/>
            <w:sz w:val="20"/>
            <w:u w:val="single"/>
            <w:shd w:val="clear" w:color="auto" w:fill="FFFFFF"/>
          </w:rPr>
          <w:t>https://www.dawn.com/news/1607367</w:t>
        </w:r>
      </w:hyperlink>
      <w:r>
        <w:rPr>
          <w:rFonts w:ascii="Arial" w:eastAsia="Arial" w:hAnsi="Arial" w:cs="Arial"/>
          <w:color w:val="000000"/>
          <w:sz w:val="20"/>
        </w:rPr>
        <w:t xml:space="preserve"> [ 13]: </w:t>
      </w:r>
      <w:hyperlink r:id="rId268" w:history="1">
        <w:r>
          <w:rPr>
            <w:rFonts w:ascii="Arial" w:eastAsia="Arial" w:hAnsi="Arial" w:cs="Arial"/>
            <w:i/>
            <w:color w:val="0077CC"/>
            <w:sz w:val="20"/>
            <w:u w:val="single"/>
            <w:shd w:val="clear" w:color="auto" w:fill="FFFFFF"/>
          </w:rPr>
          <w:t>https://www.linkedin.com/pulse/pakistani-</w:t>
        </w:r>
      </w:hyperlink>
      <w:hyperlink r:id="rId269" w:history="1">
        <w:r>
          <w:rPr>
            <w:rFonts w:ascii="Arial" w:eastAsia="Arial" w:hAnsi="Arial" w:cs="Arial"/>
            <w:b/>
            <w:i/>
            <w:color w:val="0077CC"/>
            <w:sz w:val="20"/>
            <w:u w:val="single"/>
            <w:shd w:val="clear" w:color="auto" w:fill="FFFFFF"/>
          </w:rPr>
          <w:t>startups</w:t>
        </w:r>
      </w:hyperlink>
      <w:hyperlink r:id="rId270" w:history="1">
        <w:r>
          <w:rPr>
            <w:rFonts w:ascii="Arial" w:eastAsia="Arial" w:hAnsi="Arial" w:cs="Arial"/>
            <w:i/>
            <w:color w:val="0077CC"/>
            <w:sz w:val="20"/>
            <w:u w:val="single"/>
            <w:shd w:val="clear" w:color="auto" w:fill="FFFFFF"/>
          </w:rPr>
          <w:t>-have-arrived-whats-ahead-aatif-awan/</w:t>
        </w:r>
      </w:hyperlink>
      <w:r>
        <w:rPr>
          <w:rFonts w:ascii="Arial" w:eastAsia="Arial" w:hAnsi="Arial" w:cs="Arial"/>
          <w:color w:val="000000"/>
          <w:sz w:val="20"/>
        </w:rPr>
        <w:t xml:space="preserve"> [ 14]: </w:t>
      </w:r>
      <w:hyperlink r:id="rId271" w:history="1">
        <w:r>
          <w:rPr>
            <w:rFonts w:ascii="Arial" w:eastAsia="Arial" w:hAnsi="Arial" w:cs="Arial"/>
            <w:i/>
            <w:color w:val="0077CC"/>
            <w:sz w:val="20"/>
            <w:u w:val="single"/>
            <w:shd w:val="clear" w:color="auto" w:fill="FFFFFF"/>
          </w:rPr>
          <w:t>https://restofworld.org/2022/pakistan-tech-investment-boom/</w:t>
        </w:r>
      </w:hyperlink>
      <w:r>
        <w:rPr>
          <w:rFonts w:ascii="Arial" w:eastAsia="Arial" w:hAnsi="Arial" w:cs="Arial"/>
          <w:color w:val="000000"/>
          <w:sz w:val="20"/>
        </w:rPr>
        <w:t xml:space="preserve"> [ 15]: </w:t>
      </w:r>
      <w:hyperlink r:id="rId272" w:history="1">
        <w:r>
          <w:rPr>
            <w:rFonts w:ascii="Arial" w:eastAsia="Arial" w:hAnsi="Arial" w:cs="Arial"/>
            <w:i/>
            <w:color w:val="0077CC"/>
            <w:sz w:val="20"/>
            <w:u w:val="single"/>
            <w:shd w:val="clear" w:color="auto" w:fill="FFFFFF"/>
          </w:rPr>
          <w:t>https://www.indus.vc</w:t>
        </w:r>
      </w:hyperlink>
      <w:r>
        <w:rPr>
          <w:rFonts w:ascii="Arial" w:eastAsia="Arial" w:hAnsi="Arial" w:cs="Arial"/>
          <w:color w:val="000000"/>
          <w:sz w:val="20"/>
        </w:rPr>
        <w:t xml:space="preserve">/ [ 16]: </w:t>
      </w:r>
      <w:hyperlink r:id="rId273" w:history="1">
        <w:r>
          <w:rPr>
            <w:rFonts w:ascii="Arial" w:eastAsia="Arial" w:hAnsi="Arial" w:cs="Arial"/>
            <w:i/>
            <w:color w:val="0077CC"/>
            <w:sz w:val="20"/>
            <w:u w:val="single"/>
            <w:shd w:val="clear" w:color="auto" w:fill="FFFFFF"/>
          </w:rPr>
          <w:t>https://techcrunch.com/2022/03/14/bazaar-raises-70-million-from-tiger-global-and-dragoneer-to-digitize-pakistans-retail/amp/</w:t>
        </w:r>
      </w:hyperlink>
      <w:r>
        <w:rPr>
          <w:rFonts w:ascii="Arial" w:eastAsia="Arial" w:hAnsi="Arial" w:cs="Arial"/>
          <w:color w:val="000000"/>
          <w:sz w:val="20"/>
        </w:rPr>
        <w:t xml:space="preserve"> [ 17]: </w:t>
      </w:r>
      <w:hyperlink r:id="rId274" w:history="1">
        <w:r>
          <w:rPr>
            <w:rFonts w:ascii="Arial" w:eastAsia="Arial" w:hAnsi="Arial" w:cs="Arial"/>
            <w:i/>
            <w:color w:val="0077CC"/>
            <w:sz w:val="20"/>
            <w:u w:val="single"/>
            <w:shd w:val="clear" w:color="auto" w:fill="FFFFFF"/>
          </w:rPr>
          <w:t>https://techcrunch.com/2021/08/17/pakistans-airlift-raises-85-million-for-its-quick-commerce-</w:t>
        </w:r>
      </w:hyperlink>
      <w:hyperlink r:id="rId275" w:history="1">
        <w:r>
          <w:rPr>
            <w:rFonts w:ascii="Arial" w:eastAsia="Arial" w:hAnsi="Arial" w:cs="Arial"/>
            <w:b/>
            <w:i/>
            <w:color w:val="0077CC"/>
            <w:sz w:val="20"/>
            <w:u w:val="single"/>
            <w:shd w:val="clear" w:color="auto" w:fill="FFFFFF"/>
          </w:rPr>
          <w:t>startup</w:t>
        </w:r>
      </w:hyperlink>
      <w:hyperlink r:id="rId276" w:history="1">
        <w:r>
          <w:rPr>
            <w:rFonts w:ascii="Arial" w:eastAsia="Arial" w:hAnsi="Arial" w:cs="Arial"/>
            <w:i/>
            <w:color w:val="0077CC"/>
            <w:sz w:val="20"/>
            <w:u w:val="single"/>
            <w:shd w:val="clear" w:color="auto" w:fill="FFFFFF"/>
          </w:rPr>
          <w:t>-eyes-international-expansion/</w:t>
        </w:r>
      </w:hyperlink>
      <w:r>
        <w:rPr>
          <w:rFonts w:ascii="Arial" w:eastAsia="Arial" w:hAnsi="Arial" w:cs="Arial"/>
          <w:color w:val="000000"/>
          <w:sz w:val="20"/>
        </w:rPr>
        <w:t xml:space="preserve"> [ 18]: </w:t>
      </w:r>
      <w:hyperlink r:id="rId277" w:history="1">
        <w:r>
          <w:rPr>
            <w:rFonts w:ascii="Arial" w:eastAsia="Arial" w:hAnsi="Arial" w:cs="Arial"/>
            <w:i/>
            <w:color w:val="0077CC"/>
            <w:sz w:val="20"/>
            <w:u w:val="single"/>
            <w:shd w:val="clear" w:color="auto" w:fill="FFFFFF"/>
          </w:rPr>
          <w:t>https://www.linkedin.com/pulse/pakistani-</w:t>
        </w:r>
      </w:hyperlink>
      <w:hyperlink r:id="rId278" w:history="1">
        <w:r>
          <w:rPr>
            <w:rFonts w:ascii="Arial" w:eastAsia="Arial" w:hAnsi="Arial" w:cs="Arial"/>
            <w:b/>
            <w:i/>
            <w:color w:val="0077CC"/>
            <w:sz w:val="20"/>
            <w:u w:val="single"/>
            <w:shd w:val="clear" w:color="auto" w:fill="FFFFFF"/>
          </w:rPr>
          <w:t>startups</w:t>
        </w:r>
      </w:hyperlink>
      <w:hyperlink r:id="rId279" w:history="1">
        <w:r>
          <w:rPr>
            <w:rFonts w:ascii="Arial" w:eastAsia="Arial" w:hAnsi="Arial" w:cs="Arial"/>
            <w:i/>
            <w:color w:val="0077CC"/>
            <w:sz w:val="20"/>
            <w:u w:val="single"/>
            <w:shd w:val="clear" w:color="auto" w:fill="FFFFFF"/>
          </w:rPr>
          <w:t>-have-arrived-whats-ahead-aatif-awan/</w:t>
        </w:r>
      </w:hyperlink>
      <w:r>
        <w:rPr>
          <w:rFonts w:ascii="Arial" w:eastAsia="Arial" w:hAnsi="Arial" w:cs="Arial"/>
          <w:color w:val="000000"/>
          <w:sz w:val="20"/>
        </w:rPr>
        <w:t xml:space="preserve"> [ 19]: </w:t>
      </w:r>
      <w:hyperlink r:id="rId280" w:history="1">
        <w:r>
          <w:rPr>
            <w:rFonts w:ascii="Arial" w:eastAsia="Arial" w:hAnsi="Arial" w:cs="Arial"/>
            <w:i/>
            <w:color w:val="0077CC"/>
            <w:sz w:val="20"/>
            <w:u w:val="single"/>
            <w:shd w:val="clear" w:color="auto" w:fill="FFFFFF"/>
          </w:rPr>
          <w:t>https://restofworld.org/2022/pakistan-tech-investment-boom/</w:t>
        </w:r>
      </w:hyperlink>
      <w:r>
        <w:rPr>
          <w:rFonts w:ascii="Arial" w:eastAsia="Arial" w:hAnsi="Arial" w:cs="Arial"/>
          <w:color w:val="000000"/>
          <w:sz w:val="20"/>
        </w:rPr>
        <w:t xml:space="preserve"> [ 20]: </w:t>
      </w:r>
      <w:hyperlink r:id="rId281" w:history="1">
        <w:r>
          <w:rPr>
            <w:rFonts w:ascii="Arial" w:eastAsia="Arial" w:hAnsi="Arial" w:cs="Arial"/>
            <w:i/>
            <w:color w:val="0077CC"/>
            <w:sz w:val="20"/>
            <w:u w:val="single"/>
            <w:shd w:val="clear" w:color="auto" w:fill="FFFFFF"/>
          </w:rPr>
          <w:t>https://www.worldbank.org/en/news/feature/2016/02/08/what-will-it-take-for-pakistan-to-achieve-financial-inclusion</w:t>
        </w:r>
      </w:hyperlink>
      <w:r>
        <w:rPr>
          <w:rFonts w:ascii="Arial" w:eastAsia="Arial" w:hAnsi="Arial" w:cs="Arial"/>
          <w:color w:val="000000"/>
          <w:sz w:val="20"/>
        </w:rPr>
        <w:t xml:space="preserve"> [ 21]: </w:t>
      </w:r>
      <w:hyperlink r:id="rId282" w:history="1">
        <w:r>
          <w:rPr>
            <w:rFonts w:ascii="Arial" w:eastAsia="Arial" w:hAnsi="Arial" w:cs="Arial"/>
            <w:i/>
            <w:color w:val="0077CC"/>
            <w:sz w:val="20"/>
            <w:u w:val="single"/>
            <w:shd w:val="clear" w:color="auto" w:fill="FFFFFF"/>
          </w:rPr>
          <w:t>https://techcrunch.com/2018/05/08/alibaba-buys-rocket-internets-daraz/</w:t>
        </w:r>
      </w:hyperlink>
      <w:r>
        <w:rPr>
          <w:rFonts w:ascii="Arial" w:eastAsia="Arial" w:hAnsi="Arial" w:cs="Arial"/>
          <w:color w:val="000000"/>
          <w:sz w:val="20"/>
        </w:rPr>
        <w:t xml:space="preserve"> [ 22]: </w:t>
      </w:r>
      <w:hyperlink r:id="rId283" w:history="1">
        <w:r>
          <w:rPr>
            <w:rFonts w:ascii="Arial" w:eastAsia="Arial" w:hAnsi="Arial" w:cs="Arial"/>
            <w:i/>
            <w:color w:val="0077CC"/>
            <w:sz w:val="20"/>
            <w:u w:val="single"/>
            <w:shd w:val="clear" w:color="auto" w:fill="FFFFFF"/>
          </w:rPr>
          <w:t>https://www.telenor.com/media/press-release/telenor-group-and-ant-financial-in-strategic-partnership-to-deliver-inclusive-financial-services-in-pakistan</w:t>
        </w:r>
      </w:hyperlink>
      <w:r>
        <w:rPr>
          <w:rFonts w:ascii="Arial" w:eastAsia="Arial" w:hAnsi="Arial" w:cs="Arial"/>
          <w:color w:val="000000"/>
          <w:sz w:val="20"/>
        </w:rPr>
        <w:t xml:space="preserve"> [ 23]: </w:t>
      </w:r>
      <w:hyperlink r:id="rId284" w:history="1">
        <w:r>
          <w:rPr>
            <w:rFonts w:ascii="Arial" w:eastAsia="Arial" w:hAnsi="Arial" w:cs="Arial"/>
            <w:i/>
            <w:color w:val="0077CC"/>
            <w:sz w:val="20"/>
            <w:u w:val="single"/>
            <w:shd w:val="clear" w:color="auto" w:fill="FFFFFF"/>
          </w:rPr>
          <w:t>https://www.insightsi2i.com/pser-21</w:t>
        </w:r>
      </w:hyperlink>
      <w:r>
        <w:rPr>
          <w:rFonts w:ascii="Arial" w:eastAsia="Arial" w:hAnsi="Arial" w:cs="Arial"/>
          <w:color w:val="000000"/>
          <w:sz w:val="20"/>
        </w:rPr>
        <w:t xml:space="preserve"> [ 24]: </w:t>
      </w:r>
      <w:hyperlink r:id="rId285" w:history="1">
        <w:r>
          <w:rPr>
            <w:rFonts w:ascii="Arial" w:eastAsia="Arial" w:hAnsi="Arial" w:cs="Arial"/>
            <w:i/>
            <w:color w:val="0077CC"/>
            <w:sz w:val="20"/>
            <w:u w:val="single"/>
            <w:shd w:val="clear" w:color="auto" w:fill="FFFFFF"/>
          </w:rPr>
          <w:t>https://e27.co/gobi-backed-pakistani-</w:t>
        </w:r>
      </w:hyperlink>
      <w:hyperlink r:id="rId286" w:history="1">
        <w:r>
          <w:rPr>
            <w:rFonts w:ascii="Arial" w:eastAsia="Arial" w:hAnsi="Arial" w:cs="Arial"/>
            <w:b/>
            <w:i/>
            <w:color w:val="0077CC"/>
            <w:sz w:val="20"/>
            <w:u w:val="single"/>
            <w:shd w:val="clear" w:color="auto" w:fill="FFFFFF"/>
          </w:rPr>
          <w:t>startup</w:t>
        </w:r>
      </w:hyperlink>
      <w:hyperlink r:id="rId287" w:history="1">
        <w:r>
          <w:rPr>
            <w:rFonts w:ascii="Arial" w:eastAsia="Arial" w:hAnsi="Arial" w:cs="Arial"/>
            <w:i/>
            <w:color w:val="0077CC"/>
            <w:sz w:val="20"/>
            <w:u w:val="single"/>
            <w:shd w:val="clear" w:color="auto" w:fill="FFFFFF"/>
          </w:rPr>
          <w:t>-airlift-raises-us12m-series-a-led-by-uber-investor-first-round-capital-20191104</w:t>
        </w:r>
      </w:hyperlink>
      <w:r>
        <w:rPr>
          <w:rFonts w:ascii="Arial" w:eastAsia="Arial" w:hAnsi="Arial" w:cs="Arial"/>
          <w:color w:val="000000"/>
          <w:sz w:val="20"/>
        </w:rPr>
        <w:t xml:space="preserve">/ [ 25]: </w:t>
      </w:r>
      <w:hyperlink r:id="rId288" w:history="1">
        <w:r>
          <w:rPr>
            <w:rFonts w:ascii="Arial" w:eastAsia="Arial" w:hAnsi="Arial" w:cs="Arial"/>
            <w:i/>
            <w:color w:val="0077CC"/>
            <w:sz w:val="20"/>
            <w:u w:val="single"/>
            <w:shd w:val="clear" w:color="auto" w:fill="FFFFFF"/>
          </w:rPr>
          <w:t>https://www.123rf.com/profile_sakhaphotos</w:t>
        </w:r>
      </w:hyperlink>
      <w:r>
        <w:rPr>
          <w:rFonts w:ascii="Arial" w:eastAsia="Arial" w:hAnsi="Arial" w:cs="Arial"/>
          <w:color w:val="000000"/>
          <w:sz w:val="20"/>
        </w:rPr>
        <w:t xml:space="preserve"> [ 26]: </w:t>
      </w:r>
      <w:hyperlink r:id="rId289" w:history="1">
        <w:r>
          <w:rPr>
            <w:rFonts w:ascii="Arial" w:eastAsia="Arial" w:hAnsi="Arial" w:cs="Arial"/>
            <w:i/>
            <w:color w:val="0077CC"/>
            <w:sz w:val="20"/>
            <w:u w:val="single"/>
            <w:shd w:val="clear" w:color="auto" w:fill="FFFFFF"/>
          </w:rPr>
          <w:t>https://e27.co/pakistan-</w:t>
        </w:r>
      </w:hyperlink>
      <w:hyperlink r:id="rId290" w:history="1">
        <w:r>
          <w:rPr>
            <w:rFonts w:ascii="Arial" w:eastAsia="Arial" w:hAnsi="Arial" w:cs="Arial"/>
            <w:b/>
            <w:i/>
            <w:color w:val="0077CC"/>
            <w:sz w:val="20"/>
            <w:u w:val="single"/>
            <w:shd w:val="clear" w:color="auto" w:fill="FFFFFF"/>
          </w:rPr>
          <w:t>startups</w:t>
        </w:r>
      </w:hyperlink>
      <w:hyperlink r:id="rId291" w:history="1">
        <w:r>
          <w:rPr>
            <w:rFonts w:ascii="Arial" w:eastAsia="Arial" w:hAnsi="Arial" w:cs="Arial"/>
            <w:i/>
            <w:color w:val="0077CC"/>
            <w:sz w:val="20"/>
            <w:u w:val="single"/>
            <w:shd w:val="clear" w:color="auto" w:fill="FFFFFF"/>
          </w:rPr>
          <w:t>-the-last-massive-untapped-opportunity-globally-20220516</w:t>
        </w:r>
      </w:hyperlink>
      <w:r>
        <w:rPr>
          <w:rFonts w:ascii="Arial" w:eastAsia="Arial" w:hAnsi="Arial" w:cs="Arial"/>
          <w:color w:val="000000"/>
          <w:sz w:val="20"/>
        </w:rPr>
        <w:t xml:space="preserve">/ [ 27]: </w:t>
      </w:r>
      <w:hyperlink r:id="rId292"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127CD155" w14:textId="77777777" w:rsidR="00054BF0" w:rsidRDefault="00000000">
      <w:pPr>
        <w:spacing w:before="200" w:line="260" w:lineRule="atLeast"/>
        <w:jc w:val="both"/>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59776479"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17, 2022</w:t>
      </w:r>
    </w:p>
    <w:p w14:paraId="54565172" w14:textId="77777777" w:rsidR="00054BF0" w:rsidRDefault="00054BF0"/>
    <w:p w14:paraId="0E7F53F0" w14:textId="77777777" w:rsidR="00054BF0" w:rsidRDefault="00000000">
      <w:pPr>
        <w:ind w:left="200"/>
        <w:sectPr w:rsidR="00054BF0">
          <w:type w:val="continuous"/>
          <w:pgSz w:w="12240" w:h="15840"/>
          <w:pgMar w:top="840" w:right="1000" w:bottom="840" w:left="1000" w:header="400" w:footer="400" w:gutter="0"/>
          <w:cols w:space="720"/>
        </w:sectPr>
      </w:pPr>
      <w:r>
        <w:br/>
      </w:r>
      <w:r>
        <w:pict w14:anchorId="032A311E">
          <v:line id="_x0000_s2086" style="position:absolute;left:0;text-align:left;z-index:251680768;mso-position-horizontal-relative:text;mso-position-vertical-relative:text" from="0,10pt" to="512pt,10pt" strokeweight="1pt"/>
        </w:pict>
      </w:r>
      <w:r>
        <w:rPr>
          <w:rFonts w:ascii="Arial" w:eastAsia="Arial" w:hAnsi="Arial" w:cs="Arial"/>
          <w:b/>
          <w:color w:val="767676"/>
          <w:sz w:val="16"/>
        </w:rPr>
        <w:t>End of Document</w:t>
      </w:r>
    </w:p>
    <w:p w14:paraId="45C3E9A4" w14:textId="77777777" w:rsidR="00054BF0" w:rsidRDefault="00054BF0">
      <w:pPr>
        <w:sectPr w:rsidR="00054BF0">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gutter="0"/>
          <w:cols w:space="720"/>
          <w:titlePg/>
        </w:sectPr>
      </w:pPr>
    </w:p>
    <w:p w14:paraId="07E70F0D" w14:textId="77777777" w:rsidR="00054BF0" w:rsidRDefault="00054BF0">
      <w:bookmarkStart w:id="22" w:name="Bookmark_12"/>
      <w:bookmarkEnd w:id="22"/>
    </w:p>
    <w:p w14:paraId="46390A5D" w14:textId="77777777" w:rsidR="00054BF0" w:rsidRDefault="00BE2275">
      <w:r>
        <w:pict w14:anchorId="04AB01C7">
          <v:shape id="_x0000_i1041" type="#_x0000_t75" alt="LexisNexis®" style="width:148pt;height:30pt">
            <v:imagedata r:id="rId6" o:title=""/>
          </v:shape>
        </w:pict>
      </w:r>
      <w:r w:rsidR="00A540D1">
        <w:cr/>
      </w:r>
    </w:p>
    <w:p w14:paraId="154F64CF" w14:textId="77777777" w:rsidR="00054BF0" w:rsidRDefault="00000000">
      <w:pPr>
        <w:spacing w:before="240" w:after="200" w:line="340" w:lineRule="atLeast"/>
        <w:jc w:val="center"/>
        <w:outlineLvl w:val="0"/>
        <w:rPr>
          <w:rFonts w:ascii="Arial" w:hAnsi="Arial" w:cs="Arial"/>
          <w:b/>
          <w:bCs/>
          <w:kern w:val="32"/>
          <w:sz w:val="32"/>
          <w:szCs w:val="32"/>
        </w:rPr>
      </w:pPr>
      <w:hyperlink r:id="rId299" w:history="1">
        <w:r>
          <w:rPr>
            <w:rFonts w:ascii="Arial" w:eastAsia="Arial" w:hAnsi="Arial" w:cs="Arial"/>
            <w:b/>
            <w:bCs/>
            <w:i/>
            <w:color w:val="0077CC"/>
            <w:kern w:val="32"/>
            <w:sz w:val="28"/>
            <w:szCs w:val="32"/>
            <w:u w:val="single"/>
            <w:shd w:val="clear" w:color="auto" w:fill="FFFFFF"/>
          </w:rPr>
          <w:t xml:space="preserve">Escape from the lab! 6 promising biotech </w:t>
        </w:r>
      </w:hyperlink>
      <w:hyperlink r:id="rId300" w:history="1">
        <w:r>
          <w:rPr>
            <w:rFonts w:ascii="Arial" w:eastAsia="Arial" w:hAnsi="Arial" w:cs="Arial"/>
            <w:b/>
            <w:bCs/>
            <w:i/>
            <w:color w:val="0077CC"/>
            <w:kern w:val="32"/>
            <w:sz w:val="28"/>
            <w:szCs w:val="32"/>
            <w:u w:val="single"/>
            <w:shd w:val="clear" w:color="auto" w:fill="FFFFFF"/>
          </w:rPr>
          <w:t>startup</w:t>
        </w:r>
      </w:hyperlink>
      <w:hyperlink r:id="rId301" w:history="1">
        <w:r>
          <w:rPr>
            <w:rFonts w:ascii="Arial" w:eastAsia="Arial" w:hAnsi="Arial" w:cs="Arial"/>
            <w:b/>
            <w:bCs/>
            <w:i/>
            <w:color w:val="0077CC"/>
            <w:kern w:val="32"/>
            <w:sz w:val="28"/>
            <w:szCs w:val="32"/>
            <w:u w:val="single"/>
            <w:shd w:val="clear" w:color="auto" w:fill="FFFFFF"/>
          </w:rPr>
          <w:t xml:space="preserve"> companies profiled at ASU symposium</w:t>
        </w:r>
      </w:hyperlink>
    </w:p>
    <w:p w14:paraId="21DB1691" w14:textId="77777777" w:rsidR="00054BF0" w:rsidRDefault="00000000">
      <w:pPr>
        <w:spacing w:before="120" w:line="260" w:lineRule="atLeast"/>
        <w:jc w:val="center"/>
      </w:pPr>
      <w:r>
        <w:rPr>
          <w:rFonts w:ascii="Arial" w:eastAsia="Arial" w:hAnsi="Arial" w:cs="Arial"/>
          <w:color w:val="000000"/>
          <w:sz w:val="20"/>
        </w:rPr>
        <w:t>US Official News</w:t>
      </w:r>
    </w:p>
    <w:p w14:paraId="6CFD8972" w14:textId="77777777" w:rsidR="00054BF0" w:rsidRDefault="00000000">
      <w:pPr>
        <w:spacing w:before="120" w:line="260" w:lineRule="atLeast"/>
        <w:jc w:val="center"/>
      </w:pPr>
      <w:r>
        <w:rPr>
          <w:rFonts w:ascii="Arial" w:eastAsia="Arial" w:hAnsi="Arial" w:cs="Arial"/>
          <w:color w:val="000000"/>
          <w:sz w:val="20"/>
        </w:rPr>
        <w:t>October 4, 2018 Thursday</w:t>
      </w:r>
    </w:p>
    <w:p w14:paraId="558ED346" w14:textId="77777777" w:rsidR="00054BF0" w:rsidRDefault="00054BF0">
      <w:pPr>
        <w:spacing w:line="240" w:lineRule="atLeast"/>
        <w:jc w:val="both"/>
      </w:pPr>
    </w:p>
    <w:p w14:paraId="634BFDD1" w14:textId="77777777" w:rsidR="00054BF0" w:rsidRDefault="00000000">
      <w:pPr>
        <w:spacing w:before="120" w:line="220" w:lineRule="atLeast"/>
      </w:pPr>
      <w:r>
        <w:br/>
      </w:r>
      <w:r>
        <w:rPr>
          <w:rFonts w:ascii="Arial" w:eastAsia="Arial" w:hAnsi="Arial" w:cs="Arial"/>
          <w:color w:val="000000"/>
          <w:sz w:val="16"/>
        </w:rPr>
        <w:t>Copyright 2018 Plus Media Solutions Private Limited All Rights Reserved</w:t>
      </w:r>
    </w:p>
    <w:p w14:paraId="75552F83" w14:textId="77777777" w:rsidR="00054BF0" w:rsidRDefault="00000000">
      <w:pPr>
        <w:spacing w:before="120" w:line="220" w:lineRule="atLeast"/>
      </w:pPr>
      <w:r>
        <w:br/>
      </w:r>
      <w:r w:rsidR="00BE2275">
        <w:pict w14:anchorId="2F6FD369">
          <v:shape id="_x0000_i1042" type="#_x0000_t75" style="width:135pt;height:46pt">
            <v:imagedata r:id="rId302" o:title=""/>
          </v:shape>
        </w:pict>
      </w:r>
    </w:p>
    <w:p w14:paraId="600CA6B4"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2009 words</w:t>
      </w:r>
    </w:p>
    <w:p w14:paraId="606439CE" w14:textId="77777777" w:rsidR="00054BF0" w:rsidRDefault="00000000">
      <w:pPr>
        <w:keepNext/>
        <w:spacing w:before="240" w:line="340" w:lineRule="atLeast"/>
      </w:pPr>
      <w:bookmarkStart w:id="23" w:name="Body_10"/>
      <w:bookmarkEnd w:id="23"/>
      <w:r>
        <w:rPr>
          <w:rFonts w:ascii="Arial" w:eastAsia="Arial" w:hAnsi="Arial" w:cs="Arial"/>
          <w:b/>
          <w:color w:val="000000"/>
          <w:sz w:val="28"/>
        </w:rPr>
        <w:t>Body</w:t>
      </w:r>
    </w:p>
    <w:p w14:paraId="000A7BB1" w14:textId="77777777" w:rsidR="00054BF0" w:rsidRDefault="00000000">
      <w:pPr>
        <w:spacing w:line="60" w:lineRule="exact"/>
      </w:pPr>
      <w:r>
        <w:pict w14:anchorId="700E42BE">
          <v:line id="_x0000_s2089" style="position:absolute;z-index:251681792" from="0,2pt" to="512pt,2pt" strokecolor="#009ddb" strokeweight="2pt">
            <w10:wrap type="topAndBottom"/>
          </v:line>
        </w:pict>
      </w:r>
    </w:p>
    <w:p w14:paraId="2D37DF56" w14:textId="77777777" w:rsidR="00054BF0" w:rsidRDefault="00054BF0"/>
    <w:p w14:paraId="537FBC43" w14:textId="77777777" w:rsidR="00054BF0" w:rsidRDefault="00000000">
      <w:pPr>
        <w:spacing w:before="200" w:line="260" w:lineRule="atLeast"/>
        <w:jc w:val="both"/>
      </w:pPr>
      <w:r>
        <w:rPr>
          <w:rFonts w:ascii="Arial" w:eastAsia="Arial" w:hAnsi="Arial" w:cs="Arial"/>
          <w:color w:val="000000"/>
          <w:sz w:val="20"/>
        </w:rPr>
        <w:t xml:space="preserve">Arizona: Arizona State University has issued the following press release:  Arizona State University's many laboratories are seedbeds for an astonishing variety of new ideas. But the path from basic research to real-world applications can be complex, perilous and — sometimes — bewildering.  A recent all-day seminar hosted at the Biodesign Institute explored an array of promising research that has escaped the confines of the lab. New spinout companies, based on groundbreaking research, are bringing exciting innovations in the life sciences to market.  The gathering was organized by the ASU Biotechnology Advisory Board, a consortium consisting of national and international industry leaders in the biotech domain. </w:t>
      </w:r>
    </w:p>
    <w:p w14:paraId="66662B88" w14:textId="77777777" w:rsidR="00054BF0" w:rsidRDefault="00000000">
      <w:pPr>
        <w:spacing w:before="240" w:line="260" w:lineRule="atLeast"/>
        <w:jc w:val="both"/>
      </w:pPr>
      <w:r>
        <w:rPr>
          <w:rFonts w:ascii="Arial" w:eastAsia="Arial" w:hAnsi="Arial" w:cs="Arial"/>
          <w:color w:val="000000"/>
          <w:sz w:val="20"/>
        </w:rPr>
        <w:t xml:space="preserve">The board’s role is to explore opportunities for students in the various biomedical fields as well as gauge the impact of biotech research across ASU. High risks and high rewards  The biotechnology sector is a high stakes world, in which billions of dollars can be made or lost overnight and the landscape is littered with the bones of failed biotech ventures. Company leaders must be nimble and ready to abandon strategies that don’t work while being ever mindful of the company’s vision, goals and overall approach.  The promise of stratospheric profits, coupled with dreams of making significant contributions to human health and societal betterment have driven a gold rush in biotechnology. Currently, the number of biotech IPOs is exploding and the winners have been among the best-performing in the market. So much for the good news: The fact is, the rate of </w:t>
      </w:r>
      <w:r>
        <w:rPr>
          <w:rFonts w:ascii="Arial" w:eastAsia="Arial" w:hAnsi="Arial" w:cs="Arial"/>
          <w:b/>
          <w:i/>
          <w:color w:val="000000"/>
          <w:sz w:val="20"/>
          <w:u w:val="single"/>
        </w:rPr>
        <w:t>failure</w:t>
      </w:r>
      <w:r>
        <w:rPr>
          <w:rFonts w:ascii="Arial" w:eastAsia="Arial" w:hAnsi="Arial" w:cs="Arial"/>
          <w:color w:val="000000"/>
          <w:sz w:val="20"/>
        </w:rPr>
        <w:t xml:space="preserve"> of tech </w:t>
      </w:r>
      <w:r>
        <w:rPr>
          <w:rFonts w:ascii="Arial" w:eastAsia="Arial" w:hAnsi="Arial" w:cs="Arial"/>
          <w:b/>
          <w:i/>
          <w:color w:val="000000"/>
          <w:sz w:val="20"/>
          <w:u w:val="single"/>
        </w:rPr>
        <w:t>startups</w:t>
      </w:r>
      <w:r>
        <w:rPr>
          <w:rFonts w:ascii="Arial" w:eastAsia="Arial" w:hAnsi="Arial" w:cs="Arial"/>
          <w:color w:val="000000"/>
          <w:sz w:val="20"/>
        </w:rPr>
        <w:t xml:space="preserve"> in general is around 75 percent according to Fast Company Magazine, and biotech </w:t>
      </w:r>
      <w:r>
        <w:rPr>
          <w:rFonts w:ascii="Arial" w:eastAsia="Arial" w:hAnsi="Arial" w:cs="Arial"/>
          <w:b/>
          <w:i/>
          <w:color w:val="000000"/>
          <w:sz w:val="20"/>
          <w:u w:val="single"/>
        </w:rPr>
        <w:t>startups</w:t>
      </w:r>
      <w:r>
        <w:rPr>
          <w:rFonts w:ascii="Arial" w:eastAsia="Arial" w:hAnsi="Arial" w:cs="Arial"/>
          <w:color w:val="000000"/>
          <w:sz w:val="20"/>
        </w:rPr>
        <w:t xml:space="preserve"> face many challenges unique to the industry.  Today, potential investors are often wary after some biotech companies received extravagant valuations only to come crashing down. While a few flame out in spectacular public manner — Theranos perhaps representing the most extreme and unsettling case — most die quieter deaths as a result of insufficient funding, errors in management or poor navigation of the enormous practical hurdles involved.  Products and innovations that may carry lethal risks must undergo extravagant vetting relative to most other products entering the marketplace, creating a landscape of exceptional complexity and risk for biotech companies. Team members savvy in the byzantine world of regulatory law are often required assets for successful teams.  In the biotech universe, timing is everything. Decisions that can make or break </w:t>
      </w:r>
      <w:r>
        <w:rPr>
          <w:rFonts w:ascii="Arial" w:eastAsia="Arial" w:hAnsi="Arial" w:cs="Arial"/>
          <w:b/>
          <w:i/>
          <w:color w:val="000000"/>
          <w:sz w:val="20"/>
          <w:u w:val="single"/>
        </w:rPr>
        <w:t>startups</w:t>
      </w:r>
      <w:r>
        <w:rPr>
          <w:rFonts w:ascii="Arial" w:eastAsia="Arial" w:hAnsi="Arial" w:cs="Arial"/>
          <w:color w:val="000000"/>
          <w:sz w:val="20"/>
        </w:rPr>
        <w:t xml:space="preserve"> include when to interest larger biotech or pharma conglomerates in licensing some of your technology or buying your company outright. An unusual blend of optimism, aggressive perseverance and practicality are among the essential ingredients. When is it appropriate to </w:t>
      </w:r>
      <w:r>
        <w:rPr>
          <w:rFonts w:ascii="Arial" w:eastAsia="Arial" w:hAnsi="Arial" w:cs="Arial"/>
          <w:color w:val="000000"/>
          <w:sz w:val="20"/>
        </w:rPr>
        <w:lastRenderedPageBreak/>
        <w:t xml:space="preserve">tackle roadblocks and when should companies cut their losses for a promising idea that faces too many setbacks? Success requires a perfect storm of pathbreaking science, societal need, strong leadership in a variety of areas and adequacy of funding.  On the other hand, the best ideas hold the potential to radically transform human health and improve the quality of life for millions of people around the world. Taking research to the market  The seminar kicked off with a discussion moderated by Professor Bert Jacobs, director of the School of Life Sciences, titled "Targeting Educational Goals to Fit Industry." Next, Professor Neal Woodbury, director of the School of Molecular Sciences, moderated a discussion on bioindustry challenges and academia’s response.  Seed funding for new </w:t>
      </w:r>
      <w:r>
        <w:rPr>
          <w:rFonts w:ascii="Arial" w:eastAsia="Arial" w:hAnsi="Arial" w:cs="Arial"/>
          <w:b/>
          <w:i/>
          <w:color w:val="000000"/>
          <w:sz w:val="20"/>
          <w:u w:val="single"/>
        </w:rPr>
        <w:t>startups</w:t>
      </w:r>
      <w:r>
        <w:rPr>
          <w:rFonts w:ascii="Arial" w:eastAsia="Arial" w:hAnsi="Arial" w:cs="Arial"/>
          <w:color w:val="000000"/>
          <w:sz w:val="20"/>
        </w:rPr>
        <w:t xml:space="preserve"> and the ins and outs of venture capital investment were explored. One challenge common to most biotech </w:t>
      </w:r>
      <w:r>
        <w:rPr>
          <w:rFonts w:ascii="Arial" w:eastAsia="Arial" w:hAnsi="Arial" w:cs="Arial"/>
          <w:b/>
          <w:i/>
          <w:color w:val="000000"/>
          <w:sz w:val="20"/>
          <w:u w:val="single"/>
        </w:rPr>
        <w:t>startups</w:t>
      </w:r>
      <w:r>
        <w:rPr>
          <w:rFonts w:ascii="Arial" w:eastAsia="Arial" w:hAnsi="Arial" w:cs="Arial"/>
          <w:color w:val="000000"/>
          <w:sz w:val="20"/>
        </w:rPr>
        <w:t xml:space="preserve"> is presentation: how to package and offer </w:t>
      </w:r>
      <w:r>
        <w:rPr>
          <w:rFonts w:ascii="Arial" w:eastAsia="Arial" w:hAnsi="Arial" w:cs="Arial"/>
          <w:b/>
          <w:i/>
          <w:color w:val="000000"/>
          <w:sz w:val="20"/>
          <w:u w:val="single"/>
        </w:rPr>
        <w:t>up</w:t>
      </w:r>
      <w:r>
        <w:rPr>
          <w:rFonts w:ascii="Arial" w:eastAsia="Arial" w:hAnsi="Arial" w:cs="Arial"/>
          <w:color w:val="000000"/>
          <w:sz w:val="20"/>
        </w:rPr>
        <w:t xml:space="preserve"> enough of the salient science to entice potential investors without overwhelming them with minutiae. Protection of sensitive intellectual property, especially for companies seeking to break into the vast markets in China, can also be a critical consideration.  The afternoon session featured rapid-fire descriptions of six new biotech </w:t>
      </w:r>
      <w:r>
        <w:rPr>
          <w:rFonts w:ascii="Arial" w:eastAsia="Arial" w:hAnsi="Arial" w:cs="Arial"/>
          <w:b/>
          <w:i/>
          <w:color w:val="000000"/>
          <w:sz w:val="20"/>
          <w:u w:val="single"/>
        </w:rPr>
        <w:t>startups</w:t>
      </w:r>
      <w:r>
        <w:rPr>
          <w:rFonts w:ascii="Arial" w:eastAsia="Arial" w:hAnsi="Arial" w:cs="Arial"/>
          <w:color w:val="000000"/>
          <w:sz w:val="20"/>
        </w:rPr>
        <w:t xml:space="preserve">, as members of the local business community peppered the presenters with questions and suggestions for furthering the success of these ventures:  NanoPin  NanoPin is a company founded in 2017 by Tony Hu, a researcher in the Biodesign Virginia G. Piper Center for Personalized Diagnostics. Their proprietary technology, described by NanoPin CEO Thomas Tombler, uses a nanoparticle-based platform, coupled with high-throughput mass spectroscopy to detect and quantitate disease biomarkers in patient blood samples. Specifically, Nanopin addresses the urgent need for more accurate, cost-effective diagnostic tools for tuberculosis, a deadly disease estimated to affect some 10 million people worldwide and cause 1.7 million annual deaths.  TB can be difficult to diagnose using conventional methods, particularly in children and “paucibacillary” cases in which the abundance of mycobacterium — causative agent of the disease — is very low. Speed is also a critical component. The current gold standard diagnostic can take six to eight weeks to yield a final result, as opposed to NanoPin’s rapid diagnostic. The versatile platform holds the promise for rapid diagnosis of a range of diseases. NanoPin recently received $2 million in seed funding to develop this diagnostic and monitoring platform for tuberculosis management.  Calviri  Improved cancer treatment and prevention are the focus of Stephen Albert Johnston’s </w:t>
      </w:r>
      <w:r>
        <w:rPr>
          <w:rFonts w:ascii="Arial" w:eastAsia="Arial" w:hAnsi="Arial" w:cs="Arial"/>
          <w:b/>
          <w:i/>
          <w:color w:val="000000"/>
          <w:sz w:val="20"/>
          <w:u w:val="single"/>
        </w:rPr>
        <w:t>startup</w:t>
      </w:r>
      <w:r>
        <w:rPr>
          <w:rFonts w:ascii="Arial" w:eastAsia="Arial" w:hAnsi="Arial" w:cs="Arial"/>
          <w:color w:val="000000"/>
          <w:sz w:val="20"/>
        </w:rPr>
        <w:t xml:space="preserve"> company Calviri. Johnston is the director for the Center for Innovations in Medicine and a professor in the School of Life Sciences. The company presentation, delivered by Douglas Thamm, director of clinical programs, described the use of peptide array technology to screen for cancer.  Existing methods for analyzing tumor diversity in sequence data can take months. Further, the radical heterogeneity of many mutations found in cancerous tumors require time-consuming and exorbitant personalized therapies or vaccine designs. Calviri’s technology focuses on net-antigens, mutations that may be common to a broader range of cancer cases than the so-called neo-antigens that have been studied by the cancer community. By contrast, net-antigens are reduced through transcription and RNA splicing, producing highly immunogenic errors. Use of such net-antigens could enable faster, simpler, and less expensive methods for the production of personal cancer vaccines and perhaps one day, even a generally used cancer vaccine. ASU was awarded $6.4M multiyear grant from the Open Philanthropy Project to test preventive cancer vaccine for dogs.  OncoMyx Therapeutics  Grant McFadden, director of the Biodesign Center for Immunotherapy, Vaccines and Virotherapy, presented details of his company OncoMyx Therapeutics. The spinout has leveraged McFadden’s research in virology to develop technologies targeting hematologic and solid tumors with a unique oncolytic virus called myxoma (MYXV) and a novel patented systemic delivery approach.  Myxoma is a standout in the viral world, a pathogen found exclusively in rabbits, where its presence is rapidly lethal. The company, however, is interested in another property of myxoma: its effectiveness as an oncolytic or anticancer agent in humans.  Myxoma, a member of the pox virus family, is highly immunostimulatory, and is nonpathogenic in any organism outside of rabbits. The virus has a unique ability to be carried systemically by human leukocytes where it can then infect tumor cells. OncoMyx will spearhead the next-stage development plans of oncolytic myxoma virus to seek FDA approval and conduct the first human clinical trials, using their patented systemic delivery approach. The company will capitalize on McFadden’s two decades of research into the potential of oncolytic viruses. Professor McFadden sequenced the myxoma virus genome in 1999 and since then has produced dozens of genetically engineered constructs, demonstrating its ability as an oncolytic agent across many tumors in preclinical cell and animal models.  FlexBioTech, Inc  FlexBioTech, Inc is another cancer-focused biotech </w:t>
      </w:r>
      <w:r>
        <w:rPr>
          <w:rFonts w:ascii="Arial" w:eastAsia="Arial" w:hAnsi="Arial" w:cs="Arial"/>
          <w:b/>
          <w:i/>
          <w:color w:val="000000"/>
          <w:sz w:val="20"/>
          <w:u w:val="single"/>
        </w:rPr>
        <w:t>startup</w:t>
      </w:r>
      <w:r>
        <w:rPr>
          <w:rFonts w:ascii="Arial" w:eastAsia="Arial" w:hAnsi="Arial" w:cs="Arial"/>
          <w:color w:val="000000"/>
          <w:sz w:val="20"/>
        </w:rPr>
        <w:t xml:space="preserve"> co-founded by CEO and  physician scientist Karen Anderson, a researcher in the Biodesign Virginia G. Piper Center for Personalized Diagnostics. In addition to her role as a translational cancer researcher at Biodesign, Anderson holds a joint appointment as a breast cancer medical oncologist at Mayo Clinic Arizona and professor in the School of Life Sciences, focused on tumor immunology, vaccine development and biomarker development. She has developed clinical immune biomarkers for clinical use (Videssa Breast, Provista </w:t>
      </w:r>
      <w:r>
        <w:rPr>
          <w:rFonts w:ascii="Arial" w:eastAsia="Arial" w:hAnsi="Arial" w:cs="Arial"/>
          <w:color w:val="000000"/>
          <w:sz w:val="20"/>
        </w:rPr>
        <w:lastRenderedPageBreak/>
        <w:t xml:space="preserve">Diagnostics) and in clinical trials (HPV biomarkers, used in the HOUSTON trial at MD Anderson Cancer Center), and point of care diagnostics (in development for cervical cancer detection in India).  FlexBioTech focuses on point-of-care biomarker detection. The technology permits rapid, low-cost home biomarker detection on a mobile platform that transmits results to hospitals and physicians.  Gemneo Bioscience  Joseph Blattman is an immunologist who studies how the immune system responds to vaccination and viral infection.  He is a researcher in the Biodesign Center for Immunotherapy, Vaccines and Virotherapy. Blattman’s company, Gemneo Bioscience, is the 100th spinout company formed at ASU.  Gemneo’s mission is to provide physicians with more optimal cancer treatments and groundbreaking immunotherapies to help improve cancer outcomes. The company is developing innovative molecular-based single-cell genomics technology that does not require cell sorting, which will greatly accelerate the speed and decrease the costs of analyzing the genomic heterogeneity of cancer and immune tissues, microbiomes, and beyond. Gemneo’s mission is to rapidly put their technology in the hands of academic and pharma industry researchers, to advance the frontiers of precision medicine, reduce costs and improve patient outcomes. The research on DNA origami nanoprobes for single-cell multi-gene analysis and single-cell analysis of tumor heterogeneity was funded by NIH grants and is an excellent example of federally-funded research leading to advances in science and medicine. Gemneo’s platform technology can be used to profile cancer genomics and identify rare cells that influence disease progression that current technologies are not able to detect.  Attometrics  The burgeoning field of aging research has given rise to Wayne Frasch’s </w:t>
      </w:r>
      <w:r>
        <w:rPr>
          <w:rFonts w:ascii="Arial" w:eastAsia="Arial" w:hAnsi="Arial" w:cs="Arial"/>
          <w:b/>
          <w:i/>
          <w:color w:val="000000"/>
          <w:sz w:val="20"/>
          <w:u w:val="single"/>
        </w:rPr>
        <w:t>startup</w:t>
      </w:r>
      <w:r>
        <w:rPr>
          <w:rFonts w:ascii="Arial" w:eastAsia="Arial" w:hAnsi="Arial" w:cs="Arial"/>
          <w:color w:val="000000"/>
          <w:sz w:val="20"/>
        </w:rPr>
        <w:t xml:space="preserve"> biotech company, Attometrics, which has developed technologies for evaluating telomere length. Telomeres — structures adorning the ends of chromosomes, have been implicated in not only the aging process but as signposts of disease. Certain cancer cells, for example, display unusually long telomeres believed to be linked with these cells’ status as immortal entities engaged in unchecked replication, the hallmark of cancer. Telomeres, therefore, may provide an intriguing and powerful new means of cancer diagnosis.  Attometrics technology can quickly and accurately compute the length of telomeres at the ends of human chromosomes. Due to the strong correlation between telomere length and many age-related diseases and cancers, there has been an urgent need to develop a reproducible telomere length assay. Frasch, a researcher at the School of Life Sciences, is a pioneer in single-molecule nanotechnology, using this knowledge to create molecular motor-powered nanodevices that serve as a platform technology capable of quickly detecting target biomarkers for disease that are present in extremely low amounts.     All of the participants received lively feedback from business experts during seminar discussions, helping to bring their visions to life and improve the chances for company success in a demanding but uniquely rewarding business landscape.   In case of any query regarding this article or other content needs please contact: </w:t>
      </w:r>
      <w:hyperlink r:id="rId303" w:history="1">
        <w:r>
          <w:rPr>
            <w:rFonts w:ascii="Arial" w:eastAsia="Arial" w:hAnsi="Arial" w:cs="Arial"/>
            <w:i/>
            <w:color w:val="0077CC"/>
            <w:sz w:val="20"/>
            <w:u w:val="single"/>
            <w:shd w:val="clear" w:color="auto" w:fill="FFFFFF"/>
          </w:rPr>
          <w:t>editorial@plusmediasolutions.com</w:t>
        </w:r>
      </w:hyperlink>
      <w:r>
        <w:rPr>
          <w:rFonts w:ascii="Arial" w:eastAsia="Arial" w:hAnsi="Arial" w:cs="Arial"/>
          <w:color w:val="000000"/>
          <w:sz w:val="20"/>
        </w:rPr>
        <w:t xml:space="preserve">  </w:t>
      </w:r>
    </w:p>
    <w:p w14:paraId="78A0EE66"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6, 2018</w:t>
      </w:r>
    </w:p>
    <w:p w14:paraId="50E6B1C5" w14:textId="77777777" w:rsidR="00054BF0" w:rsidRDefault="00054BF0"/>
    <w:p w14:paraId="3D3EB001" w14:textId="77777777" w:rsidR="00054BF0" w:rsidRDefault="00000000">
      <w:pPr>
        <w:ind w:left="200"/>
        <w:sectPr w:rsidR="00054BF0">
          <w:type w:val="continuous"/>
          <w:pgSz w:w="12240" w:h="15840"/>
          <w:pgMar w:top="840" w:right="1000" w:bottom="840" w:left="1000" w:header="400" w:footer="400" w:gutter="0"/>
          <w:cols w:space="720"/>
        </w:sectPr>
      </w:pPr>
      <w:r>
        <w:br/>
      </w:r>
      <w:r>
        <w:pict w14:anchorId="6E235B49">
          <v:line id="_x0000_s2090" style="position:absolute;left:0;text-align:left;z-index:251682816;mso-position-horizontal-relative:text;mso-position-vertical-relative:text" from="0,10pt" to="512pt,10pt" strokeweight="1pt"/>
        </w:pict>
      </w:r>
      <w:r>
        <w:rPr>
          <w:rFonts w:ascii="Arial" w:eastAsia="Arial" w:hAnsi="Arial" w:cs="Arial"/>
          <w:b/>
          <w:color w:val="767676"/>
          <w:sz w:val="16"/>
        </w:rPr>
        <w:t>End of Document</w:t>
      </w:r>
    </w:p>
    <w:p w14:paraId="28F2DD3F" w14:textId="77777777" w:rsidR="00054BF0" w:rsidRDefault="00054BF0">
      <w:pPr>
        <w:sectPr w:rsidR="00054BF0">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gutter="0"/>
          <w:cols w:space="720"/>
          <w:titlePg/>
        </w:sectPr>
      </w:pPr>
    </w:p>
    <w:p w14:paraId="081E8D49" w14:textId="77777777" w:rsidR="00054BF0" w:rsidRDefault="00054BF0">
      <w:bookmarkStart w:id="24" w:name="Bookmark_13"/>
      <w:bookmarkEnd w:id="24"/>
    </w:p>
    <w:p w14:paraId="171EE35E" w14:textId="77777777" w:rsidR="00054BF0" w:rsidRDefault="00BE2275">
      <w:r>
        <w:pict w14:anchorId="5D71E319">
          <v:shape id="_x0000_i1043" type="#_x0000_t75" alt="LexisNexis®" style="width:148pt;height:30pt">
            <v:imagedata r:id="rId6" o:title=""/>
          </v:shape>
        </w:pict>
      </w:r>
      <w:r w:rsidR="00A540D1">
        <w:cr/>
      </w:r>
    </w:p>
    <w:p w14:paraId="17054952" w14:textId="77777777" w:rsidR="00054BF0" w:rsidRDefault="00000000">
      <w:pPr>
        <w:spacing w:before="240" w:after="200" w:line="340" w:lineRule="atLeast"/>
        <w:jc w:val="center"/>
        <w:outlineLvl w:val="0"/>
        <w:rPr>
          <w:rFonts w:ascii="Arial" w:hAnsi="Arial" w:cs="Arial"/>
          <w:b/>
          <w:bCs/>
          <w:kern w:val="32"/>
          <w:sz w:val="32"/>
          <w:szCs w:val="32"/>
        </w:rPr>
      </w:pPr>
      <w:hyperlink r:id="rId310" w:history="1">
        <w:r>
          <w:rPr>
            <w:rFonts w:ascii="Arial" w:eastAsia="Arial" w:hAnsi="Arial" w:cs="Arial"/>
            <w:b/>
            <w:bCs/>
            <w:i/>
            <w:color w:val="0077CC"/>
            <w:kern w:val="32"/>
            <w:sz w:val="28"/>
            <w:szCs w:val="32"/>
            <w:u w:val="single"/>
            <w:shd w:val="clear" w:color="auto" w:fill="FFFFFF"/>
          </w:rPr>
          <w:t xml:space="preserve">Escape from the lab! 6 promising biotech </w:t>
        </w:r>
      </w:hyperlink>
      <w:hyperlink r:id="rId311" w:history="1">
        <w:r>
          <w:rPr>
            <w:rFonts w:ascii="Arial" w:eastAsia="Arial" w:hAnsi="Arial" w:cs="Arial"/>
            <w:b/>
            <w:bCs/>
            <w:i/>
            <w:color w:val="0077CC"/>
            <w:kern w:val="32"/>
            <w:sz w:val="28"/>
            <w:szCs w:val="32"/>
            <w:u w:val="single"/>
            <w:shd w:val="clear" w:color="auto" w:fill="FFFFFF"/>
          </w:rPr>
          <w:t>startup</w:t>
        </w:r>
      </w:hyperlink>
      <w:hyperlink r:id="rId312" w:history="1">
        <w:r>
          <w:rPr>
            <w:rFonts w:ascii="Arial" w:eastAsia="Arial" w:hAnsi="Arial" w:cs="Arial"/>
            <w:b/>
            <w:bCs/>
            <w:i/>
            <w:color w:val="0077CC"/>
            <w:kern w:val="32"/>
            <w:sz w:val="28"/>
            <w:szCs w:val="32"/>
            <w:u w:val="single"/>
            <w:shd w:val="clear" w:color="auto" w:fill="FFFFFF"/>
          </w:rPr>
          <w:t xml:space="preserve"> companies profiled at ASU symposium</w:t>
        </w:r>
      </w:hyperlink>
    </w:p>
    <w:p w14:paraId="40DA7CCC" w14:textId="77777777" w:rsidR="00054BF0" w:rsidRDefault="00000000">
      <w:pPr>
        <w:spacing w:before="120" w:line="260" w:lineRule="atLeast"/>
        <w:jc w:val="center"/>
      </w:pPr>
      <w:r>
        <w:rPr>
          <w:rFonts w:ascii="Arial" w:eastAsia="Arial" w:hAnsi="Arial" w:cs="Arial"/>
          <w:color w:val="000000"/>
          <w:sz w:val="20"/>
        </w:rPr>
        <w:t>US Official News</w:t>
      </w:r>
    </w:p>
    <w:p w14:paraId="18F265D2" w14:textId="77777777" w:rsidR="00054BF0" w:rsidRDefault="00000000">
      <w:pPr>
        <w:spacing w:before="120" w:line="260" w:lineRule="atLeast"/>
        <w:jc w:val="center"/>
      </w:pPr>
      <w:r>
        <w:rPr>
          <w:rFonts w:ascii="Arial" w:eastAsia="Arial" w:hAnsi="Arial" w:cs="Arial"/>
          <w:color w:val="000000"/>
          <w:sz w:val="20"/>
        </w:rPr>
        <w:t>October 4, 2018 Thursday</w:t>
      </w:r>
    </w:p>
    <w:p w14:paraId="2638D63F" w14:textId="77777777" w:rsidR="00054BF0" w:rsidRDefault="00054BF0">
      <w:pPr>
        <w:spacing w:line="240" w:lineRule="atLeast"/>
        <w:jc w:val="both"/>
      </w:pPr>
    </w:p>
    <w:p w14:paraId="6D800820" w14:textId="77777777" w:rsidR="00054BF0" w:rsidRDefault="00000000">
      <w:pPr>
        <w:spacing w:before="120" w:line="220" w:lineRule="atLeast"/>
      </w:pPr>
      <w:r>
        <w:br/>
      </w:r>
      <w:r>
        <w:rPr>
          <w:rFonts w:ascii="Arial" w:eastAsia="Arial" w:hAnsi="Arial" w:cs="Arial"/>
          <w:color w:val="000000"/>
          <w:sz w:val="16"/>
        </w:rPr>
        <w:t>Copyright 2018 Plus Media Solutions Private Limited All Rights Reserved</w:t>
      </w:r>
    </w:p>
    <w:p w14:paraId="63C49A46" w14:textId="77777777" w:rsidR="00054BF0" w:rsidRDefault="00000000">
      <w:pPr>
        <w:spacing w:before="120" w:line="220" w:lineRule="atLeast"/>
      </w:pPr>
      <w:r>
        <w:br/>
      </w:r>
      <w:r w:rsidR="00BE2275">
        <w:pict w14:anchorId="75221F5A">
          <v:shape id="_x0000_i1044" type="#_x0000_t75" style="width:135pt;height:46pt">
            <v:imagedata r:id="rId302" o:title=""/>
          </v:shape>
        </w:pict>
      </w:r>
    </w:p>
    <w:p w14:paraId="085F69F1"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2009 words</w:t>
      </w:r>
    </w:p>
    <w:p w14:paraId="4F6FF55A" w14:textId="77777777" w:rsidR="00054BF0" w:rsidRDefault="00000000">
      <w:pPr>
        <w:keepNext/>
        <w:spacing w:before="240" w:line="340" w:lineRule="atLeast"/>
      </w:pPr>
      <w:bookmarkStart w:id="25" w:name="Body_11"/>
      <w:bookmarkEnd w:id="25"/>
      <w:r>
        <w:rPr>
          <w:rFonts w:ascii="Arial" w:eastAsia="Arial" w:hAnsi="Arial" w:cs="Arial"/>
          <w:b/>
          <w:color w:val="000000"/>
          <w:sz w:val="28"/>
        </w:rPr>
        <w:t>Body</w:t>
      </w:r>
    </w:p>
    <w:p w14:paraId="15245D62" w14:textId="77777777" w:rsidR="00054BF0" w:rsidRDefault="00000000">
      <w:pPr>
        <w:spacing w:line="60" w:lineRule="exact"/>
      </w:pPr>
      <w:r>
        <w:pict w14:anchorId="3919C7C4">
          <v:line id="_x0000_s2093" style="position:absolute;z-index:251683840" from="0,2pt" to="512pt,2pt" strokecolor="#009ddb" strokeweight="2pt">
            <w10:wrap type="topAndBottom"/>
          </v:line>
        </w:pict>
      </w:r>
    </w:p>
    <w:p w14:paraId="2F1F2A5B" w14:textId="77777777" w:rsidR="00054BF0" w:rsidRDefault="00054BF0"/>
    <w:p w14:paraId="59A8AFE9" w14:textId="77777777" w:rsidR="00054BF0" w:rsidRDefault="00000000">
      <w:pPr>
        <w:spacing w:before="200" w:line="260" w:lineRule="atLeast"/>
        <w:jc w:val="both"/>
      </w:pPr>
      <w:r>
        <w:rPr>
          <w:rFonts w:ascii="Arial" w:eastAsia="Arial" w:hAnsi="Arial" w:cs="Arial"/>
          <w:color w:val="000000"/>
          <w:sz w:val="20"/>
        </w:rPr>
        <w:t xml:space="preserve">Arizona: Arizona State University has issued the following press release:  Arizona State University's many laboratories are seedbeds for an astonishing variety of new ideas. But the path from basic research to real-world applications can be complex, perilous and — sometimes — bewildering.  A recent all-day seminar hosted at the Biodesign Institute explored an array of promising research that has escaped the confines of the lab. New spinout companies, based on groundbreaking research, are bringing exciting innovations in the life sciences to market.  The gathering was organized by the ASU Biotechnology Advisory Board, a consortium consisting of national and international industry leaders in the biotech domain. </w:t>
      </w:r>
    </w:p>
    <w:p w14:paraId="37716918" w14:textId="77777777" w:rsidR="00054BF0" w:rsidRDefault="00000000">
      <w:pPr>
        <w:spacing w:before="240" w:line="260" w:lineRule="atLeast"/>
        <w:jc w:val="both"/>
      </w:pPr>
      <w:r>
        <w:rPr>
          <w:rFonts w:ascii="Arial" w:eastAsia="Arial" w:hAnsi="Arial" w:cs="Arial"/>
          <w:color w:val="000000"/>
          <w:sz w:val="20"/>
        </w:rPr>
        <w:t xml:space="preserve">The board’s role is to explore opportunities for students in the various biomedical fields as well as gauge the impact of biotech research across ASU. High risks and high rewards  The biotechnology sector is a high stakes world, in which billions of dollars can be made or lost overnight and the landscape is littered with the bones of failed biotech ventures. Company leaders must be nimble and ready to abandon strategies that don’t work while being ever mindful of the company’s vision, goals and overall approach.  The promise of stratospheric profits, coupled with dreams of making significant contributions to human health and societal betterment have driven a gold rush in biotechnology. Currently, the number of biotech IPOs is exploding and the winners have been among the best-performing in the market. So much for the good news: The fact is, the rate of </w:t>
      </w:r>
      <w:r>
        <w:rPr>
          <w:rFonts w:ascii="Arial" w:eastAsia="Arial" w:hAnsi="Arial" w:cs="Arial"/>
          <w:b/>
          <w:i/>
          <w:color w:val="000000"/>
          <w:sz w:val="20"/>
          <w:u w:val="single"/>
        </w:rPr>
        <w:t>failure</w:t>
      </w:r>
      <w:r>
        <w:rPr>
          <w:rFonts w:ascii="Arial" w:eastAsia="Arial" w:hAnsi="Arial" w:cs="Arial"/>
          <w:color w:val="000000"/>
          <w:sz w:val="20"/>
        </w:rPr>
        <w:t xml:space="preserve"> of tech </w:t>
      </w:r>
      <w:r>
        <w:rPr>
          <w:rFonts w:ascii="Arial" w:eastAsia="Arial" w:hAnsi="Arial" w:cs="Arial"/>
          <w:b/>
          <w:i/>
          <w:color w:val="000000"/>
          <w:sz w:val="20"/>
          <w:u w:val="single"/>
        </w:rPr>
        <w:t>startups</w:t>
      </w:r>
      <w:r>
        <w:rPr>
          <w:rFonts w:ascii="Arial" w:eastAsia="Arial" w:hAnsi="Arial" w:cs="Arial"/>
          <w:color w:val="000000"/>
          <w:sz w:val="20"/>
        </w:rPr>
        <w:t xml:space="preserve"> in general is around 75 percent according to Fast Company Magazine, and biotech </w:t>
      </w:r>
      <w:r>
        <w:rPr>
          <w:rFonts w:ascii="Arial" w:eastAsia="Arial" w:hAnsi="Arial" w:cs="Arial"/>
          <w:b/>
          <w:i/>
          <w:color w:val="000000"/>
          <w:sz w:val="20"/>
          <w:u w:val="single"/>
        </w:rPr>
        <w:t>startups</w:t>
      </w:r>
      <w:r>
        <w:rPr>
          <w:rFonts w:ascii="Arial" w:eastAsia="Arial" w:hAnsi="Arial" w:cs="Arial"/>
          <w:color w:val="000000"/>
          <w:sz w:val="20"/>
        </w:rPr>
        <w:t xml:space="preserve"> face many challenges unique to the industry.  Today, potential investors are often wary after some biotech companies received extravagant valuations only to come crashing down. While a few flame out in spectacular public manner — Theranos perhaps representing the most extreme and unsettling case — most die quieter deaths as a result of insufficient funding, errors in management or poor navigation of the enormous practical hurdles involved.  Products and innovations that may carry lethal risks must undergo extravagant vetting relative to most other products entering the marketplace, creating a landscape of exceptional complexity and risk for biotech companies. Team members savvy in the byzantine world of regulatory law are often required assets for successful teams.  In the biotech universe, timing is everything. Decisions that can make or break </w:t>
      </w:r>
      <w:r>
        <w:rPr>
          <w:rFonts w:ascii="Arial" w:eastAsia="Arial" w:hAnsi="Arial" w:cs="Arial"/>
          <w:b/>
          <w:i/>
          <w:color w:val="000000"/>
          <w:sz w:val="20"/>
          <w:u w:val="single"/>
        </w:rPr>
        <w:t>startups</w:t>
      </w:r>
      <w:r>
        <w:rPr>
          <w:rFonts w:ascii="Arial" w:eastAsia="Arial" w:hAnsi="Arial" w:cs="Arial"/>
          <w:color w:val="000000"/>
          <w:sz w:val="20"/>
        </w:rPr>
        <w:t xml:space="preserve"> include when to interest larger biotech or pharma conglomerates in licensing some of your technology or buying your company outright. An unusual blend of optimism, aggressive perseverance and practicality are among the essential ingredients. When is it appropriate to </w:t>
      </w:r>
      <w:r>
        <w:rPr>
          <w:rFonts w:ascii="Arial" w:eastAsia="Arial" w:hAnsi="Arial" w:cs="Arial"/>
          <w:color w:val="000000"/>
          <w:sz w:val="20"/>
        </w:rPr>
        <w:lastRenderedPageBreak/>
        <w:t xml:space="preserve">tackle roadblocks and when should companies cut their losses for a promising idea that faces too many setbacks? Success requires a perfect storm of pathbreaking science, societal need, strong leadership in a variety of areas and adequacy of funding.  On the other hand, the best ideas hold the potential to radically transform human health and improve the quality of life for millions of people around the world. Taking research to the market  The seminar kicked off with a discussion moderated by Professor Bert Jacobs, director of the School of Life Sciences, titled "Targeting Educational Goals to Fit Industry." Next, Professor Neal Woodbury, director of the School of Molecular Sciences, moderated a discussion on bioindustry challenges and academia’s response.  Seed funding for new </w:t>
      </w:r>
      <w:r>
        <w:rPr>
          <w:rFonts w:ascii="Arial" w:eastAsia="Arial" w:hAnsi="Arial" w:cs="Arial"/>
          <w:b/>
          <w:i/>
          <w:color w:val="000000"/>
          <w:sz w:val="20"/>
          <w:u w:val="single"/>
        </w:rPr>
        <w:t>startups</w:t>
      </w:r>
      <w:r>
        <w:rPr>
          <w:rFonts w:ascii="Arial" w:eastAsia="Arial" w:hAnsi="Arial" w:cs="Arial"/>
          <w:color w:val="000000"/>
          <w:sz w:val="20"/>
        </w:rPr>
        <w:t xml:space="preserve"> and the ins and outs of venture capital investment were explored. One challenge common to most biotech </w:t>
      </w:r>
      <w:r>
        <w:rPr>
          <w:rFonts w:ascii="Arial" w:eastAsia="Arial" w:hAnsi="Arial" w:cs="Arial"/>
          <w:b/>
          <w:i/>
          <w:color w:val="000000"/>
          <w:sz w:val="20"/>
          <w:u w:val="single"/>
        </w:rPr>
        <w:t>startups</w:t>
      </w:r>
      <w:r>
        <w:rPr>
          <w:rFonts w:ascii="Arial" w:eastAsia="Arial" w:hAnsi="Arial" w:cs="Arial"/>
          <w:color w:val="000000"/>
          <w:sz w:val="20"/>
        </w:rPr>
        <w:t xml:space="preserve"> is presentation: how to package and offer </w:t>
      </w:r>
      <w:r>
        <w:rPr>
          <w:rFonts w:ascii="Arial" w:eastAsia="Arial" w:hAnsi="Arial" w:cs="Arial"/>
          <w:b/>
          <w:i/>
          <w:color w:val="000000"/>
          <w:sz w:val="20"/>
          <w:u w:val="single"/>
        </w:rPr>
        <w:t>up</w:t>
      </w:r>
      <w:r>
        <w:rPr>
          <w:rFonts w:ascii="Arial" w:eastAsia="Arial" w:hAnsi="Arial" w:cs="Arial"/>
          <w:color w:val="000000"/>
          <w:sz w:val="20"/>
        </w:rPr>
        <w:t xml:space="preserve"> enough of the salient science to entice potential investors without overwhelming them with minutiae. Protection of sensitive intellectual property, especially for companies seeking to break into the vast markets in China, can also be a critical consideration.  The afternoon session featured rapid-fire descriptions of six new biotech </w:t>
      </w:r>
      <w:r>
        <w:rPr>
          <w:rFonts w:ascii="Arial" w:eastAsia="Arial" w:hAnsi="Arial" w:cs="Arial"/>
          <w:b/>
          <w:i/>
          <w:color w:val="000000"/>
          <w:sz w:val="20"/>
          <w:u w:val="single"/>
        </w:rPr>
        <w:t>startups</w:t>
      </w:r>
      <w:r>
        <w:rPr>
          <w:rFonts w:ascii="Arial" w:eastAsia="Arial" w:hAnsi="Arial" w:cs="Arial"/>
          <w:color w:val="000000"/>
          <w:sz w:val="20"/>
        </w:rPr>
        <w:t xml:space="preserve">, as members of the local business community peppered the presenters with questions and suggestions for furthering the success of these ventures:  NanoPin  NanoPin is a company founded in 2017 by Tony Hu, a researcher in the Biodesign Virginia G. Piper Center for Personalized Diagnostics. Their proprietary technology, described by NanoPin CEO Thomas Tombler, uses a nanoparticle-based platform, coupled with high-throughput mass spectroscopy to detect and quantitate disease biomarkers in patient blood samples. Specifically, Nanopin addresses the urgent need for more accurate, cost-effective diagnostic tools for tuberculosis, a deadly disease estimated to affect some 10 million people worldwide and cause 1.7 million annual deaths.  TB can be difficult to diagnose using conventional methods, particularly in children and “paucibacillary” cases in which the abundance of mycobacterium — causative agent of the disease — is very low. Speed is also a critical component. The current gold standard diagnostic can take six to eight weeks to yield a final result, as opposed to NanoPin’s rapid diagnostic. The versatile platform holds the promise for rapid diagnosis of a range of diseases. NanoPin recently received $2 million in seed funding to develop this diagnostic and monitoring platform for tuberculosis management.  Calviri  Improved cancer treatment and prevention are the focus of Stephen Albert Johnston’s </w:t>
      </w:r>
      <w:r>
        <w:rPr>
          <w:rFonts w:ascii="Arial" w:eastAsia="Arial" w:hAnsi="Arial" w:cs="Arial"/>
          <w:b/>
          <w:i/>
          <w:color w:val="000000"/>
          <w:sz w:val="20"/>
          <w:u w:val="single"/>
        </w:rPr>
        <w:t>startup</w:t>
      </w:r>
      <w:r>
        <w:rPr>
          <w:rFonts w:ascii="Arial" w:eastAsia="Arial" w:hAnsi="Arial" w:cs="Arial"/>
          <w:color w:val="000000"/>
          <w:sz w:val="20"/>
        </w:rPr>
        <w:t xml:space="preserve"> company Calviri. Johnston is the director for the Center for Innovations in Medicine and a professor in the School of Life Sciences. The company presentation, delivered by Douglas Thamm, director of clinical programs, described the use of peptide array technology to screen for cancer.  Existing methods for analyzing tumor diversity in sequence data can take months. Further, the radical heterogeneity of many mutations found in cancerous tumors require time-consuming and exorbitant personalized therapies or vaccine designs. Calviri’s technology focuses on net-antigens, mutations that may be common to a broader range of cancer cases than the so-called neo-antigens that have been studied by the cancer community. By contrast, net-antigens are reduced through transcription and RNA splicing, producing highly immunogenic errors. Use of such net-antigens could enable faster, simpler, and less expensive methods for the production of personal cancer vaccines and perhaps one day, even a generally used cancer vaccine. ASU was awarded $6.4M multiyear grant from the Open Philanthropy Project to test preventive cancer vaccine for dogs.  OncoMyx Therapeutics  Grant McFadden, director of the Biodesign Center for Immunotherapy, Vaccines and Virotherapy, presented details of his company OncoMyx Therapeutics. The spinout has leveraged McFadden’s research in virology to develop technologies targeting hematologic and solid tumors with a unique oncolytic virus called myxoma (MYXV) and a novel patented systemic delivery approach.  Myxoma is a standout in the viral world, a pathogen found exclusively in rabbits, where its presence is rapidly lethal. The company, however, is interested in another property of myxoma: its effectiveness as an oncolytic or anticancer agent in humans.  Myxoma, a member of the pox virus family, is highly immunostimulatory, and is nonpathogenic in any organism outside of rabbits. The virus has a unique ability to be carried systemically by human leukocytes where it can then infect tumor cells. OncoMyx will spearhead the next-stage development plans of oncolytic myxoma virus to seek FDA approval and conduct the first human clinical trials, using their patented systemic delivery approach. The company will capitalize on McFadden’s two decades of research into the potential of oncolytic viruses. Professor McFadden sequenced the myxoma virus genome in 1999 and since then has produced dozens of genetically engineered constructs, demonstrating its ability as an oncolytic agent across many tumors in preclinical cell and animal models.  FlexBioTech, Inc  FlexBioTech, Inc is another cancer-focused biotech </w:t>
      </w:r>
      <w:r>
        <w:rPr>
          <w:rFonts w:ascii="Arial" w:eastAsia="Arial" w:hAnsi="Arial" w:cs="Arial"/>
          <w:b/>
          <w:i/>
          <w:color w:val="000000"/>
          <w:sz w:val="20"/>
          <w:u w:val="single"/>
        </w:rPr>
        <w:t>startup</w:t>
      </w:r>
      <w:r>
        <w:rPr>
          <w:rFonts w:ascii="Arial" w:eastAsia="Arial" w:hAnsi="Arial" w:cs="Arial"/>
          <w:color w:val="000000"/>
          <w:sz w:val="20"/>
        </w:rPr>
        <w:t xml:space="preserve"> co-founded by CEO and  physician scientist Karen Anderson, a researcher in the Biodesign Virginia G. Piper Center for Personalized Diagnostics. In addition to her role as a translational cancer researcher at Biodesign, Anderson holds a joint appointment as a breast cancer medical oncologist at Mayo Clinic Arizona and professor in the School of Life Sciences, focused on tumor immunology, vaccine development and biomarker development. She has developed clinical immune biomarkers for clinical use (Videssa Breast, Provista </w:t>
      </w:r>
      <w:r>
        <w:rPr>
          <w:rFonts w:ascii="Arial" w:eastAsia="Arial" w:hAnsi="Arial" w:cs="Arial"/>
          <w:color w:val="000000"/>
          <w:sz w:val="20"/>
        </w:rPr>
        <w:lastRenderedPageBreak/>
        <w:t xml:space="preserve">Diagnostics) and in clinical trials (HPV biomarkers, used in the HOUSTON trial at MD Anderson Cancer Center), and point of care diagnostics (in development for cervical cancer detection in India).  FlexBioTech focuses on point-of-care biomarker detection. The technology permits rapid, low-cost home biomarker detection on a mobile platform that transmits results to hospitals and physicians.  Gemneo Bioscience  Joseph Blattman is an immunologist who studies how the immune system responds to vaccination and viral infection.  He is a researcher in the Biodesign Center for Immunotherapy, Vaccines and Virotherapy. Blattman’s company, Gemneo Bioscience, is the 100th spinout company formed at ASU.  Gemneo’s mission is to provide physicians with more optimal cancer treatments and groundbreaking immunotherapies to help improve cancer outcomes. The company is developing innovative molecular-based single-cell genomics technology that does not require cell sorting, which will greatly accelerate the speed and decrease the costs of analyzing the genomic heterogeneity of cancer and immune tissues, microbiomes, and beyond. Gemneo’s mission is to rapidly put their technology in the hands of academic and pharma industry researchers, to advance the frontiers of precision medicine, reduce costs and improve patient outcomes. The research on DNA origami nanoprobes for single-cell multi-gene analysis and single-cell analysis of tumor heterogeneity was funded by NIH grants and is an excellent example of federally-funded research leading to advances in science and medicine. Gemneo’s platform technology can be used to profile cancer genomics and identify rare cells that influence disease progression that current technologies are not able to detect.  Attometrics  The burgeoning field of aging research has given rise to Wayne Frasch’s </w:t>
      </w:r>
      <w:r>
        <w:rPr>
          <w:rFonts w:ascii="Arial" w:eastAsia="Arial" w:hAnsi="Arial" w:cs="Arial"/>
          <w:b/>
          <w:i/>
          <w:color w:val="000000"/>
          <w:sz w:val="20"/>
          <w:u w:val="single"/>
        </w:rPr>
        <w:t>startup</w:t>
      </w:r>
      <w:r>
        <w:rPr>
          <w:rFonts w:ascii="Arial" w:eastAsia="Arial" w:hAnsi="Arial" w:cs="Arial"/>
          <w:color w:val="000000"/>
          <w:sz w:val="20"/>
        </w:rPr>
        <w:t xml:space="preserve"> biotech company, Attometrics, which has developed technologies for evaluating telomere length. Telomeres — structures adorning the ends of chromosomes, have been implicated in not only the aging process but as signposts of disease. Certain cancer cells, for example, display unusually long telomeres believed to be linked with these cells’ status as immortal entities engaged in unchecked replication, the hallmark of cancer. Telomeres, therefore, may provide an intriguing and powerful new means of cancer diagnosis.  Attometrics technology can quickly and accurately compute the length of telomeres at the ends of human chromosomes. Due to the strong correlation between telomere length and many age-related diseases and cancers, there has been an urgent need to develop a reproducible telomere length assay. Frasch, a researcher at the School of Life Sciences, is a pioneer in single-molecule nanotechnology, using this knowledge to create molecular motor-powered nanodevices that serve as a platform technology capable of quickly detecting target biomarkers for disease that are present in extremely low amounts.     All of the participants received lively feedback from business experts during seminar discussions, helping to bring their visions to life and improve the chances for company success in a demanding but uniquely rewarding business landscape.   In case of any query regarding this article or other content needs please contact: </w:t>
      </w:r>
      <w:hyperlink r:id="rId313" w:history="1">
        <w:r>
          <w:rPr>
            <w:rFonts w:ascii="Arial" w:eastAsia="Arial" w:hAnsi="Arial" w:cs="Arial"/>
            <w:i/>
            <w:color w:val="0077CC"/>
            <w:sz w:val="20"/>
            <w:u w:val="single"/>
            <w:shd w:val="clear" w:color="auto" w:fill="FFFFFF"/>
          </w:rPr>
          <w:t>editorial@plusmediasolutions.com</w:t>
        </w:r>
      </w:hyperlink>
      <w:r>
        <w:rPr>
          <w:rFonts w:ascii="Arial" w:eastAsia="Arial" w:hAnsi="Arial" w:cs="Arial"/>
          <w:color w:val="000000"/>
          <w:sz w:val="20"/>
        </w:rPr>
        <w:t xml:space="preserve">  </w:t>
      </w:r>
    </w:p>
    <w:p w14:paraId="14D98355"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5, 2018</w:t>
      </w:r>
    </w:p>
    <w:p w14:paraId="778FFD89" w14:textId="77777777" w:rsidR="00054BF0" w:rsidRDefault="00054BF0"/>
    <w:p w14:paraId="69FE70AB" w14:textId="77777777" w:rsidR="00054BF0" w:rsidRDefault="00000000">
      <w:pPr>
        <w:ind w:left="200"/>
        <w:sectPr w:rsidR="00054BF0">
          <w:type w:val="continuous"/>
          <w:pgSz w:w="12240" w:h="15840"/>
          <w:pgMar w:top="840" w:right="1000" w:bottom="840" w:left="1000" w:header="400" w:footer="400" w:gutter="0"/>
          <w:cols w:space="720"/>
        </w:sectPr>
      </w:pPr>
      <w:r>
        <w:br/>
      </w:r>
      <w:r>
        <w:pict w14:anchorId="2D117EA6">
          <v:line id="_x0000_s2094" style="position:absolute;left:0;text-align:left;z-index:251684864;mso-position-horizontal-relative:text;mso-position-vertical-relative:text" from="0,10pt" to="512pt,10pt" strokeweight="1pt"/>
        </w:pict>
      </w:r>
      <w:r>
        <w:rPr>
          <w:rFonts w:ascii="Arial" w:eastAsia="Arial" w:hAnsi="Arial" w:cs="Arial"/>
          <w:b/>
          <w:color w:val="767676"/>
          <w:sz w:val="16"/>
        </w:rPr>
        <w:t>End of Document</w:t>
      </w:r>
    </w:p>
    <w:p w14:paraId="613552B8" w14:textId="77777777" w:rsidR="00054BF0" w:rsidRDefault="00054BF0">
      <w:pPr>
        <w:sectPr w:rsidR="00054BF0">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gutter="0"/>
          <w:cols w:space="720"/>
          <w:titlePg/>
        </w:sectPr>
      </w:pPr>
    </w:p>
    <w:p w14:paraId="55B34DAF" w14:textId="77777777" w:rsidR="00054BF0" w:rsidRDefault="00054BF0">
      <w:bookmarkStart w:id="26" w:name="Bookmark_14"/>
      <w:bookmarkEnd w:id="26"/>
    </w:p>
    <w:p w14:paraId="5AB8218B" w14:textId="77777777" w:rsidR="00054BF0" w:rsidRDefault="00BE2275">
      <w:r>
        <w:pict w14:anchorId="133474FC">
          <v:shape id="_x0000_i1045" type="#_x0000_t75" alt="LexisNexis®" style="width:148pt;height:30pt">
            <v:imagedata r:id="rId6" o:title=""/>
          </v:shape>
        </w:pict>
      </w:r>
      <w:r w:rsidR="00A540D1">
        <w:cr/>
      </w:r>
    </w:p>
    <w:p w14:paraId="64EBABB5" w14:textId="77777777" w:rsidR="00054BF0" w:rsidRDefault="00000000">
      <w:pPr>
        <w:spacing w:before="240" w:after="200" w:line="340" w:lineRule="atLeast"/>
        <w:jc w:val="center"/>
        <w:outlineLvl w:val="0"/>
        <w:rPr>
          <w:rFonts w:ascii="Arial" w:hAnsi="Arial" w:cs="Arial"/>
          <w:b/>
          <w:bCs/>
          <w:kern w:val="32"/>
          <w:sz w:val="32"/>
          <w:szCs w:val="32"/>
        </w:rPr>
      </w:pPr>
      <w:hyperlink r:id="rId320" w:history="1">
        <w:r>
          <w:rPr>
            <w:rFonts w:ascii="Arial" w:eastAsia="Arial" w:hAnsi="Arial" w:cs="Arial"/>
            <w:b/>
            <w:bCs/>
            <w:i/>
            <w:color w:val="0077CC"/>
            <w:kern w:val="32"/>
            <w:sz w:val="28"/>
            <w:szCs w:val="32"/>
            <w:u w:val="single"/>
            <w:shd w:val="clear" w:color="auto" w:fill="FFFFFF"/>
          </w:rPr>
          <w:t>Startups</w:t>
        </w:r>
      </w:hyperlink>
      <w:hyperlink r:id="rId321" w:history="1">
        <w:r>
          <w:rPr>
            <w:rFonts w:ascii="Arial" w:eastAsia="Arial" w:hAnsi="Arial" w:cs="Arial"/>
            <w:b/>
            <w:bCs/>
            <w:i/>
            <w:color w:val="0077CC"/>
            <w:kern w:val="32"/>
            <w:sz w:val="28"/>
            <w:szCs w:val="32"/>
            <w:u w:val="single"/>
            <w:shd w:val="clear" w:color="auto" w:fill="FFFFFF"/>
          </w:rPr>
          <w:t xml:space="preserve"> give you opportunities that can be turned into gold, says Airbnb country manager</w:t>
        </w:r>
      </w:hyperlink>
    </w:p>
    <w:p w14:paraId="40273345" w14:textId="77777777" w:rsidR="00054BF0" w:rsidRDefault="00000000">
      <w:pPr>
        <w:spacing w:before="120" w:line="260" w:lineRule="atLeast"/>
        <w:jc w:val="center"/>
      </w:pPr>
      <w:r>
        <w:rPr>
          <w:rFonts w:ascii="Arial" w:eastAsia="Arial" w:hAnsi="Arial" w:cs="Arial"/>
          <w:color w:val="000000"/>
          <w:sz w:val="20"/>
        </w:rPr>
        <w:t>The Times of India (TOI)</w:t>
      </w:r>
    </w:p>
    <w:p w14:paraId="3AE6A2DA" w14:textId="77777777" w:rsidR="00054BF0" w:rsidRDefault="00000000">
      <w:pPr>
        <w:spacing w:before="120" w:line="260" w:lineRule="atLeast"/>
        <w:jc w:val="center"/>
      </w:pPr>
      <w:r>
        <w:rPr>
          <w:rFonts w:ascii="Arial" w:eastAsia="Arial" w:hAnsi="Arial" w:cs="Arial"/>
          <w:color w:val="000000"/>
          <w:sz w:val="20"/>
        </w:rPr>
        <w:t>September 15, 2018 Saturday</w:t>
      </w:r>
    </w:p>
    <w:p w14:paraId="3D02554B" w14:textId="77777777" w:rsidR="00054BF0" w:rsidRDefault="00054BF0">
      <w:pPr>
        <w:spacing w:line="240" w:lineRule="atLeast"/>
        <w:jc w:val="both"/>
      </w:pPr>
    </w:p>
    <w:p w14:paraId="1D8EFEC2" w14:textId="77777777" w:rsidR="00054BF0" w:rsidRDefault="00000000">
      <w:pPr>
        <w:spacing w:before="120" w:line="220" w:lineRule="atLeast"/>
      </w:pPr>
      <w:r>
        <w:br/>
      </w:r>
      <w:r>
        <w:rPr>
          <w:rFonts w:ascii="Arial" w:eastAsia="Arial" w:hAnsi="Arial" w:cs="Arial"/>
          <w:color w:val="000000"/>
          <w:sz w:val="16"/>
        </w:rPr>
        <w:t>Copyright 2018 Bennett Coleman &amp; Co. Ltd. All Rights Reserved</w:t>
      </w:r>
    </w:p>
    <w:p w14:paraId="11D00A28"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GURGAON</w:t>
      </w:r>
    </w:p>
    <w:p w14:paraId="7522646A"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43732613" w14:textId="77777777" w:rsidR="00054BF0" w:rsidRDefault="00000000">
      <w:pPr>
        <w:keepNext/>
        <w:spacing w:before="240" w:line="340" w:lineRule="atLeast"/>
      </w:pPr>
      <w:bookmarkStart w:id="27" w:name="Body_12"/>
      <w:bookmarkEnd w:id="27"/>
      <w:r>
        <w:rPr>
          <w:rFonts w:ascii="Arial" w:eastAsia="Arial" w:hAnsi="Arial" w:cs="Arial"/>
          <w:b/>
          <w:color w:val="000000"/>
          <w:sz w:val="28"/>
        </w:rPr>
        <w:t>Body</w:t>
      </w:r>
    </w:p>
    <w:p w14:paraId="33889293" w14:textId="77777777" w:rsidR="00054BF0" w:rsidRDefault="00000000">
      <w:pPr>
        <w:spacing w:line="60" w:lineRule="exact"/>
      </w:pPr>
      <w:r>
        <w:pict w14:anchorId="5E789062">
          <v:line id="_x0000_s2096" style="position:absolute;z-index:251685888" from="0,2pt" to="512pt,2pt" strokecolor="#009ddb" strokeweight="2pt">
            <w10:wrap type="topAndBottom"/>
          </v:line>
        </w:pict>
      </w:r>
    </w:p>
    <w:p w14:paraId="196BEBEB" w14:textId="77777777" w:rsidR="00054BF0" w:rsidRDefault="00054BF0"/>
    <w:p w14:paraId="5C465A08" w14:textId="77777777" w:rsidR="00054BF0" w:rsidRDefault="00000000">
      <w:pPr>
        <w:spacing w:before="200" w:line="260" w:lineRule="atLeast"/>
        <w:jc w:val="both"/>
      </w:pPr>
      <w:r>
        <w:rPr>
          <w:rFonts w:ascii="Arial" w:eastAsia="Arial" w:hAnsi="Arial" w:cs="Arial"/>
          <w:color w:val="000000"/>
          <w:sz w:val="20"/>
        </w:rPr>
        <w:t xml:space="preserve">Airbnb country manager Amanpreet Bajaj realised early on the potential of the Internet to build communities. Bajaj worked for American Express and Ernst &amp; Young before developing his first </w:t>
      </w:r>
      <w:r>
        <w:rPr>
          <w:rFonts w:ascii="Arial" w:eastAsia="Arial" w:hAnsi="Arial" w:cs="Arial"/>
          <w:b/>
          <w:i/>
          <w:color w:val="000000"/>
          <w:sz w:val="20"/>
          <w:u w:val="single"/>
        </w:rPr>
        <w:t>startup</w:t>
      </w:r>
      <w:r>
        <w:rPr>
          <w:rFonts w:ascii="Arial" w:eastAsia="Arial" w:hAnsi="Arial" w:cs="Arial"/>
          <w:color w:val="000000"/>
          <w:sz w:val="20"/>
        </w:rPr>
        <w:t xml:space="preserve">, Letsbuy.com, in 2009. It transformed people's shopping habits. "We were the first players to venture into e-commerce in India," he told TOI. </w:t>
      </w:r>
    </w:p>
    <w:p w14:paraId="11F8BF93" w14:textId="77777777" w:rsidR="00054BF0" w:rsidRDefault="00000000">
      <w:pPr>
        <w:spacing w:before="200" w:line="260" w:lineRule="atLeast"/>
        <w:jc w:val="both"/>
      </w:pPr>
      <w:r>
        <w:rPr>
          <w:rFonts w:ascii="Arial" w:eastAsia="Arial" w:hAnsi="Arial" w:cs="Arial"/>
          <w:color w:val="000000"/>
          <w:sz w:val="20"/>
        </w:rPr>
        <w:t xml:space="preserve">"Flipkart that time was selling books, we sold electronics." You co-founded Yankee Delhi in 2000 while still in college -how did that idea originate, and what did it teach you? My first stint as an entrepreneur was back in Delhi University while doing my Bachelors in IT. This was a time when the Internet was still young. A group of friends wanted to check out events happening in the city. (But) there was no central depository, no forum (or) place to discuss your views as a community. So we decided to create a youth portal. The name 'Yankee' sounds hilarious but it was actually chosen by the audience via an online poll. It was certainly a great opportunity to mingle with the youth and dabble in city-specific issues.What it taught me was the attitude to create things from scratch. It gave me the confidence that if you have an idea, you can always build things </w:t>
      </w:r>
      <w:r>
        <w:rPr>
          <w:rFonts w:ascii="Arial" w:eastAsia="Arial" w:hAnsi="Arial" w:cs="Arial"/>
          <w:b/>
          <w:i/>
          <w:color w:val="000000"/>
          <w:sz w:val="20"/>
          <w:u w:val="single"/>
        </w:rPr>
        <w:t>up</w:t>
      </w:r>
      <w:r>
        <w:rPr>
          <w:rFonts w:ascii="Arial" w:eastAsia="Arial" w:hAnsi="Arial" w:cs="Arial"/>
          <w:color w:val="000000"/>
          <w:sz w:val="20"/>
        </w:rPr>
        <w:t xml:space="preserve"> - all of that has come true with Airbnb. Yankee Delhi ran for a couple of years, but after graduation all friends left for other places and careers. That stint shaped my career - it was a great experience. What have you learnt from your </w:t>
      </w:r>
      <w:r>
        <w:rPr>
          <w:rFonts w:ascii="Arial" w:eastAsia="Arial" w:hAnsi="Arial" w:cs="Arial"/>
          <w:b/>
          <w:i/>
          <w:color w:val="000000"/>
          <w:sz w:val="20"/>
          <w:u w:val="single"/>
        </w:rPr>
        <w:t>failures</w:t>
      </w:r>
      <w:r>
        <w:rPr>
          <w:rFonts w:ascii="Arial" w:eastAsia="Arial" w:hAnsi="Arial" w:cs="Arial"/>
          <w:color w:val="000000"/>
          <w:sz w:val="20"/>
        </w:rPr>
        <w:t xml:space="preserve">?As with every </w:t>
      </w:r>
      <w:r>
        <w:rPr>
          <w:rFonts w:ascii="Arial" w:eastAsia="Arial" w:hAnsi="Arial" w:cs="Arial"/>
          <w:b/>
          <w:i/>
          <w:color w:val="000000"/>
          <w:sz w:val="20"/>
          <w:u w:val="single"/>
        </w:rPr>
        <w:t>startup</w:t>
      </w:r>
      <w:r>
        <w:rPr>
          <w:rFonts w:ascii="Arial" w:eastAsia="Arial" w:hAnsi="Arial" w:cs="Arial"/>
          <w:color w:val="000000"/>
          <w:sz w:val="20"/>
        </w:rPr>
        <w:t xml:space="preserve">, there are good days and bad days. Ask any </w:t>
      </w:r>
      <w:r>
        <w:rPr>
          <w:rFonts w:ascii="Arial" w:eastAsia="Arial" w:hAnsi="Arial" w:cs="Arial"/>
          <w:b/>
          <w:i/>
          <w:color w:val="000000"/>
          <w:sz w:val="20"/>
          <w:u w:val="single"/>
        </w:rPr>
        <w:t>startup</w:t>
      </w:r>
      <w:r>
        <w:rPr>
          <w:rFonts w:ascii="Arial" w:eastAsia="Arial" w:hAnsi="Arial" w:cs="Arial"/>
          <w:color w:val="000000"/>
          <w:sz w:val="20"/>
        </w:rPr>
        <w:t xml:space="preserve"> founder - how do they solve a new problem every day? But more than challenges, </w:t>
      </w:r>
      <w:r>
        <w:rPr>
          <w:rFonts w:ascii="Arial" w:eastAsia="Arial" w:hAnsi="Arial" w:cs="Arial"/>
          <w:b/>
          <w:i/>
          <w:color w:val="000000"/>
          <w:sz w:val="20"/>
          <w:u w:val="single"/>
        </w:rPr>
        <w:t>startups</w:t>
      </w:r>
      <w:r>
        <w:rPr>
          <w:rFonts w:ascii="Arial" w:eastAsia="Arial" w:hAnsi="Arial" w:cs="Arial"/>
          <w:color w:val="000000"/>
          <w:sz w:val="20"/>
        </w:rPr>
        <w:t xml:space="preserve"> give you opportunities to be turned into gold. Letsbuy.com was the fundamental phase of my career, a rollercoaster ride. But growing any sort of enterprise teaches you resilience, and the ability to adapt. When you create an enterprise you are not only responsible for your actions but (also) how they will impact your employees - when I meet my ex-employees, who are now VPs and CFOs at big firms, they thank me for teaching them the intricacies of the trade.How does Airbnb compete with, say, OYO Rooms and Zostel?Millennials want to travel more, so there is no competition with OYO and the likes. I believe we can all co-exist under the hospitality umbrella. Hospitality in India is a vast market, (and) with more choices, there is an appetite for more services - so, we strive to provide more personalised and local experiences. You have always, in your interviews, spoken about your mentor Brian Chesky. Which lessons of his have you taken on board? Brian co-founded Airbnb in an apartment in San Francisco. He is a great example of a leader who kept the community's interests at heart, and empowered it economically. He is a leader with compassion, who cares about his staff, stakeholders and the community. In a nutshell, he has impacted many lives and there is a lot to learn from him. For Reprint Rights: timescontent.com</w:t>
      </w:r>
    </w:p>
    <w:p w14:paraId="0EDA15A4"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14, 2018</w:t>
      </w:r>
    </w:p>
    <w:p w14:paraId="5F7CE0A2" w14:textId="77777777" w:rsidR="00054BF0" w:rsidRDefault="00054BF0"/>
    <w:p w14:paraId="54C29F8F" w14:textId="77777777" w:rsidR="00054BF0" w:rsidRDefault="00000000">
      <w:pPr>
        <w:ind w:left="200"/>
        <w:sectPr w:rsidR="00054BF0">
          <w:type w:val="continuous"/>
          <w:pgSz w:w="12240" w:h="15840"/>
          <w:pgMar w:top="840" w:right="1000" w:bottom="840" w:left="1000" w:header="400" w:footer="400" w:gutter="0"/>
          <w:cols w:space="720"/>
        </w:sectPr>
      </w:pPr>
      <w:r>
        <w:br/>
      </w:r>
      <w:r>
        <w:pict w14:anchorId="5247D937">
          <v:line id="_x0000_s2097" style="position:absolute;left:0;text-align:left;z-index:251686912;mso-position-horizontal-relative:text;mso-position-vertical-relative:text" from="0,10pt" to="512pt,10pt" strokeweight="1pt"/>
        </w:pict>
      </w:r>
      <w:r>
        <w:rPr>
          <w:rFonts w:ascii="Arial" w:eastAsia="Arial" w:hAnsi="Arial" w:cs="Arial"/>
          <w:b/>
          <w:color w:val="767676"/>
          <w:sz w:val="16"/>
        </w:rPr>
        <w:t>End of Document</w:t>
      </w:r>
    </w:p>
    <w:p w14:paraId="497022B1" w14:textId="77777777" w:rsidR="00054BF0" w:rsidRDefault="00054BF0">
      <w:pPr>
        <w:sectPr w:rsidR="00054BF0">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gutter="0"/>
          <w:cols w:space="720"/>
          <w:titlePg/>
        </w:sectPr>
      </w:pPr>
    </w:p>
    <w:p w14:paraId="6DEFAFCC" w14:textId="77777777" w:rsidR="00054BF0" w:rsidRDefault="00054BF0">
      <w:bookmarkStart w:id="28" w:name="Bookmark_15"/>
      <w:bookmarkEnd w:id="28"/>
    </w:p>
    <w:p w14:paraId="1F381A99" w14:textId="77777777" w:rsidR="00054BF0" w:rsidRDefault="00BE2275">
      <w:r>
        <w:pict w14:anchorId="2964F61D">
          <v:shape id="_x0000_i1046" type="#_x0000_t75" alt="LexisNexis®" style="width:148pt;height:30pt">
            <v:imagedata r:id="rId6" o:title=""/>
          </v:shape>
        </w:pict>
      </w:r>
      <w:r w:rsidR="00A540D1">
        <w:cr/>
      </w:r>
    </w:p>
    <w:p w14:paraId="4661323A" w14:textId="77777777" w:rsidR="00054BF0" w:rsidRDefault="00000000">
      <w:pPr>
        <w:spacing w:before="240" w:after="200" w:line="340" w:lineRule="atLeast"/>
        <w:jc w:val="center"/>
        <w:outlineLvl w:val="0"/>
        <w:rPr>
          <w:rFonts w:ascii="Arial" w:hAnsi="Arial" w:cs="Arial"/>
          <w:b/>
          <w:bCs/>
          <w:kern w:val="32"/>
          <w:sz w:val="32"/>
          <w:szCs w:val="32"/>
        </w:rPr>
      </w:pPr>
      <w:hyperlink r:id="rId328" w:history="1">
        <w:r>
          <w:rPr>
            <w:rFonts w:ascii="Arial" w:eastAsia="Arial" w:hAnsi="Arial" w:cs="Arial"/>
            <w:b/>
            <w:bCs/>
            <w:i/>
            <w:color w:val="0077CC"/>
            <w:kern w:val="32"/>
            <w:sz w:val="28"/>
            <w:szCs w:val="32"/>
            <w:u w:val="single"/>
            <w:shd w:val="clear" w:color="auto" w:fill="FFFFFF"/>
          </w:rPr>
          <w:t>Businesses should build for a need, not for a want - panel on Innovation and Impact at Scale</w:t>
        </w:r>
      </w:hyperlink>
    </w:p>
    <w:p w14:paraId="19D0C253" w14:textId="77777777" w:rsidR="00054BF0" w:rsidRDefault="00000000">
      <w:pPr>
        <w:spacing w:before="120" w:line="260" w:lineRule="atLeast"/>
        <w:jc w:val="center"/>
      </w:pPr>
      <w:r>
        <w:rPr>
          <w:rFonts w:ascii="Arial" w:eastAsia="Arial" w:hAnsi="Arial" w:cs="Arial"/>
          <w:color w:val="000000"/>
          <w:sz w:val="20"/>
        </w:rPr>
        <w:t>Yourstory.in</w:t>
      </w:r>
    </w:p>
    <w:p w14:paraId="78BBA92A" w14:textId="77777777" w:rsidR="00054BF0" w:rsidRDefault="00000000">
      <w:pPr>
        <w:spacing w:before="120" w:line="260" w:lineRule="atLeast"/>
        <w:jc w:val="center"/>
      </w:pPr>
      <w:r>
        <w:rPr>
          <w:rFonts w:ascii="Arial" w:eastAsia="Arial" w:hAnsi="Arial" w:cs="Arial"/>
          <w:color w:val="000000"/>
          <w:sz w:val="20"/>
        </w:rPr>
        <w:t>October 12, 2018 Friday 6:30 AM EST</w:t>
      </w:r>
    </w:p>
    <w:p w14:paraId="5255A73E" w14:textId="77777777" w:rsidR="00054BF0" w:rsidRDefault="00054BF0">
      <w:pPr>
        <w:spacing w:line="240" w:lineRule="atLeast"/>
        <w:jc w:val="both"/>
      </w:pPr>
    </w:p>
    <w:p w14:paraId="3AFDE072" w14:textId="77777777" w:rsidR="00054BF0"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389856F9"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1030 words</w:t>
      </w:r>
    </w:p>
    <w:p w14:paraId="474D54F7"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7CC15EA5" w14:textId="77777777" w:rsidR="00054BF0" w:rsidRDefault="00000000">
      <w:pPr>
        <w:keepNext/>
        <w:spacing w:before="240" w:line="340" w:lineRule="atLeast"/>
      </w:pPr>
      <w:bookmarkStart w:id="29" w:name="Body_13"/>
      <w:bookmarkEnd w:id="29"/>
      <w:r>
        <w:rPr>
          <w:rFonts w:ascii="Arial" w:eastAsia="Arial" w:hAnsi="Arial" w:cs="Arial"/>
          <w:b/>
          <w:color w:val="000000"/>
          <w:sz w:val="28"/>
        </w:rPr>
        <w:t>Body</w:t>
      </w:r>
    </w:p>
    <w:p w14:paraId="2158D4C2" w14:textId="77777777" w:rsidR="00054BF0" w:rsidRDefault="00000000">
      <w:pPr>
        <w:spacing w:line="60" w:lineRule="exact"/>
      </w:pPr>
      <w:r>
        <w:pict w14:anchorId="214275ED">
          <v:line id="_x0000_s2099" style="position:absolute;z-index:251687936" from="0,2pt" to="512pt,2pt" strokecolor="#009ddb" strokeweight="2pt">
            <w10:wrap type="topAndBottom"/>
          </v:line>
        </w:pict>
      </w:r>
    </w:p>
    <w:p w14:paraId="67E6D0D8" w14:textId="77777777" w:rsidR="00054BF0" w:rsidRDefault="00054BF0"/>
    <w:p w14:paraId="1CE6DB6B" w14:textId="77777777" w:rsidR="00054BF0" w:rsidRDefault="00000000">
      <w:pPr>
        <w:spacing w:before="200" w:line="260" w:lineRule="atLeast"/>
        <w:jc w:val="both"/>
      </w:pPr>
      <w:r>
        <w:rPr>
          <w:rFonts w:ascii="Arial" w:eastAsia="Arial" w:hAnsi="Arial" w:cs="Arial"/>
          <w:color w:val="000000"/>
          <w:sz w:val="20"/>
        </w:rPr>
        <w:t>The importance of finding the right product market fit at the right time, having a global perspective from an early stage, and ensuring that your customers go on to become advocates for your brand were some of the key takeaways from a panel discussion on 'Innovation and Impact at Scale' on Day 2 at TechSparks 2018.</w:t>
      </w:r>
    </w:p>
    <w:p w14:paraId="5F7C4F64" w14:textId="77777777" w:rsidR="00054BF0" w:rsidRDefault="00000000">
      <w:pPr>
        <w:spacing w:before="200" w:line="260" w:lineRule="atLeast"/>
        <w:jc w:val="both"/>
      </w:pPr>
      <w:r>
        <w:rPr>
          <w:rFonts w:ascii="Arial" w:eastAsia="Arial" w:hAnsi="Arial" w:cs="Arial"/>
          <w:color w:val="000000"/>
          <w:sz w:val="20"/>
        </w:rPr>
        <w:t>Panellists included KT Prasad, Country Director - India, Zendesk; Prabhakar Jayakumar, Country Director - India, Digital Ocean; Pankaj Mitra, Director &amp; India Head, Cisco Investments; Krishnachytanya Ayyagari (KC), Program Manager, Google Cloud; VeerChand Bothra, Chief Entrepreneur and Evangelist, Netcore; Kuppulakshmi Krishnamoorthy, Chief Evangelist, Zoho and Madhurima Agarwal, Senior Manager, NetApp Excellerator. The panel was moderated by Vishal Krishna, Business Editor, YourStory.</w:t>
      </w:r>
    </w:p>
    <w:p w14:paraId="3EFEA005" w14:textId="77777777" w:rsidR="00054BF0" w:rsidRDefault="00000000">
      <w:pPr>
        <w:spacing w:before="200" w:line="260" w:lineRule="atLeast"/>
        <w:jc w:val="both"/>
      </w:pPr>
      <w:r>
        <w:rPr>
          <w:rFonts w:ascii="Arial" w:eastAsia="Arial" w:hAnsi="Arial" w:cs="Arial"/>
          <w:color w:val="000000"/>
          <w:sz w:val="20"/>
        </w:rPr>
        <w:t>Vishal kicked off the discussion by asking the panellists what innovation meant to them and their respective organisations. According to Pankaj, innovation is what enables companies to do their core work better, and also do well in new markets and get new customers.</w:t>
      </w:r>
    </w:p>
    <w:p w14:paraId="494DC0D9" w14:textId="77777777" w:rsidR="00054BF0" w:rsidRDefault="00000000">
      <w:pPr>
        <w:spacing w:before="200" w:line="260" w:lineRule="atLeast"/>
        <w:jc w:val="both"/>
      </w:pPr>
      <w:r>
        <w:rPr>
          <w:rFonts w:ascii="Arial" w:eastAsia="Arial" w:hAnsi="Arial" w:cs="Arial"/>
          <w:color w:val="000000"/>
          <w:sz w:val="20"/>
        </w:rPr>
        <w:t>Prasad described innovation using a simple analogy. "Bread has already been invented, as has the knife. Now slicing that bread would be considered innovation. Finding a unique proposition to add value in something already existing is innovation."</w:t>
      </w:r>
    </w:p>
    <w:p w14:paraId="46EC274A" w14:textId="77777777" w:rsidR="00054BF0" w:rsidRDefault="00000000">
      <w:pPr>
        <w:spacing w:before="200" w:line="260" w:lineRule="atLeast"/>
        <w:jc w:val="both"/>
      </w:pPr>
      <w:r>
        <w:rPr>
          <w:rFonts w:ascii="Arial" w:eastAsia="Arial" w:hAnsi="Arial" w:cs="Arial"/>
          <w:color w:val="000000"/>
          <w:sz w:val="20"/>
        </w:rPr>
        <w:t>Kuppulakshmi said, "For us at Zoho, innovation defines usefulness in the coolest, smartest form, which arrives at the right time and can be sustained."</w:t>
      </w:r>
    </w:p>
    <w:p w14:paraId="6CAC0F48" w14:textId="77777777" w:rsidR="00054BF0" w:rsidRDefault="00000000">
      <w:pPr>
        <w:spacing w:before="200" w:line="260" w:lineRule="atLeast"/>
        <w:jc w:val="both"/>
      </w:pPr>
      <w:r>
        <w:rPr>
          <w:rFonts w:ascii="Arial" w:eastAsia="Arial" w:hAnsi="Arial" w:cs="Arial"/>
          <w:color w:val="000000"/>
          <w:sz w:val="20"/>
        </w:rPr>
        <w:t>"Are they making things faster better or cheaper? That's how we look at innovation. Is their solution going to clock in more revenue for themselves and NetApp," said Madhurima.</w:t>
      </w:r>
    </w:p>
    <w:p w14:paraId="1FD32F59" w14:textId="77777777" w:rsidR="00054BF0" w:rsidRDefault="00000000">
      <w:pPr>
        <w:spacing w:before="240" w:line="260" w:lineRule="atLeast"/>
      </w:pPr>
      <w:r>
        <w:rPr>
          <w:rFonts w:ascii="Arial" w:eastAsia="Arial" w:hAnsi="Arial" w:cs="Arial"/>
          <w:b/>
          <w:color w:val="000000"/>
          <w:sz w:val="20"/>
        </w:rPr>
        <w:t>Do your own thing, but pay attention to others</w:t>
      </w:r>
    </w:p>
    <w:p w14:paraId="03CC3C48" w14:textId="77777777" w:rsidR="00054BF0" w:rsidRDefault="00000000">
      <w:pPr>
        <w:spacing w:before="200" w:line="260" w:lineRule="atLeast"/>
        <w:jc w:val="both"/>
      </w:pPr>
      <w:r>
        <w:rPr>
          <w:rFonts w:ascii="Arial" w:eastAsia="Arial" w:hAnsi="Arial" w:cs="Arial"/>
          <w:color w:val="000000"/>
          <w:sz w:val="20"/>
        </w:rPr>
        <w:t xml:space="preserve">Prabhakar reiterated it was important for </w:t>
      </w:r>
      <w:r>
        <w:rPr>
          <w:rFonts w:ascii="Arial" w:eastAsia="Arial" w:hAnsi="Arial" w:cs="Arial"/>
          <w:b/>
          <w:i/>
          <w:color w:val="000000"/>
          <w:sz w:val="20"/>
          <w:u w:val="single"/>
        </w:rPr>
        <w:t>startups</w:t>
      </w:r>
      <w:r>
        <w:rPr>
          <w:rFonts w:ascii="Arial" w:eastAsia="Arial" w:hAnsi="Arial" w:cs="Arial"/>
          <w:color w:val="000000"/>
          <w:sz w:val="20"/>
        </w:rPr>
        <w:t xml:space="preserve"> with an idea to focus on building for a need, rather than for a want. "As entrepreneurs, you are passionate about your idea, married to the idea even. But listen to a lot of people - investors, friends and colleagues. If it doesn't resonate with potential customers it's an alarm bell." He added another word of caution, which was not to get too caught </w:t>
      </w:r>
      <w:r>
        <w:rPr>
          <w:rFonts w:ascii="Arial" w:eastAsia="Arial" w:hAnsi="Arial" w:cs="Arial"/>
          <w:b/>
          <w:i/>
          <w:color w:val="000000"/>
          <w:sz w:val="20"/>
          <w:u w:val="single"/>
        </w:rPr>
        <w:t>up</w:t>
      </w:r>
      <w:r>
        <w:rPr>
          <w:rFonts w:ascii="Arial" w:eastAsia="Arial" w:hAnsi="Arial" w:cs="Arial"/>
          <w:color w:val="000000"/>
          <w:sz w:val="20"/>
        </w:rPr>
        <w:t xml:space="preserve"> with buzzwords in tech and do something just because that's in vogue.</w:t>
      </w:r>
    </w:p>
    <w:p w14:paraId="4D314C8E" w14:textId="77777777" w:rsidR="00054BF0" w:rsidRDefault="00000000">
      <w:pPr>
        <w:spacing w:before="200" w:line="260" w:lineRule="atLeast"/>
        <w:jc w:val="both"/>
      </w:pPr>
      <w:r>
        <w:rPr>
          <w:rFonts w:ascii="Arial" w:eastAsia="Arial" w:hAnsi="Arial" w:cs="Arial"/>
          <w:color w:val="000000"/>
          <w:sz w:val="20"/>
        </w:rPr>
        <w:lastRenderedPageBreak/>
        <w:t>KC elaborated on how businesses could effectively reach customers and know whether they are approaching the right person at right time. "Your click stream on your website can be a good indicator of where your market lies. Deal with data, understand internal logs, public website data and then go for customers rather than approach it in an ad hoc manner," said KC.</w:t>
      </w:r>
    </w:p>
    <w:p w14:paraId="7752B87A" w14:textId="77777777" w:rsidR="00054BF0" w:rsidRDefault="00000000">
      <w:pPr>
        <w:spacing w:before="240" w:line="260" w:lineRule="atLeast"/>
      </w:pPr>
      <w:r>
        <w:rPr>
          <w:rFonts w:ascii="Arial" w:eastAsia="Arial" w:hAnsi="Arial" w:cs="Arial"/>
          <w:b/>
          <w:color w:val="000000"/>
          <w:sz w:val="20"/>
        </w:rPr>
        <w:t>Have clarity right from the beginning</w:t>
      </w:r>
    </w:p>
    <w:p w14:paraId="3B7C18CE" w14:textId="77777777" w:rsidR="00054BF0" w:rsidRDefault="00000000">
      <w:pPr>
        <w:spacing w:before="200" w:line="260" w:lineRule="atLeast"/>
        <w:jc w:val="both"/>
      </w:pPr>
      <w:r>
        <w:rPr>
          <w:rFonts w:ascii="Arial" w:eastAsia="Arial" w:hAnsi="Arial" w:cs="Arial"/>
          <w:color w:val="000000"/>
          <w:sz w:val="20"/>
        </w:rPr>
        <w:t>Prabhakar said that at the minimum viable product (MVP) stage itself, businesses should choose a technology architecture which can scale as the organisation grows, and factor in aspects such as security. Otherwise, going back and redoing processes can be a huge challenge.</w:t>
      </w:r>
    </w:p>
    <w:p w14:paraId="22D073AD" w14:textId="77777777" w:rsidR="00054BF0" w:rsidRDefault="00000000">
      <w:pPr>
        <w:spacing w:before="200" w:line="260" w:lineRule="atLeast"/>
        <w:jc w:val="both"/>
      </w:pPr>
      <w:r>
        <w:rPr>
          <w:rFonts w:ascii="Arial" w:eastAsia="Arial" w:hAnsi="Arial" w:cs="Arial"/>
          <w:color w:val="000000"/>
          <w:sz w:val="20"/>
        </w:rPr>
        <w:t xml:space="preserve">Pankaj advised </w:t>
      </w:r>
      <w:r>
        <w:rPr>
          <w:rFonts w:ascii="Arial" w:eastAsia="Arial" w:hAnsi="Arial" w:cs="Arial"/>
          <w:b/>
          <w:i/>
          <w:color w:val="000000"/>
          <w:sz w:val="20"/>
          <w:u w:val="single"/>
        </w:rPr>
        <w:t>startups</w:t>
      </w:r>
      <w:r>
        <w:rPr>
          <w:rFonts w:ascii="Arial" w:eastAsia="Arial" w:hAnsi="Arial" w:cs="Arial"/>
          <w:color w:val="000000"/>
          <w:sz w:val="20"/>
        </w:rPr>
        <w:t xml:space="preserve"> to take a decision right at the beginning on whether they wanted to tap global markets or only focus on India, which is a massive emerging market, but not as mature for certain sectors. If they do decide to go global, they should then tie </w:t>
      </w:r>
      <w:r>
        <w:rPr>
          <w:rFonts w:ascii="Arial" w:eastAsia="Arial" w:hAnsi="Arial" w:cs="Arial"/>
          <w:b/>
          <w:i/>
          <w:color w:val="000000"/>
          <w:sz w:val="20"/>
          <w:u w:val="single"/>
        </w:rPr>
        <w:t>up</w:t>
      </w:r>
      <w:r>
        <w:rPr>
          <w:rFonts w:ascii="Arial" w:eastAsia="Arial" w:hAnsi="Arial" w:cs="Arial"/>
          <w:color w:val="000000"/>
          <w:sz w:val="20"/>
        </w:rPr>
        <w:t xml:space="preserve"> with a partner who can help them fast.</w:t>
      </w:r>
    </w:p>
    <w:p w14:paraId="31F26959" w14:textId="77777777" w:rsidR="00054BF0" w:rsidRDefault="00000000">
      <w:pPr>
        <w:spacing w:before="200" w:line="260" w:lineRule="atLeast"/>
        <w:jc w:val="both"/>
      </w:pPr>
      <w:r>
        <w:rPr>
          <w:rFonts w:ascii="Arial" w:eastAsia="Arial" w:hAnsi="Arial" w:cs="Arial"/>
          <w:color w:val="000000"/>
          <w:sz w:val="20"/>
        </w:rPr>
        <w:t>Prabhakar also spoke about the importance of a cultural fit. "Build the right culture and team as you scale, look for a global market and at your solution from a global perspective," he said.</w:t>
      </w:r>
    </w:p>
    <w:p w14:paraId="3BC04955" w14:textId="77777777" w:rsidR="00054BF0" w:rsidRDefault="00000000">
      <w:pPr>
        <w:spacing w:before="200" w:line="260" w:lineRule="atLeast"/>
        <w:jc w:val="both"/>
      </w:pPr>
      <w:r>
        <w:rPr>
          <w:rFonts w:ascii="Arial" w:eastAsia="Arial" w:hAnsi="Arial" w:cs="Arial"/>
          <w:color w:val="000000"/>
          <w:sz w:val="20"/>
        </w:rPr>
        <w:t xml:space="preserve">Prasad spoke about the importance of inclusive hiring and advised </w:t>
      </w:r>
      <w:r>
        <w:rPr>
          <w:rFonts w:ascii="Arial" w:eastAsia="Arial" w:hAnsi="Arial" w:cs="Arial"/>
          <w:b/>
          <w:i/>
          <w:color w:val="000000"/>
          <w:sz w:val="20"/>
          <w:u w:val="single"/>
        </w:rPr>
        <w:t>startups</w:t>
      </w:r>
      <w:r>
        <w:rPr>
          <w:rFonts w:ascii="Arial" w:eastAsia="Arial" w:hAnsi="Arial" w:cs="Arial"/>
          <w:color w:val="000000"/>
          <w:sz w:val="20"/>
        </w:rPr>
        <w:t xml:space="preserve"> to focus more on ensuring a cultural fit when building a team. "While technology can be taught, the belief in the idea and product needs to be same within the team," he said.</w:t>
      </w:r>
    </w:p>
    <w:p w14:paraId="5ACA1F17" w14:textId="77777777" w:rsidR="00054BF0" w:rsidRDefault="00000000">
      <w:pPr>
        <w:spacing w:before="200" w:line="260" w:lineRule="atLeast"/>
        <w:jc w:val="both"/>
      </w:pPr>
      <w:r>
        <w:rPr>
          <w:rFonts w:ascii="Arial" w:eastAsia="Arial" w:hAnsi="Arial" w:cs="Arial"/>
          <w:color w:val="000000"/>
          <w:sz w:val="20"/>
        </w:rPr>
        <w:t xml:space="preserve">On whether </w:t>
      </w:r>
      <w:r>
        <w:rPr>
          <w:rFonts w:ascii="Arial" w:eastAsia="Arial" w:hAnsi="Arial" w:cs="Arial"/>
          <w:b/>
          <w:i/>
          <w:color w:val="000000"/>
          <w:sz w:val="20"/>
          <w:u w:val="single"/>
        </w:rPr>
        <w:t>startups</w:t>
      </w:r>
      <w:r>
        <w:rPr>
          <w:rFonts w:ascii="Arial" w:eastAsia="Arial" w:hAnsi="Arial" w:cs="Arial"/>
          <w:color w:val="000000"/>
          <w:sz w:val="20"/>
        </w:rPr>
        <w:t xml:space="preserve"> should pivot if they are not profitable, Pankaj said while it depended on the stage of the company, the primary role of a </w:t>
      </w:r>
      <w:r>
        <w:rPr>
          <w:rFonts w:ascii="Arial" w:eastAsia="Arial" w:hAnsi="Arial" w:cs="Arial"/>
          <w:b/>
          <w:i/>
          <w:color w:val="000000"/>
          <w:sz w:val="20"/>
          <w:u w:val="single"/>
        </w:rPr>
        <w:t>startup</w:t>
      </w:r>
      <w:r>
        <w:rPr>
          <w:rFonts w:ascii="Arial" w:eastAsia="Arial" w:hAnsi="Arial" w:cs="Arial"/>
          <w:color w:val="000000"/>
          <w:sz w:val="20"/>
        </w:rPr>
        <w:t xml:space="preserve"> was to find repeatable monetisation, and that it was important for </w:t>
      </w:r>
      <w:r>
        <w:rPr>
          <w:rFonts w:ascii="Arial" w:eastAsia="Arial" w:hAnsi="Arial" w:cs="Arial"/>
          <w:b/>
          <w:i/>
          <w:color w:val="000000"/>
          <w:sz w:val="20"/>
          <w:u w:val="single"/>
        </w:rPr>
        <w:t>startups</w:t>
      </w:r>
      <w:r>
        <w:rPr>
          <w:rFonts w:ascii="Arial" w:eastAsia="Arial" w:hAnsi="Arial" w:cs="Arial"/>
          <w:color w:val="000000"/>
          <w:sz w:val="20"/>
        </w:rPr>
        <w:t xml:space="preserve"> to be flexible and agile.</w:t>
      </w:r>
    </w:p>
    <w:p w14:paraId="17178DB3" w14:textId="77777777" w:rsidR="00054BF0" w:rsidRDefault="00000000">
      <w:pPr>
        <w:spacing w:before="240" w:line="260" w:lineRule="atLeast"/>
      </w:pPr>
      <w:r>
        <w:rPr>
          <w:rFonts w:ascii="Arial" w:eastAsia="Arial" w:hAnsi="Arial" w:cs="Arial"/>
          <w:b/>
          <w:color w:val="000000"/>
          <w:sz w:val="20"/>
        </w:rPr>
        <w:t>Make your customers your loyal advocates</w:t>
      </w:r>
    </w:p>
    <w:p w14:paraId="7DA3C56B" w14:textId="77777777" w:rsidR="00054BF0" w:rsidRDefault="00000000">
      <w:pPr>
        <w:spacing w:before="200" w:line="260" w:lineRule="atLeast"/>
        <w:jc w:val="both"/>
      </w:pPr>
      <w:r>
        <w:rPr>
          <w:rFonts w:ascii="Arial" w:eastAsia="Arial" w:hAnsi="Arial" w:cs="Arial"/>
          <w:color w:val="000000"/>
          <w:sz w:val="20"/>
        </w:rPr>
        <w:t xml:space="preserve">Prasad's advice on how to scale sustainably was, "While </w:t>
      </w:r>
      <w:r>
        <w:rPr>
          <w:rFonts w:ascii="Arial" w:eastAsia="Arial" w:hAnsi="Arial" w:cs="Arial"/>
          <w:b/>
          <w:i/>
          <w:color w:val="000000"/>
          <w:sz w:val="20"/>
          <w:u w:val="single"/>
        </w:rPr>
        <w:t>startups</w:t>
      </w:r>
      <w:r>
        <w:rPr>
          <w:rFonts w:ascii="Arial" w:eastAsia="Arial" w:hAnsi="Arial" w:cs="Arial"/>
          <w:color w:val="000000"/>
          <w:sz w:val="20"/>
        </w:rPr>
        <w:t xml:space="preserve"> should spend on customer acquisition, most successful </w:t>
      </w:r>
      <w:r>
        <w:rPr>
          <w:rFonts w:ascii="Arial" w:eastAsia="Arial" w:hAnsi="Arial" w:cs="Arial"/>
          <w:b/>
          <w:i/>
          <w:color w:val="000000"/>
          <w:sz w:val="20"/>
          <w:u w:val="single"/>
        </w:rPr>
        <w:t>startups</w:t>
      </w:r>
      <w:r>
        <w:rPr>
          <w:rFonts w:ascii="Arial" w:eastAsia="Arial" w:hAnsi="Arial" w:cs="Arial"/>
          <w:color w:val="000000"/>
          <w:sz w:val="20"/>
        </w:rPr>
        <w:t xml:space="preserve"> don't forget to spend on customers they have already acquired. Take care of them and they will go on to become your loyalists. Most successful companies also invest in employee happiness. Finally, you need to ensure that you are investing in a scalable technology platform."</w:t>
      </w:r>
    </w:p>
    <w:p w14:paraId="0ED99F52" w14:textId="77777777" w:rsidR="00054BF0" w:rsidRDefault="00000000">
      <w:pPr>
        <w:spacing w:before="200" w:line="260" w:lineRule="atLeast"/>
        <w:jc w:val="both"/>
      </w:pPr>
      <w:r>
        <w:rPr>
          <w:rFonts w:ascii="Arial" w:eastAsia="Arial" w:hAnsi="Arial" w:cs="Arial"/>
          <w:color w:val="000000"/>
          <w:sz w:val="20"/>
        </w:rPr>
        <w:t>According to Veer, while customers are the primary stakeholder businesses, it was important that they also create an impact across all stakeholders in the ecosystem. "The impact is creating value for customers, then employees and then shareholders, ultimately creating value for society as a whole."</w:t>
      </w:r>
    </w:p>
    <w:p w14:paraId="4DC1D399" w14:textId="77777777" w:rsidR="00054BF0" w:rsidRDefault="00000000">
      <w:pPr>
        <w:spacing w:before="200" w:line="260" w:lineRule="atLeast"/>
        <w:jc w:val="both"/>
      </w:pPr>
      <w:r>
        <w:rPr>
          <w:rFonts w:ascii="Arial" w:eastAsia="Arial" w:hAnsi="Arial" w:cs="Arial"/>
          <w:color w:val="000000"/>
          <w:sz w:val="20"/>
        </w:rPr>
        <w:t>Prabhakar added to this. "Our customers advocate for our brand. Creating advocates who can do the talking for your brand on your behalf -- that's impact."</w:t>
      </w:r>
    </w:p>
    <w:p w14:paraId="1FDF6103" w14:textId="77777777" w:rsidR="00054BF0" w:rsidRDefault="00000000">
      <w:pPr>
        <w:spacing w:before="200" w:line="260" w:lineRule="atLeast"/>
        <w:jc w:val="both"/>
      </w:pPr>
      <w:r>
        <w:rPr>
          <w:rFonts w:ascii="Arial" w:eastAsia="Arial" w:hAnsi="Arial" w:cs="Arial"/>
          <w:color w:val="000000"/>
          <w:sz w:val="20"/>
        </w:rPr>
        <w:t xml:space="preserve">According to Prasad, since India is largely process-driven, when pitching about a product or idea it is easy to get caught </w:t>
      </w:r>
      <w:r>
        <w:rPr>
          <w:rFonts w:ascii="Arial" w:eastAsia="Arial" w:hAnsi="Arial" w:cs="Arial"/>
          <w:b/>
          <w:i/>
          <w:color w:val="000000"/>
          <w:sz w:val="20"/>
          <w:u w:val="single"/>
        </w:rPr>
        <w:t>up</w:t>
      </w:r>
      <w:r>
        <w:rPr>
          <w:rFonts w:ascii="Arial" w:eastAsia="Arial" w:hAnsi="Arial" w:cs="Arial"/>
          <w:color w:val="000000"/>
          <w:sz w:val="20"/>
        </w:rPr>
        <w:t xml:space="preserve"> in the concept of its relevance. Instead, he says, </w:t>
      </w:r>
      <w:r>
        <w:rPr>
          <w:rFonts w:ascii="Arial" w:eastAsia="Arial" w:hAnsi="Arial" w:cs="Arial"/>
          <w:b/>
          <w:i/>
          <w:color w:val="000000"/>
          <w:sz w:val="20"/>
          <w:u w:val="single"/>
        </w:rPr>
        <w:t>startups</w:t>
      </w:r>
      <w:r>
        <w:rPr>
          <w:rFonts w:ascii="Arial" w:eastAsia="Arial" w:hAnsi="Arial" w:cs="Arial"/>
          <w:color w:val="000000"/>
          <w:sz w:val="20"/>
        </w:rPr>
        <w:t xml:space="preserve"> should focus on whether the product or idea is adding value to customers, understand that and articulate it in their conversations.</w:t>
      </w:r>
    </w:p>
    <w:p w14:paraId="57996E0E" w14:textId="77777777" w:rsidR="00054BF0" w:rsidRDefault="00000000">
      <w:pPr>
        <w:spacing w:before="200" w:line="260" w:lineRule="atLeast"/>
        <w:jc w:val="both"/>
      </w:pPr>
      <w:r>
        <w:rPr>
          <w:rFonts w:ascii="Arial" w:eastAsia="Arial" w:hAnsi="Arial" w:cs="Arial"/>
          <w:color w:val="000000"/>
          <w:sz w:val="20"/>
        </w:rPr>
        <w:t xml:space="preserve">He also advised </w:t>
      </w:r>
      <w:r>
        <w:rPr>
          <w:rFonts w:ascii="Arial" w:eastAsia="Arial" w:hAnsi="Arial" w:cs="Arial"/>
          <w:b/>
          <w:i/>
          <w:color w:val="000000"/>
          <w:sz w:val="20"/>
          <w:u w:val="single"/>
        </w:rPr>
        <w:t>startups</w:t>
      </w:r>
      <w:r>
        <w:rPr>
          <w:rFonts w:ascii="Arial" w:eastAsia="Arial" w:hAnsi="Arial" w:cs="Arial"/>
          <w:color w:val="000000"/>
          <w:sz w:val="20"/>
        </w:rPr>
        <w:t xml:space="preserve"> to take </w:t>
      </w:r>
      <w:r>
        <w:rPr>
          <w:rFonts w:ascii="Arial" w:eastAsia="Arial" w:hAnsi="Arial" w:cs="Arial"/>
          <w:b/>
          <w:i/>
          <w:color w:val="000000"/>
          <w:sz w:val="20"/>
          <w:u w:val="single"/>
        </w:rPr>
        <w:t>failures</w:t>
      </w:r>
      <w:r>
        <w:rPr>
          <w:rFonts w:ascii="Arial" w:eastAsia="Arial" w:hAnsi="Arial" w:cs="Arial"/>
          <w:color w:val="000000"/>
          <w:sz w:val="20"/>
        </w:rPr>
        <w:t xml:space="preserve"> in the right spirit and view them as learnings. As parents, we are always afraid that our children will fall. But they need to fall to learn to walk. "It's the same with technology. </w:t>
      </w:r>
      <w:r>
        <w:rPr>
          <w:rFonts w:ascii="Arial" w:eastAsia="Arial" w:hAnsi="Arial" w:cs="Arial"/>
          <w:b/>
          <w:i/>
          <w:color w:val="000000"/>
          <w:sz w:val="20"/>
          <w:u w:val="single"/>
        </w:rPr>
        <w:t>Failures</w:t>
      </w:r>
      <w:r>
        <w:rPr>
          <w:rFonts w:ascii="Arial" w:eastAsia="Arial" w:hAnsi="Arial" w:cs="Arial"/>
          <w:color w:val="000000"/>
          <w:sz w:val="20"/>
        </w:rPr>
        <w:t xml:space="preserve"> go faster than success, and teach you not to repeat mistakes," he said.</w:t>
      </w:r>
    </w:p>
    <w:p w14:paraId="341FF13E" w14:textId="77777777" w:rsidR="00054BF0" w:rsidRDefault="00000000">
      <w:pPr>
        <w:spacing w:before="240" w:line="260" w:lineRule="atLeast"/>
      </w:pPr>
      <w:r>
        <w:rPr>
          <w:rFonts w:ascii="Arial" w:eastAsia="Arial" w:hAnsi="Arial" w:cs="Arial"/>
          <w:b/>
          <w:color w:val="000000"/>
          <w:sz w:val="20"/>
        </w:rPr>
        <w:t>Drive collaboration across the ecosystem</w:t>
      </w:r>
    </w:p>
    <w:p w14:paraId="4876AF6A" w14:textId="77777777" w:rsidR="00054BF0" w:rsidRDefault="00000000">
      <w:pPr>
        <w:spacing w:before="200" w:line="260" w:lineRule="atLeast"/>
        <w:jc w:val="both"/>
      </w:pPr>
      <w:r>
        <w:rPr>
          <w:rFonts w:ascii="Arial" w:eastAsia="Arial" w:hAnsi="Arial" w:cs="Arial"/>
          <w:color w:val="000000"/>
          <w:sz w:val="20"/>
        </w:rPr>
        <w:t xml:space="preserve">Veer shared that when he </w:t>
      </w:r>
      <w:r>
        <w:rPr>
          <w:rFonts w:ascii="Arial" w:eastAsia="Arial" w:hAnsi="Arial" w:cs="Arial"/>
          <w:b/>
          <w:i/>
          <w:color w:val="000000"/>
          <w:sz w:val="20"/>
          <w:u w:val="single"/>
        </w:rPr>
        <w:t>started</w:t>
      </w:r>
      <w:r>
        <w:rPr>
          <w:rFonts w:ascii="Arial" w:eastAsia="Arial" w:hAnsi="Arial" w:cs="Arial"/>
          <w:color w:val="000000"/>
          <w:sz w:val="20"/>
        </w:rPr>
        <w:t xml:space="preserve"> out, there was no structured support system for </w:t>
      </w:r>
      <w:r>
        <w:rPr>
          <w:rFonts w:ascii="Arial" w:eastAsia="Arial" w:hAnsi="Arial" w:cs="Arial"/>
          <w:b/>
          <w:i/>
          <w:color w:val="000000"/>
          <w:sz w:val="20"/>
          <w:u w:val="single"/>
        </w:rPr>
        <w:t>startups</w:t>
      </w:r>
      <w:r>
        <w:rPr>
          <w:rFonts w:ascii="Arial" w:eastAsia="Arial" w:hAnsi="Arial" w:cs="Arial"/>
          <w:color w:val="000000"/>
          <w:sz w:val="20"/>
        </w:rPr>
        <w:t>. "Being a product person, I can understand the business side of things but needed someone who knew the tech side well. Having a co-founder, having an advisory board, made a huge difference," he said.</w:t>
      </w:r>
    </w:p>
    <w:p w14:paraId="0C3451D3" w14:textId="77777777" w:rsidR="00054BF0" w:rsidRDefault="00000000">
      <w:pPr>
        <w:spacing w:before="200" w:line="260" w:lineRule="atLeast"/>
        <w:jc w:val="both"/>
      </w:pPr>
      <w:r>
        <w:rPr>
          <w:rFonts w:ascii="Arial" w:eastAsia="Arial" w:hAnsi="Arial" w:cs="Arial"/>
          <w:color w:val="000000"/>
          <w:sz w:val="20"/>
        </w:rPr>
        <w:lastRenderedPageBreak/>
        <w:t xml:space="preserve">Madhurima said that at NetApp Excellerator, they evaluate how a </w:t>
      </w:r>
      <w:r>
        <w:rPr>
          <w:rFonts w:ascii="Arial" w:eastAsia="Arial" w:hAnsi="Arial" w:cs="Arial"/>
          <w:b/>
          <w:i/>
          <w:color w:val="000000"/>
          <w:sz w:val="20"/>
          <w:u w:val="single"/>
        </w:rPr>
        <w:t>startup</w:t>
      </w:r>
      <w:r>
        <w:rPr>
          <w:rFonts w:ascii="Arial" w:eastAsia="Arial" w:hAnsi="Arial" w:cs="Arial"/>
          <w:color w:val="000000"/>
          <w:sz w:val="20"/>
        </w:rPr>
        <w:t xml:space="preserve">'s offering can solve a customer pain point from NetApp's perspective and based on that, they invite select </w:t>
      </w:r>
      <w:r>
        <w:rPr>
          <w:rFonts w:ascii="Arial" w:eastAsia="Arial" w:hAnsi="Arial" w:cs="Arial"/>
          <w:b/>
          <w:i/>
          <w:color w:val="000000"/>
          <w:sz w:val="20"/>
          <w:u w:val="single"/>
        </w:rPr>
        <w:t>startups</w:t>
      </w:r>
      <w:r>
        <w:rPr>
          <w:rFonts w:ascii="Arial" w:eastAsia="Arial" w:hAnsi="Arial" w:cs="Arial"/>
          <w:color w:val="000000"/>
          <w:sz w:val="20"/>
        </w:rPr>
        <w:t xml:space="preserve"> to come on board as alliance partners, and collaborate with the NetApp sales team for joint RFPs and client pitches.</w:t>
      </w:r>
    </w:p>
    <w:p w14:paraId="4E33B6BC" w14:textId="77777777" w:rsidR="00054BF0" w:rsidRDefault="00000000">
      <w:pPr>
        <w:spacing w:before="200" w:line="260" w:lineRule="atLeast"/>
        <w:jc w:val="both"/>
      </w:pPr>
      <w:r>
        <w:rPr>
          <w:rFonts w:ascii="Arial" w:eastAsia="Arial" w:hAnsi="Arial" w:cs="Arial"/>
          <w:color w:val="000000"/>
          <w:sz w:val="20"/>
        </w:rPr>
        <w:t xml:space="preserve">Adding to the thread of collaboration, KC said, "There is value in working together. Collaboration is important for the ecosystem. We all should ideally collaborate to improve the quality of </w:t>
      </w:r>
      <w:r>
        <w:rPr>
          <w:rFonts w:ascii="Arial" w:eastAsia="Arial" w:hAnsi="Arial" w:cs="Arial"/>
          <w:b/>
          <w:i/>
          <w:color w:val="000000"/>
          <w:sz w:val="20"/>
          <w:u w:val="single"/>
        </w:rPr>
        <w:t>startups</w:t>
      </w:r>
      <w:r>
        <w:rPr>
          <w:rFonts w:ascii="Arial" w:eastAsia="Arial" w:hAnsi="Arial" w:cs="Arial"/>
          <w:color w:val="000000"/>
          <w:sz w:val="20"/>
        </w:rPr>
        <w:t>."</w:t>
      </w:r>
    </w:p>
    <w:p w14:paraId="30F63525"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12, 2018</w:t>
      </w:r>
    </w:p>
    <w:p w14:paraId="7061A707" w14:textId="77777777" w:rsidR="00054BF0" w:rsidRDefault="00054BF0"/>
    <w:p w14:paraId="6D51A888" w14:textId="77777777" w:rsidR="00054BF0" w:rsidRDefault="00000000">
      <w:pPr>
        <w:ind w:left="200"/>
        <w:sectPr w:rsidR="00054BF0">
          <w:type w:val="continuous"/>
          <w:pgSz w:w="12240" w:h="15840"/>
          <w:pgMar w:top="840" w:right="1000" w:bottom="840" w:left="1000" w:header="400" w:footer="400" w:gutter="0"/>
          <w:cols w:space="720"/>
        </w:sectPr>
      </w:pPr>
      <w:r>
        <w:br/>
      </w:r>
      <w:r>
        <w:pict w14:anchorId="0DB2D234">
          <v:line id="_x0000_s2100" style="position:absolute;left:0;text-align:left;z-index:251688960;mso-position-horizontal-relative:text;mso-position-vertical-relative:text" from="0,10pt" to="512pt,10pt" strokeweight="1pt"/>
        </w:pict>
      </w:r>
      <w:r>
        <w:rPr>
          <w:rFonts w:ascii="Arial" w:eastAsia="Arial" w:hAnsi="Arial" w:cs="Arial"/>
          <w:b/>
          <w:color w:val="767676"/>
          <w:sz w:val="16"/>
        </w:rPr>
        <w:t>End of Document</w:t>
      </w:r>
    </w:p>
    <w:p w14:paraId="70BB664F" w14:textId="77777777" w:rsidR="00054BF0" w:rsidRDefault="00054BF0">
      <w:pPr>
        <w:sectPr w:rsidR="00054BF0">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gutter="0"/>
          <w:cols w:space="720"/>
          <w:titlePg/>
        </w:sectPr>
      </w:pPr>
    </w:p>
    <w:p w14:paraId="6050DD1B" w14:textId="77777777" w:rsidR="00054BF0" w:rsidRDefault="00054BF0">
      <w:bookmarkStart w:id="30" w:name="Bookmark_16"/>
      <w:bookmarkEnd w:id="30"/>
    </w:p>
    <w:p w14:paraId="193F511E" w14:textId="77777777" w:rsidR="00054BF0" w:rsidRDefault="00BE2275">
      <w:r>
        <w:pict w14:anchorId="2036C4D9">
          <v:shape id="_x0000_i1047" type="#_x0000_t75" alt="LexisNexis®" style="width:148pt;height:30pt">
            <v:imagedata r:id="rId6" o:title=""/>
          </v:shape>
        </w:pict>
      </w:r>
      <w:r w:rsidR="00A540D1">
        <w:cr/>
      </w:r>
    </w:p>
    <w:p w14:paraId="2D17AC7D" w14:textId="77777777" w:rsidR="00054BF0" w:rsidRDefault="00000000">
      <w:pPr>
        <w:spacing w:before="240" w:after="200" w:line="340" w:lineRule="atLeast"/>
        <w:jc w:val="center"/>
        <w:outlineLvl w:val="0"/>
        <w:rPr>
          <w:rFonts w:ascii="Arial" w:hAnsi="Arial" w:cs="Arial"/>
          <w:b/>
          <w:bCs/>
          <w:kern w:val="32"/>
          <w:sz w:val="32"/>
          <w:szCs w:val="32"/>
        </w:rPr>
      </w:pPr>
      <w:hyperlink r:id="rId335" w:history="1">
        <w:r>
          <w:rPr>
            <w:rFonts w:ascii="Arial" w:eastAsia="Arial" w:hAnsi="Arial" w:cs="Arial"/>
            <w:b/>
            <w:bCs/>
            <w:i/>
            <w:color w:val="0077CC"/>
            <w:kern w:val="32"/>
            <w:sz w:val="28"/>
            <w:szCs w:val="32"/>
            <w:u w:val="single"/>
            <w:shd w:val="clear" w:color="auto" w:fill="FFFFFF"/>
          </w:rPr>
          <w:t xml:space="preserve">Success rate of Indian </w:t>
        </w:r>
      </w:hyperlink>
      <w:hyperlink r:id="rId336" w:history="1">
        <w:r>
          <w:rPr>
            <w:rFonts w:ascii="Arial" w:eastAsia="Arial" w:hAnsi="Arial" w:cs="Arial"/>
            <w:b/>
            <w:bCs/>
            <w:i/>
            <w:color w:val="0077CC"/>
            <w:kern w:val="32"/>
            <w:sz w:val="28"/>
            <w:szCs w:val="32"/>
            <w:u w:val="single"/>
            <w:shd w:val="clear" w:color="auto" w:fill="FFFFFF"/>
          </w:rPr>
          <w:t>startups</w:t>
        </w:r>
      </w:hyperlink>
      <w:hyperlink r:id="rId337" w:history="1">
        <w:r>
          <w:rPr>
            <w:rFonts w:ascii="Arial" w:eastAsia="Arial" w:hAnsi="Arial" w:cs="Arial"/>
            <w:b/>
            <w:bCs/>
            <w:i/>
            <w:color w:val="0077CC"/>
            <w:kern w:val="32"/>
            <w:sz w:val="28"/>
            <w:szCs w:val="32"/>
            <w:u w:val="single"/>
            <w:shd w:val="clear" w:color="auto" w:fill="FFFFFF"/>
          </w:rPr>
          <w:t xml:space="preserve"> higher than rest of the world: Piyush Goyal</w:t>
        </w:r>
      </w:hyperlink>
    </w:p>
    <w:p w14:paraId="004100EB" w14:textId="77777777" w:rsidR="00054BF0" w:rsidRDefault="00000000">
      <w:pPr>
        <w:spacing w:before="120" w:line="260" w:lineRule="atLeast"/>
        <w:jc w:val="center"/>
      </w:pPr>
      <w:r>
        <w:rPr>
          <w:rFonts w:ascii="Arial" w:eastAsia="Arial" w:hAnsi="Arial" w:cs="Arial"/>
          <w:color w:val="000000"/>
          <w:sz w:val="20"/>
        </w:rPr>
        <w:t>MINT</w:t>
      </w:r>
    </w:p>
    <w:p w14:paraId="58CCF21D" w14:textId="77777777" w:rsidR="00054BF0" w:rsidRDefault="00000000">
      <w:pPr>
        <w:spacing w:before="120" w:line="260" w:lineRule="atLeast"/>
        <w:jc w:val="center"/>
      </w:pPr>
      <w:r>
        <w:rPr>
          <w:rFonts w:ascii="Arial" w:eastAsia="Arial" w:hAnsi="Arial" w:cs="Arial"/>
          <w:color w:val="000000"/>
          <w:sz w:val="20"/>
        </w:rPr>
        <w:t>December 14, 2022 Wednesday</w:t>
      </w:r>
    </w:p>
    <w:p w14:paraId="49712BF6" w14:textId="77777777" w:rsidR="00054BF0" w:rsidRDefault="00054BF0">
      <w:pPr>
        <w:spacing w:line="240" w:lineRule="atLeast"/>
        <w:jc w:val="both"/>
      </w:pPr>
    </w:p>
    <w:p w14:paraId="15B05409" w14:textId="77777777" w:rsidR="00054BF0" w:rsidRDefault="00000000">
      <w:pPr>
        <w:spacing w:before="120" w:line="220" w:lineRule="atLeast"/>
      </w:pPr>
      <w:r>
        <w:br/>
      </w:r>
      <w:r>
        <w:rPr>
          <w:rFonts w:ascii="Arial" w:eastAsia="Arial" w:hAnsi="Arial" w:cs="Arial"/>
          <w:color w:val="000000"/>
          <w:sz w:val="16"/>
        </w:rPr>
        <w:t>Copyright 2022 HT Media Ltd. All Rights Reserved</w:t>
      </w:r>
    </w:p>
    <w:p w14:paraId="2894A4AE"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455 words</w:t>
      </w:r>
    </w:p>
    <w:p w14:paraId="697E5EA8"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0023CC2" w14:textId="77777777" w:rsidR="00054BF0" w:rsidRDefault="00000000">
      <w:pPr>
        <w:keepNext/>
        <w:spacing w:before="240" w:line="340" w:lineRule="atLeast"/>
      </w:pPr>
      <w:bookmarkStart w:id="31" w:name="Body_14"/>
      <w:bookmarkEnd w:id="31"/>
      <w:r>
        <w:rPr>
          <w:rFonts w:ascii="Arial" w:eastAsia="Arial" w:hAnsi="Arial" w:cs="Arial"/>
          <w:b/>
          <w:color w:val="000000"/>
          <w:sz w:val="28"/>
        </w:rPr>
        <w:t>Body</w:t>
      </w:r>
    </w:p>
    <w:p w14:paraId="60E19D44" w14:textId="77777777" w:rsidR="00054BF0" w:rsidRDefault="00000000">
      <w:pPr>
        <w:spacing w:line="60" w:lineRule="exact"/>
      </w:pPr>
      <w:r>
        <w:pict w14:anchorId="702A75E5">
          <v:line id="_x0000_s2102" style="position:absolute;z-index:251689984" from="0,2pt" to="512pt,2pt" strokecolor="#009ddb" strokeweight="2pt">
            <w10:wrap type="topAndBottom"/>
          </v:line>
        </w:pict>
      </w:r>
    </w:p>
    <w:p w14:paraId="4A5B1BC9" w14:textId="77777777" w:rsidR="00054BF0" w:rsidRDefault="00054BF0"/>
    <w:p w14:paraId="2445BEF2" w14:textId="77777777" w:rsidR="00054BF0" w:rsidRDefault="00000000">
      <w:pPr>
        <w:spacing w:before="200" w:line="260" w:lineRule="atLeast"/>
        <w:jc w:val="both"/>
      </w:pPr>
      <w:r>
        <w:rPr>
          <w:rFonts w:ascii="Arial" w:eastAsia="Arial" w:hAnsi="Arial" w:cs="Arial"/>
          <w:color w:val="000000"/>
          <w:sz w:val="20"/>
        </w:rPr>
        <w:t xml:space="preserve">New Delhi, Dec. 14 -- Union Minister Piyush Goyal on Wednesday informed the Lok Sabha that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in the rest of the world.</w:t>
      </w:r>
    </w:p>
    <w:p w14:paraId="22BB03FC" w14:textId="77777777" w:rsidR="00054BF0" w:rsidRDefault="00000000">
      <w:pPr>
        <w:spacing w:before="200" w:line="260" w:lineRule="atLeast"/>
        <w:jc w:val="both"/>
      </w:pPr>
      <w:r>
        <w:rPr>
          <w:rFonts w:ascii="Arial" w:eastAsia="Arial" w:hAnsi="Arial" w:cs="Arial"/>
          <w:color w:val="000000"/>
          <w:sz w:val="20"/>
        </w:rPr>
        <w:t xml:space="preserve">During the question hour at the lower house of the Parliament, Goyal stated that there were 84,012 recognised </w:t>
      </w:r>
      <w:r>
        <w:rPr>
          <w:rFonts w:ascii="Arial" w:eastAsia="Arial" w:hAnsi="Arial" w:cs="Arial"/>
          <w:b/>
          <w:i/>
          <w:color w:val="000000"/>
          <w:sz w:val="20"/>
          <w:u w:val="single"/>
        </w:rPr>
        <w:t>startups</w:t>
      </w:r>
      <w:r>
        <w:rPr>
          <w:rFonts w:ascii="Arial" w:eastAsia="Arial" w:hAnsi="Arial" w:cs="Arial"/>
          <w:color w:val="000000"/>
          <w:sz w:val="20"/>
        </w:rPr>
        <w:t xml:space="preserve"> in the country at the end of November.</w:t>
      </w:r>
    </w:p>
    <w:p w14:paraId="7B94AB9E" w14:textId="77777777" w:rsidR="00054BF0"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failures</w:t>
      </w:r>
      <w:r>
        <w:rPr>
          <w:rFonts w:ascii="Arial" w:eastAsia="Arial" w:hAnsi="Arial" w:cs="Arial"/>
          <w:color w:val="000000"/>
          <w:sz w:val="20"/>
        </w:rPr>
        <w:t xml:space="preserve"> is a very high probability. Though I must say,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the Minister of Commerce &amp; Industry said on 14 December.</w:t>
      </w:r>
    </w:p>
    <w:p w14:paraId="1188BAC5" w14:textId="77777777" w:rsidR="00054BF0" w:rsidRDefault="00000000">
      <w:pPr>
        <w:spacing w:before="200" w:line="260" w:lineRule="atLeast"/>
        <w:jc w:val="both"/>
      </w:pPr>
      <w:r>
        <w:rPr>
          <w:rFonts w:ascii="Arial" w:eastAsia="Arial" w:hAnsi="Arial" w:cs="Arial"/>
          <w:color w:val="000000"/>
          <w:sz w:val="20"/>
        </w:rPr>
        <w:t xml:space="preserve">He added that the recognised </w:t>
      </w:r>
      <w:r>
        <w:rPr>
          <w:rFonts w:ascii="Arial" w:eastAsia="Arial" w:hAnsi="Arial" w:cs="Arial"/>
          <w:b/>
          <w:i/>
          <w:color w:val="000000"/>
          <w:sz w:val="20"/>
          <w:u w:val="single"/>
        </w:rPr>
        <w:t>startups</w:t>
      </w:r>
      <w:r>
        <w:rPr>
          <w:rFonts w:ascii="Arial" w:eastAsia="Arial" w:hAnsi="Arial" w:cs="Arial"/>
          <w:color w:val="000000"/>
          <w:sz w:val="20"/>
        </w:rPr>
        <w:t xml:space="preserve"> in the country have increased from 452 in 2016 to 84,012 as on November 30, 2022.</w:t>
      </w:r>
    </w:p>
    <w:p w14:paraId="4571E079" w14:textId="77777777" w:rsidR="00054BF0" w:rsidRDefault="00000000">
      <w:pPr>
        <w:spacing w:before="200" w:line="260" w:lineRule="atLeast"/>
        <w:jc w:val="both"/>
      </w:pPr>
      <w:r>
        <w:rPr>
          <w:rFonts w:ascii="Arial" w:eastAsia="Arial" w:hAnsi="Arial" w:cs="Arial"/>
          <w:color w:val="000000"/>
          <w:sz w:val="20"/>
        </w:rPr>
        <w:t xml:space="preserve">The Central government launched the </w:t>
      </w:r>
      <w:r>
        <w:rPr>
          <w:rFonts w:ascii="Arial" w:eastAsia="Arial" w:hAnsi="Arial" w:cs="Arial"/>
          <w:b/>
          <w:i/>
          <w:color w:val="000000"/>
          <w:sz w:val="20"/>
          <w:u w:val="single"/>
        </w:rPr>
        <w:t>Startup</w:t>
      </w:r>
      <w:r>
        <w:rPr>
          <w:rFonts w:ascii="Arial" w:eastAsia="Arial" w:hAnsi="Arial" w:cs="Arial"/>
          <w:color w:val="000000"/>
          <w:sz w:val="20"/>
        </w:rPr>
        <w:t xml:space="preserve"> India initiative on January 16, 2016 to boost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3CBD51AE" w14:textId="77777777" w:rsidR="00054BF0" w:rsidRDefault="00000000">
      <w:pPr>
        <w:spacing w:before="200" w:line="260" w:lineRule="atLeast"/>
        <w:jc w:val="both"/>
      </w:pPr>
      <w:r>
        <w:rPr>
          <w:rFonts w:ascii="Arial" w:eastAsia="Arial" w:hAnsi="Arial" w:cs="Arial"/>
          <w:color w:val="000000"/>
          <w:sz w:val="20"/>
        </w:rPr>
        <w:t xml:space="preserve">The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and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extend support to </w:t>
      </w:r>
      <w:r>
        <w:rPr>
          <w:rFonts w:ascii="Arial" w:eastAsia="Arial" w:hAnsi="Arial" w:cs="Arial"/>
          <w:b/>
          <w:i/>
          <w:color w:val="000000"/>
          <w:sz w:val="20"/>
          <w:u w:val="single"/>
        </w:rPr>
        <w:t>startups</w:t>
      </w:r>
      <w:r>
        <w:rPr>
          <w:rFonts w:ascii="Arial" w:eastAsia="Arial" w:hAnsi="Arial" w:cs="Arial"/>
          <w:color w:val="000000"/>
          <w:sz w:val="20"/>
        </w:rPr>
        <w:t xml:space="preserve"> at various stages of their business cycle.</w:t>
      </w:r>
    </w:p>
    <w:p w14:paraId="45F3643D" w14:textId="77777777" w:rsidR="00054BF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has been approved for four years </w:t>
      </w:r>
      <w:r>
        <w:rPr>
          <w:rFonts w:ascii="Arial" w:eastAsia="Arial" w:hAnsi="Arial" w:cs="Arial"/>
          <w:b/>
          <w:i/>
          <w:color w:val="000000"/>
          <w:sz w:val="20"/>
          <w:u w:val="single"/>
        </w:rPr>
        <w:t>starting</w:t>
      </w:r>
      <w:r>
        <w:rPr>
          <w:rFonts w:ascii="Arial" w:eastAsia="Arial" w:hAnsi="Arial" w:cs="Arial"/>
          <w:color w:val="000000"/>
          <w:sz w:val="20"/>
        </w:rPr>
        <w:t xml:space="preserve"> from 2021-22 and is being implemented with a corpus of Rs.945 crore.</w:t>
      </w:r>
    </w:p>
    <w:p w14:paraId="255964CF" w14:textId="77777777" w:rsidR="00054BF0" w:rsidRDefault="00000000">
      <w:pPr>
        <w:spacing w:before="200" w:line="260" w:lineRule="atLeast"/>
        <w:jc w:val="both"/>
      </w:pPr>
      <w:r>
        <w:rPr>
          <w:rFonts w:ascii="Arial" w:eastAsia="Arial" w:hAnsi="Arial" w:cs="Arial"/>
          <w:color w:val="000000"/>
          <w:sz w:val="20"/>
        </w:rPr>
        <w:t xml:space="preserve">It is aimed at providing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commercialisation.</w:t>
      </w:r>
    </w:p>
    <w:p w14:paraId="717D1B35" w14:textId="77777777" w:rsidR="00054BF0" w:rsidRDefault="00000000">
      <w:pPr>
        <w:spacing w:before="200" w:line="260" w:lineRule="atLeast"/>
        <w:jc w:val="both"/>
      </w:pPr>
      <w:r>
        <w:rPr>
          <w:rFonts w:ascii="Arial" w:eastAsia="Arial" w:hAnsi="Arial" w:cs="Arial"/>
          <w:color w:val="000000"/>
          <w:sz w:val="20"/>
        </w:rPr>
        <w:t xml:space="preserve">In separate news, the funding to Indian </w:t>
      </w:r>
      <w:r>
        <w:rPr>
          <w:rFonts w:ascii="Arial" w:eastAsia="Arial" w:hAnsi="Arial" w:cs="Arial"/>
          <w:b/>
          <w:i/>
          <w:color w:val="000000"/>
          <w:sz w:val="20"/>
          <w:u w:val="single"/>
        </w:rPr>
        <w:t>startups</w:t>
      </w:r>
      <w:r>
        <w:rPr>
          <w:rFonts w:ascii="Arial" w:eastAsia="Arial" w:hAnsi="Arial" w:cs="Arial"/>
          <w:color w:val="000000"/>
          <w:sz w:val="20"/>
        </w:rPr>
        <w:t xml:space="preserve"> has dropped significantly in 2022, as per a report by market intelligence platform Tracxn.</w:t>
      </w:r>
    </w:p>
    <w:p w14:paraId="6789C16E" w14:textId="77777777" w:rsidR="00054BF0" w:rsidRDefault="00000000">
      <w:pPr>
        <w:spacing w:before="200" w:line="260" w:lineRule="atLeast"/>
        <w:jc w:val="both"/>
      </w:pPr>
      <w:r>
        <w:rPr>
          <w:rFonts w:ascii="Arial" w:eastAsia="Arial" w:hAnsi="Arial" w:cs="Arial"/>
          <w:color w:val="000000"/>
          <w:sz w:val="20"/>
        </w:rPr>
        <w:t>The funding has been dropped by 35% to $24.7 billion in 2022 year-to-date payroll (YTD) in comparison to $37.2 billion in the same period last year.</w:t>
      </w:r>
    </w:p>
    <w:p w14:paraId="2ACE787F" w14:textId="77777777" w:rsidR="00054BF0" w:rsidRDefault="00000000">
      <w:pPr>
        <w:spacing w:before="200" w:line="260" w:lineRule="atLeast"/>
        <w:jc w:val="both"/>
      </w:pPr>
      <w:r>
        <w:rPr>
          <w:rFonts w:ascii="Arial" w:eastAsia="Arial" w:hAnsi="Arial" w:cs="Arial"/>
          <w:color w:val="000000"/>
          <w:sz w:val="20"/>
        </w:rPr>
        <w:t xml:space="preserve">According to the report, the late-stage funding for </w:t>
      </w:r>
      <w:r>
        <w:rPr>
          <w:rFonts w:ascii="Arial" w:eastAsia="Arial" w:hAnsi="Arial" w:cs="Arial"/>
          <w:b/>
          <w:i/>
          <w:color w:val="000000"/>
          <w:sz w:val="20"/>
          <w:u w:val="single"/>
        </w:rPr>
        <w:t>startups</w:t>
      </w:r>
      <w:r>
        <w:rPr>
          <w:rFonts w:ascii="Arial" w:eastAsia="Arial" w:hAnsi="Arial" w:cs="Arial"/>
          <w:color w:val="000000"/>
          <w:sz w:val="20"/>
        </w:rPr>
        <w:t xml:space="preserve"> also plunged by 45% from $29.3 billion between January and November 2021 to $16.1 billion for the same period in 2022.</w:t>
      </w:r>
    </w:p>
    <w:p w14:paraId="4DF16A51" w14:textId="77777777" w:rsidR="00054BF0" w:rsidRDefault="00000000">
      <w:pPr>
        <w:spacing w:before="200" w:line="260" w:lineRule="atLeast"/>
        <w:jc w:val="both"/>
      </w:pPr>
      <w:r>
        <w:rPr>
          <w:rFonts w:ascii="Arial" w:eastAsia="Arial" w:hAnsi="Arial" w:cs="Arial"/>
          <w:color w:val="000000"/>
          <w:sz w:val="20"/>
        </w:rPr>
        <w:t>Tracxn report stated that BYJU'S ($965 million, Series F), VerSe ($805 million, Series J), Swiggy ($700 million, Series J), Tata Passenger ($496 million, Series D), and Polygon ($450 million, Series E) were the top firms that cleared the top funding round in the past one year.</w:t>
      </w:r>
    </w:p>
    <w:p w14:paraId="41887886" w14:textId="77777777" w:rsidR="00054BF0" w:rsidRDefault="00000000">
      <w:pPr>
        <w:spacing w:before="200" w:line="260" w:lineRule="atLeast"/>
        <w:jc w:val="both"/>
      </w:pPr>
      <w:r>
        <w:rPr>
          <w:rFonts w:ascii="Arial" w:eastAsia="Arial" w:hAnsi="Arial" w:cs="Arial"/>
          <w:color w:val="000000"/>
          <w:sz w:val="20"/>
        </w:rPr>
        <w:lastRenderedPageBreak/>
        <w:t xml:space="preserve">Contrary to this report, London-based management consultancy GlobalData, stated that the country's </w:t>
      </w:r>
      <w:r>
        <w:rPr>
          <w:rFonts w:ascii="Arial" w:eastAsia="Arial" w:hAnsi="Arial" w:cs="Arial"/>
          <w:b/>
          <w:i/>
          <w:color w:val="000000"/>
          <w:sz w:val="20"/>
          <w:u w:val="single"/>
        </w:rPr>
        <w:t>startup</w:t>
      </w:r>
      <w:r>
        <w:rPr>
          <w:rFonts w:ascii="Arial" w:eastAsia="Arial" w:hAnsi="Arial" w:cs="Arial"/>
          <w:color w:val="000000"/>
          <w:sz w:val="20"/>
        </w:rPr>
        <w:t xml:space="preserve"> ecosystem saw a 7.5% year-on-year rise in the number of venture capital deals during January-October.</w:t>
      </w:r>
    </w:p>
    <w:p w14:paraId="2B847104" w14:textId="77777777" w:rsidR="00054BF0" w:rsidRDefault="00000000">
      <w:pPr>
        <w:spacing w:before="200" w:line="260" w:lineRule="atLeast"/>
        <w:jc w:val="both"/>
      </w:pPr>
      <w:r>
        <w:rPr>
          <w:rFonts w:ascii="Arial" w:eastAsia="Arial" w:hAnsi="Arial" w:cs="Arial"/>
          <w:color w:val="000000"/>
          <w:sz w:val="20"/>
        </w:rPr>
        <w:t>But the total value of these deals declined 29.8% y-o-y during the period under review, as per a report.</w:t>
      </w:r>
    </w:p>
    <w:p w14:paraId="12F0731C" w14:textId="77777777" w:rsidR="00054BF0" w:rsidRDefault="00000000">
      <w:pPr>
        <w:spacing w:before="200" w:line="260" w:lineRule="atLeast"/>
        <w:jc w:val="both"/>
      </w:pPr>
      <w:r>
        <w:rPr>
          <w:rFonts w:ascii="Arial" w:eastAsia="Arial" w:hAnsi="Arial" w:cs="Arial"/>
          <w:color w:val="000000"/>
          <w:sz w:val="20"/>
        </w:rPr>
        <w:t xml:space="preserve">According to the analysis, Indian </w:t>
      </w:r>
      <w:r>
        <w:rPr>
          <w:rFonts w:ascii="Arial" w:eastAsia="Arial" w:hAnsi="Arial" w:cs="Arial"/>
          <w:b/>
          <w:i/>
          <w:color w:val="000000"/>
          <w:sz w:val="20"/>
          <w:u w:val="single"/>
        </w:rPr>
        <w:t>startups</w:t>
      </w:r>
      <w:r>
        <w:rPr>
          <w:rFonts w:ascii="Arial" w:eastAsia="Arial" w:hAnsi="Arial" w:cs="Arial"/>
          <w:color w:val="000000"/>
          <w:sz w:val="20"/>
        </w:rPr>
        <w:t xml:space="preserve"> raised $19.3 billion across 1,456 deals in venture capital (VC) between January and October, against $27.5 billion across 1,355 deals in this period.</w:t>
      </w:r>
    </w:p>
    <w:p w14:paraId="2D7CA5AE"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338" w:history="1">
        <w:r>
          <w:rPr>
            <w:rFonts w:ascii="Arial" w:eastAsia="Arial" w:hAnsi="Arial" w:cs="Arial"/>
            <w:i/>
            <w:color w:val="0077CC"/>
            <w:sz w:val="20"/>
            <w:u w:val="single"/>
            <w:shd w:val="clear" w:color="auto" w:fill="FFFFFF"/>
          </w:rPr>
          <w:t>contentservices@htlive.com</w:t>
        </w:r>
      </w:hyperlink>
    </w:p>
    <w:p w14:paraId="21ECDA02"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14, 2022</w:t>
      </w:r>
    </w:p>
    <w:p w14:paraId="16743162" w14:textId="77777777" w:rsidR="00054BF0" w:rsidRDefault="00054BF0"/>
    <w:p w14:paraId="029727FD" w14:textId="77777777" w:rsidR="00054BF0" w:rsidRDefault="00000000">
      <w:pPr>
        <w:ind w:left="200"/>
        <w:sectPr w:rsidR="00054BF0">
          <w:type w:val="continuous"/>
          <w:pgSz w:w="12240" w:h="15840"/>
          <w:pgMar w:top="840" w:right="1000" w:bottom="840" w:left="1000" w:header="400" w:footer="400" w:gutter="0"/>
          <w:cols w:space="720"/>
        </w:sectPr>
      </w:pPr>
      <w:r>
        <w:br/>
      </w:r>
      <w:r>
        <w:pict w14:anchorId="27F9D3D2">
          <v:line id="_x0000_s2103" style="position:absolute;left:0;text-align:left;z-index:251691008;mso-position-horizontal-relative:text;mso-position-vertical-relative:text" from="0,10pt" to="512pt,10pt" strokeweight="1pt"/>
        </w:pict>
      </w:r>
      <w:r>
        <w:rPr>
          <w:rFonts w:ascii="Arial" w:eastAsia="Arial" w:hAnsi="Arial" w:cs="Arial"/>
          <w:b/>
          <w:color w:val="767676"/>
          <w:sz w:val="16"/>
        </w:rPr>
        <w:t>End of Document</w:t>
      </w:r>
    </w:p>
    <w:p w14:paraId="7BE5CEE7" w14:textId="77777777" w:rsidR="00054BF0" w:rsidRDefault="00054BF0">
      <w:pPr>
        <w:sectPr w:rsidR="00054BF0">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gutter="0"/>
          <w:cols w:space="720"/>
          <w:titlePg/>
        </w:sectPr>
      </w:pPr>
    </w:p>
    <w:p w14:paraId="3A3F6463" w14:textId="77777777" w:rsidR="00054BF0" w:rsidRDefault="00054BF0">
      <w:bookmarkStart w:id="32" w:name="Bookmark_17"/>
      <w:bookmarkEnd w:id="32"/>
    </w:p>
    <w:p w14:paraId="2CFB0D19" w14:textId="77777777" w:rsidR="00054BF0" w:rsidRDefault="00BE2275">
      <w:r>
        <w:pict w14:anchorId="363FDC0F">
          <v:shape id="_x0000_i1048" type="#_x0000_t75" alt="LexisNexis®" style="width:148pt;height:30pt">
            <v:imagedata r:id="rId6" o:title=""/>
          </v:shape>
        </w:pict>
      </w:r>
      <w:r w:rsidR="00A540D1">
        <w:cr/>
      </w:r>
    </w:p>
    <w:p w14:paraId="36323779" w14:textId="77777777" w:rsidR="00054BF0" w:rsidRDefault="00000000">
      <w:pPr>
        <w:spacing w:before="240" w:after="200" w:line="340" w:lineRule="atLeast"/>
        <w:jc w:val="center"/>
        <w:outlineLvl w:val="0"/>
        <w:rPr>
          <w:rFonts w:ascii="Arial" w:hAnsi="Arial" w:cs="Arial"/>
          <w:b/>
          <w:bCs/>
          <w:kern w:val="32"/>
          <w:sz w:val="32"/>
          <w:szCs w:val="32"/>
        </w:rPr>
      </w:pPr>
      <w:hyperlink r:id="rId345" w:history="1">
        <w:r>
          <w:rPr>
            <w:rFonts w:ascii="Arial" w:eastAsia="Arial" w:hAnsi="Arial" w:cs="Arial"/>
            <w:b/>
            <w:bCs/>
            <w:i/>
            <w:color w:val="0077CC"/>
            <w:kern w:val="32"/>
            <w:sz w:val="28"/>
            <w:szCs w:val="32"/>
            <w:u w:val="single"/>
            <w:shd w:val="clear" w:color="auto" w:fill="FFFFFF"/>
          </w:rPr>
          <w:t xml:space="preserve">Budget 2019: 7 most critical areas where </w:t>
        </w:r>
      </w:hyperlink>
      <w:hyperlink r:id="rId346" w:history="1">
        <w:r>
          <w:rPr>
            <w:rFonts w:ascii="Arial" w:eastAsia="Arial" w:hAnsi="Arial" w:cs="Arial"/>
            <w:b/>
            <w:bCs/>
            <w:i/>
            <w:color w:val="0077CC"/>
            <w:kern w:val="32"/>
            <w:sz w:val="28"/>
            <w:szCs w:val="32"/>
            <w:u w:val="single"/>
            <w:shd w:val="clear" w:color="auto" w:fill="FFFFFF"/>
          </w:rPr>
          <w:t>startups</w:t>
        </w:r>
      </w:hyperlink>
      <w:hyperlink r:id="rId347" w:history="1">
        <w:r>
          <w:rPr>
            <w:rFonts w:ascii="Arial" w:eastAsia="Arial" w:hAnsi="Arial" w:cs="Arial"/>
            <w:b/>
            <w:bCs/>
            <w:i/>
            <w:color w:val="0077CC"/>
            <w:kern w:val="32"/>
            <w:sz w:val="28"/>
            <w:szCs w:val="32"/>
            <w:u w:val="single"/>
            <w:shd w:val="clear" w:color="auto" w:fill="FFFFFF"/>
          </w:rPr>
          <w:t xml:space="preserve"> want government to focus on; Budget 2019: India despite being the third largest </w:t>
        </w:r>
      </w:hyperlink>
      <w:hyperlink r:id="rId348" w:history="1">
        <w:r>
          <w:rPr>
            <w:rFonts w:ascii="Arial" w:eastAsia="Arial" w:hAnsi="Arial" w:cs="Arial"/>
            <w:b/>
            <w:bCs/>
            <w:i/>
            <w:color w:val="0077CC"/>
            <w:kern w:val="32"/>
            <w:sz w:val="28"/>
            <w:szCs w:val="32"/>
            <w:u w:val="single"/>
            <w:shd w:val="clear" w:color="auto" w:fill="FFFFFF"/>
          </w:rPr>
          <w:t>startup</w:t>
        </w:r>
      </w:hyperlink>
      <w:hyperlink r:id="rId349" w:history="1">
        <w:r>
          <w:rPr>
            <w:rFonts w:ascii="Arial" w:eastAsia="Arial" w:hAnsi="Arial" w:cs="Arial"/>
            <w:b/>
            <w:bCs/>
            <w:i/>
            <w:color w:val="0077CC"/>
            <w:kern w:val="32"/>
            <w:sz w:val="28"/>
            <w:szCs w:val="32"/>
            <w:u w:val="single"/>
            <w:shd w:val="clear" w:color="auto" w:fill="FFFFFF"/>
          </w:rPr>
          <w:t xml:space="preserve"> ecosystem in the world, does not have a single world-class Indian product spawned out of India.</w:t>
        </w:r>
      </w:hyperlink>
    </w:p>
    <w:p w14:paraId="3F86EA0F" w14:textId="77777777" w:rsidR="00054BF0" w:rsidRDefault="00000000">
      <w:pPr>
        <w:spacing w:before="120" w:line="260" w:lineRule="atLeast"/>
        <w:jc w:val="center"/>
      </w:pPr>
      <w:r>
        <w:rPr>
          <w:rFonts w:ascii="Arial" w:eastAsia="Arial" w:hAnsi="Arial" w:cs="Arial"/>
          <w:color w:val="000000"/>
          <w:sz w:val="20"/>
        </w:rPr>
        <w:t>The Financial Express</w:t>
      </w:r>
    </w:p>
    <w:p w14:paraId="35CE17C4" w14:textId="77777777" w:rsidR="00054BF0" w:rsidRDefault="00000000">
      <w:pPr>
        <w:spacing w:before="120" w:line="260" w:lineRule="atLeast"/>
        <w:jc w:val="center"/>
      </w:pPr>
      <w:r>
        <w:rPr>
          <w:rFonts w:ascii="Arial" w:eastAsia="Arial" w:hAnsi="Arial" w:cs="Arial"/>
          <w:color w:val="000000"/>
          <w:sz w:val="20"/>
        </w:rPr>
        <w:t>January 28, 2019 Monday</w:t>
      </w:r>
    </w:p>
    <w:p w14:paraId="3E729DA2" w14:textId="77777777" w:rsidR="00054BF0" w:rsidRDefault="00054BF0">
      <w:pPr>
        <w:spacing w:line="240" w:lineRule="atLeast"/>
        <w:jc w:val="both"/>
      </w:pPr>
    </w:p>
    <w:p w14:paraId="4E162B1D" w14:textId="77777777" w:rsidR="00054BF0" w:rsidRDefault="00000000">
      <w:pPr>
        <w:spacing w:before="120" w:line="220" w:lineRule="atLeast"/>
      </w:pPr>
      <w:r>
        <w:br/>
      </w:r>
      <w:r>
        <w:rPr>
          <w:rFonts w:ascii="Arial" w:eastAsia="Arial" w:hAnsi="Arial" w:cs="Arial"/>
          <w:color w:val="000000"/>
          <w:sz w:val="16"/>
        </w:rPr>
        <w:t>Copyright 2019 The Financial Express, distributed by Contify.com All Rights Reserved</w:t>
      </w:r>
    </w:p>
    <w:p w14:paraId="4380DA84"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842 words</w:t>
      </w:r>
    </w:p>
    <w:p w14:paraId="414BD1C5"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Suresh Jayaraju</w:t>
      </w:r>
    </w:p>
    <w:p w14:paraId="14BB47EA" w14:textId="77777777" w:rsidR="00054BF0" w:rsidRDefault="00000000">
      <w:pPr>
        <w:keepNext/>
        <w:spacing w:before="240" w:line="340" w:lineRule="atLeast"/>
      </w:pPr>
      <w:bookmarkStart w:id="33" w:name="Body_15"/>
      <w:bookmarkEnd w:id="33"/>
      <w:r>
        <w:rPr>
          <w:rFonts w:ascii="Arial" w:eastAsia="Arial" w:hAnsi="Arial" w:cs="Arial"/>
          <w:b/>
          <w:color w:val="000000"/>
          <w:sz w:val="28"/>
        </w:rPr>
        <w:t>Body</w:t>
      </w:r>
    </w:p>
    <w:p w14:paraId="6FC28B36" w14:textId="77777777" w:rsidR="00054BF0" w:rsidRDefault="00000000">
      <w:pPr>
        <w:spacing w:line="60" w:lineRule="exact"/>
      </w:pPr>
      <w:r>
        <w:pict w14:anchorId="4AE9EAD7">
          <v:line id="_x0000_s2105" style="position:absolute;z-index:251692032" from="0,2pt" to="512pt,2pt" strokecolor="#009ddb" strokeweight="2pt">
            <w10:wrap type="topAndBottom"/>
          </v:line>
        </w:pict>
      </w:r>
    </w:p>
    <w:p w14:paraId="15638118" w14:textId="77777777" w:rsidR="00054BF0" w:rsidRDefault="00054BF0"/>
    <w:p w14:paraId="255C2D8B" w14:textId="77777777" w:rsidR="00054BF0" w:rsidRDefault="00000000">
      <w:pPr>
        <w:spacing w:before="200" w:line="260" w:lineRule="atLeast"/>
        <w:jc w:val="both"/>
      </w:pPr>
      <w:r>
        <w:rPr>
          <w:rFonts w:ascii="Arial" w:eastAsia="Arial" w:hAnsi="Arial" w:cs="Arial"/>
          <w:color w:val="000000"/>
          <w:sz w:val="20"/>
        </w:rPr>
        <w:t xml:space="preserve">Budget 2019: India despite being the third largest </w:t>
      </w:r>
      <w:r>
        <w:rPr>
          <w:rFonts w:ascii="Arial" w:eastAsia="Arial" w:hAnsi="Arial" w:cs="Arial"/>
          <w:b/>
          <w:i/>
          <w:color w:val="000000"/>
          <w:sz w:val="20"/>
          <w:u w:val="single"/>
        </w:rPr>
        <w:t>startup</w:t>
      </w:r>
      <w:r>
        <w:rPr>
          <w:rFonts w:ascii="Arial" w:eastAsia="Arial" w:hAnsi="Arial" w:cs="Arial"/>
          <w:color w:val="000000"/>
          <w:sz w:val="20"/>
        </w:rPr>
        <w:t xml:space="preserve"> ecosystem in the world, does not have a single world-class Indian product spawned out of India.</w:t>
      </w:r>
    </w:p>
    <w:p w14:paraId="5C4BED55" w14:textId="77777777" w:rsidR="00054BF0" w:rsidRDefault="00000000">
      <w:pPr>
        <w:spacing w:before="200" w:line="260" w:lineRule="atLeast"/>
        <w:jc w:val="both"/>
      </w:pPr>
      <w:r>
        <w:rPr>
          <w:rFonts w:ascii="Arial" w:eastAsia="Arial" w:hAnsi="Arial" w:cs="Arial"/>
          <w:color w:val="000000"/>
          <w:sz w:val="20"/>
        </w:rPr>
        <w:t xml:space="preserve">Budget 2019: While we have a huge base of </w:t>
      </w:r>
      <w:r>
        <w:rPr>
          <w:rFonts w:ascii="Arial" w:eastAsia="Arial" w:hAnsi="Arial" w:cs="Arial"/>
          <w:b/>
          <w:i/>
          <w:color w:val="000000"/>
          <w:sz w:val="20"/>
          <w:u w:val="single"/>
        </w:rPr>
        <w:t>startups</w:t>
      </w:r>
      <w:r>
        <w:rPr>
          <w:rFonts w:ascii="Arial" w:eastAsia="Arial" w:hAnsi="Arial" w:cs="Arial"/>
          <w:color w:val="000000"/>
          <w:sz w:val="20"/>
        </w:rPr>
        <w:t xml:space="preserve"> progressing across sectors and technologies, a quick look at the ecosystem in 2019 points to arguably multiple detriments holding back the ecosystem including a virtual lack of early-stage funding and lack of world-class products from India. Here are a few areas in which the India budget can help nurture and support early-stage </w:t>
      </w:r>
      <w:r>
        <w:rPr>
          <w:rFonts w:ascii="Arial" w:eastAsia="Arial" w:hAnsi="Arial" w:cs="Arial"/>
          <w:b/>
          <w:i/>
          <w:color w:val="000000"/>
          <w:sz w:val="20"/>
          <w:u w:val="single"/>
        </w:rPr>
        <w:t>startups</w:t>
      </w:r>
      <w:r>
        <w:rPr>
          <w:rFonts w:ascii="Arial" w:eastAsia="Arial" w:hAnsi="Arial" w:cs="Arial"/>
          <w:color w:val="000000"/>
          <w:sz w:val="20"/>
        </w:rPr>
        <w:t xml:space="preserve"> based on the feedback we obtained from more than 50 </w:t>
      </w:r>
      <w:r>
        <w:rPr>
          <w:rFonts w:ascii="Arial" w:eastAsia="Arial" w:hAnsi="Arial" w:cs="Arial"/>
          <w:b/>
          <w:i/>
          <w:color w:val="000000"/>
          <w:sz w:val="20"/>
          <w:u w:val="single"/>
        </w:rPr>
        <w:t>startups</w:t>
      </w:r>
      <w:r>
        <w:rPr>
          <w:rFonts w:ascii="Arial" w:eastAsia="Arial" w:hAnsi="Arial" w:cs="Arial"/>
          <w:color w:val="000000"/>
          <w:sz w:val="20"/>
        </w:rPr>
        <w:t xml:space="preserve"> across 7 cities in India:</w:t>
      </w:r>
    </w:p>
    <w:p w14:paraId="67DCCCCA" w14:textId="77777777" w:rsidR="00054BF0" w:rsidRDefault="00000000">
      <w:pPr>
        <w:spacing w:before="200" w:line="260" w:lineRule="atLeast"/>
        <w:jc w:val="both"/>
      </w:pPr>
      <w:r>
        <w:rPr>
          <w:rFonts w:ascii="Arial" w:eastAsia="Arial" w:hAnsi="Arial" w:cs="Arial"/>
          <w:color w:val="000000"/>
          <w:sz w:val="20"/>
        </w:rPr>
        <w:t xml:space="preserve">Virtual lack of funding: Funding for early-stage </w:t>
      </w:r>
      <w:r>
        <w:rPr>
          <w:rFonts w:ascii="Arial" w:eastAsia="Arial" w:hAnsi="Arial" w:cs="Arial"/>
          <w:b/>
          <w:i/>
          <w:color w:val="000000"/>
          <w:sz w:val="20"/>
          <w:u w:val="single"/>
        </w:rPr>
        <w:t>startups</w:t>
      </w:r>
      <w:r>
        <w:rPr>
          <w:rFonts w:ascii="Arial" w:eastAsia="Arial" w:hAnsi="Arial" w:cs="Arial"/>
          <w:color w:val="000000"/>
          <w:sz w:val="20"/>
        </w:rPr>
        <w:t xml:space="preserve"> in India is one of the lowest in the world. What seems like yet another part of the overall construct of the </w:t>
      </w:r>
      <w:r>
        <w:rPr>
          <w:rFonts w:ascii="Arial" w:eastAsia="Arial" w:hAnsi="Arial" w:cs="Arial"/>
          <w:b/>
          <w:i/>
          <w:color w:val="000000"/>
          <w:sz w:val="20"/>
          <w:u w:val="single"/>
        </w:rPr>
        <w:t>startup</w:t>
      </w:r>
      <w:r>
        <w:rPr>
          <w:rFonts w:ascii="Arial" w:eastAsia="Arial" w:hAnsi="Arial" w:cs="Arial"/>
          <w:color w:val="000000"/>
          <w:sz w:val="20"/>
        </w:rPr>
        <w:t xml:space="preserve"> evolution process, angel or early-Stage funding is probably the most important part of the entire ecosystem. Mistakes at this stage are liable to have more severe consequences as one goes </w:t>
      </w:r>
      <w:r>
        <w:rPr>
          <w:rFonts w:ascii="Arial" w:eastAsia="Arial" w:hAnsi="Arial" w:cs="Arial"/>
          <w:b/>
          <w:i/>
          <w:color w:val="000000"/>
          <w:sz w:val="20"/>
          <w:u w:val="single"/>
        </w:rPr>
        <w:t>up</w:t>
      </w:r>
      <w:r>
        <w:rPr>
          <w:rFonts w:ascii="Arial" w:eastAsia="Arial" w:hAnsi="Arial" w:cs="Arial"/>
          <w:color w:val="000000"/>
          <w:sz w:val="20"/>
        </w:rPr>
        <w:t xml:space="preserve"> the proverbial value chain.</w:t>
      </w:r>
    </w:p>
    <w:p w14:paraId="1CA94557" w14:textId="77777777" w:rsidR="00054BF0" w:rsidRDefault="00000000">
      <w:pPr>
        <w:spacing w:before="200" w:line="260" w:lineRule="atLeast"/>
        <w:jc w:val="both"/>
      </w:pPr>
      <w:r>
        <w:rPr>
          <w:rFonts w:ascii="Arial" w:eastAsia="Arial" w:hAnsi="Arial" w:cs="Arial"/>
          <w:color w:val="000000"/>
          <w:sz w:val="20"/>
        </w:rPr>
        <w:t xml:space="preserve">Taxation: Why should a fledgeling ecosystem like </w:t>
      </w:r>
      <w:r>
        <w:rPr>
          <w:rFonts w:ascii="Arial" w:eastAsia="Arial" w:hAnsi="Arial" w:cs="Arial"/>
          <w:b/>
          <w:i/>
          <w:color w:val="000000"/>
          <w:sz w:val="20"/>
          <w:u w:val="single"/>
        </w:rPr>
        <w:t>startups</w:t>
      </w:r>
      <w:r>
        <w:rPr>
          <w:rFonts w:ascii="Arial" w:eastAsia="Arial" w:hAnsi="Arial" w:cs="Arial"/>
          <w:color w:val="000000"/>
          <w:sz w:val="20"/>
        </w:rPr>
        <w:t xml:space="preserve"> be taxed on multiple fronts? GST and SGST should be either charged at extremely low rates or be left out completely in the first 7 years after inception. To add, Income tax for employees at </w:t>
      </w:r>
      <w:r>
        <w:rPr>
          <w:rFonts w:ascii="Arial" w:eastAsia="Arial" w:hAnsi="Arial" w:cs="Arial"/>
          <w:b/>
          <w:i/>
          <w:color w:val="000000"/>
          <w:sz w:val="20"/>
          <w:u w:val="single"/>
        </w:rPr>
        <w:t>startups</w:t>
      </w:r>
      <w:r>
        <w:rPr>
          <w:rFonts w:ascii="Arial" w:eastAsia="Arial" w:hAnsi="Arial" w:cs="Arial"/>
          <w:color w:val="000000"/>
          <w:sz w:val="20"/>
        </w:rPr>
        <w:t xml:space="preserve"> needs a relook, given that most </w:t>
      </w:r>
      <w:r>
        <w:rPr>
          <w:rFonts w:ascii="Arial" w:eastAsia="Arial" w:hAnsi="Arial" w:cs="Arial"/>
          <w:b/>
          <w:i/>
          <w:color w:val="000000"/>
          <w:sz w:val="20"/>
          <w:u w:val="single"/>
        </w:rPr>
        <w:t>startup</w:t>
      </w:r>
      <w:r>
        <w:rPr>
          <w:rFonts w:ascii="Arial" w:eastAsia="Arial" w:hAnsi="Arial" w:cs="Arial"/>
          <w:color w:val="000000"/>
          <w:sz w:val="20"/>
        </w:rPr>
        <w:t xml:space="preserve"> founders and employees join these ventures taking a pay cut. Moreover, the threat of closure looms large as </w:t>
      </w:r>
      <w:r>
        <w:rPr>
          <w:rFonts w:ascii="Arial" w:eastAsia="Arial" w:hAnsi="Arial" w:cs="Arial"/>
          <w:b/>
          <w:i/>
          <w:color w:val="000000"/>
          <w:sz w:val="20"/>
          <w:u w:val="single"/>
        </w:rPr>
        <w:t>startups</w:t>
      </w:r>
      <w:r>
        <w:rPr>
          <w:rFonts w:ascii="Arial" w:eastAsia="Arial" w:hAnsi="Arial" w:cs="Arial"/>
          <w:color w:val="000000"/>
          <w:sz w:val="20"/>
        </w:rPr>
        <w:t xml:space="preserve"> by their very definition function in a challenging environment. It is common knowledge now that 80% of </w:t>
      </w:r>
      <w:r>
        <w:rPr>
          <w:rFonts w:ascii="Arial" w:eastAsia="Arial" w:hAnsi="Arial" w:cs="Arial"/>
          <w:b/>
          <w:i/>
          <w:color w:val="000000"/>
          <w:sz w:val="20"/>
          <w:u w:val="single"/>
        </w:rPr>
        <w:t>startups</w:t>
      </w:r>
      <w:r>
        <w:rPr>
          <w:rFonts w:ascii="Arial" w:eastAsia="Arial" w:hAnsi="Arial" w:cs="Arial"/>
          <w:color w:val="000000"/>
          <w:sz w:val="20"/>
        </w:rPr>
        <w:t xml:space="preserve"> fail in the first 3-5 years.</w:t>
      </w:r>
    </w:p>
    <w:p w14:paraId="24D5D9EC" w14:textId="77777777" w:rsidR="00054BF0" w:rsidRDefault="00000000">
      <w:pPr>
        <w:spacing w:before="200" w:line="260" w:lineRule="atLeast"/>
        <w:jc w:val="both"/>
      </w:pPr>
      <w:r>
        <w:rPr>
          <w:rFonts w:ascii="Arial" w:eastAsia="Arial" w:hAnsi="Arial" w:cs="Arial"/>
          <w:color w:val="000000"/>
          <w:sz w:val="20"/>
        </w:rPr>
        <w:t xml:space="preserve">Angel tax, which came into effect 5 years back has experienced constant contention within the community. Investments in </w:t>
      </w:r>
      <w:r>
        <w:rPr>
          <w:rFonts w:ascii="Arial" w:eastAsia="Arial" w:hAnsi="Arial" w:cs="Arial"/>
          <w:b/>
          <w:i/>
          <w:color w:val="000000"/>
          <w:sz w:val="20"/>
          <w:u w:val="single"/>
        </w:rPr>
        <w:t>startups</w:t>
      </w:r>
      <w:r>
        <w:rPr>
          <w:rFonts w:ascii="Arial" w:eastAsia="Arial" w:hAnsi="Arial" w:cs="Arial"/>
          <w:color w:val="000000"/>
          <w:sz w:val="20"/>
        </w:rPr>
        <w:t xml:space="preserve"> should not warrant tax, especially if they are related to longer-term gains in the capital. We need to handhold the supporting ecosystem of investors to get them to fire the ecosystem. Angel investments are fraught with the highest level of risks/</w:t>
      </w:r>
      <w:r>
        <w:rPr>
          <w:rFonts w:ascii="Arial" w:eastAsia="Arial" w:hAnsi="Arial" w:cs="Arial"/>
          <w:b/>
          <w:i/>
          <w:color w:val="000000"/>
          <w:sz w:val="20"/>
          <w:u w:val="single"/>
        </w:rPr>
        <w:t>failures</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so can we avoid taxing them? It's a very small base which has managed to grow successfully, after all.</w:t>
      </w:r>
    </w:p>
    <w:p w14:paraId="3B15F8DE" w14:textId="77777777" w:rsidR="00054BF0" w:rsidRDefault="00000000">
      <w:pPr>
        <w:spacing w:before="200" w:line="260" w:lineRule="atLeast"/>
        <w:jc w:val="both"/>
      </w:pPr>
      <w:r>
        <w:rPr>
          <w:rFonts w:ascii="Arial" w:eastAsia="Arial" w:hAnsi="Arial" w:cs="Arial"/>
          <w:color w:val="000000"/>
          <w:sz w:val="20"/>
        </w:rPr>
        <w:t xml:space="preserve">Obtaining grants: There's an obvious anomaly in the availability of funds and the ease of obtaining the same including government grants. Unfortunately, the large sums on offer as grants haven't been actually deployed to </w:t>
      </w:r>
      <w:r>
        <w:rPr>
          <w:rFonts w:ascii="Arial" w:eastAsia="Arial" w:hAnsi="Arial" w:cs="Arial"/>
          <w:b/>
          <w:i/>
          <w:color w:val="000000"/>
          <w:sz w:val="20"/>
          <w:u w:val="single"/>
        </w:rPr>
        <w:lastRenderedPageBreak/>
        <w:t>startups</w:t>
      </w:r>
      <w:r>
        <w:rPr>
          <w:rFonts w:ascii="Arial" w:eastAsia="Arial" w:hAnsi="Arial" w:cs="Arial"/>
          <w:color w:val="000000"/>
          <w:sz w:val="20"/>
        </w:rPr>
        <w:t>. It's a typical case of over-regulation, lack of clear information and guidelines on how to obtain the grants and funds which have led to a very small fraction of the Fund of Funds getting disbursed.</w:t>
      </w:r>
    </w:p>
    <w:p w14:paraId="54F93716" w14:textId="77777777" w:rsidR="00054BF0" w:rsidRDefault="00000000">
      <w:pPr>
        <w:spacing w:before="200" w:line="260" w:lineRule="atLeast"/>
        <w:jc w:val="both"/>
      </w:pPr>
      <w:r>
        <w:rPr>
          <w:rFonts w:ascii="Arial" w:eastAsia="Arial" w:hAnsi="Arial" w:cs="Arial"/>
          <w:color w:val="000000"/>
          <w:sz w:val="20"/>
        </w:rPr>
        <w:t xml:space="preserve">World class ecosystem: India despite being the third largest </w:t>
      </w:r>
      <w:r>
        <w:rPr>
          <w:rFonts w:ascii="Arial" w:eastAsia="Arial" w:hAnsi="Arial" w:cs="Arial"/>
          <w:b/>
          <w:i/>
          <w:color w:val="000000"/>
          <w:sz w:val="20"/>
          <w:u w:val="single"/>
        </w:rPr>
        <w:t>startup</w:t>
      </w:r>
      <w:r>
        <w:rPr>
          <w:rFonts w:ascii="Arial" w:eastAsia="Arial" w:hAnsi="Arial" w:cs="Arial"/>
          <w:color w:val="000000"/>
          <w:sz w:val="20"/>
        </w:rPr>
        <w:t xml:space="preserve"> ecosystem in the world, does not have a single world-class Indian product spawned out of India, even if they are setting out to solve India specific problems. The most successful </w:t>
      </w:r>
      <w:r>
        <w:rPr>
          <w:rFonts w:ascii="Arial" w:eastAsia="Arial" w:hAnsi="Arial" w:cs="Arial"/>
          <w:b/>
          <w:i/>
          <w:color w:val="000000"/>
          <w:sz w:val="20"/>
          <w:u w:val="single"/>
        </w:rPr>
        <w:t>startups</w:t>
      </w:r>
      <w:r>
        <w:rPr>
          <w:rFonts w:ascii="Arial" w:eastAsia="Arial" w:hAnsi="Arial" w:cs="Arial"/>
          <w:color w:val="000000"/>
          <w:sz w:val="20"/>
        </w:rPr>
        <w:t xml:space="preserve"> in India including the ambitious aspirants want to be based out of Singapore, the US or even new-age </w:t>
      </w:r>
      <w:r>
        <w:rPr>
          <w:rFonts w:ascii="Arial" w:eastAsia="Arial" w:hAnsi="Arial" w:cs="Arial"/>
          <w:b/>
          <w:i/>
          <w:color w:val="000000"/>
          <w:sz w:val="20"/>
          <w:u w:val="single"/>
        </w:rPr>
        <w:t>startup</w:t>
      </w:r>
      <w:r>
        <w:rPr>
          <w:rFonts w:ascii="Arial" w:eastAsia="Arial" w:hAnsi="Arial" w:cs="Arial"/>
          <w:color w:val="000000"/>
          <w:sz w:val="20"/>
        </w:rPr>
        <w:t xml:space="preserve"> destinations like Estonia and Canada.</w:t>
      </w:r>
    </w:p>
    <w:p w14:paraId="77C32A0B" w14:textId="77777777" w:rsidR="00054BF0" w:rsidRDefault="00000000">
      <w:pPr>
        <w:spacing w:before="200" w:line="260" w:lineRule="atLeast"/>
        <w:jc w:val="both"/>
      </w:pPr>
      <w:r>
        <w:rPr>
          <w:rFonts w:ascii="Arial" w:eastAsia="Arial" w:hAnsi="Arial" w:cs="Arial"/>
          <w:color w:val="000000"/>
          <w:sz w:val="20"/>
        </w:rPr>
        <w:t>It's time to take a relook at the ecosystem. Despite being the third largest ecosystem, why do we lack world class products? It's almost akin to our attitude during Olympics - being the second most populous country we rest heavy on the one gold, few silvers and bronzes. Unicorns, only reflect a single dimension of successful funding and valuation.</w:t>
      </w:r>
    </w:p>
    <w:p w14:paraId="1530ED26" w14:textId="77777777" w:rsidR="00054BF0" w:rsidRDefault="00000000">
      <w:pPr>
        <w:spacing w:before="200" w:line="260" w:lineRule="atLeast"/>
        <w:jc w:val="both"/>
      </w:pPr>
      <w:r>
        <w:rPr>
          <w:rFonts w:ascii="Arial" w:eastAsia="Arial" w:hAnsi="Arial" w:cs="Arial"/>
          <w:color w:val="000000"/>
          <w:sz w:val="20"/>
        </w:rPr>
        <w:t xml:space="preserve">IP protection: It's a pity that most of the successful </w:t>
      </w:r>
      <w:r>
        <w:rPr>
          <w:rFonts w:ascii="Arial" w:eastAsia="Arial" w:hAnsi="Arial" w:cs="Arial"/>
          <w:b/>
          <w:i/>
          <w:color w:val="000000"/>
          <w:sz w:val="20"/>
          <w:u w:val="single"/>
        </w:rPr>
        <w:t>startups</w:t>
      </w:r>
      <w:r>
        <w:rPr>
          <w:rFonts w:ascii="Arial" w:eastAsia="Arial" w:hAnsi="Arial" w:cs="Arial"/>
          <w:color w:val="000000"/>
          <w:sz w:val="20"/>
        </w:rPr>
        <w:t xml:space="preserve"> in India or the ones which wish to be successful are uprooting from India and looking towards Singapore, Delaware and even new age destinations like Canada for registration, largely due to the IP/patent protection region in India. IP and innovation thrive in an environment of fairness created by strong patent and business/product/idea protection laws.</w:t>
      </w:r>
    </w:p>
    <w:p w14:paraId="110675BE" w14:textId="77777777" w:rsidR="00054BF0" w:rsidRDefault="00000000">
      <w:pPr>
        <w:spacing w:before="200" w:line="260" w:lineRule="atLeast"/>
        <w:jc w:val="both"/>
      </w:pPr>
      <w:r>
        <w:rPr>
          <w:rFonts w:ascii="Arial" w:eastAsia="Arial" w:hAnsi="Arial" w:cs="Arial"/>
          <w:color w:val="000000"/>
          <w:sz w:val="20"/>
        </w:rPr>
        <w:t xml:space="preserve">Patient capital: While VC money is pouring aplenty in mature stage </w:t>
      </w:r>
      <w:r>
        <w:rPr>
          <w:rFonts w:ascii="Arial" w:eastAsia="Arial" w:hAnsi="Arial" w:cs="Arial"/>
          <w:b/>
          <w:i/>
          <w:color w:val="000000"/>
          <w:sz w:val="20"/>
          <w:u w:val="single"/>
        </w:rPr>
        <w:t>startups</w:t>
      </w:r>
      <w:r>
        <w:rPr>
          <w:rFonts w:ascii="Arial" w:eastAsia="Arial" w:hAnsi="Arial" w:cs="Arial"/>
          <w:color w:val="000000"/>
          <w:sz w:val="20"/>
        </w:rPr>
        <w:t xml:space="preserve">, this is not necessarily the most optimal source of fund for a vast majority of next phase of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especially focused on developing products in deeptech space need capital which is "not in a hurry". It's unlike the funding environment in e-commerce, which is driven by quick growth in GMV followed by successful additional rounds of funding. Product-based </w:t>
      </w:r>
      <w:r>
        <w:rPr>
          <w:rFonts w:ascii="Arial" w:eastAsia="Arial" w:hAnsi="Arial" w:cs="Arial"/>
          <w:b/>
          <w:i/>
          <w:color w:val="000000"/>
          <w:sz w:val="20"/>
          <w:u w:val="single"/>
        </w:rPr>
        <w:t>startups</w:t>
      </w:r>
      <w:r>
        <w:rPr>
          <w:rFonts w:ascii="Arial" w:eastAsia="Arial" w:hAnsi="Arial" w:cs="Arial"/>
          <w:color w:val="000000"/>
          <w:sz w:val="20"/>
        </w:rPr>
        <w:t xml:space="preserve"> by their own volition have chosen the long-term game. They should be supported by the government via grants or funding for working capital which doesn't come with the short term outcomes focused by venture capitalists.</w:t>
      </w:r>
    </w:p>
    <w:p w14:paraId="3FDFB092" w14:textId="77777777" w:rsidR="00054BF0" w:rsidRDefault="00000000">
      <w:pPr>
        <w:spacing w:before="200" w:line="260" w:lineRule="atLeast"/>
        <w:jc w:val="both"/>
      </w:pPr>
      <w:r>
        <w:rPr>
          <w:rFonts w:ascii="Arial" w:eastAsia="Arial" w:hAnsi="Arial" w:cs="Arial"/>
          <w:color w:val="000000"/>
          <w:sz w:val="20"/>
        </w:rPr>
        <w:t xml:space="preserve">Public procurement: State and central governments and public sector units are one of the largest spenders in technology and infra projects. Unfortunately, the government procurement and product/service integration process are driven by archaic tendering norms, which virtually renders all </w:t>
      </w:r>
      <w:r>
        <w:rPr>
          <w:rFonts w:ascii="Arial" w:eastAsia="Arial" w:hAnsi="Arial" w:cs="Arial"/>
          <w:b/>
          <w:i/>
          <w:color w:val="000000"/>
          <w:sz w:val="20"/>
          <w:u w:val="single"/>
        </w:rPr>
        <w:t>startups</w:t>
      </w:r>
      <w:r>
        <w:rPr>
          <w:rFonts w:ascii="Arial" w:eastAsia="Arial" w:hAnsi="Arial" w:cs="Arial"/>
          <w:color w:val="000000"/>
          <w:sz w:val="20"/>
        </w:rPr>
        <w:t xml:space="preserve"> ineligible for the application. Shouldn't the govt look at offering commercial projects to </w:t>
      </w:r>
      <w:r>
        <w:rPr>
          <w:rFonts w:ascii="Arial" w:eastAsia="Arial" w:hAnsi="Arial" w:cs="Arial"/>
          <w:b/>
          <w:i/>
          <w:color w:val="000000"/>
          <w:sz w:val="20"/>
          <w:u w:val="single"/>
        </w:rPr>
        <w:t>startups</w:t>
      </w:r>
      <w:r>
        <w:rPr>
          <w:rFonts w:ascii="Arial" w:eastAsia="Arial" w:hAnsi="Arial" w:cs="Arial"/>
          <w:color w:val="000000"/>
          <w:sz w:val="20"/>
        </w:rPr>
        <w:t xml:space="preserve"> and can we have a certain percentage of the projects reserved for </w:t>
      </w:r>
      <w:r>
        <w:rPr>
          <w:rFonts w:ascii="Arial" w:eastAsia="Arial" w:hAnsi="Arial" w:cs="Arial"/>
          <w:b/>
          <w:i/>
          <w:color w:val="000000"/>
          <w:sz w:val="20"/>
          <w:u w:val="single"/>
        </w:rPr>
        <w:t>startups</w:t>
      </w:r>
      <w:r>
        <w:rPr>
          <w:rFonts w:ascii="Arial" w:eastAsia="Arial" w:hAnsi="Arial" w:cs="Arial"/>
          <w:color w:val="000000"/>
          <w:sz w:val="20"/>
        </w:rPr>
        <w:t xml:space="preserve">, especially in the technology space? This will give the much-needed revenue, recognition and the opportunity to scale to </w:t>
      </w:r>
      <w:r>
        <w:rPr>
          <w:rFonts w:ascii="Arial" w:eastAsia="Arial" w:hAnsi="Arial" w:cs="Arial"/>
          <w:b/>
          <w:i/>
          <w:color w:val="000000"/>
          <w:sz w:val="20"/>
          <w:u w:val="single"/>
        </w:rPr>
        <w:t>startups</w:t>
      </w:r>
      <w:r>
        <w:rPr>
          <w:rFonts w:ascii="Arial" w:eastAsia="Arial" w:hAnsi="Arial" w:cs="Arial"/>
          <w:color w:val="000000"/>
          <w:sz w:val="20"/>
        </w:rPr>
        <w:t>.</w:t>
      </w:r>
    </w:p>
    <w:p w14:paraId="0385B3E0" w14:textId="77777777" w:rsidR="00054BF0" w:rsidRDefault="00000000">
      <w:pPr>
        <w:spacing w:before="200" w:line="260" w:lineRule="atLeast"/>
        <w:jc w:val="both"/>
      </w:pPr>
      <w:r>
        <w:rPr>
          <w:rFonts w:ascii="Arial" w:eastAsia="Arial" w:hAnsi="Arial" w:cs="Arial"/>
          <w:color w:val="000000"/>
          <w:sz w:val="20"/>
        </w:rPr>
        <w:t xml:space="preserve">(Suresh Jayaraju is the senior director and head at Nasscom 10000 </w:t>
      </w:r>
      <w:r>
        <w:rPr>
          <w:rFonts w:ascii="Arial" w:eastAsia="Arial" w:hAnsi="Arial" w:cs="Arial"/>
          <w:b/>
          <w:i/>
          <w:color w:val="000000"/>
          <w:sz w:val="20"/>
          <w:u w:val="single"/>
        </w:rPr>
        <w:t>Startups</w:t>
      </w:r>
      <w:r>
        <w:rPr>
          <w:rFonts w:ascii="Arial" w:eastAsia="Arial" w:hAnsi="Arial" w:cs="Arial"/>
          <w:color w:val="000000"/>
          <w:sz w:val="20"/>
        </w:rPr>
        <w:t>. Views are the author's own).</w:t>
      </w:r>
    </w:p>
    <w:p w14:paraId="3B523BE4"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29, 2019</w:t>
      </w:r>
    </w:p>
    <w:p w14:paraId="5CD0776A" w14:textId="77777777" w:rsidR="00054BF0" w:rsidRDefault="00054BF0"/>
    <w:p w14:paraId="4481F254" w14:textId="77777777" w:rsidR="00054BF0" w:rsidRDefault="00000000">
      <w:pPr>
        <w:ind w:left="200"/>
        <w:sectPr w:rsidR="00054BF0">
          <w:type w:val="continuous"/>
          <w:pgSz w:w="12240" w:h="15840"/>
          <w:pgMar w:top="840" w:right="1000" w:bottom="840" w:left="1000" w:header="400" w:footer="400" w:gutter="0"/>
          <w:cols w:space="720"/>
        </w:sectPr>
      </w:pPr>
      <w:r>
        <w:br/>
      </w:r>
      <w:r>
        <w:pict w14:anchorId="0AE30736">
          <v:line id="_x0000_s2106" style="position:absolute;left:0;text-align:left;z-index:251693056;mso-position-horizontal-relative:text;mso-position-vertical-relative:text" from="0,10pt" to="512pt,10pt" strokeweight="1pt"/>
        </w:pict>
      </w:r>
      <w:r>
        <w:rPr>
          <w:rFonts w:ascii="Arial" w:eastAsia="Arial" w:hAnsi="Arial" w:cs="Arial"/>
          <w:b/>
          <w:color w:val="767676"/>
          <w:sz w:val="16"/>
        </w:rPr>
        <w:t>End of Document</w:t>
      </w:r>
    </w:p>
    <w:p w14:paraId="483A4BAB" w14:textId="77777777" w:rsidR="00054BF0" w:rsidRDefault="00054BF0">
      <w:pPr>
        <w:sectPr w:rsidR="00054BF0">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gutter="0"/>
          <w:cols w:space="720"/>
          <w:titlePg/>
        </w:sectPr>
      </w:pPr>
    </w:p>
    <w:p w14:paraId="7F75C013" w14:textId="77777777" w:rsidR="00054BF0" w:rsidRDefault="00054BF0">
      <w:bookmarkStart w:id="34" w:name="Bookmark_18"/>
      <w:bookmarkEnd w:id="34"/>
    </w:p>
    <w:p w14:paraId="63569AC0" w14:textId="77777777" w:rsidR="00054BF0" w:rsidRDefault="00BE2275">
      <w:r>
        <w:pict w14:anchorId="42985292">
          <v:shape id="_x0000_i1049" type="#_x0000_t75" alt="LexisNexis®" style="width:148pt;height:30pt">
            <v:imagedata r:id="rId6" o:title=""/>
          </v:shape>
        </w:pict>
      </w:r>
      <w:r w:rsidR="00A540D1">
        <w:cr/>
      </w:r>
    </w:p>
    <w:p w14:paraId="0C7BAFB7" w14:textId="77777777" w:rsidR="00054BF0" w:rsidRDefault="00000000">
      <w:pPr>
        <w:spacing w:before="240" w:after="200" w:line="340" w:lineRule="atLeast"/>
        <w:jc w:val="center"/>
        <w:outlineLvl w:val="0"/>
        <w:rPr>
          <w:rFonts w:ascii="Arial" w:hAnsi="Arial" w:cs="Arial"/>
          <w:b/>
          <w:bCs/>
          <w:kern w:val="32"/>
          <w:sz w:val="32"/>
          <w:szCs w:val="32"/>
        </w:rPr>
      </w:pPr>
      <w:hyperlink r:id="rId356" w:history="1">
        <w:r>
          <w:rPr>
            <w:rFonts w:ascii="Arial" w:eastAsia="Arial" w:hAnsi="Arial" w:cs="Arial"/>
            <w:b/>
            <w:bCs/>
            <w:i/>
            <w:color w:val="0077CC"/>
            <w:kern w:val="32"/>
            <w:sz w:val="28"/>
            <w:szCs w:val="32"/>
            <w:u w:val="single"/>
            <w:shd w:val="clear" w:color="auto" w:fill="FFFFFF"/>
          </w:rPr>
          <w:t xml:space="preserve">INDIAN </w:t>
        </w:r>
      </w:hyperlink>
      <w:hyperlink r:id="rId357" w:history="1">
        <w:r>
          <w:rPr>
            <w:rFonts w:ascii="Arial" w:eastAsia="Arial" w:hAnsi="Arial" w:cs="Arial"/>
            <w:b/>
            <w:bCs/>
            <w:i/>
            <w:color w:val="0077CC"/>
            <w:kern w:val="32"/>
            <w:sz w:val="28"/>
            <w:szCs w:val="32"/>
            <w:u w:val="single"/>
            <w:shd w:val="clear" w:color="auto" w:fill="FFFFFF"/>
          </w:rPr>
          <w:t>STARTUPS</w:t>
        </w:r>
      </w:hyperlink>
      <w:hyperlink r:id="rId358" w:history="1">
        <w:r>
          <w:rPr>
            <w:rFonts w:ascii="Arial" w:eastAsia="Arial" w:hAnsi="Arial" w:cs="Arial"/>
            <w:b/>
            <w:bCs/>
            <w:i/>
            <w:color w:val="0077CC"/>
            <w:kern w:val="32"/>
            <w:sz w:val="28"/>
            <w:szCs w:val="32"/>
            <w:u w:val="single"/>
            <w:shd w:val="clear" w:color="auto" w:fill="FFFFFF"/>
          </w:rPr>
          <w:t xml:space="preserve"> CAUGHT OFF GUARD AS CHINESE CAPITAL DRIES </w:t>
        </w:r>
      </w:hyperlink>
      <w:hyperlink r:id="rId359" w:history="1">
        <w:r>
          <w:rPr>
            <w:rFonts w:ascii="Arial" w:eastAsia="Arial" w:hAnsi="Arial" w:cs="Arial"/>
            <w:b/>
            <w:bCs/>
            <w:i/>
            <w:color w:val="0077CC"/>
            <w:kern w:val="32"/>
            <w:sz w:val="28"/>
            <w:szCs w:val="32"/>
            <w:u w:val="single"/>
            <w:shd w:val="clear" w:color="auto" w:fill="FFFFFF"/>
          </w:rPr>
          <w:t>UP</w:t>
        </w:r>
      </w:hyperlink>
    </w:p>
    <w:p w14:paraId="0010AB8B" w14:textId="77777777" w:rsidR="00054BF0" w:rsidRDefault="00000000">
      <w:pPr>
        <w:spacing w:before="120" w:line="260" w:lineRule="atLeast"/>
        <w:jc w:val="center"/>
      </w:pPr>
      <w:r>
        <w:rPr>
          <w:rFonts w:ascii="Arial" w:eastAsia="Arial" w:hAnsi="Arial" w:cs="Arial"/>
          <w:color w:val="000000"/>
          <w:sz w:val="20"/>
        </w:rPr>
        <w:t>MintAsia (India)</w:t>
      </w:r>
    </w:p>
    <w:p w14:paraId="1A919F7B" w14:textId="77777777" w:rsidR="00054BF0" w:rsidRDefault="00000000">
      <w:pPr>
        <w:spacing w:before="120" w:line="260" w:lineRule="atLeast"/>
        <w:jc w:val="center"/>
      </w:pPr>
      <w:r>
        <w:rPr>
          <w:rFonts w:ascii="Arial" w:eastAsia="Arial" w:hAnsi="Arial" w:cs="Arial"/>
          <w:color w:val="000000"/>
          <w:sz w:val="20"/>
        </w:rPr>
        <w:t>July 10, 2020 Friday</w:t>
      </w:r>
    </w:p>
    <w:p w14:paraId="5F9FFD10" w14:textId="77777777" w:rsidR="00054BF0" w:rsidRDefault="00054BF0">
      <w:pPr>
        <w:spacing w:line="240" w:lineRule="atLeast"/>
        <w:jc w:val="both"/>
      </w:pPr>
    </w:p>
    <w:p w14:paraId="17BC2BF8" w14:textId="77777777" w:rsidR="00054BF0" w:rsidRDefault="00000000">
      <w:pPr>
        <w:spacing w:before="120" w:line="220" w:lineRule="atLeast"/>
      </w:pPr>
      <w:r>
        <w:br/>
      </w:r>
      <w:r>
        <w:rPr>
          <w:rFonts w:ascii="Arial" w:eastAsia="Arial" w:hAnsi="Arial" w:cs="Arial"/>
          <w:color w:val="000000"/>
          <w:sz w:val="16"/>
        </w:rPr>
        <w:t>Copyright 2020 HT Media All Rights Reserved</w:t>
      </w:r>
    </w:p>
    <w:p w14:paraId="28EF929A"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2108 words</w:t>
      </w:r>
    </w:p>
    <w:p w14:paraId="09D7D8B1"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8A0C15D" w14:textId="77777777" w:rsidR="00054BF0" w:rsidRDefault="00000000">
      <w:pPr>
        <w:keepNext/>
        <w:spacing w:before="240" w:line="340" w:lineRule="atLeast"/>
      </w:pPr>
      <w:bookmarkStart w:id="35" w:name="Body_16"/>
      <w:bookmarkEnd w:id="35"/>
      <w:r>
        <w:rPr>
          <w:rFonts w:ascii="Arial" w:eastAsia="Arial" w:hAnsi="Arial" w:cs="Arial"/>
          <w:b/>
          <w:color w:val="000000"/>
          <w:sz w:val="28"/>
        </w:rPr>
        <w:t>Body</w:t>
      </w:r>
    </w:p>
    <w:p w14:paraId="0A26D612" w14:textId="77777777" w:rsidR="00054BF0" w:rsidRDefault="00000000">
      <w:pPr>
        <w:spacing w:line="60" w:lineRule="exact"/>
      </w:pPr>
      <w:r>
        <w:pict w14:anchorId="68A48E77">
          <v:line id="_x0000_s2108" style="position:absolute;z-index:251694080" from="0,2pt" to="512pt,2pt" strokecolor="#009ddb" strokeweight="2pt">
            <w10:wrap type="topAndBottom"/>
          </v:line>
        </w:pict>
      </w:r>
    </w:p>
    <w:p w14:paraId="0EEF1662" w14:textId="77777777" w:rsidR="00054BF0" w:rsidRDefault="00054BF0"/>
    <w:p w14:paraId="053A56AB" w14:textId="77777777" w:rsidR="00054BF0" w:rsidRDefault="00000000">
      <w:pPr>
        <w:spacing w:before="200" w:line="260" w:lineRule="atLeast"/>
        <w:jc w:val="both"/>
      </w:pPr>
      <w:r>
        <w:rPr>
          <w:rFonts w:ascii="Arial" w:eastAsia="Arial" w:hAnsi="Arial" w:cs="Arial"/>
          <w:color w:val="000000"/>
          <w:sz w:val="20"/>
        </w:rPr>
        <w:t>New Delhi, July 10 -- Earlier this month, after India abruptly announced a ban on 59 Chinese apps, TikTok's chief executive officer (CEO) Kevin Mayer called for a virtual town hall with his India employees.</w:t>
      </w:r>
    </w:p>
    <w:p w14:paraId="2A1B7FEA" w14:textId="77777777" w:rsidR="00054BF0" w:rsidRDefault="00000000">
      <w:pPr>
        <w:spacing w:before="200" w:line="260" w:lineRule="atLeast"/>
        <w:jc w:val="both"/>
      </w:pPr>
      <w:r>
        <w:rPr>
          <w:rFonts w:ascii="Arial" w:eastAsia="Arial" w:hAnsi="Arial" w:cs="Arial"/>
          <w:color w:val="000000"/>
          <w:sz w:val="20"/>
        </w:rPr>
        <w:t xml:space="preserve">Over the past two years, ByteDance, which owns TikTok and Helo (also included in the list of the banned apps), had established a large presence in India. Despite the border conflict between India and China that led to the death of 20 Indian soldiers and the anti- China rhetoric that had been bubbling </w:t>
      </w:r>
      <w:r>
        <w:rPr>
          <w:rFonts w:ascii="Arial" w:eastAsia="Arial" w:hAnsi="Arial" w:cs="Arial"/>
          <w:b/>
          <w:i/>
          <w:color w:val="000000"/>
          <w:sz w:val="20"/>
          <w:u w:val="single"/>
        </w:rPr>
        <w:t>up</w:t>
      </w:r>
      <w:r>
        <w:rPr>
          <w:rFonts w:ascii="Arial" w:eastAsia="Arial" w:hAnsi="Arial" w:cs="Arial"/>
          <w:color w:val="000000"/>
          <w:sz w:val="20"/>
        </w:rPr>
        <w:t xml:space="preserve"> here as the pandemic spread, the Beijingheadquartered ByteDance had no inkling that a ban was coming.</w:t>
      </w:r>
    </w:p>
    <w:p w14:paraId="7C070AC5" w14:textId="77777777" w:rsidR="00054BF0" w:rsidRDefault="00000000">
      <w:pPr>
        <w:spacing w:before="200" w:line="260" w:lineRule="atLeast"/>
        <w:jc w:val="both"/>
      </w:pPr>
      <w:r>
        <w:rPr>
          <w:rFonts w:ascii="Arial" w:eastAsia="Arial" w:hAnsi="Arial" w:cs="Arial"/>
          <w:color w:val="000000"/>
          <w:sz w:val="20"/>
        </w:rPr>
        <w:t>Mayer, who had joined TikTok as its global CEO only in May from the American entertainment firm The Walt Disney Company, sought to allay the concerns of the India employees. Mayer, 58, told the ByteDance employees that he was known to look after his employees as if they were family and that he would fight for his team. TikTok would continue to pay salaries and avoid cutting jobs for now, he added.</w:t>
      </w:r>
    </w:p>
    <w:p w14:paraId="353534CF" w14:textId="77777777" w:rsidR="00054BF0" w:rsidRDefault="00000000">
      <w:pPr>
        <w:spacing w:before="200" w:line="260" w:lineRule="atLeast"/>
        <w:jc w:val="both"/>
      </w:pPr>
      <w:r>
        <w:rPr>
          <w:rFonts w:ascii="Arial" w:eastAsia="Arial" w:hAnsi="Arial" w:cs="Arial"/>
          <w:color w:val="000000"/>
          <w:sz w:val="20"/>
        </w:rPr>
        <w:t>But Mayer's address, which lasted a few minutes, failed to provide much comfort to TikTok employees, two company executives said.</w:t>
      </w:r>
    </w:p>
    <w:p w14:paraId="5537ABCF" w14:textId="77777777" w:rsidR="00054BF0" w:rsidRDefault="00000000">
      <w:pPr>
        <w:spacing w:before="200" w:line="260" w:lineRule="atLeast"/>
        <w:jc w:val="both"/>
      </w:pPr>
      <w:r>
        <w:rPr>
          <w:rFonts w:ascii="Arial" w:eastAsia="Arial" w:hAnsi="Arial" w:cs="Arial"/>
          <w:color w:val="000000"/>
          <w:sz w:val="20"/>
        </w:rPr>
        <w:t>"His town hall was really brief and there were no details on what the company can do to deal with this. No one was convinced ... While we're still hoping that the ban will be reversed, I wouldn't say anyone expects it.</w:t>
      </w:r>
    </w:p>
    <w:p w14:paraId="53C71065" w14:textId="77777777" w:rsidR="00054BF0" w:rsidRDefault="00000000">
      <w:pPr>
        <w:spacing w:before="200" w:line="260" w:lineRule="atLeast"/>
        <w:jc w:val="both"/>
      </w:pPr>
      <w:r>
        <w:rPr>
          <w:rFonts w:ascii="Arial" w:eastAsia="Arial" w:hAnsi="Arial" w:cs="Arial"/>
          <w:color w:val="000000"/>
          <w:sz w:val="20"/>
        </w:rPr>
        <w:t xml:space="preserve">Many have already </w:t>
      </w:r>
      <w:r>
        <w:rPr>
          <w:rFonts w:ascii="Arial" w:eastAsia="Arial" w:hAnsi="Arial" w:cs="Arial"/>
          <w:b/>
          <w:i/>
          <w:color w:val="000000"/>
          <w:sz w:val="20"/>
          <w:u w:val="single"/>
        </w:rPr>
        <w:t>started</w:t>
      </w:r>
      <w:r>
        <w:rPr>
          <w:rFonts w:ascii="Arial" w:eastAsia="Arial" w:hAnsi="Arial" w:cs="Arial"/>
          <w:color w:val="000000"/>
          <w:sz w:val="20"/>
        </w:rPr>
        <w:t xml:space="preserve"> looking out for other jobs," one of the executives said.</w:t>
      </w:r>
    </w:p>
    <w:p w14:paraId="16CCD79F" w14:textId="77777777" w:rsidR="00054BF0" w:rsidRDefault="00000000">
      <w:pPr>
        <w:spacing w:before="200" w:line="260" w:lineRule="atLeast"/>
        <w:jc w:val="both"/>
      </w:pPr>
      <w:r>
        <w:rPr>
          <w:rFonts w:ascii="Arial" w:eastAsia="Arial" w:hAnsi="Arial" w:cs="Arial"/>
          <w:color w:val="000000"/>
          <w:sz w:val="20"/>
        </w:rPr>
        <w:t xml:space="preserve">The government's move, however, was cheered by local entrepreneurs and venture capitalists who expect </w:t>
      </w:r>
      <w:r>
        <w:rPr>
          <w:rFonts w:ascii="Arial" w:eastAsia="Arial" w:hAnsi="Arial" w:cs="Arial"/>
          <w:b/>
          <w:i/>
          <w:color w:val="000000"/>
          <w:sz w:val="20"/>
          <w:u w:val="single"/>
        </w:rPr>
        <w:t>startups</w:t>
      </w:r>
      <w:r>
        <w:rPr>
          <w:rFonts w:ascii="Arial" w:eastAsia="Arial" w:hAnsi="Arial" w:cs="Arial"/>
          <w:color w:val="000000"/>
          <w:sz w:val="20"/>
        </w:rPr>
        <w:t xml:space="preserve"> in social networking, media and other spaces to benefit from the forced withdrawal of TikTok, Helo, SHAREit, NewsDog and others. Indian </w:t>
      </w:r>
      <w:r>
        <w:rPr>
          <w:rFonts w:ascii="Arial" w:eastAsia="Arial" w:hAnsi="Arial" w:cs="Arial"/>
          <w:b/>
          <w:i/>
          <w:color w:val="000000"/>
          <w:sz w:val="20"/>
          <w:u w:val="single"/>
        </w:rPr>
        <w:t>startups</w:t>
      </w:r>
      <w:r>
        <w:rPr>
          <w:rFonts w:ascii="Arial" w:eastAsia="Arial" w:hAnsi="Arial" w:cs="Arial"/>
          <w:color w:val="000000"/>
          <w:sz w:val="20"/>
        </w:rPr>
        <w:t xml:space="preserve"> have faced existential threats mostly from American and Chinese companies that use their technology prowess and limitless capital to overpower local rivals. If the ban on Chinese companies stays, it'll provide respite to local </w:t>
      </w:r>
      <w:r>
        <w:rPr>
          <w:rFonts w:ascii="Arial" w:eastAsia="Arial" w:hAnsi="Arial" w:cs="Arial"/>
          <w:b/>
          <w:i/>
          <w:color w:val="000000"/>
          <w:sz w:val="20"/>
          <w:u w:val="single"/>
        </w:rPr>
        <w:t>startups</w:t>
      </w:r>
      <w:r>
        <w:rPr>
          <w:rFonts w:ascii="Arial" w:eastAsia="Arial" w:hAnsi="Arial" w:cs="Arial"/>
          <w:color w:val="000000"/>
          <w:sz w:val="20"/>
        </w:rPr>
        <w:t xml:space="preserve"> by permanently removing one set of competitors whom they believe were engaged in the unfair practice of "capital dumping." The ban was the second time in months that India had moved to put restrictions on Chinese companies and investors. In April, direct investments by Chinese investors into Indian companies without regulatory approval were prohibited. In that case, the impact on Indian </w:t>
      </w:r>
      <w:r>
        <w:rPr>
          <w:rFonts w:ascii="Arial" w:eastAsia="Arial" w:hAnsi="Arial" w:cs="Arial"/>
          <w:b/>
          <w:i/>
          <w:color w:val="000000"/>
          <w:sz w:val="20"/>
          <w:u w:val="single"/>
        </w:rPr>
        <w:t>startups</w:t>
      </w:r>
      <w:r>
        <w:rPr>
          <w:rFonts w:ascii="Arial" w:eastAsia="Arial" w:hAnsi="Arial" w:cs="Arial"/>
          <w:color w:val="000000"/>
          <w:sz w:val="20"/>
        </w:rPr>
        <w:t xml:space="preserve"> was decidedly negative- Chinese investors have poured over $8 billion into </w:t>
      </w:r>
      <w:r>
        <w:rPr>
          <w:rFonts w:ascii="Arial" w:eastAsia="Arial" w:hAnsi="Arial" w:cs="Arial"/>
          <w:b/>
          <w:i/>
          <w:color w:val="000000"/>
          <w:sz w:val="20"/>
          <w:u w:val="single"/>
        </w:rPr>
        <w:t>startups</w:t>
      </w:r>
      <w:r>
        <w:rPr>
          <w:rFonts w:ascii="Arial" w:eastAsia="Arial" w:hAnsi="Arial" w:cs="Arial"/>
          <w:color w:val="000000"/>
          <w:sz w:val="20"/>
        </w:rPr>
        <w:t xml:space="preserve"> directly or indirectly over the past decade, and in recent years, they had become the most important source of capital for small and large internet firms alike.</w:t>
      </w:r>
    </w:p>
    <w:p w14:paraId="4B78BBF0" w14:textId="77777777" w:rsidR="00054BF0" w:rsidRDefault="00000000">
      <w:pPr>
        <w:spacing w:before="200" w:line="260" w:lineRule="atLeast"/>
        <w:jc w:val="both"/>
      </w:pPr>
      <w:r>
        <w:rPr>
          <w:rFonts w:ascii="Arial" w:eastAsia="Arial" w:hAnsi="Arial" w:cs="Arial"/>
          <w:color w:val="000000"/>
          <w:sz w:val="20"/>
        </w:rPr>
        <w:lastRenderedPageBreak/>
        <w:t xml:space="preserve">Put together, the two policy measures will lead to an immediate freeze on Chinese capital in India's </w:t>
      </w:r>
      <w:r>
        <w:rPr>
          <w:rFonts w:ascii="Arial" w:eastAsia="Arial" w:hAnsi="Arial" w:cs="Arial"/>
          <w:b/>
          <w:i/>
          <w:color w:val="000000"/>
          <w:sz w:val="20"/>
          <w:u w:val="single"/>
        </w:rPr>
        <w:t>startup</w:t>
      </w:r>
      <w:r>
        <w:rPr>
          <w:rFonts w:ascii="Arial" w:eastAsia="Arial" w:hAnsi="Arial" w:cs="Arial"/>
          <w:color w:val="000000"/>
          <w:sz w:val="20"/>
        </w:rPr>
        <w:t xml:space="preserve"> ecosystem that is likely to last until a political resolution of the latest border dispute. It will leave a huge funding gap for internet firms that are already struggling to cope with the slump caused by the pandemic. This blow easily outweighs the potential benefits to a handful of social networking </w:t>
      </w:r>
      <w:r>
        <w:rPr>
          <w:rFonts w:ascii="Arial" w:eastAsia="Arial" w:hAnsi="Arial" w:cs="Arial"/>
          <w:b/>
          <w:i/>
          <w:color w:val="000000"/>
          <w:sz w:val="20"/>
          <w:u w:val="single"/>
        </w:rPr>
        <w:t>startups</w:t>
      </w:r>
      <w:r>
        <w:rPr>
          <w:rFonts w:ascii="Arial" w:eastAsia="Arial" w:hAnsi="Arial" w:cs="Arial"/>
          <w:color w:val="000000"/>
          <w:sz w:val="20"/>
        </w:rPr>
        <w:t>.</w:t>
      </w:r>
    </w:p>
    <w:p w14:paraId="71CEC378" w14:textId="77777777" w:rsidR="00054BF0" w:rsidRDefault="00000000">
      <w:pPr>
        <w:spacing w:before="200" w:line="260" w:lineRule="atLeast"/>
        <w:jc w:val="both"/>
      </w:pPr>
      <w:r>
        <w:rPr>
          <w:rFonts w:ascii="Arial" w:eastAsia="Arial" w:hAnsi="Arial" w:cs="Arial"/>
          <w:color w:val="000000"/>
          <w:sz w:val="20"/>
        </w:rPr>
        <w:t xml:space="preserve">There is a small possibility that if the two governments reach a compromise, both venture capitalists and the banned companies from China will return. Hence, the long-term impact of the moves remain unclear. Byte- Dance is pleading its case with the government and has offered to set </w:t>
      </w:r>
      <w:r>
        <w:rPr>
          <w:rFonts w:ascii="Arial" w:eastAsia="Arial" w:hAnsi="Arial" w:cs="Arial"/>
          <w:b/>
          <w:i/>
          <w:color w:val="000000"/>
          <w:sz w:val="20"/>
          <w:u w:val="single"/>
        </w:rPr>
        <w:t>up</w:t>
      </w:r>
      <w:r>
        <w:rPr>
          <w:rFonts w:ascii="Arial" w:eastAsia="Arial" w:hAnsi="Arial" w:cs="Arial"/>
          <w:color w:val="000000"/>
          <w:sz w:val="20"/>
        </w:rPr>
        <w:t xml:space="preserve"> an engineering office and data centres in India, among other steps.</w:t>
      </w:r>
    </w:p>
    <w:p w14:paraId="242DD845" w14:textId="77777777" w:rsidR="00054BF0" w:rsidRDefault="00000000">
      <w:pPr>
        <w:spacing w:before="200" w:line="260" w:lineRule="atLeast"/>
        <w:jc w:val="both"/>
      </w:pPr>
      <w:r>
        <w:rPr>
          <w:rFonts w:ascii="Arial" w:eastAsia="Arial" w:hAnsi="Arial" w:cs="Arial"/>
          <w:color w:val="000000"/>
          <w:sz w:val="20"/>
        </w:rPr>
        <w:t xml:space="preserve">It is clear that India's </w:t>
      </w:r>
      <w:r>
        <w:rPr>
          <w:rFonts w:ascii="Arial" w:eastAsia="Arial" w:hAnsi="Arial" w:cs="Arial"/>
          <w:b/>
          <w:i/>
          <w:color w:val="000000"/>
          <w:sz w:val="20"/>
          <w:u w:val="single"/>
        </w:rPr>
        <w:t>startup</w:t>
      </w:r>
      <w:r>
        <w:rPr>
          <w:rFonts w:ascii="Arial" w:eastAsia="Arial" w:hAnsi="Arial" w:cs="Arial"/>
          <w:color w:val="000000"/>
          <w:sz w:val="20"/>
        </w:rPr>
        <w:t xml:space="preserve"> ecosystem has become a key geo-political battleground notwithstanding its small size-imports in sectors like smartphones and pharmaceuticals from China dwarf </w:t>
      </w:r>
      <w:r>
        <w:rPr>
          <w:rFonts w:ascii="Arial" w:eastAsia="Arial" w:hAnsi="Arial" w:cs="Arial"/>
          <w:b/>
          <w:i/>
          <w:color w:val="000000"/>
          <w:sz w:val="20"/>
          <w:u w:val="single"/>
        </w:rPr>
        <w:t>startup</w:t>
      </w:r>
      <w:r>
        <w:rPr>
          <w:rFonts w:ascii="Arial" w:eastAsia="Arial" w:hAnsi="Arial" w:cs="Arial"/>
          <w:color w:val="000000"/>
          <w:sz w:val="20"/>
        </w:rPr>
        <w:t xml:space="preserve"> activity involving the two countries. But as foreign policy experts have pointed out, India has few viable options to undertake substantial retaliatory actions against China. In this context, banning apps and placing investment restrictions are seen as low-risk manoeuvres that could help the government save face.</w:t>
      </w:r>
    </w:p>
    <w:p w14:paraId="0DCE8458" w14:textId="77777777" w:rsidR="00054BF0" w:rsidRDefault="00000000">
      <w:pPr>
        <w:spacing w:before="200" w:line="260" w:lineRule="atLeast"/>
        <w:jc w:val="both"/>
      </w:pPr>
      <w:r>
        <w:rPr>
          <w:rFonts w:ascii="Arial" w:eastAsia="Arial" w:hAnsi="Arial" w:cs="Arial"/>
          <w:color w:val="000000"/>
          <w:sz w:val="20"/>
        </w:rPr>
        <w:t xml:space="preserve">One thing is certain: the </w:t>
      </w:r>
      <w:r>
        <w:rPr>
          <w:rFonts w:ascii="Arial" w:eastAsia="Arial" w:hAnsi="Arial" w:cs="Arial"/>
          <w:b/>
          <w:i/>
          <w:color w:val="000000"/>
          <w:sz w:val="20"/>
          <w:u w:val="single"/>
        </w:rPr>
        <w:t>startup</w:t>
      </w:r>
      <w:r>
        <w:rPr>
          <w:rFonts w:ascii="Arial" w:eastAsia="Arial" w:hAnsi="Arial" w:cs="Arial"/>
          <w:color w:val="000000"/>
          <w:sz w:val="20"/>
        </w:rPr>
        <w:t xml:space="preserve"> ecosystem, whose development in the past decade had come largely in-and many say, because of-a policy vacuum, is now increasingly being shaped by the whims of the government.</w:t>
      </w:r>
    </w:p>
    <w:p w14:paraId="46B7DD10" w14:textId="77777777" w:rsidR="00054BF0" w:rsidRDefault="00000000">
      <w:pPr>
        <w:spacing w:before="200" w:line="260" w:lineRule="atLeast"/>
        <w:jc w:val="both"/>
      </w:pPr>
      <w:r>
        <w:rPr>
          <w:rFonts w:ascii="Arial" w:eastAsia="Arial" w:hAnsi="Arial" w:cs="Arial"/>
          <w:color w:val="000000"/>
          <w:sz w:val="20"/>
        </w:rPr>
        <w:t>While it has benefitted from moves like demonetization and the Chinese app ban, the lack of consistency and stability in policymaking could easily swing the other way and hurt investor outlook over the coming years.</w:t>
      </w:r>
    </w:p>
    <w:p w14:paraId="16A89864" w14:textId="77777777" w:rsidR="00054BF0" w:rsidRDefault="00000000">
      <w:pPr>
        <w:spacing w:before="200" w:line="260" w:lineRule="atLeast"/>
        <w:jc w:val="both"/>
      </w:pPr>
      <w:r>
        <w:rPr>
          <w:rFonts w:ascii="Arial" w:eastAsia="Arial" w:hAnsi="Arial" w:cs="Arial"/>
          <w:color w:val="000000"/>
          <w:sz w:val="20"/>
        </w:rPr>
        <w:t>Social revival For years, entrepreneurs and investors have talked big about "building for Bharat," but it was the Chinese firms that had led the way in creating products for the Indian masses. From 2016, the availability of fast, cheap internet connections together with the proliferation of low-cost smartphones (most of them Chinese) brought hundreds of millions of Indians in semi-urban and rural areas online.</w:t>
      </w:r>
    </w:p>
    <w:p w14:paraId="5CEAE52E" w14:textId="77777777" w:rsidR="00054BF0" w:rsidRDefault="00000000">
      <w:pPr>
        <w:spacing w:before="200" w:line="260" w:lineRule="atLeast"/>
        <w:jc w:val="both"/>
      </w:pPr>
      <w:r>
        <w:rPr>
          <w:rFonts w:ascii="Arial" w:eastAsia="Arial" w:hAnsi="Arial" w:cs="Arial"/>
          <w:color w:val="000000"/>
          <w:sz w:val="20"/>
        </w:rPr>
        <w:t>Dozens of Chinese firms, which had seen a similar internet boom in their country, rapidly launched internet browsers, video apps, messaging services and other products specifically designed for this audience. By mid- 2017, apps like Bigo Live, UC Browser, SHAREit and UC News had already become hugely popular among Indians in smaller cities and towns.</w:t>
      </w:r>
    </w:p>
    <w:p w14:paraId="3A670009" w14:textId="77777777" w:rsidR="00054BF0" w:rsidRDefault="00000000">
      <w:pPr>
        <w:spacing w:before="200" w:line="260" w:lineRule="atLeast"/>
        <w:jc w:val="both"/>
      </w:pPr>
      <w:r>
        <w:rPr>
          <w:rFonts w:ascii="Arial" w:eastAsia="Arial" w:hAnsi="Arial" w:cs="Arial"/>
          <w:color w:val="000000"/>
          <w:sz w:val="20"/>
        </w:rPr>
        <w:t xml:space="preserve">Looking at the success of the Chinese firms, investors </w:t>
      </w:r>
      <w:r>
        <w:rPr>
          <w:rFonts w:ascii="Arial" w:eastAsia="Arial" w:hAnsi="Arial" w:cs="Arial"/>
          <w:b/>
          <w:i/>
          <w:color w:val="000000"/>
          <w:sz w:val="20"/>
          <w:u w:val="single"/>
        </w:rPr>
        <w:t>started</w:t>
      </w:r>
      <w:r>
        <w:rPr>
          <w:rFonts w:ascii="Arial" w:eastAsia="Arial" w:hAnsi="Arial" w:cs="Arial"/>
          <w:color w:val="000000"/>
          <w:sz w:val="20"/>
        </w:rPr>
        <w:t xml:space="preserve"> hunting for local </w:t>
      </w:r>
      <w:r>
        <w:rPr>
          <w:rFonts w:ascii="Arial" w:eastAsia="Arial" w:hAnsi="Arial" w:cs="Arial"/>
          <w:b/>
          <w:i/>
          <w:color w:val="000000"/>
          <w:sz w:val="20"/>
          <w:u w:val="single"/>
        </w:rPr>
        <w:t>startups</w:t>
      </w:r>
      <w:r>
        <w:rPr>
          <w:rFonts w:ascii="Arial" w:eastAsia="Arial" w:hAnsi="Arial" w:cs="Arial"/>
          <w:color w:val="000000"/>
          <w:sz w:val="20"/>
        </w:rPr>
        <w:t xml:space="preserve"> in social networking, video and news content with a focus on vernacular language offerings. For a short period, companies like ShareChat, Clip and Dailyhunt became investor darlings.</w:t>
      </w:r>
    </w:p>
    <w:p w14:paraId="1C792972" w14:textId="77777777" w:rsidR="00054BF0" w:rsidRDefault="00000000">
      <w:pPr>
        <w:spacing w:before="200" w:line="260" w:lineRule="atLeast"/>
        <w:jc w:val="both"/>
      </w:pPr>
      <w:r>
        <w:rPr>
          <w:rFonts w:ascii="Arial" w:eastAsia="Arial" w:hAnsi="Arial" w:cs="Arial"/>
          <w:color w:val="000000"/>
          <w:sz w:val="20"/>
        </w:rPr>
        <w:t xml:space="preserve">However, the expansion of TikTok with its endless stream of addictive entertainment in 2018 nearly destroyed content </w:t>
      </w:r>
      <w:r>
        <w:rPr>
          <w:rFonts w:ascii="Arial" w:eastAsia="Arial" w:hAnsi="Arial" w:cs="Arial"/>
          <w:b/>
          <w:i/>
          <w:color w:val="000000"/>
          <w:sz w:val="20"/>
          <w:u w:val="single"/>
        </w:rPr>
        <w:t>startups</w:t>
      </w:r>
      <w:r>
        <w:rPr>
          <w:rFonts w:ascii="Arial" w:eastAsia="Arial" w:hAnsi="Arial" w:cs="Arial"/>
          <w:color w:val="000000"/>
          <w:sz w:val="20"/>
        </w:rPr>
        <w:t xml:space="preserve">. In 2018, ByteDance also launched Helo to crush ShareChat, from which Helo was copied, and outspent its stunned rival many times over to attract users. As a result, ShareChat's growth slowed, Clip was forced to sell itself for a pittance and investors deserted content </w:t>
      </w:r>
      <w:r>
        <w:rPr>
          <w:rFonts w:ascii="Arial" w:eastAsia="Arial" w:hAnsi="Arial" w:cs="Arial"/>
          <w:b/>
          <w:i/>
          <w:color w:val="000000"/>
          <w:sz w:val="20"/>
          <w:u w:val="single"/>
        </w:rPr>
        <w:t>startups</w:t>
      </w:r>
      <w:r>
        <w:rPr>
          <w:rFonts w:ascii="Arial" w:eastAsia="Arial" w:hAnsi="Arial" w:cs="Arial"/>
          <w:color w:val="000000"/>
          <w:sz w:val="20"/>
        </w:rPr>
        <w:t>.</w:t>
      </w:r>
    </w:p>
    <w:p w14:paraId="6F37BB86" w14:textId="77777777" w:rsidR="00054BF0" w:rsidRDefault="00000000">
      <w:pPr>
        <w:spacing w:before="200" w:line="260" w:lineRule="atLeast"/>
        <w:jc w:val="both"/>
      </w:pPr>
      <w:r>
        <w:rPr>
          <w:rFonts w:ascii="Arial" w:eastAsia="Arial" w:hAnsi="Arial" w:cs="Arial"/>
          <w:color w:val="000000"/>
          <w:sz w:val="20"/>
        </w:rPr>
        <w:t>After establishing a large user base, Byte- Dance began to sell ads on TikTok and Helo in 2019. TikTok was expected to become the fastest- growing digital ads platform this year and emerge as a serious rival to Facebook and YouTube, an achievement that no company has achieved in nearly a decade.</w:t>
      </w:r>
    </w:p>
    <w:p w14:paraId="4821FDF6" w14:textId="77777777" w:rsidR="00054BF0" w:rsidRDefault="00000000">
      <w:pPr>
        <w:spacing w:before="200" w:line="260" w:lineRule="atLeast"/>
        <w:jc w:val="both"/>
      </w:pPr>
      <w:r>
        <w:rPr>
          <w:rFonts w:ascii="Arial" w:eastAsia="Arial" w:hAnsi="Arial" w:cs="Arial"/>
          <w:color w:val="000000"/>
          <w:sz w:val="20"/>
        </w:rPr>
        <w:t>The ban has put the brakes on this transformation of India's social networking and online advertising spaces. One big beneficiary so far has been ShareChat. Its app base has risen by more than 50 million in the week after the ban. The company plans to raise a large new round of capital that will lift it into the unicorn club from its present valuation of about $600-650 million. ShareChat, incidentally, has at least four Chinese investors.</w:t>
      </w:r>
    </w:p>
    <w:p w14:paraId="5B18B0FD" w14:textId="77777777" w:rsidR="00054BF0" w:rsidRDefault="00000000">
      <w:pPr>
        <w:spacing w:before="200" w:line="260" w:lineRule="atLeast"/>
        <w:jc w:val="both"/>
      </w:pPr>
      <w:r>
        <w:rPr>
          <w:rFonts w:ascii="Arial" w:eastAsia="Arial" w:hAnsi="Arial" w:cs="Arial"/>
          <w:color w:val="000000"/>
          <w:sz w:val="20"/>
        </w:rPr>
        <w:t>Short-video platform Roposo (owned by ad tech firm InMobi) followed by other TikTok clones like Chingari and Mitron have all registered a spike in app downloads since the ban.</w:t>
      </w:r>
    </w:p>
    <w:p w14:paraId="5D4AC5F5" w14:textId="77777777" w:rsidR="00054BF0" w:rsidRDefault="00000000">
      <w:pPr>
        <w:spacing w:before="200" w:line="260" w:lineRule="atLeast"/>
        <w:jc w:val="both"/>
      </w:pPr>
      <w:r>
        <w:rPr>
          <w:rFonts w:ascii="Arial" w:eastAsia="Arial" w:hAnsi="Arial" w:cs="Arial"/>
          <w:color w:val="000000"/>
          <w:sz w:val="20"/>
        </w:rPr>
        <w:t xml:space="preserve">"If the ban continues, it'll be a defining moment for social networking </w:t>
      </w:r>
      <w:r>
        <w:rPr>
          <w:rFonts w:ascii="Arial" w:eastAsia="Arial" w:hAnsi="Arial" w:cs="Arial"/>
          <w:b/>
          <w:i/>
          <w:color w:val="000000"/>
          <w:sz w:val="20"/>
          <w:u w:val="single"/>
        </w:rPr>
        <w:t>startups</w:t>
      </w:r>
      <w:r>
        <w:rPr>
          <w:rFonts w:ascii="Arial" w:eastAsia="Arial" w:hAnsi="Arial" w:cs="Arial"/>
          <w:color w:val="000000"/>
          <w:sz w:val="20"/>
        </w:rPr>
        <w:t xml:space="preserve">," said Anand Lunia, partner at venture capital firm India Quotient, which was one of the earliest backers of ShareChat, Clip, Roposo and other social networking </w:t>
      </w:r>
      <w:r>
        <w:rPr>
          <w:rFonts w:ascii="Arial" w:eastAsia="Arial" w:hAnsi="Arial" w:cs="Arial"/>
          <w:b/>
          <w:i/>
          <w:color w:val="000000"/>
          <w:sz w:val="20"/>
          <w:u w:val="single"/>
        </w:rPr>
        <w:t>startups</w:t>
      </w:r>
      <w:r>
        <w:rPr>
          <w:rFonts w:ascii="Arial" w:eastAsia="Arial" w:hAnsi="Arial" w:cs="Arial"/>
          <w:color w:val="000000"/>
          <w:sz w:val="20"/>
        </w:rPr>
        <w:t>.</w:t>
      </w:r>
    </w:p>
    <w:p w14:paraId="18991F00" w14:textId="77777777" w:rsidR="00054BF0" w:rsidRDefault="00000000">
      <w:pPr>
        <w:spacing w:before="200" w:line="260" w:lineRule="atLeast"/>
        <w:jc w:val="both"/>
      </w:pPr>
      <w:r>
        <w:rPr>
          <w:rFonts w:ascii="Arial" w:eastAsia="Arial" w:hAnsi="Arial" w:cs="Arial"/>
          <w:color w:val="000000"/>
          <w:sz w:val="20"/>
        </w:rPr>
        <w:lastRenderedPageBreak/>
        <w:t xml:space="preserve">Despite the optimism, it is unclear how many social networking </w:t>
      </w:r>
      <w:r>
        <w:rPr>
          <w:rFonts w:ascii="Arial" w:eastAsia="Arial" w:hAnsi="Arial" w:cs="Arial"/>
          <w:b/>
          <w:i/>
          <w:color w:val="000000"/>
          <w:sz w:val="20"/>
          <w:u w:val="single"/>
        </w:rPr>
        <w:t>startups</w:t>
      </w:r>
      <w:r>
        <w:rPr>
          <w:rFonts w:ascii="Arial" w:eastAsia="Arial" w:hAnsi="Arial" w:cs="Arial"/>
          <w:color w:val="000000"/>
          <w:sz w:val="20"/>
        </w:rPr>
        <w:t xml:space="preserve"> will thrive at a large scale. Social networking tends to be a winner-take-most business, meaning that even if the Chinese apps are banned for good, only a very small number of local </w:t>
      </w:r>
      <w:r>
        <w:rPr>
          <w:rFonts w:ascii="Arial" w:eastAsia="Arial" w:hAnsi="Arial" w:cs="Arial"/>
          <w:b/>
          <w:i/>
          <w:color w:val="000000"/>
          <w:sz w:val="20"/>
          <w:u w:val="single"/>
        </w:rPr>
        <w:t>startups</w:t>
      </w:r>
      <w:r>
        <w:rPr>
          <w:rFonts w:ascii="Arial" w:eastAsia="Arial" w:hAnsi="Arial" w:cs="Arial"/>
          <w:color w:val="000000"/>
          <w:sz w:val="20"/>
        </w:rPr>
        <w:t xml:space="preserve"> could end </w:t>
      </w:r>
      <w:r>
        <w:rPr>
          <w:rFonts w:ascii="Arial" w:eastAsia="Arial" w:hAnsi="Arial" w:cs="Arial"/>
          <w:b/>
          <w:i/>
          <w:color w:val="000000"/>
          <w:sz w:val="20"/>
          <w:u w:val="single"/>
        </w:rPr>
        <w:t>up</w:t>
      </w:r>
      <w:r>
        <w:rPr>
          <w:rFonts w:ascii="Arial" w:eastAsia="Arial" w:hAnsi="Arial" w:cs="Arial"/>
          <w:color w:val="000000"/>
          <w:sz w:val="20"/>
        </w:rPr>
        <w:t xml:space="preserve"> extracting any meaningful value.</w:t>
      </w:r>
    </w:p>
    <w:p w14:paraId="4546F20E" w14:textId="77777777" w:rsidR="00054BF0" w:rsidRDefault="00000000">
      <w:pPr>
        <w:spacing w:before="200" w:line="260" w:lineRule="atLeast"/>
        <w:jc w:val="both"/>
      </w:pPr>
      <w:r>
        <w:rPr>
          <w:rFonts w:ascii="Arial" w:eastAsia="Arial" w:hAnsi="Arial" w:cs="Arial"/>
          <w:color w:val="000000"/>
          <w:sz w:val="20"/>
        </w:rPr>
        <w:t>And while the banned Chinese apps served hundreds of millions, their actual business- through advertising revenue and in-app purchases- was relatively meagre, reflecting the low spending power of their users. One internet analyst estimated the overall business on these apps (excluding Club Factory and Shein, which are e-commerce marketplaces) to be easily less than $1 billion annually.</w:t>
      </w:r>
    </w:p>
    <w:p w14:paraId="4DC0DF9F" w14:textId="77777777" w:rsidR="00054BF0" w:rsidRDefault="00000000">
      <w:pPr>
        <w:spacing w:before="200" w:line="260" w:lineRule="atLeast"/>
        <w:jc w:val="both"/>
      </w:pPr>
      <w:r>
        <w:rPr>
          <w:rFonts w:ascii="Arial" w:eastAsia="Arial" w:hAnsi="Arial" w:cs="Arial"/>
          <w:color w:val="000000"/>
          <w:sz w:val="20"/>
        </w:rPr>
        <w:t xml:space="preserve">In addition, investors expect Google and Facebook to corner the largest chunk of ad revenues given </w:t>
      </w:r>
      <w:r>
        <w:rPr>
          <w:rFonts w:ascii="Arial" w:eastAsia="Arial" w:hAnsi="Arial" w:cs="Arial"/>
          <w:b/>
          <w:i/>
          <w:color w:val="000000"/>
          <w:sz w:val="20"/>
          <w:u w:val="single"/>
        </w:rPr>
        <w:t>up</w:t>
      </w:r>
      <w:r>
        <w:rPr>
          <w:rFonts w:ascii="Arial" w:eastAsia="Arial" w:hAnsi="Arial" w:cs="Arial"/>
          <w:color w:val="000000"/>
          <w:sz w:val="20"/>
        </w:rPr>
        <w:t xml:space="preserve"> by the Chinese companies.</w:t>
      </w:r>
    </w:p>
    <w:p w14:paraId="7B4FBD1C" w14:textId="77777777" w:rsidR="00054BF0" w:rsidRDefault="00000000">
      <w:pPr>
        <w:spacing w:before="200" w:line="260" w:lineRule="atLeast"/>
        <w:jc w:val="both"/>
      </w:pPr>
      <w:r>
        <w:rPr>
          <w:rFonts w:ascii="Arial" w:eastAsia="Arial" w:hAnsi="Arial" w:cs="Arial"/>
          <w:color w:val="000000"/>
          <w:sz w:val="20"/>
        </w:rPr>
        <w:t xml:space="preserve">"It is very likely that much of the ad spending that would have gone to TikTok or NewsDog will now be moved to YouTube (owned by Google), Facebook and Instagram (owned by Facebook)," an executive at a content </w:t>
      </w:r>
      <w:r>
        <w:rPr>
          <w:rFonts w:ascii="Arial" w:eastAsia="Arial" w:hAnsi="Arial" w:cs="Arial"/>
          <w:b/>
          <w:i/>
          <w:color w:val="000000"/>
          <w:sz w:val="20"/>
          <w:u w:val="single"/>
        </w:rPr>
        <w:t>startup</w:t>
      </w:r>
      <w:r>
        <w:rPr>
          <w:rFonts w:ascii="Arial" w:eastAsia="Arial" w:hAnsi="Arial" w:cs="Arial"/>
          <w:color w:val="000000"/>
          <w:sz w:val="20"/>
        </w:rPr>
        <w:t xml:space="preserve"> said. "These apps are considered safe advertising options and their reach is unrivalled by any local </w:t>
      </w:r>
      <w:r>
        <w:rPr>
          <w:rFonts w:ascii="Arial" w:eastAsia="Arial" w:hAnsi="Arial" w:cs="Arial"/>
          <w:b/>
          <w:i/>
          <w:color w:val="000000"/>
          <w:sz w:val="20"/>
          <w:u w:val="single"/>
        </w:rPr>
        <w:t>startup</w:t>
      </w:r>
      <w:r>
        <w:rPr>
          <w:rFonts w:ascii="Arial" w:eastAsia="Arial" w:hAnsi="Arial" w:cs="Arial"/>
          <w:color w:val="000000"/>
          <w:sz w:val="20"/>
        </w:rPr>
        <w:t>." Huge blow The purpose of India's curbs on Chinese investments in April was to prevent Chinese firms from buying local companies on the cheap during the pandemic.</w:t>
      </w:r>
    </w:p>
    <w:p w14:paraId="3D16E005" w14:textId="77777777" w:rsidR="00054BF0" w:rsidRDefault="00000000">
      <w:pPr>
        <w:spacing w:before="200" w:line="260" w:lineRule="atLeast"/>
        <w:jc w:val="both"/>
      </w:pPr>
      <w:r>
        <w:rPr>
          <w:rFonts w:ascii="Arial" w:eastAsia="Arial" w:hAnsi="Arial" w:cs="Arial"/>
          <w:color w:val="000000"/>
          <w:sz w:val="20"/>
        </w:rPr>
        <w:t>But as a blanket measure that covered even minority Chinese investments, it was criticized as misguided by VCs and entrepreneurs who pointed out that Chinese firms had anyway never sought to buy Indian internet companies.</w:t>
      </w:r>
    </w:p>
    <w:p w14:paraId="319CFB9B" w14:textId="77777777" w:rsidR="00054BF0" w:rsidRDefault="00000000">
      <w:pPr>
        <w:spacing w:before="200" w:line="260" w:lineRule="atLeast"/>
        <w:jc w:val="both"/>
      </w:pPr>
      <w:r>
        <w:rPr>
          <w:rFonts w:ascii="Arial" w:eastAsia="Arial" w:hAnsi="Arial" w:cs="Arial"/>
          <w:color w:val="000000"/>
          <w:sz w:val="20"/>
        </w:rPr>
        <w:t xml:space="preserve">Though Chinese firms and funds have invested in </w:t>
      </w:r>
      <w:r>
        <w:rPr>
          <w:rFonts w:ascii="Arial" w:eastAsia="Arial" w:hAnsi="Arial" w:cs="Arial"/>
          <w:b/>
          <w:i/>
          <w:color w:val="000000"/>
          <w:sz w:val="20"/>
          <w:u w:val="single"/>
        </w:rPr>
        <w:t>startups</w:t>
      </w:r>
      <w:r>
        <w:rPr>
          <w:rFonts w:ascii="Arial" w:eastAsia="Arial" w:hAnsi="Arial" w:cs="Arial"/>
          <w:color w:val="000000"/>
          <w:sz w:val="20"/>
        </w:rPr>
        <w:t xml:space="preserve"> across sizes and sectors, from Series A companies to unicorns and from e-commerce, mobility, logistics to financial services, healthcare and education, they are only minority shareholders.</w:t>
      </w:r>
    </w:p>
    <w:p w14:paraId="6E6D3057" w14:textId="77777777" w:rsidR="00054BF0" w:rsidRDefault="00000000">
      <w:pPr>
        <w:spacing w:before="200" w:line="260" w:lineRule="atLeast"/>
        <w:jc w:val="both"/>
      </w:pPr>
      <w:r>
        <w:rPr>
          <w:rFonts w:ascii="Arial" w:eastAsia="Arial" w:hAnsi="Arial" w:cs="Arial"/>
          <w:color w:val="000000"/>
          <w:sz w:val="20"/>
        </w:rPr>
        <w:t>After the restrictions were announced, law firms raced to complete funding deals in the small window before the rule took effect.</w:t>
      </w:r>
    </w:p>
    <w:p w14:paraId="6DE45AEF" w14:textId="77777777" w:rsidR="00054BF0" w:rsidRDefault="00000000">
      <w:pPr>
        <w:spacing w:before="200" w:line="260" w:lineRule="atLeast"/>
        <w:jc w:val="both"/>
      </w:pPr>
      <w:r>
        <w:rPr>
          <w:rFonts w:ascii="Arial" w:eastAsia="Arial" w:hAnsi="Arial" w:cs="Arial"/>
          <w:color w:val="000000"/>
          <w:sz w:val="20"/>
        </w:rPr>
        <w:t>Even afterwards, lawyers urged their Chinese clients to continue investing albeit in smaller volumes. The advice was: lie low and this will pass. At least two funding deals involving Chinese investors were signed in May and early June and sent to Indian regulators for approval (which hasn't been granted yet).</w:t>
      </w:r>
    </w:p>
    <w:p w14:paraId="6C81813A" w14:textId="77777777" w:rsidR="00054BF0" w:rsidRDefault="00000000">
      <w:pPr>
        <w:spacing w:before="200" w:line="260" w:lineRule="atLeast"/>
        <w:jc w:val="both"/>
      </w:pPr>
      <w:r>
        <w:rPr>
          <w:rFonts w:ascii="Arial" w:eastAsia="Arial" w:hAnsi="Arial" w:cs="Arial"/>
          <w:color w:val="000000"/>
          <w:sz w:val="20"/>
        </w:rPr>
        <w:t xml:space="preserve">Some </w:t>
      </w:r>
      <w:r>
        <w:rPr>
          <w:rFonts w:ascii="Arial" w:eastAsia="Arial" w:hAnsi="Arial" w:cs="Arial"/>
          <w:b/>
          <w:i/>
          <w:color w:val="000000"/>
          <w:sz w:val="20"/>
          <w:u w:val="single"/>
        </w:rPr>
        <w:t>startups</w:t>
      </w:r>
      <w:r>
        <w:rPr>
          <w:rFonts w:ascii="Arial" w:eastAsia="Arial" w:hAnsi="Arial" w:cs="Arial"/>
          <w:color w:val="000000"/>
          <w:sz w:val="20"/>
        </w:rPr>
        <w:t xml:space="preserve"> trying to raise funds from Chinese funds had even discussed the possibility of shifting their holding company to Singapore to get around the new rule.</w:t>
      </w:r>
    </w:p>
    <w:p w14:paraId="3F477865" w14:textId="77777777" w:rsidR="00054BF0" w:rsidRDefault="00000000">
      <w:pPr>
        <w:spacing w:before="200" w:line="260" w:lineRule="atLeast"/>
        <w:jc w:val="both"/>
      </w:pPr>
      <w:r>
        <w:rPr>
          <w:rFonts w:ascii="Arial" w:eastAsia="Arial" w:hAnsi="Arial" w:cs="Arial"/>
          <w:color w:val="000000"/>
          <w:sz w:val="20"/>
        </w:rPr>
        <w:t>But the lethal clash between the two countries over the Galwan Valley dashed any hopes of a speedy return to normalcy for Chinese investors. Many of them are now actively looking to exit from portfolio companies, especially those that they believe are underperforming, people familiar with the matter said. They are willing to sell their shares in secondary share sales at significant discounts to these companies' present valuations, the people said. In portfolio companies that are thriving, Chinese investors are holding on for now.</w:t>
      </w:r>
    </w:p>
    <w:p w14:paraId="33E28AF1" w14:textId="77777777" w:rsidR="00054BF0" w:rsidRDefault="00000000">
      <w:pPr>
        <w:spacing w:before="200" w:line="260" w:lineRule="atLeast"/>
        <w:jc w:val="both"/>
      </w:pPr>
      <w:r>
        <w:rPr>
          <w:rFonts w:ascii="Arial" w:eastAsia="Arial" w:hAnsi="Arial" w:cs="Arial"/>
          <w:color w:val="000000"/>
          <w:sz w:val="20"/>
        </w:rPr>
        <w:t xml:space="preserve">The unravelling of Chinese holdings in Indian </w:t>
      </w:r>
      <w:r>
        <w:rPr>
          <w:rFonts w:ascii="Arial" w:eastAsia="Arial" w:hAnsi="Arial" w:cs="Arial"/>
          <w:b/>
          <w:i/>
          <w:color w:val="000000"/>
          <w:sz w:val="20"/>
          <w:u w:val="single"/>
        </w:rPr>
        <w:t>startups</w:t>
      </w:r>
      <w:r>
        <w:rPr>
          <w:rFonts w:ascii="Arial" w:eastAsia="Arial" w:hAnsi="Arial" w:cs="Arial"/>
          <w:color w:val="000000"/>
          <w:sz w:val="20"/>
        </w:rPr>
        <w:t xml:space="preserve"> will be a long, painful process that will hurt both parties. In future, Chinese firms could invoke shareholder rights that make it bothersome for their portfolio firms to raise fresh capital without the former's participation.</w:t>
      </w:r>
    </w:p>
    <w:p w14:paraId="14F907A2" w14:textId="77777777" w:rsidR="00054BF0" w:rsidRDefault="00000000">
      <w:pPr>
        <w:spacing w:before="200" w:line="260" w:lineRule="atLeast"/>
        <w:jc w:val="both"/>
      </w:pPr>
      <w:r>
        <w:rPr>
          <w:rFonts w:ascii="Arial" w:eastAsia="Arial" w:hAnsi="Arial" w:cs="Arial"/>
          <w:color w:val="000000"/>
          <w:sz w:val="20"/>
        </w:rPr>
        <w:t xml:space="preserve">The more likely consequence of the India-China stand-off on </w:t>
      </w:r>
      <w:r>
        <w:rPr>
          <w:rFonts w:ascii="Arial" w:eastAsia="Arial" w:hAnsi="Arial" w:cs="Arial"/>
          <w:b/>
          <w:i/>
          <w:color w:val="000000"/>
          <w:sz w:val="20"/>
          <w:u w:val="single"/>
        </w:rPr>
        <w:t>startups</w:t>
      </w:r>
      <w:r>
        <w:rPr>
          <w:rFonts w:ascii="Arial" w:eastAsia="Arial" w:hAnsi="Arial" w:cs="Arial"/>
          <w:color w:val="000000"/>
          <w:sz w:val="20"/>
        </w:rPr>
        <w:t>, however, is that they will struggle to find replacements for Tencent's large cheques, or the deal volumes supplied by Shunwei Capital, especially in the current environment.</w:t>
      </w:r>
    </w:p>
    <w:p w14:paraId="30A6A1A7" w14:textId="77777777" w:rsidR="00054BF0" w:rsidRDefault="00000000">
      <w:pPr>
        <w:spacing w:before="200" w:line="260" w:lineRule="atLeast"/>
        <w:jc w:val="both"/>
      </w:pPr>
      <w:r>
        <w:rPr>
          <w:rFonts w:ascii="Arial" w:eastAsia="Arial" w:hAnsi="Arial" w:cs="Arial"/>
          <w:color w:val="000000"/>
          <w:sz w:val="20"/>
        </w:rPr>
        <w:t xml:space="preserve">From late 2019, </w:t>
      </w:r>
      <w:r>
        <w:rPr>
          <w:rFonts w:ascii="Arial" w:eastAsia="Arial" w:hAnsi="Arial" w:cs="Arial"/>
          <w:b/>
          <w:i/>
          <w:color w:val="000000"/>
          <w:sz w:val="20"/>
          <w:u w:val="single"/>
        </w:rPr>
        <w:t>startup</w:t>
      </w:r>
      <w:r>
        <w:rPr>
          <w:rFonts w:ascii="Arial" w:eastAsia="Arial" w:hAnsi="Arial" w:cs="Arial"/>
          <w:color w:val="000000"/>
          <w:sz w:val="20"/>
        </w:rPr>
        <w:t xml:space="preserve"> funding had </w:t>
      </w:r>
      <w:r>
        <w:rPr>
          <w:rFonts w:ascii="Arial" w:eastAsia="Arial" w:hAnsi="Arial" w:cs="Arial"/>
          <w:b/>
          <w:i/>
          <w:color w:val="000000"/>
          <w:sz w:val="20"/>
          <w:u w:val="single"/>
        </w:rPr>
        <w:t>started</w:t>
      </w:r>
      <w:r>
        <w:rPr>
          <w:rFonts w:ascii="Arial" w:eastAsia="Arial" w:hAnsi="Arial" w:cs="Arial"/>
          <w:color w:val="000000"/>
          <w:sz w:val="20"/>
        </w:rPr>
        <w:t xml:space="preserve"> to slow in India and globally in the wake of the failed WeWork public offering. The pandemic then devastated many internet firms and forced VCs to freeze new investments, triggering a funding crisis. The loss of Chinese capital will exacerbate the funding downturn and could lead to a higher number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distress sales over the next two years.</w:t>
      </w:r>
    </w:p>
    <w:p w14:paraId="0394484E" w14:textId="77777777" w:rsidR="00054BF0" w:rsidRDefault="00000000">
      <w:pPr>
        <w:spacing w:before="200" w:line="260" w:lineRule="atLeast"/>
        <w:jc w:val="both"/>
      </w:pPr>
      <w:r>
        <w:rPr>
          <w:rFonts w:ascii="Arial" w:eastAsia="Arial" w:hAnsi="Arial" w:cs="Arial"/>
          <w:color w:val="000000"/>
          <w:sz w:val="20"/>
        </w:rPr>
        <w:t>In the crosshairs Apart from losing access to Chinese capital, three large Indian internet companies in particular- InMobi, Oyo and Paytm-could be hurt by the stand-off between the countries.</w:t>
      </w:r>
    </w:p>
    <w:p w14:paraId="6AA69A7F" w14:textId="77777777" w:rsidR="00054BF0" w:rsidRDefault="00000000">
      <w:pPr>
        <w:spacing w:before="200" w:line="260" w:lineRule="atLeast"/>
        <w:jc w:val="both"/>
      </w:pPr>
      <w:r>
        <w:rPr>
          <w:rFonts w:ascii="Arial" w:eastAsia="Arial" w:hAnsi="Arial" w:cs="Arial"/>
          <w:color w:val="000000"/>
          <w:sz w:val="20"/>
        </w:rPr>
        <w:lastRenderedPageBreak/>
        <w:t xml:space="preserve">Unlike most Indian </w:t>
      </w:r>
      <w:r>
        <w:rPr>
          <w:rFonts w:ascii="Arial" w:eastAsia="Arial" w:hAnsi="Arial" w:cs="Arial"/>
          <w:b/>
          <w:i/>
          <w:color w:val="000000"/>
          <w:sz w:val="20"/>
          <w:u w:val="single"/>
        </w:rPr>
        <w:t>startups</w:t>
      </w:r>
      <w:r>
        <w:rPr>
          <w:rFonts w:ascii="Arial" w:eastAsia="Arial" w:hAnsi="Arial" w:cs="Arial"/>
          <w:color w:val="000000"/>
          <w:sz w:val="20"/>
        </w:rPr>
        <w:t>, which have avoided venturing into China, InMobi and Oyo have large operations there and count the country as one of their top two markets.</w:t>
      </w:r>
    </w:p>
    <w:p w14:paraId="1481E2E4" w14:textId="77777777" w:rsidR="00054BF0" w:rsidRDefault="00000000">
      <w:pPr>
        <w:spacing w:before="200" w:line="260" w:lineRule="atLeast"/>
        <w:jc w:val="both"/>
      </w:pPr>
      <w:r>
        <w:rPr>
          <w:rFonts w:ascii="Arial" w:eastAsia="Arial" w:hAnsi="Arial" w:cs="Arial"/>
          <w:color w:val="000000"/>
          <w:sz w:val="20"/>
        </w:rPr>
        <w:t>InMobi has said that it generates about a fourth of its revenues from China, while Oyo has invested hundreds of millions of dollars on expanding in Asia's largest economy.</w:t>
      </w:r>
    </w:p>
    <w:p w14:paraId="55E9F5C1" w14:textId="77777777" w:rsidR="00054BF0" w:rsidRDefault="00000000">
      <w:pPr>
        <w:spacing w:before="200" w:line="260" w:lineRule="atLeast"/>
        <w:jc w:val="both"/>
      </w:pPr>
      <w:r>
        <w:rPr>
          <w:rFonts w:ascii="Arial" w:eastAsia="Arial" w:hAnsi="Arial" w:cs="Arial"/>
          <w:color w:val="000000"/>
          <w:sz w:val="20"/>
        </w:rPr>
        <w:t>Any retaliatory action by China will cause significant damage to the two firms. Oyo seems especially vulnerable, as its business has collapsed globally; China, whose economy has reopened after it successfully controlled the pandemic, was one of the few markets where a strong recovery was possible for Oyo this year.</w:t>
      </w:r>
    </w:p>
    <w:p w14:paraId="0B85DE69" w14:textId="77777777" w:rsidR="00054BF0" w:rsidRDefault="00000000">
      <w:pPr>
        <w:spacing w:before="200" w:line="260" w:lineRule="atLeast"/>
        <w:jc w:val="both"/>
      </w:pPr>
      <w:r>
        <w:rPr>
          <w:rFonts w:ascii="Arial" w:eastAsia="Arial" w:hAnsi="Arial" w:cs="Arial"/>
          <w:color w:val="000000"/>
          <w:sz w:val="20"/>
        </w:rPr>
        <w:t xml:space="preserve">Paytm, India's most valuable </w:t>
      </w:r>
      <w:r>
        <w:rPr>
          <w:rFonts w:ascii="Arial" w:eastAsia="Arial" w:hAnsi="Arial" w:cs="Arial"/>
          <w:b/>
          <w:i/>
          <w:color w:val="000000"/>
          <w:sz w:val="20"/>
          <w:u w:val="single"/>
        </w:rPr>
        <w:t>startup</w:t>
      </w:r>
      <w:r>
        <w:rPr>
          <w:rFonts w:ascii="Arial" w:eastAsia="Arial" w:hAnsi="Arial" w:cs="Arial"/>
          <w:color w:val="000000"/>
          <w:sz w:val="20"/>
        </w:rPr>
        <w:t>, has close ties with China's Alibaba Group, which in turn is known to be close to China's ruling party. Alibaba's sister firm Ant Financial is the biggest investor in One97 Communications, Paytm's parent firm, while Alibaba is the biggest shareholder in Paytm E-commerce.</w:t>
      </w:r>
    </w:p>
    <w:p w14:paraId="29B207D6" w14:textId="77777777" w:rsidR="00054BF0" w:rsidRDefault="00000000">
      <w:pPr>
        <w:spacing w:before="200" w:line="260" w:lineRule="atLeast"/>
        <w:jc w:val="both"/>
      </w:pPr>
      <w:r>
        <w:rPr>
          <w:rFonts w:ascii="Arial" w:eastAsia="Arial" w:hAnsi="Arial" w:cs="Arial"/>
          <w:color w:val="000000"/>
          <w:sz w:val="20"/>
        </w:rPr>
        <w:t>The Alibaba Group controls nearly 40% in Paytm and Paytm E-commerce. Alibaba and Paytm run a joint venture in online gaming Paytm First Games. Paytm has also said in the past that it uses Aliyun, Alibaba's cloud computing service. Given that financial services is considered a sensitive sector by India, Paytm's ties with Alibaba are likely to be scrutinized by regulators.</w:t>
      </w:r>
    </w:p>
    <w:p w14:paraId="2DE35E3B" w14:textId="77777777" w:rsidR="00054BF0" w:rsidRDefault="00000000">
      <w:pPr>
        <w:spacing w:before="200" w:line="260" w:lineRule="atLeast"/>
        <w:jc w:val="both"/>
      </w:pPr>
      <w:r>
        <w:rPr>
          <w:rFonts w:ascii="Arial" w:eastAsia="Arial" w:hAnsi="Arial" w:cs="Arial"/>
          <w:color w:val="000000"/>
          <w:sz w:val="20"/>
        </w:rPr>
        <w:t>Paytm said that none of its "investors or other stakeholders" have access to its customer data. "All of the data across all our ventures are stored in India," a Paytm spokesperson said.</w:t>
      </w:r>
    </w:p>
    <w:p w14:paraId="06A2CDD6"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MintAsia. For any query with respect to this article or any other content requirement, please contact Editor at </w:t>
      </w:r>
      <w:hyperlink r:id="rId360" w:history="1">
        <w:r>
          <w:rPr>
            <w:rFonts w:ascii="Arial" w:eastAsia="Arial" w:hAnsi="Arial" w:cs="Arial"/>
            <w:i/>
            <w:color w:val="0077CC"/>
            <w:sz w:val="20"/>
            <w:u w:val="single"/>
            <w:shd w:val="clear" w:color="auto" w:fill="FFFFFF"/>
          </w:rPr>
          <w:t>contentservices@htlive.com</w:t>
        </w:r>
      </w:hyperlink>
    </w:p>
    <w:p w14:paraId="2EBF3A66"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10, 2020</w:t>
      </w:r>
    </w:p>
    <w:p w14:paraId="7930229C" w14:textId="77777777" w:rsidR="00054BF0" w:rsidRDefault="00054BF0"/>
    <w:p w14:paraId="46ACA66B" w14:textId="77777777" w:rsidR="00054BF0" w:rsidRDefault="00000000">
      <w:pPr>
        <w:ind w:left="200"/>
        <w:sectPr w:rsidR="00054BF0">
          <w:type w:val="continuous"/>
          <w:pgSz w:w="12240" w:h="15840"/>
          <w:pgMar w:top="840" w:right="1000" w:bottom="840" w:left="1000" w:header="400" w:footer="400" w:gutter="0"/>
          <w:cols w:space="720"/>
        </w:sectPr>
      </w:pPr>
      <w:r>
        <w:br/>
      </w:r>
      <w:r>
        <w:pict w14:anchorId="0BFA6CDC">
          <v:line id="_x0000_s2109" style="position:absolute;left:0;text-align:left;z-index:251695104;mso-position-horizontal-relative:text;mso-position-vertical-relative:text" from="0,10pt" to="512pt,10pt" strokeweight="1pt"/>
        </w:pict>
      </w:r>
      <w:r>
        <w:rPr>
          <w:rFonts w:ascii="Arial" w:eastAsia="Arial" w:hAnsi="Arial" w:cs="Arial"/>
          <w:b/>
          <w:color w:val="767676"/>
          <w:sz w:val="16"/>
        </w:rPr>
        <w:t>End of Document</w:t>
      </w:r>
    </w:p>
    <w:p w14:paraId="68793880" w14:textId="77777777" w:rsidR="00054BF0" w:rsidRDefault="00054BF0">
      <w:pPr>
        <w:sectPr w:rsidR="00054BF0">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gutter="0"/>
          <w:cols w:space="720"/>
          <w:titlePg/>
        </w:sectPr>
      </w:pPr>
    </w:p>
    <w:p w14:paraId="0D797A58" w14:textId="77777777" w:rsidR="00054BF0" w:rsidRDefault="00054BF0">
      <w:bookmarkStart w:id="36" w:name="Bookmark_19"/>
      <w:bookmarkEnd w:id="36"/>
    </w:p>
    <w:p w14:paraId="08572E68" w14:textId="77777777" w:rsidR="00054BF0" w:rsidRDefault="00BE2275">
      <w:r>
        <w:pict w14:anchorId="212EF08B">
          <v:shape id="_x0000_i1050" type="#_x0000_t75" alt="LexisNexis®" style="width:148pt;height:30pt">
            <v:imagedata r:id="rId6" o:title=""/>
          </v:shape>
        </w:pict>
      </w:r>
      <w:r w:rsidR="00A540D1">
        <w:cr/>
      </w:r>
    </w:p>
    <w:p w14:paraId="139BF43F" w14:textId="77777777" w:rsidR="00054BF0" w:rsidRDefault="00000000">
      <w:pPr>
        <w:spacing w:before="240" w:after="200" w:line="340" w:lineRule="atLeast"/>
        <w:jc w:val="center"/>
        <w:outlineLvl w:val="0"/>
        <w:rPr>
          <w:rFonts w:ascii="Arial" w:hAnsi="Arial" w:cs="Arial"/>
          <w:b/>
          <w:bCs/>
          <w:kern w:val="32"/>
          <w:sz w:val="32"/>
          <w:szCs w:val="32"/>
        </w:rPr>
      </w:pPr>
      <w:hyperlink r:id="rId367" w:history="1">
        <w:r>
          <w:rPr>
            <w:rFonts w:ascii="Arial" w:eastAsia="Arial" w:hAnsi="Arial" w:cs="Arial"/>
            <w:b/>
            <w:bCs/>
            <w:i/>
            <w:color w:val="0077CC"/>
            <w:kern w:val="32"/>
            <w:sz w:val="28"/>
            <w:szCs w:val="32"/>
            <w:u w:val="single"/>
            <w:shd w:val="clear" w:color="auto" w:fill="FFFFFF"/>
          </w:rPr>
          <w:t>Startups</w:t>
        </w:r>
      </w:hyperlink>
      <w:hyperlink r:id="rId368" w:history="1">
        <w:r>
          <w:rPr>
            <w:rFonts w:ascii="Arial" w:eastAsia="Arial" w:hAnsi="Arial" w:cs="Arial"/>
            <w:b/>
            <w:bCs/>
            <w:i/>
            <w:color w:val="0077CC"/>
            <w:kern w:val="32"/>
            <w:sz w:val="28"/>
            <w:szCs w:val="32"/>
            <w:u w:val="single"/>
            <w:shd w:val="clear" w:color="auto" w:fill="FFFFFF"/>
          </w:rPr>
          <w:t xml:space="preserve"> wake </w:t>
        </w:r>
      </w:hyperlink>
      <w:hyperlink r:id="rId369" w:history="1">
        <w:r>
          <w:rPr>
            <w:rFonts w:ascii="Arial" w:eastAsia="Arial" w:hAnsi="Arial" w:cs="Arial"/>
            <w:b/>
            <w:bCs/>
            <w:i/>
            <w:color w:val="0077CC"/>
            <w:kern w:val="32"/>
            <w:sz w:val="28"/>
            <w:szCs w:val="32"/>
            <w:u w:val="single"/>
            <w:shd w:val="clear" w:color="auto" w:fill="FFFFFF"/>
          </w:rPr>
          <w:t>up</w:t>
        </w:r>
      </w:hyperlink>
      <w:hyperlink r:id="rId370" w:history="1">
        <w:r>
          <w:rPr>
            <w:rFonts w:ascii="Arial" w:eastAsia="Arial" w:hAnsi="Arial" w:cs="Arial"/>
            <w:b/>
            <w:bCs/>
            <w:i/>
            <w:color w:val="0077CC"/>
            <w:kern w:val="32"/>
            <w:sz w:val="28"/>
            <w:szCs w:val="32"/>
            <w:u w:val="single"/>
            <w:shd w:val="clear" w:color="auto" w:fill="FFFFFF"/>
          </w:rPr>
          <w:t xml:space="preserve"> to a post-China world</w:t>
        </w:r>
      </w:hyperlink>
    </w:p>
    <w:p w14:paraId="60F5CBA8" w14:textId="77777777" w:rsidR="00054BF0" w:rsidRDefault="00000000">
      <w:pPr>
        <w:spacing w:before="120" w:line="260" w:lineRule="atLeast"/>
        <w:jc w:val="center"/>
      </w:pPr>
      <w:r>
        <w:rPr>
          <w:rFonts w:ascii="Arial" w:eastAsia="Arial" w:hAnsi="Arial" w:cs="Arial"/>
          <w:color w:val="000000"/>
          <w:sz w:val="20"/>
        </w:rPr>
        <w:t>MINT</w:t>
      </w:r>
    </w:p>
    <w:p w14:paraId="5092E3C4" w14:textId="77777777" w:rsidR="00054BF0" w:rsidRDefault="00000000">
      <w:pPr>
        <w:spacing w:before="120" w:line="260" w:lineRule="atLeast"/>
        <w:jc w:val="center"/>
      </w:pPr>
      <w:r>
        <w:rPr>
          <w:rFonts w:ascii="Arial" w:eastAsia="Arial" w:hAnsi="Arial" w:cs="Arial"/>
          <w:color w:val="000000"/>
          <w:sz w:val="20"/>
        </w:rPr>
        <w:t>July 7, 2020 Tuesday</w:t>
      </w:r>
    </w:p>
    <w:p w14:paraId="2E38BA15" w14:textId="77777777" w:rsidR="00054BF0" w:rsidRDefault="00054BF0">
      <w:pPr>
        <w:spacing w:line="240" w:lineRule="atLeast"/>
        <w:jc w:val="both"/>
      </w:pPr>
    </w:p>
    <w:p w14:paraId="51479656" w14:textId="77777777" w:rsidR="00054BF0" w:rsidRDefault="00000000">
      <w:pPr>
        <w:spacing w:before="120" w:line="220" w:lineRule="atLeast"/>
      </w:pPr>
      <w:r>
        <w:br/>
      </w:r>
      <w:r>
        <w:rPr>
          <w:rFonts w:ascii="Arial" w:eastAsia="Arial" w:hAnsi="Arial" w:cs="Arial"/>
          <w:color w:val="000000"/>
          <w:sz w:val="16"/>
        </w:rPr>
        <w:t>Copyright 2020 HT Media Ltd. All Rights Reserved</w:t>
      </w:r>
    </w:p>
    <w:p w14:paraId="425F51DC"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2100 words</w:t>
      </w:r>
    </w:p>
    <w:p w14:paraId="5DD43EFC"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Bengaluru </w:t>
      </w:r>
    </w:p>
    <w:p w14:paraId="32813020" w14:textId="77777777" w:rsidR="00054BF0" w:rsidRDefault="00000000">
      <w:pPr>
        <w:keepNext/>
        <w:spacing w:before="240" w:line="340" w:lineRule="atLeast"/>
      </w:pPr>
      <w:bookmarkStart w:id="37" w:name="Body_17"/>
      <w:bookmarkEnd w:id="37"/>
      <w:r>
        <w:rPr>
          <w:rFonts w:ascii="Arial" w:eastAsia="Arial" w:hAnsi="Arial" w:cs="Arial"/>
          <w:b/>
          <w:color w:val="000000"/>
          <w:sz w:val="28"/>
        </w:rPr>
        <w:t>Body</w:t>
      </w:r>
    </w:p>
    <w:p w14:paraId="212008A7" w14:textId="77777777" w:rsidR="00054BF0" w:rsidRDefault="00000000">
      <w:pPr>
        <w:spacing w:line="60" w:lineRule="exact"/>
      </w:pPr>
      <w:r>
        <w:pict w14:anchorId="20CEB5F3">
          <v:line id="_x0000_s2111" style="position:absolute;z-index:251696128" from="0,2pt" to="512pt,2pt" strokecolor="#009ddb" strokeweight="2pt">
            <w10:wrap type="topAndBottom"/>
          </v:line>
        </w:pict>
      </w:r>
    </w:p>
    <w:p w14:paraId="64F8BE04" w14:textId="77777777" w:rsidR="00054BF0" w:rsidRDefault="00054BF0"/>
    <w:p w14:paraId="359E8701" w14:textId="77777777" w:rsidR="00054BF0" w:rsidRDefault="00000000">
      <w:pPr>
        <w:spacing w:before="200" w:line="260" w:lineRule="atLeast"/>
        <w:jc w:val="both"/>
      </w:pPr>
      <w:r>
        <w:rPr>
          <w:rFonts w:ascii="Arial" w:eastAsia="Arial" w:hAnsi="Arial" w:cs="Arial"/>
          <w:color w:val="000000"/>
          <w:sz w:val="20"/>
        </w:rPr>
        <w:t>Bengaluru, July 7 -- Last week, after India abruptly announced a ban on 59 Chinese apps, TikTok's CEO Kevin Mayer called for a virtual town hall with his India employees.</w:t>
      </w:r>
    </w:p>
    <w:p w14:paraId="1DAE0C41" w14:textId="77777777" w:rsidR="00054BF0" w:rsidRDefault="00000000">
      <w:pPr>
        <w:spacing w:before="200" w:line="260" w:lineRule="atLeast"/>
        <w:jc w:val="both"/>
      </w:pPr>
      <w:r>
        <w:rPr>
          <w:rFonts w:ascii="Arial" w:eastAsia="Arial" w:hAnsi="Arial" w:cs="Arial"/>
          <w:color w:val="000000"/>
          <w:sz w:val="20"/>
        </w:rPr>
        <w:t xml:space="preserve">Over the past two years, ByteDance, which owns TikTok and Helo (also included in the list of the banned apps), had established a large presence in India. Despite the border conflict between India and China that led to the death of 20 Indian soldiers and the anti-China rhetoric that had been bubbling </w:t>
      </w:r>
      <w:r>
        <w:rPr>
          <w:rFonts w:ascii="Arial" w:eastAsia="Arial" w:hAnsi="Arial" w:cs="Arial"/>
          <w:b/>
          <w:i/>
          <w:color w:val="000000"/>
          <w:sz w:val="20"/>
          <w:u w:val="single"/>
        </w:rPr>
        <w:t>up</w:t>
      </w:r>
      <w:r>
        <w:rPr>
          <w:rFonts w:ascii="Arial" w:eastAsia="Arial" w:hAnsi="Arial" w:cs="Arial"/>
          <w:color w:val="000000"/>
          <w:sz w:val="20"/>
        </w:rPr>
        <w:t xml:space="preserve"> here as the pandemic spread, the Beijing-headquartered ByteDance had no inkling that a ban was coming.</w:t>
      </w:r>
    </w:p>
    <w:p w14:paraId="3918D9C1" w14:textId="77777777" w:rsidR="00054BF0" w:rsidRDefault="00000000">
      <w:pPr>
        <w:spacing w:before="200" w:line="260" w:lineRule="atLeast"/>
        <w:jc w:val="both"/>
      </w:pPr>
      <w:r>
        <w:rPr>
          <w:rFonts w:ascii="Arial" w:eastAsia="Arial" w:hAnsi="Arial" w:cs="Arial"/>
          <w:color w:val="000000"/>
          <w:sz w:val="20"/>
        </w:rPr>
        <w:t>Mayer, who had joined TikTok as its global CEO only in May from the American entertainment firm The Walt Disney Company, sought to allay the concerns of the India employees. Mayer, 58, told the ByteDance employees that he was known to look after his employees as if they were family and that he would fight for his team. TikTok would continue to pay salaries and avoid cutting jobs for now, he added.</w:t>
      </w:r>
    </w:p>
    <w:p w14:paraId="0966872D" w14:textId="77777777" w:rsidR="00054BF0" w:rsidRDefault="00000000">
      <w:pPr>
        <w:spacing w:before="200" w:line="260" w:lineRule="atLeast"/>
        <w:jc w:val="both"/>
      </w:pPr>
      <w:r>
        <w:rPr>
          <w:rFonts w:ascii="Arial" w:eastAsia="Arial" w:hAnsi="Arial" w:cs="Arial"/>
          <w:color w:val="000000"/>
          <w:sz w:val="20"/>
        </w:rPr>
        <w:t>But Mayer's address, which lasted a few minutes, failed to provide much comfort to TikTok employees, two company executives said.</w:t>
      </w:r>
    </w:p>
    <w:p w14:paraId="3D5C7674" w14:textId="77777777" w:rsidR="00054BF0" w:rsidRDefault="00000000">
      <w:pPr>
        <w:spacing w:before="200" w:line="260" w:lineRule="atLeast"/>
        <w:jc w:val="both"/>
      </w:pPr>
      <w:r>
        <w:rPr>
          <w:rFonts w:ascii="Arial" w:eastAsia="Arial" w:hAnsi="Arial" w:cs="Arial"/>
          <w:color w:val="000000"/>
          <w:sz w:val="20"/>
        </w:rPr>
        <w:t xml:space="preserve">"His town hall was really brief and there were no details on what the company can do to deal with this. No one was convinced . While we're still hoping that the ban will be reversed, I wouldn't say anyone expects it. Many have already </w:t>
      </w:r>
      <w:r>
        <w:rPr>
          <w:rFonts w:ascii="Arial" w:eastAsia="Arial" w:hAnsi="Arial" w:cs="Arial"/>
          <w:b/>
          <w:i/>
          <w:color w:val="000000"/>
          <w:sz w:val="20"/>
          <w:u w:val="single"/>
        </w:rPr>
        <w:t>started</w:t>
      </w:r>
      <w:r>
        <w:rPr>
          <w:rFonts w:ascii="Arial" w:eastAsia="Arial" w:hAnsi="Arial" w:cs="Arial"/>
          <w:color w:val="000000"/>
          <w:sz w:val="20"/>
        </w:rPr>
        <w:t xml:space="preserve"> looking out for other jobs," one of the executives said.</w:t>
      </w:r>
    </w:p>
    <w:p w14:paraId="1F392752" w14:textId="77777777" w:rsidR="00054BF0" w:rsidRDefault="00000000">
      <w:pPr>
        <w:spacing w:before="200" w:line="260" w:lineRule="atLeast"/>
        <w:jc w:val="both"/>
      </w:pPr>
      <w:r>
        <w:rPr>
          <w:rFonts w:ascii="Arial" w:eastAsia="Arial" w:hAnsi="Arial" w:cs="Arial"/>
          <w:color w:val="000000"/>
          <w:sz w:val="20"/>
        </w:rPr>
        <w:t xml:space="preserve">The government's move, however, was cheered by local entrepreneurs and venture capitalists who expect </w:t>
      </w:r>
      <w:r>
        <w:rPr>
          <w:rFonts w:ascii="Arial" w:eastAsia="Arial" w:hAnsi="Arial" w:cs="Arial"/>
          <w:b/>
          <w:i/>
          <w:color w:val="000000"/>
          <w:sz w:val="20"/>
          <w:u w:val="single"/>
        </w:rPr>
        <w:t>startups</w:t>
      </w:r>
      <w:r>
        <w:rPr>
          <w:rFonts w:ascii="Arial" w:eastAsia="Arial" w:hAnsi="Arial" w:cs="Arial"/>
          <w:color w:val="000000"/>
          <w:sz w:val="20"/>
        </w:rPr>
        <w:t xml:space="preserve"> in social networking, media and other spaces to benefit from the forced withdrawal of TikTok, Helo, SHAREit, NewsDog and others. Indian </w:t>
      </w:r>
      <w:r>
        <w:rPr>
          <w:rFonts w:ascii="Arial" w:eastAsia="Arial" w:hAnsi="Arial" w:cs="Arial"/>
          <w:b/>
          <w:i/>
          <w:color w:val="000000"/>
          <w:sz w:val="20"/>
          <w:u w:val="single"/>
        </w:rPr>
        <w:t>startups</w:t>
      </w:r>
      <w:r>
        <w:rPr>
          <w:rFonts w:ascii="Arial" w:eastAsia="Arial" w:hAnsi="Arial" w:cs="Arial"/>
          <w:color w:val="000000"/>
          <w:sz w:val="20"/>
        </w:rPr>
        <w:t xml:space="preserve"> have faced existential threats mostly from American and Chinese companies that use their technology prowess and limitless capital to overpower local rivals. If the ban on Chinese companies stays, it'll provide respite to local </w:t>
      </w:r>
      <w:r>
        <w:rPr>
          <w:rFonts w:ascii="Arial" w:eastAsia="Arial" w:hAnsi="Arial" w:cs="Arial"/>
          <w:b/>
          <w:i/>
          <w:color w:val="000000"/>
          <w:sz w:val="20"/>
          <w:u w:val="single"/>
        </w:rPr>
        <w:t>startups</w:t>
      </w:r>
      <w:r>
        <w:rPr>
          <w:rFonts w:ascii="Arial" w:eastAsia="Arial" w:hAnsi="Arial" w:cs="Arial"/>
          <w:color w:val="000000"/>
          <w:sz w:val="20"/>
        </w:rPr>
        <w:t xml:space="preserve"> by permanently removing one set of competitors whom they believe were engaged in the unfair practice of "capital dumping."</w:t>
      </w:r>
    </w:p>
    <w:p w14:paraId="6EA62CD5" w14:textId="77777777" w:rsidR="00054BF0" w:rsidRDefault="00000000">
      <w:pPr>
        <w:spacing w:before="200" w:line="260" w:lineRule="atLeast"/>
        <w:jc w:val="both"/>
      </w:pPr>
      <w:r>
        <w:rPr>
          <w:rFonts w:ascii="Arial" w:eastAsia="Arial" w:hAnsi="Arial" w:cs="Arial"/>
          <w:color w:val="000000"/>
          <w:sz w:val="20"/>
        </w:rPr>
        <w:t xml:space="preserve">The ban was the second time in months that India had moved to put restrictions on Chinese companies and investors. In April, direct investments by Chinese investors into Indian companies without regulatory approval were prohibited . In that case, the impact on Indian </w:t>
      </w:r>
      <w:r>
        <w:rPr>
          <w:rFonts w:ascii="Arial" w:eastAsia="Arial" w:hAnsi="Arial" w:cs="Arial"/>
          <w:b/>
          <w:i/>
          <w:color w:val="000000"/>
          <w:sz w:val="20"/>
          <w:u w:val="single"/>
        </w:rPr>
        <w:t>startups</w:t>
      </w:r>
      <w:r>
        <w:rPr>
          <w:rFonts w:ascii="Arial" w:eastAsia="Arial" w:hAnsi="Arial" w:cs="Arial"/>
          <w:color w:val="000000"/>
          <w:sz w:val="20"/>
        </w:rPr>
        <w:t xml:space="preserve"> was decidedly negative-Chinese investors have poured over $8 billion into </w:t>
      </w:r>
      <w:r>
        <w:rPr>
          <w:rFonts w:ascii="Arial" w:eastAsia="Arial" w:hAnsi="Arial" w:cs="Arial"/>
          <w:b/>
          <w:i/>
          <w:color w:val="000000"/>
          <w:sz w:val="20"/>
          <w:u w:val="single"/>
        </w:rPr>
        <w:t>startups</w:t>
      </w:r>
      <w:r>
        <w:rPr>
          <w:rFonts w:ascii="Arial" w:eastAsia="Arial" w:hAnsi="Arial" w:cs="Arial"/>
          <w:color w:val="000000"/>
          <w:sz w:val="20"/>
        </w:rPr>
        <w:t xml:space="preserve"> directly or indirectly over the past decade, and in recent years, they had become the most important source of capital for small and large internet firms alike.</w:t>
      </w:r>
    </w:p>
    <w:p w14:paraId="7812E27C" w14:textId="77777777" w:rsidR="00054BF0" w:rsidRDefault="00000000">
      <w:pPr>
        <w:spacing w:before="200" w:line="260" w:lineRule="atLeast"/>
        <w:jc w:val="both"/>
      </w:pPr>
      <w:r>
        <w:rPr>
          <w:rFonts w:ascii="Arial" w:eastAsia="Arial" w:hAnsi="Arial" w:cs="Arial"/>
          <w:color w:val="000000"/>
          <w:sz w:val="20"/>
        </w:rPr>
        <w:lastRenderedPageBreak/>
        <w:t xml:space="preserve">Put together, the two policy measures will lead to an immediate freeze on Chinese capital in India's </w:t>
      </w:r>
      <w:r>
        <w:rPr>
          <w:rFonts w:ascii="Arial" w:eastAsia="Arial" w:hAnsi="Arial" w:cs="Arial"/>
          <w:b/>
          <w:i/>
          <w:color w:val="000000"/>
          <w:sz w:val="20"/>
          <w:u w:val="single"/>
        </w:rPr>
        <w:t>startup</w:t>
      </w:r>
      <w:r>
        <w:rPr>
          <w:rFonts w:ascii="Arial" w:eastAsia="Arial" w:hAnsi="Arial" w:cs="Arial"/>
          <w:color w:val="000000"/>
          <w:sz w:val="20"/>
        </w:rPr>
        <w:t xml:space="preserve"> ecosystem that is likely to last until a political resolution of the latest border dispute. It will leave a huge funding gap for internet firms that are already struggling to cope with the slump caused by the pandemic. This blow easily outweighs the potential benefits to a handful of social networking </w:t>
      </w:r>
      <w:r>
        <w:rPr>
          <w:rFonts w:ascii="Arial" w:eastAsia="Arial" w:hAnsi="Arial" w:cs="Arial"/>
          <w:b/>
          <w:i/>
          <w:color w:val="000000"/>
          <w:sz w:val="20"/>
          <w:u w:val="single"/>
        </w:rPr>
        <w:t>startups</w:t>
      </w:r>
      <w:r>
        <w:rPr>
          <w:rFonts w:ascii="Arial" w:eastAsia="Arial" w:hAnsi="Arial" w:cs="Arial"/>
          <w:color w:val="000000"/>
          <w:sz w:val="20"/>
        </w:rPr>
        <w:t>.</w:t>
      </w:r>
    </w:p>
    <w:p w14:paraId="078799AC" w14:textId="77777777" w:rsidR="00054BF0" w:rsidRDefault="00000000">
      <w:pPr>
        <w:spacing w:before="200" w:line="260" w:lineRule="atLeast"/>
        <w:jc w:val="both"/>
      </w:pPr>
      <w:r>
        <w:rPr>
          <w:rFonts w:ascii="Arial" w:eastAsia="Arial" w:hAnsi="Arial" w:cs="Arial"/>
          <w:color w:val="000000"/>
          <w:sz w:val="20"/>
        </w:rPr>
        <w:t xml:space="preserve">There is a small possibility that if the two governments reach a compromise, both venture capitalists and the banned companies from China will return. Hence, the long-term impact of the moves remain unclear. ByteDance is pleading its case with the government and has offered to set </w:t>
      </w:r>
      <w:r>
        <w:rPr>
          <w:rFonts w:ascii="Arial" w:eastAsia="Arial" w:hAnsi="Arial" w:cs="Arial"/>
          <w:b/>
          <w:i/>
          <w:color w:val="000000"/>
          <w:sz w:val="20"/>
          <w:u w:val="single"/>
        </w:rPr>
        <w:t>up</w:t>
      </w:r>
      <w:r>
        <w:rPr>
          <w:rFonts w:ascii="Arial" w:eastAsia="Arial" w:hAnsi="Arial" w:cs="Arial"/>
          <w:color w:val="000000"/>
          <w:sz w:val="20"/>
        </w:rPr>
        <w:t xml:space="preserve"> an engineering office and data centres in India, among other steps.</w:t>
      </w:r>
    </w:p>
    <w:p w14:paraId="781F213D" w14:textId="77777777" w:rsidR="00054BF0" w:rsidRDefault="00000000">
      <w:pPr>
        <w:spacing w:before="200" w:line="260" w:lineRule="atLeast"/>
        <w:jc w:val="both"/>
      </w:pPr>
      <w:r>
        <w:rPr>
          <w:rFonts w:ascii="Arial" w:eastAsia="Arial" w:hAnsi="Arial" w:cs="Arial"/>
          <w:color w:val="000000"/>
          <w:sz w:val="20"/>
        </w:rPr>
        <w:t xml:space="preserve">It is clear that India's </w:t>
      </w:r>
      <w:r>
        <w:rPr>
          <w:rFonts w:ascii="Arial" w:eastAsia="Arial" w:hAnsi="Arial" w:cs="Arial"/>
          <w:b/>
          <w:i/>
          <w:color w:val="000000"/>
          <w:sz w:val="20"/>
          <w:u w:val="single"/>
        </w:rPr>
        <w:t>startup</w:t>
      </w:r>
      <w:r>
        <w:rPr>
          <w:rFonts w:ascii="Arial" w:eastAsia="Arial" w:hAnsi="Arial" w:cs="Arial"/>
          <w:color w:val="000000"/>
          <w:sz w:val="20"/>
        </w:rPr>
        <w:t xml:space="preserve"> ecosystem has become a key geo-political battleground notwithstanding its small size-imports in sectors like smartphones and pharmaceuticals from China dwarf </w:t>
      </w:r>
      <w:r>
        <w:rPr>
          <w:rFonts w:ascii="Arial" w:eastAsia="Arial" w:hAnsi="Arial" w:cs="Arial"/>
          <w:b/>
          <w:i/>
          <w:color w:val="000000"/>
          <w:sz w:val="20"/>
          <w:u w:val="single"/>
        </w:rPr>
        <w:t>startup</w:t>
      </w:r>
      <w:r>
        <w:rPr>
          <w:rFonts w:ascii="Arial" w:eastAsia="Arial" w:hAnsi="Arial" w:cs="Arial"/>
          <w:color w:val="000000"/>
          <w:sz w:val="20"/>
        </w:rPr>
        <w:t xml:space="preserve"> activity involving the two countries. But as foreign policy experts have pointed out, India has few viable options to undertake substantial retaliatory actions against China. In this context, banning apps and placing investment restrictions are seen as low-risk manoeuvres that could help the government save face.</w:t>
      </w:r>
    </w:p>
    <w:p w14:paraId="5D4B257B" w14:textId="77777777" w:rsidR="00054BF0" w:rsidRDefault="00000000">
      <w:pPr>
        <w:spacing w:before="200" w:line="260" w:lineRule="atLeast"/>
        <w:jc w:val="both"/>
      </w:pPr>
      <w:r>
        <w:rPr>
          <w:rFonts w:ascii="Arial" w:eastAsia="Arial" w:hAnsi="Arial" w:cs="Arial"/>
          <w:color w:val="000000"/>
          <w:sz w:val="20"/>
        </w:rPr>
        <w:t xml:space="preserve">One thing is certain: the </w:t>
      </w:r>
      <w:r>
        <w:rPr>
          <w:rFonts w:ascii="Arial" w:eastAsia="Arial" w:hAnsi="Arial" w:cs="Arial"/>
          <w:b/>
          <w:i/>
          <w:color w:val="000000"/>
          <w:sz w:val="20"/>
          <w:u w:val="single"/>
        </w:rPr>
        <w:t>startup</w:t>
      </w:r>
      <w:r>
        <w:rPr>
          <w:rFonts w:ascii="Arial" w:eastAsia="Arial" w:hAnsi="Arial" w:cs="Arial"/>
          <w:color w:val="000000"/>
          <w:sz w:val="20"/>
        </w:rPr>
        <w:t xml:space="preserve"> ecosystem, whose development in the past decade had come largely in-and many say, because of-a policy vacuum, is now increasingly being shaped by the whims of the government. While it has benefitted from moves like demonetization and the Chinese app ban, the lack of consistency and stability in policymaking could easily swing the other way and hurt investor outlook over the coming years.</w:t>
      </w:r>
    </w:p>
    <w:p w14:paraId="26E9D77F" w14:textId="77777777" w:rsidR="00054BF0" w:rsidRDefault="00000000">
      <w:pPr>
        <w:spacing w:before="200" w:line="260" w:lineRule="atLeast"/>
        <w:jc w:val="both"/>
      </w:pPr>
      <w:r>
        <w:rPr>
          <w:rFonts w:ascii="Arial" w:eastAsia="Arial" w:hAnsi="Arial" w:cs="Arial"/>
          <w:color w:val="000000"/>
          <w:sz w:val="20"/>
        </w:rPr>
        <w:t>Social revival</w:t>
      </w:r>
    </w:p>
    <w:p w14:paraId="73FCE79E" w14:textId="77777777" w:rsidR="00054BF0" w:rsidRDefault="00000000">
      <w:pPr>
        <w:spacing w:before="200" w:line="260" w:lineRule="atLeast"/>
        <w:jc w:val="both"/>
      </w:pPr>
      <w:r>
        <w:rPr>
          <w:rFonts w:ascii="Arial" w:eastAsia="Arial" w:hAnsi="Arial" w:cs="Arial"/>
          <w:color w:val="000000"/>
          <w:sz w:val="20"/>
        </w:rPr>
        <w:t>For years, entrepreneurs and investors have talked big about "building for Bharat," but it was the Chinese firms that had led the way in creating products for the Indian masses. From 2016, the availability of fast, cheap internet connections together with the proliferation of low-cost smartphones (most of them Chinese) brought hundreds of millions of Indians in semi-urban and rural areas online.</w:t>
      </w:r>
    </w:p>
    <w:p w14:paraId="484E995A" w14:textId="77777777" w:rsidR="00054BF0" w:rsidRDefault="00000000">
      <w:pPr>
        <w:spacing w:before="200" w:line="260" w:lineRule="atLeast"/>
        <w:jc w:val="both"/>
      </w:pPr>
      <w:r>
        <w:rPr>
          <w:rFonts w:ascii="Arial" w:eastAsia="Arial" w:hAnsi="Arial" w:cs="Arial"/>
          <w:color w:val="000000"/>
          <w:sz w:val="20"/>
        </w:rPr>
        <w:t>Dozens of Chinese firms, which had seen a similar internet boom in their country, rapidly launched internet browsers, video apps, messaging services and other products specifically designed for this audience. By mid-2017, apps like Bigo Live, UC Browser, SHAREit and UC News had already become hugely popular among Indians in smaller cities and towns.</w:t>
      </w:r>
    </w:p>
    <w:p w14:paraId="0A5DDC67" w14:textId="77777777" w:rsidR="00054BF0" w:rsidRDefault="00000000">
      <w:pPr>
        <w:spacing w:before="200" w:line="260" w:lineRule="atLeast"/>
        <w:jc w:val="both"/>
      </w:pPr>
      <w:r>
        <w:rPr>
          <w:rFonts w:ascii="Arial" w:eastAsia="Arial" w:hAnsi="Arial" w:cs="Arial"/>
          <w:color w:val="000000"/>
          <w:sz w:val="20"/>
        </w:rPr>
        <w:t xml:space="preserve">Looking at the success of the Chinese firms, investors </w:t>
      </w:r>
      <w:r>
        <w:rPr>
          <w:rFonts w:ascii="Arial" w:eastAsia="Arial" w:hAnsi="Arial" w:cs="Arial"/>
          <w:b/>
          <w:i/>
          <w:color w:val="000000"/>
          <w:sz w:val="20"/>
          <w:u w:val="single"/>
        </w:rPr>
        <w:t>started</w:t>
      </w:r>
      <w:r>
        <w:rPr>
          <w:rFonts w:ascii="Arial" w:eastAsia="Arial" w:hAnsi="Arial" w:cs="Arial"/>
          <w:color w:val="000000"/>
          <w:sz w:val="20"/>
        </w:rPr>
        <w:t xml:space="preserve"> hunting for local </w:t>
      </w:r>
      <w:r>
        <w:rPr>
          <w:rFonts w:ascii="Arial" w:eastAsia="Arial" w:hAnsi="Arial" w:cs="Arial"/>
          <w:b/>
          <w:i/>
          <w:color w:val="000000"/>
          <w:sz w:val="20"/>
          <w:u w:val="single"/>
        </w:rPr>
        <w:t>startups</w:t>
      </w:r>
      <w:r>
        <w:rPr>
          <w:rFonts w:ascii="Arial" w:eastAsia="Arial" w:hAnsi="Arial" w:cs="Arial"/>
          <w:color w:val="000000"/>
          <w:sz w:val="20"/>
        </w:rPr>
        <w:t xml:space="preserve"> in social networking, video and news content with a focus on vernacular language offerings. For a short period, companies like ShareChat, Clip and Dailyhunt became investor darlings.</w:t>
      </w:r>
    </w:p>
    <w:p w14:paraId="4DDD1291" w14:textId="77777777" w:rsidR="00054BF0" w:rsidRDefault="00000000">
      <w:pPr>
        <w:spacing w:before="200" w:line="260" w:lineRule="atLeast"/>
        <w:jc w:val="both"/>
      </w:pPr>
      <w:r>
        <w:rPr>
          <w:rFonts w:ascii="Arial" w:eastAsia="Arial" w:hAnsi="Arial" w:cs="Arial"/>
          <w:color w:val="000000"/>
          <w:sz w:val="20"/>
        </w:rPr>
        <w:t xml:space="preserve">However, the expansion of TikTok with its endless stream of addictive entertainment in 2018 nearly destroyed content </w:t>
      </w:r>
      <w:r>
        <w:rPr>
          <w:rFonts w:ascii="Arial" w:eastAsia="Arial" w:hAnsi="Arial" w:cs="Arial"/>
          <w:b/>
          <w:i/>
          <w:color w:val="000000"/>
          <w:sz w:val="20"/>
          <w:u w:val="single"/>
        </w:rPr>
        <w:t>startups</w:t>
      </w:r>
      <w:r>
        <w:rPr>
          <w:rFonts w:ascii="Arial" w:eastAsia="Arial" w:hAnsi="Arial" w:cs="Arial"/>
          <w:color w:val="000000"/>
          <w:sz w:val="20"/>
        </w:rPr>
        <w:t xml:space="preserve">. In 2018, ByteDance also launched Helo to crush ShareChat, from which Helo was copied, and outspent its stunned rival many times over to attract users. As a result, ShareChat's growth slowed, Clip was forced to sell itself for a pittance and investors deserted content </w:t>
      </w:r>
      <w:r>
        <w:rPr>
          <w:rFonts w:ascii="Arial" w:eastAsia="Arial" w:hAnsi="Arial" w:cs="Arial"/>
          <w:b/>
          <w:i/>
          <w:color w:val="000000"/>
          <w:sz w:val="20"/>
          <w:u w:val="single"/>
        </w:rPr>
        <w:t>startups</w:t>
      </w:r>
      <w:r>
        <w:rPr>
          <w:rFonts w:ascii="Arial" w:eastAsia="Arial" w:hAnsi="Arial" w:cs="Arial"/>
          <w:color w:val="000000"/>
          <w:sz w:val="20"/>
        </w:rPr>
        <w:t>.</w:t>
      </w:r>
    </w:p>
    <w:p w14:paraId="351E1287" w14:textId="77777777" w:rsidR="00054BF0" w:rsidRDefault="00000000">
      <w:pPr>
        <w:spacing w:before="200" w:line="260" w:lineRule="atLeast"/>
        <w:jc w:val="both"/>
      </w:pPr>
      <w:r>
        <w:rPr>
          <w:rFonts w:ascii="Arial" w:eastAsia="Arial" w:hAnsi="Arial" w:cs="Arial"/>
          <w:color w:val="000000"/>
          <w:sz w:val="20"/>
        </w:rPr>
        <w:t>After establishing a large user base, ByteDance began to sell ads on TikTok and Helo in 2019. TikTok was expected to become the fastest-growing digital ads platform this year and emerge as a serious rival to Facebook and YouTube, an achievement that no company has achieved in nearly a decade.</w:t>
      </w:r>
    </w:p>
    <w:p w14:paraId="5DB99451" w14:textId="77777777" w:rsidR="00054BF0" w:rsidRDefault="00000000">
      <w:pPr>
        <w:spacing w:before="200" w:line="260" w:lineRule="atLeast"/>
        <w:jc w:val="both"/>
      </w:pPr>
      <w:r>
        <w:rPr>
          <w:rFonts w:ascii="Arial" w:eastAsia="Arial" w:hAnsi="Arial" w:cs="Arial"/>
          <w:color w:val="000000"/>
          <w:sz w:val="20"/>
        </w:rPr>
        <w:t>The ban has put the brakes on this transformation of India's social networking and online advertising spaces. One big beneficiary so far has been ShareChat. Its app base has risen by more than 50 million in the week after the ban. The company plans to raise a large new round of capital that will lift it into the unicorn club from its present valuation of about $600-650 million. ShareChat, incidentally, has at least four Chinese investors.</w:t>
      </w:r>
    </w:p>
    <w:p w14:paraId="337BC802" w14:textId="77777777" w:rsidR="00054BF0" w:rsidRDefault="00000000">
      <w:pPr>
        <w:spacing w:before="200" w:line="260" w:lineRule="atLeast"/>
        <w:jc w:val="both"/>
      </w:pPr>
      <w:r>
        <w:rPr>
          <w:rFonts w:ascii="Arial" w:eastAsia="Arial" w:hAnsi="Arial" w:cs="Arial"/>
          <w:color w:val="000000"/>
          <w:sz w:val="20"/>
        </w:rPr>
        <w:t xml:space="preserve">Short-video platform Roposo (owned by ad tech firm InMobi) followed by other TikTok clones like Chingari and Mitron have all registered a spike in app downloads since the ban. "If the ban continues, it'll be a defining moment for social networking </w:t>
      </w:r>
      <w:r>
        <w:rPr>
          <w:rFonts w:ascii="Arial" w:eastAsia="Arial" w:hAnsi="Arial" w:cs="Arial"/>
          <w:b/>
          <w:i/>
          <w:color w:val="000000"/>
          <w:sz w:val="20"/>
          <w:u w:val="single"/>
        </w:rPr>
        <w:t>startups</w:t>
      </w:r>
      <w:r>
        <w:rPr>
          <w:rFonts w:ascii="Arial" w:eastAsia="Arial" w:hAnsi="Arial" w:cs="Arial"/>
          <w:color w:val="000000"/>
          <w:sz w:val="20"/>
        </w:rPr>
        <w:t xml:space="preserve">," said Anand Lunia, partner at venture capital firm India Quotient, which was one of the earliest backers of ShareChat, Clip, Roposo and other social networking </w:t>
      </w:r>
      <w:r>
        <w:rPr>
          <w:rFonts w:ascii="Arial" w:eastAsia="Arial" w:hAnsi="Arial" w:cs="Arial"/>
          <w:b/>
          <w:i/>
          <w:color w:val="000000"/>
          <w:sz w:val="20"/>
          <w:u w:val="single"/>
        </w:rPr>
        <w:t>startups</w:t>
      </w:r>
      <w:r>
        <w:rPr>
          <w:rFonts w:ascii="Arial" w:eastAsia="Arial" w:hAnsi="Arial" w:cs="Arial"/>
          <w:color w:val="000000"/>
          <w:sz w:val="20"/>
        </w:rPr>
        <w:t>.</w:t>
      </w:r>
    </w:p>
    <w:p w14:paraId="2EB4D3BD" w14:textId="77777777" w:rsidR="00054BF0" w:rsidRDefault="00000000">
      <w:pPr>
        <w:spacing w:before="200" w:line="260" w:lineRule="atLeast"/>
        <w:jc w:val="both"/>
      </w:pPr>
      <w:r>
        <w:rPr>
          <w:rFonts w:ascii="Arial" w:eastAsia="Arial" w:hAnsi="Arial" w:cs="Arial"/>
          <w:color w:val="000000"/>
          <w:sz w:val="20"/>
        </w:rPr>
        <w:lastRenderedPageBreak/>
        <w:t xml:space="preserve">Despite the optimism, it is unclear how many social networking </w:t>
      </w:r>
      <w:r>
        <w:rPr>
          <w:rFonts w:ascii="Arial" w:eastAsia="Arial" w:hAnsi="Arial" w:cs="Arial"/>
          <w:b/>
          <w:i/>
          <w:color w:val="000000"/>
          <w:sz w:val="20"/>
          <w:u w:val="single"/>
        </w:rPr>
        <w:t>startups</w:t>
      </w:r>
      <w:r>
        <w:rPr>
          <w:rFonts w:ascii="Arial" w:eastAsia="Arial" w:hAnsi="Arial" w:cs="Arial"/>
          <w:color w:val="000000"/>
          <w:sz w:val="20"/>
        </w:rPr>
        <w:t xml:space="preserve"> will thrive at a large scale. Social networking tends to be a winner-take-most business, meaning that even if the Chinese apps are banned for good, only a very small number of local </w:t>
      </w:r>
      <w:r>
        <w:rPr>
          <w:rFonts w:ascii="Arial" w:eastAsia="Arial" w:hAnsi="Arial" w:cs="Arial"/>
          <w:b/>
          <w:i/>
          <w:color w:val="000000"/>
          <w:sz w:val="20"/>
          <w:u w:val="single"/>
        </w:rPr>
        <w:t>startups</w:t>
      </w:r>
      <w:r>
        <w:rPr>
          <w:rFonts w:ascii="Arial" w:eastAsia="Arial" w:hAnsi="Arial" w:cs="Arial"/>
          <w:color w:val="000000"/>
          <w:sz w:val="20"/>
        </w:rPr>
        <w:t xml:space="preserve"> could end </w:t>
      </w:r>
      <w:r>
        <w:rPr>
          <w:rFonts w:ascii="Arial" w:eastAsia="Arial" w:hAnsi="Arial" w:cs="Arial"/>
          <w:b/>
          <w:i/>
          <w:color w:val="000000"/>
          <w:sz w:val="20"/>
          <w:u w:val="single"/>
        </w:rPr>
        <w:t>up</w:t>
      </w:r>
      <w:r>
        <w:rPr>
          <w:rFonts w:ascii="Arial" w:eastAsia="Arial" w:hAnsi="Arial" w:cs="Arial"/>
          <w:color w:val="000000"/>
          <w:sz w:val="20"/>
        </w:rPr>
        <w:t xml:space="preserve"> extracting any meaningful value.</w:t>
      </w:r>
    </w:p>
    <w:p w14:paraId="6A2BB96C" w14:textId="77777777" w:rsidR="00054BF0" w:rsidRDefault="00000000">
      <w:pPr>
        <w:spacing w:before="200" w:line="260" w:lineRule="atLeast"/>
        <w:jc w:val="both"/>
      </w:pPr>
      <w:r>
        <w:rPr>
          <w:rFonts w:ascii="Arial" w:eastAsia="Arial" w:hAnsi="Arial" w:cs="Arial"/>
          <w:color w:val="000000"/>
          <w:sz w:val="20"/>
        </w:rPr>
        <w:t>And while the banned Chinese apps served hundreds of millions, their actual business-through advertising revenue and in-app purchases-was relatively meagre, reflecting the low spending power of their users. One internet analyst estimated the overall business on these apps (excluding Club Factory and Shein, which are e-commerce marketplaces) to be easily less than $1 billion annually.</w:t>
      </w:r>
    </w:p>
    <w:p w14:paraId="2A75542E" w14:textId="77777777" w:rsidR="00054BF0" w:rsidRDefault="00000000">
      <w:pPr>
        <w:spacing w:before="200" w:line="260" w:lineRule="atLeast"/>
        <w:jc w:val="both"/>
      </w:pPr>
      <w:r>
        <w:rPr>
          <w:rFonts w:ascii="Arial" w:eastAsia="Arial" w:hAnsi="Arial" w:cs="Arial"/>
          <w:color w:val="000000"/>
          <w:sz w:val="20"/>
        </w:rPr>
        <w:t xml:space="preserve">In addition, investors expect Google and Facebook to corner the largest chunk of ad revenues given </w:t>
      </w:r>
      <w:r>
        <w:rPr>
          <w:rFonts w:ascii="Arial" w:eastAsia="Arial" w:hAnsi="Arial" w:cs="Arial"/>
          <w:b/>
          <w:i/>
          <w:color w:val="000000"/>
          <w:sz w:val="20"/>
          <w:u w:val="single"/>
        </w:rPr>
        <w:t>up</w:t>
      </w:r>
      <w:r>
        <w:rPr>
          <w:rFonts w:ascii="Arial" w:eastAsia="Arial" w:hAnsi="Arial" w:cs="Arial"/>
          <w:color w:val="000000"/>
          <w:sz w:val="20"/>
        </w:rPr>
        <w:t xml:space="preserve"> by the Chinese companies. "It is very likely that much of the ad spending that would have gone to TikTok or NewsDog will now be moved to YouTube (owned by Google), Facebook and Instagram (owned by Facebook)," an executive at a content </w:t>
      </w:r>
      <w:r>
        <w:rPr>
          <w:rFonts w:ascii="Arial" w:eastAsia="Arial" w:hAnsi="Arial" w:cs="Arial"/>
          <w:b/>
          <w:i/>
          <w:color w:val="000000"/>
          <w:sz w:val="20"/>
          <w:u w:val="single"/>
        </w:rPr>
        <w:t>startup</w:t>
      </w:r>
      <w:r>
        <w:rPr>
          <w:rFonts w:ascii="Arial" w:eastAsia="Arial" w:hAnsi="Arial" w:cs="Arial"/>
          <w:color w:val="000000"/>
          <w:sz w:val="20"/>
        </w:rPr>
        <w:t xml:space="preserve"> said. "These apps are considered safe advertising options and their reach is unrivalled by any local </w:t>
      </w:r>
      <w:r>
        <w:rPr>
          <w:rFonts w:ascii="Arial" w:eastAsia="Arial" w:hAnsi="Arial" w:cs="Arial"/>
          <w:b/>
          <w:i/>
          <w:color w:val="000000"/>
          <w:sz w:val="20"/>
          <w:u w:val="single"/>
        </w:rPr>
        <w:t>startup</w:t>
      </w:r>
      <w:r>
        <w:rPr>
          <w:rFonts w:ascii="Arial" w:eastAsia="Arial" w:hAnsi="Arial" w:cs="Arial"/>
          <w:color w:val="000000"/>
          <w:sz w:val="20"/>
        </w:rPr>
        <w:t>."</w:t>
      </w:r>
    </w:p>
    <w:p w14:paraId="722B2A6C" w14:textId="77777777" w:rsidR="00054BF0" w:rsidRDefault="00000000">
      <w:pPr>
        <w:spacing w:before="200" w:line="260" w:lineRule="atLeast"/>
        <w:jc w:val="both"/>
      </w:pPr>
      <w:r>
        <w:rPr>
          <w:rFonts w:ascii="Arial" w:eastAsia="Arial" w:hAnsi="Arial" w:cs="Arial"/>
          <w:color w:val="000000"/>
          <w:sz w:val="20"/>
        </w:rPr>
        <w:t>Huge blow</w:t>
      </w:r>
    </w:p>
    <w:p w14:paraId="7D075689" w14:textId="77777777" w:rsidR="00054BF0" w:rsidRDefault="00000000">
      <w:pPr>
        <w:spacing w:before="200" w:line="260" w:lineRule="atLeast"/>
        <w:jc w:val="both"/>
      </w:pPr>
      <w:r>
        <w:rPr>
          <w:rFonts w:ascii="Arial" w:eastAsia="Arial" w:hAnsi="Arial" w:cs="Arial"/>
          <w:color w:val="000000"/>
          <w:sz w:val="20"/>
        </w:rPr>
        <w:t>The purpose of India's curbs on Chinese investments in April was to prevent Chinese firms from buying local companies on the cheap during the pandemic.</w:t>
      </w:r>
    </w:p>
    <w:p w14:paraId="1D8FB5CA" w14:textId="77777777" w:rsidR="00054BF0" w:rsidRDefault="00000000">
      <w:pPr>
        <w:spacing w:before="200" w:line="260" w:lineRule="atLeast"/>
        <w:jc w:val="both"/>
      </w:pPr>
      <w:r>
        <w:rPr>
          <w:rFonts w:ascii="Arial" w:eastAsia="Arial" w:hAnsi="Arial" w:cs="Arial"/>
          <w:color w:val="000000"/>
          <w:sz w:val="20"/>
        </w:rPr>
        <w:t xml:space="preserve">But as a blanket measure that covered even minority Chinese investments, it was criticized as misguided by VCs and entrepreneurs who pointed out that Chinese firms had anyway never sought to buy Indian internet companies. Though Chinese firms and funds have invested in </w:t>
      </w:r>
      <w:r>
        <w:rPr>
          <w:rFonts w:ascii="Arial" w:eastAsia="Arial" w:hAnsi="Arial" w:cs="Arial"/>
          <w:b/>
          <w:i/>
          <w:color w:val="000000"/>
          <w:sz w:val="20"/>
          <w:u w:val="single"/>
        </w:rPr>
        <w:t>startups</w:t>
      </w:r>
      <w:r>
        <w:rPr>
          <w:rFonts w:ascii="Arial" w:eastAsia="Arial" w:hAnsi="Arial" w:cs="Arial"/>
          <w:color w:val="000000"/>
          <w:sz w:val="20"/>
        </w:rPr>
        <w:t xml:space="preserve"> across sizes and sectors, from Series A companies to unicorns and from e-commerce, mobility, logistics to financial services, healthcare and education, they are only minority shareholders.</w:t>
      </w:r>
    </w:p>
    <w:p w14:paraId="2D3DCF24" w14:textId="77777777" w:rsidR="00054BF0" w:rsidRDefault="00000000">
      <w:pPr>
        <w:spacing w:before="200" w:line="260" w:lineRule="atLeast"/>
        <w:jc w:val="both"/>
      </w:pPr>
      <w:r>
        <w:rPr>
          <w:rFonts w:ascii="Arial" w:eastAsia="Arial" w:hAnsi="Arial" w:cs="Arial"/>
          <w:color w:val="000000"/>
          <w:sz w:val="20"/>
        </w:rPr>
        <w:t xml:space="preserve">After the restrictions were announced, law firms raced to complete funding deals in the small window before the rule took effect. Even afterwards, lawyers urged their Chinese clients to continue investing albeit in smaller volumes. The advice was: lie low and this will pass. At least two funding deals involving Chinese investors were signed in May and early June and sent to Indian regulators for approval (which hasn't been granted yet). Some </w:t>
      </w:r>
      <w:r>
        <w:rPr>
          <w:rFonts w:ascii="Arial" w:eastAsia="Arial" w:hAnsi="Arial" w:cs="Arial"/>
          <w:b/>
          <w:i/>
          <w:color w:val="000000"/>
          <w:sz w:val="20"/>
          <w:u w:val="single"/>
        </w:rPr>
        <w:t>startups</w:t>
      </w:r>
      <w:r>
        <w:rPr>
          <w:rFonts w:ascii="Arial" w:eastAsia="Arial" w:hAnsi="Arial" w:cs="Arial"/>
          <w:color w:val="000000"/>
          <w:sz w:val="20"/>
        </w:rPr>
        <w:t xml:space="preserve"> trying to raise funds from Chinese funds had even discussed the possibility of shifting their holding company to Singapore to get around the new rule.</w:t>
      </w:r>
    </w:p>
    <w:p w14:paraId="374059DE" w14:textId="77777777" w:rsidR="00054BF0" w:rsidRDefault="00000000">
      <w:pPr>
        <w:spacing w:before="200" w:line="260" w:lineRule="atLeast"/>
        <w:jc w:val="both"/>
      </w:pPr>
      <w:r>
        <w:rPr>
          <w:rFonts w:ascii="Arial" w:eastAsia="Arial" w:hAnsi="Arial" w:cs="Arial"/>
          <w:color w:val="000000"/>
          <w:sz w:val="20"/>
        </w:rPr>
        <w:t>But the lethal clash between the two countries over the Galwan Valley dashed any hopes of a speedy return to normalcy for Chinese investors. Many of them are now actively looking to exit from portfolio companies, especially those that they believe are underperforming, people familiar with the matter said. They are willing to sell their shares in secondary share sales at significant discounts to these companies' present valuations, the people said. In portfolio companies that are thriving, Chinese investors are holding on for now.</w:t>
      </w:r>
    </w:p>
    <w:p w14:paraId="3AC45F8F" w14:textId="77777777" w:rsidR="00054BF0" w:rsidRDefault="00000000">
      <w:pPr>
        <w:spacing w:before="200" w:line="260" w:lineRule="atLeast"/>
        <w:jc w:val="both"/>
      </w:pPr>
      <w:r>
        <w:rPr>
          <w:rFonts w:ascii="Arial" w:eastAsia="Arial" w:hAnsi="Arial" w:cs="Arial"/>
          <w:color w:val="000000"/>
          <w:sz w:val="20"/>
        </w:rPr>
        <w:t xml:space="preserve">The unravelling of Chinese holdings in Indian </w:t>
      </w:r>
      <w:r>
        <w:rPr>
          <w:rFonts w:ascii="Arial" w:eastAsia="Arial" w:hAnsi="Arial" w:cs="Arial"/>
          <w:b/>
          <w:i/>
          <w:color w:val="000000"/>
          <w:sz w:val="20"/>
          <w:u w:val="single"/>
        </w:rPr>
        <w:t>startups</w:t>
      </w:r>
      <w:r>
        <w:rPr>
          <w:rFonts w:ascii="Arial" w:eastAsia="Arial" w:hAnsi="Arial" w:cs="Arial"/>
          <w:color w:val="000000"/>
          <w:sz w:val="20"/>
        </w:rPr>
        <w:t xml:space="preserve"> will be a long, painful process that will hurt both parties. In future, Chinese firms could invoke shareholder rights that make it bothersome for their portfolio firms to raise fresh capital without the former's participation. The more likely consequence of the India-China stand-off on </w:t>
      </w:r>
      <w:r>
        <w:rPr>
          <w:rFonts w:ascii="Arial" w:eastAsia="Arial" w:hAnsi="Arial" w:cs="Arial"/>
          <w:b/>
          <w:i/>
          <w:color w:val="000000"/>
          <w:sz w:val="20"/>
          <w:u w:val="single"/>
        </w:rPr>
        <w:t>startups</w:t>
      </w:r>
      <w:r>
        <w:rPr>
          <w:rFonts w:ascii="Arial" w:eastAsia="Arial" w:hAnsi="Arial" w:cs="Arial"/>
          <w:color w:val="000000"/>
          <w:sz w:val="20"/>
        </w:rPr>
        <w:t>, however, is that they will struggle to find replacements for Tencent's large cheques, or the deal volumes supplied by Shunwei Capital, especially in the current environment.</w:t>
      </w:r>
    </w:p>
    <w:p w14:paraId="1A92B67C" w14:textId="77777777" w:rsidR="00054BF0" w:rsidRDefault="00000000">
      <w:pPr>
        <w:spacing w:before="200" w:line="260" w:lineRule="atLeast"/>
        <w:jc w:val="both"/>
      </w:pPr>
      <w:r>
        <w:rPr>
          <w:rFonts w:ascii="Arial" w:eastAsia="Arial" w:hAnsi="Arial" w:cs="Arial"/>
          <w:color w:val="000000"/>
          <w:sz w:val="20"/>
        </w:rPr>
        <w:t xml:space="preserve">From late 2019, </w:t>
      </w:r>
      <w:r>
        <w:rPr>
          <w:rFonts w:ascii="Arial" w:eastAsia="Arial" w:hAnsi="Arial" w:cs="Arial"/>
          <w:b/>
          <w:i/>
          <w:color w:val="000000"/>
          <w:sz w:val="20"/>
          <w:u w:val="single"/>
        </w:rPr>
        <w:t>startup</w:t>
      </w:r>
      <w:r>
        <w:rPr>
          <w:rFonts w:ascii="Arial" w:eastAsia="Arial" w:hAnsi="Arial" w:cs="Arial"/>
          <w:color w:val="000000"/>
          <w:sz w:val="20"/>
        </w:rPr>
        <w:t xml:space="preserve"> funding had </w:t>
      </w:r>
      <w:r>
        <w:rPr>
          <w:rFonts w:ascii="Arial" w:eastAsia="Arial" w:hAnsi="Arial" w:cs="Arial"/>
          <w:b/>
          <w:i/>
          <w:color w:val="000000"/>
          <w:sz w:val="20"/>
          <w:u w:val="single"/>
        </w:rPr>
        <w:t>started</w:t>
      </w:r>
      <w:r>
        <w:rPr>
          <w:rFonts w:ascii="Arial" w:eastAsia="Arial" w:hAnsi="Arial" w:cs="Arial"/>
          <w:color w:val="000000"/>
          <w:sz w:val="20"/>
        </w:rPr>
        <w:t xml:space="preserve"> to slow in India and globally in the wake of the failed WeWork public offering. The pandemic then devastated many internet firms and forced VCs to freeze new investments, triggering a funding crisis. The loss of Chinese capital will exacerbate the funding downturn and could lead to a higher number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distress sales over the next two years.</w:t>
      </w:r>
    </w:p>
    <w:p w14:paraId="096F7C1B" w14:textId="77777777" w:rsidR="00054BF0" w:rsidRDefault="00000000">
      <w:pPr>
        <w:spacing w:before="200" w:line="260" w:lineRule="atLeast"/>
        <w:jc w:val="both"/>
      </w:pPr>
      <w:r>
        <w:rPr>
          <w:rFonts w:ascii="Arial" w:eastAsia="Arial" w:hAnsi="Arial" w:cs="Arial"/>
          <w:color w:val="000000"/>
          <w:sz w:val="20"/>
        </w:rPr>
        <w:t>In the crosshairs</w:t>
      </w:r>
    </w:p>
    <w:p w14:paraId="14F8CF1C" w14:textId="77777777" w:rsidR="00054BF0" w:rsidRDefault="00000000">
      <w:pPr>
        <w:spacing w:before="200" w:line="260" w:lineRule="atLeast"/>
        <w:jc w:val="both"/>
      </w:pPr>
      <w:r>
        <w:rPr>
          <w:rFonts w:ascii="Arial" w:eastAsia="Arial" w:hAnsi="Arial" w:cs="Arial"/>
          <w:color w:val="000000"/>
          <w:sz w:val="20"/>
        </w:rPr>
        <w:t>Apart from losing access to Chinese capital, three large Indian internet companies in particular-InMobi, Oyo and Paytm-could be hurt by the stand-off between the countries.</w:t>
      </w:r>
    </w:p>
    <w:p w14:paraId="282E1A99" w14:textId="77777777" w:rsidR="00054BF0" w:rsidRDefault="00000000">
      <w:pPr>
        <w:spacing w:before="200" w:line="260" w:lineRule="atLeast"/>
        <w:jc w:val="both"/>
      </w:pPr>
      <w:r>
        <w:rPr>
          <w:rFonts w:ascii="Arial" w:eastAsia="Arial" w:hAnsi="Arial" w:cs="Arial"/>
          <w:color w:val="000000"/>
          <w:sz w:val="20"/>
        </w:rPr>
        <w:lastRenderedPageBreak/>
        <w:t xml:space="preserve">Unlike most Indian </w:t>
      </w:r>
      <w:r>
        <w:rPr>
          <w:rFonts w:ascii="Arial" w:eastAsia="Arial" w:hAnsi="Arial" w:cs="Arial"/>
          <w:b/>
          <w:i/>
          <w:color w:val="000000"/>
          <w:sz w:val="20"/>
          <w:u w:val="single"/>
        </w:rPr>
        <w:t>startups</w:t>
      </w:r>
      <w:r>
        <w:rPr>
          <w:rFonts w:ascii="Arial" w:eastAsia="Arial" w:hAnsi="Arial" w:cs="Arial"/>
          <w:color w:val="000000"/>
          <w:sz w:val="20"/>
        </w:rPr>
        <w:t>, which have avoided venturing into China, InMobi and Oyo have large operations there and count the country as one of their top two markets. InMobi has said that it generates about a fourth of its revenues from China, while Oyo has invested hundreds of millions of dollars on expanding in Asia's largest economy.</w:t>
      </w:r>
    </w:p>
    <w:p w14:paraId="0BBF269E" w14:textId="77777777" w:rsidR="00054BF0" w:rsidRDefault="00000000">
      <w:pPr>
        <w:spacing w:before="200" w:line="260" w:lineRule="atLeast"/>
        <w:jc w:val="both"/>
      </w:pPr>
      <w:r>
        <w:rPr>
          <w:rFonts w:ascii="Arial" w:eastAsia="Arial" w:hAnsi="Arial" w:cs="Arial"/>
          <w:color w:val="000000"/>
          <w:sz w:val="20"/>
        </w:rPr>
        <w:t>Any retaliatory action by China will cause significant damage to the two firms. Oyo seems especially vulnerable, as its business has collapsed globally; China, whose economy has reopened after it successfully controlled the pandemic, was one of the few markets where a strong recovery was possible for Oyo this year.</w:t>
      </w:r>
    </w:p>
    <w:p w14:paraId="3F39365E" w14:textId="77777777" w:rsidR="00054BF0" w:rsidRDefault="00000000">
      <w:pPr>
        <w:spacing w:before="200" w:line="260" w:lineRule="atLeast"/>
        <w:jc w:val="both"/>
      </w:pPr>
      <w:r>
        <w:rPr>
          <w:rFonts w:ascii="Arial" w:eastAsia="Arial" w:hAnsi="Arial" w:cs="Arial"/>
          <w:color w:val="000000"/>
          <w:sz w:val="20"/>
        </w:rPr>
        <w:t xml:space="preserve">Paytm, India's most valuable </w:t>
      </w:r>
      <w:r>
        <w:rPr>
          <w:rFonts w:ascii="Arial" w:eastAsia="Arial" w:hAnsi="Arial" w:cs="Arial"/>
          <w:b/>
          <w:i/>
          <w:color w:val="000000"/>
          <w:sz w:val="20"/>
          <w:u w:val="single"/>
        </w:rPr>
        <w:t>startup</w:t>
      </w:r>
      <w:r>
        <w:rPr>
          <w:rFonts w:ascii="Arial" w:eastAsia="Arial" w:hAnsi="Arial" w:cs="Arial"/>
          <w:color w:val="000000"/>
          <w:sz w:val="20"/>
        </w:rPr>
        <w:t>, has close ties with China's Alibaba Group, which in turn is known to be close to China's ruling party. Alibaba's sister firm Ant Financial is the biggest investor in One97 Communications, Paytm's parent firm, while Alibaba is the biggest shareholder in Paytm E-commerce.</w:t>
      </w:r>
    </w:p>
    <w:p w14:paraId="10E78C1E" w14:textId="77777777" w:rsidR="00054BF0" w:rsidRDefault="00000000">
      <w:pPr>
        <w:spacing w:before="200" w:line="260" w:lineRule="atLeast"/>
        <w:jc w:val="both"/>
      </w:pPr>
      <w:r>
        <w:rPr>
          <w:rFonts w:ascii="Arial" w:eastAsia="Arial" w:hAnsi="Arial" w:cs="Arial"/>
          <w:color w:val="000000"/>
          <w:sz w:val="20"/>
        </w:rPr>
        <w:t>The Alibaba Group controls nearly 40% in Paytm and Paytm E-commerce. Alibaba and Paytm run a joint venture in online gaming Paytm First Games. Paytm has also said in the past that it uses Aliyun, Alibaba's cloud computing service. Given that financial services is considered a sensitive sector by India, Paytm's ties with Alibaba are likely to be scrutinized by regulators.</w:t>
      </w:r>
    </w:p>
    <w:p w14:paraId="1DF717D1" w14:textId="77777777" w:rsidR="00054BF0" w:rsidRDefault="00000000">
      <w:pPr>
        <w:spacing w:before="200" w:line="260" w:lineRule="atLeast"/>
        <w:jc w:val="both"/>
      </w:pPr>
      <w:r>
        <w:rPr>
          <w:rFonts w:ascii="Arial" w:eastAsia="Arial" w:hAnsi="Arial" w:cs="Arial"/>
          <w:color w:val="000000"/>
          <w:sz w:val="20"/>
        </w:rPr>
        <w:t>Paytm said that none of its "investors or other stakeholders" have access to its customer data. "All of the data across all our ventures are stored in India," a Paytm spokesperson said.</w:t>
      </w:r>
    </w:p>
    <w:p w14:paraId="2B597A41" w14:textId="4B68947E" w:rsidR="00054BF0" w:rsidRDefault="00000000">
      <w:pPr>
        <w:spacing w:before="240" w:line="260" w:lineRule="atLeast"/>
        <w:jc w:val="both"/>
      </w:pPr>
      <w:r>
        <w:rPr>
          <w:rFonts w:ascii="Arial" w:eastAsia="Arial" w:hAnsi="Arial" w:cs="Arial"/>
          <w:color w:val="000000"/>
          <w:sz w:val="20"/>
        </w:rPr>
        <w:t>Published by HT Digital Content Services with permission from MINT. For any query with respect to this article or any other content requirement, please contact Editor at</w:t>
      </w:r>
      <w:r w:rsidR="002C1F71">
        <w:rPr>
          <w:rFonts w:ascii="Arial" w:eastAsia="Arial" w:hAnsi="Arial" w:cs="Arial"/>
          <w:color w:val="000000"/>
          <w:sz w:val="20"/>
        </w:rPr>
        <w:t xml:space="preserve"> </w:t>
      </w:r>
      <w:hyperlink r:id="rId371" w:history="1">
        <w:r w:rsidR="002C1F71">
          <w:rPr>
            <w:rFonts w:ascii="Arial" w:eastAsia="Arial" w:hAnsi="Arial" w:cs="Arial"/>
            <w:i/>
            <w:color w:val="0077CC"/>
            <w:sz w:val="20"/>
            <w:u w:val="single"/>
            <w:shd w:val="clear" w:color="auto" w:fill="FFFFFF"/>
          </w:rPr>
          <w:t>contentservices@htlive.com</w:t>
        </w:r>
      </w:hyperlink>
      <w:r w:rsidR="002C1F71">
        <w:rPr>
          <w:rFonts w:ascii="Arial" w:eastAsia="Arial" w:hAnsi="Arial" w:cs="Arial"/>
          <w:color w:val="000000"/>
          <w:sz w:val="20"/>
        </w:rPr>
        <w:t>.</w:t>
      </w:r>
      <w:r>
        <w:rPr>
          <w:rFonts w:ascii="Arial" w:eastAsia="Arial" w:hAnsi="Arial" w:cs="Arial"/>
          <w:color w:val="000000"/>
          <w:sz w:val="20"/>
        </w:rPr>
        <w:t xml:space="preserve"> </w:t>
      </w:r>
    </w:p>
    <w:p w14:paraId="22B3D479"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8, 2020</w:t>
      </w:r>
    </w:p>
    <w:p w14:paraId="67EAFD06" w14:textId="77777777" w:rsidR="00054BF0" w:rsidRDefault="00054BF0"/>
    <w:p w14:paraId="3CF9AB91" w14:textId="77777777" w:rsidR="00054BF0" w:rsidRDefault="00000000">
      <w:pPr>
        <w:ind w:left="200"/>
        <w:sectPr w:rsidR="00054BF0">
          <w:type w:val="continuous"/>
          <w:pgSz w:w="12240" w:h="15840"/>
          <w:pgMar w:top="840" w:right="1000" w:bottom="840" w:left="1000" w:header="400" w:footer="400" w:gutter="0"/>
          <w:cols w:space="720"/>
        </w:sectPr>
      </w:pPr>
      <w:r>
        <w:br/>
      </w:r>
      <w:r>
        <w:pict w14:anchorId="3527009F">
          <v:line id="_x0000_s2112" style="position:absolute;left:0;text-align:left;z-index:251697152;mso-position-horizontal-relative:text;mso-position-vertical-relative:text" from="0,10pt" to="512pt,10pt" strokeweight="1pt"/>
        </w:pict>
      </w:r>
      <w:r>
        <w:rPr>
          <w:rFonts w:ascii="Arial" w:eastAsia="Arial" w:hAnsi="Arial" w:cs="Arial"/>
          <w:b/>
          <w:color w:val="767676"/>
          <w:sz w:val="16"/>
        </w:rPr>
        <w:t>End of Document</w:t>
      </w:r>
    </w:p>
    <w:p w14:paraId="5137B217" w14:textId="77777777" w:rsidR="00054BF0" w:rsidRDefault="00054BF0">
      <w:pPr>
        <w:sectPr w:rsidR="00054BF0">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gutter="0"/>
          <w:cols w:space="720"/>
          <w:titlePg/>
        </w:sectPr>
      </w:pPr>
    </w:p>
    <w:p w14:paraId="60B80315" w14:textId="77777777" w:rsidR="00054BF0" w:rsidRDefault="00054BF0">
      <w:bookmarkStart w:id="38" w:name="Bookmark_20"/>
      <w:bookmarkEnd w:id="38"/>
    </w:p>
    <w:p w14:paraId="0E5B1798" w14:textId="77777777" w:rsidR="00054BF0" w:rsidRDefault="00BE2275">
      <w:r>
        <w:pict w14:anchorId="344FA955">
          <v:shape id="_x0000_i1051" type="#_x0000_t75" alt="LexisNexis®" style="width:148pt;height:30pt">
            <v:imagedata r:id="rId6" o:title=""/>
          </v:shape>
        </w:pict>
      </w:r>
      <w:r w:rsidR="00A540D1">
        <w:cr/>
      </w:r>
    </w:p>
    <w:p w14:paraId="57A4E953" w14:textId="77777777" w:rsidR="00054BF0" w:rsidRDefault="00000000">
      <w:pPr>
        <w:spacing w:before="240" w:after="200" w:line="340" w:lineRule="atLeast"/>
        <w:jc w:val="center"/>
        <w:outlineLvl w:val="0"/>
        <w:rPr>
          <w:rFonts w:ascii="Arial" w:hAnsi="Arial" w:cs="Arial"/>
          <w:b/>
          <w:bCs/>
          <w:kern w:val="32"/>
          <w:sz w:val="32"/>
          <w:szCs w:val="32"/>
        </w:rPr>
      </w:pPr>
      <w:hyperlink r:id="rId378" w:history="1">
        <w:r>
          <w:rPr>
            <w:rFonts w:ascii="Arial" w:eastAsia="Arial" w:hAnsi="Arial" w:cs="Arial"/>
            <w:b/>
            <w:bCs/>
            <w:i/>
            <w:color w:val="0077CC"/>
            <w:kern w:val="32"/>
            <w:sz w:val="28"/>
            <w:szCs w:val="32"/>
            <w:u w:val="single"/>
            <w:shd w:val="clear" w:color="auto" w:fill="FFFFFF"/>
          </w:rPr>
          <w:t>Federal Register: National Emission Standards for Hazardous Air Pollutants: Plywood and Composite Wood Products Residual Risk and Technology Review Pages 49434 - 49469 [FR DOC #2020-12725]</w:t>
        </w:r>
      </w:hyperlink>
    </w:p>
    <w:p w14:paraId="6C97FD73" w14:textId="77777777" w:rsidR="00054BF0" w:rsidRDefault="00000000">
      <w:pPr>
        <w:spacing w:before="120" w:line="260" w:lineRule="atLeast"/>
        <w:jc w:val="center"/>
      </w:pPr>
      <w:r>
        <w:rPr>
          <w:rFonts w:ascii="Arial" w:eastAsia="Arial" w:hAnsi="Arial" w:cs="Arial"/>
          <w:color w:val="000000"/>
          <w:sz w:val="20"/>
        </w:rPr>
        <w:t>Impact News Service</w:t>
      </w:r>
    </w:p>
    <w:p w14:paraId="1DE31EFD" w14:textId="77777777" w:rsidR="00054BF0" w:rsidRDefault="00000000">
      <w:pPr>
        <w:spacing w:before="120" w:line="260" w:lineRule="atLeast"/>
        <w:jc w:val="center"/>
      </w:pPr>
      <w:r>
        <w:rPr>
          <w:rFonts w:ascii="Arial" w:eastAsia="Arial" w:hAnsi="Arial" w:cs="Arial"/>
          <w:color w:val="000000"/>
          <w:sz w:val="20"/>
        </w:rPr>
        <w:t>August 13, 2020 Thursday</w:t>
      </w:r>
    </w:p>
    <w:p w14:paraId="2D288D47" w14:textId="77777777" w:rsidR="00054BF0" w:rsidRDefault="00054BF0">
      <w:pPr>
        <w:spacing w:line="240" w:lineRule="atLeast"/>
        <w:jc w:val="both"/>
      </w:pPr>
    </w:p>
    <w:p w14:paraId="07C0AD92" w14:textId="77777777" w:rsidR="00054BF0" w:rsidRDefault="00000000">
      <w:pPr>
        <w:spacing w:before="120" w:line="220" w:lineRule="atLeast"/>
      </w:pPr>
      <w:r>
        <w:br/>
      </w:r>
      <w:r>
        <w:rPr>
          <w:rFonts w:ascii="Arial" w:eastAsia="Arial" w:hAnsi="Arial" w:cs="Arial"/>
          <w:color w:val="000000"/>
          <w:sz w:val="16"/>
        </w:rPr>
        <w:t>Copyright 2020 Impact Media Limited All Rights Reserved</w:t>
      </w:r>
    </w:p>
    <w:p w14:paraId="05CF662D" w14:textId="77777777" w:rsidR="00054BF0" w:rsidRDefault="00000000">
      <w:pPr>
        <w:spacing w:before="120" w:line="220" w:lineRule="atLeast"/>
      </w:pPr>
      <w:r>
        <w:br/>
      </w:r>
      <w:r>
        <w:pict w14:anchorId="6F1FE5FC">
          <v:shape id="_x0000_i1052" type="#_x0000_t75" style="width:162pt;height:81pt">
            <v:imagedata r:id="rId379" o:title=""/>
          </v:shape>
        </w:pict>
      </w:r>
    </w:p>
    <w:p w14:paraId="008F7F4E"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39765 words</w:t>
      </w:r>
    </w:p>
    <w:p w14:paraId="1C13743B" w14:textId="77777777" w:rsidR="00054BF0" w:rsidRDefault="00000000">
      <w:pPr>
        <w:keepNext/>
        <w:spacing w:before="240" w:line="340" w:lineRule="atLeast"/>
      </w:pPr>
      <w:bookmarkStart w:id="39" w:name="Body_18"/>
      <w:bookmarkEnd w:id="39"/>
      <w:r>
        <w:rPr>
          <w:rFonts w:ascii="Arial" w:eastAsia="Arial" w:hAnsi="Arial" w:cs="Arial"/>
          <w:b/>
          <w:color w:val="000000"/>
          <w:sz w:val="28"/>
        </w:rPr>
        <w:t>Body</w:t>
      </w:r>
    </w:p>
    <w:p w14:paraId="315ECB4F" w14:textId="77777777" w:rsidR="00054BF0" w:rsidRDefault="00000000">
      <w:pPr>
        <w:spacing w:line="60" w:lineRule="exact"/>
      </w:pPr>
      <w:r>
        <w:pict w14:anchorId="35C6F905">
          <v:line id="_x0000_s2115" style="position:absolute;z-index:251698176" from="0,2pt" to="512pt,2pt" strokecolor="#009ddb" strokeweight="2pt">
            <w10:wrap type="topAndBottom"/>
          </v:line>
        </w:pict>
      </w:r>
    </w:p>
    <w:p w14:paraId="1CAA6CCE" w14:textId="77777777" w:rsidR="00054BF0" w:rsidRDefault="00054BF0"/>
    <w:p w14:paraId="511CE786" w14:textId="32CC22A0" w:rsidR="00054BF0" w:rsidRDefault="00000000">
      <w:pPr>
        <w:spacing w:before="200" w:line="260" w:lineRule="atLeast"/>
        <w:jc w:val="both"/>
      </w:pPr>
      <w:r>
        <w:rPr>
          <w:rFonts w:ascii="Arial" w:eastAsia="Arial" w:hAnsi="Arial" w:cs="Arial"/>
          <w:color w:val="000000"/>
          <w:sz w:val="20"/>
        </w:rPr>
        <w:t xml:space="preserve">Washington: Office of the Federal Register has issued the following notice:Environmental Protection Agency-----------------------------------------------------------------------40 CFR Part 63National Emission Standards for Hazardous Air Pollutants: Plywood and Composite Wood Products Residual Risk and Technology Review; Final RuleFederal Register / Vol. 85, No. 157 / Thursday, August 13, 2020 / Rules and Regulations[[Page 49434]]-----------------------------------------------------------------------ENVIRONMENTAL PROTECTION AGENCY40 CFR Part 63[EPA-HQ-OAR-2016-0243; FRL-10009-65-OAR]RIN 2060-AO66National Emission Standards for Hazardous Air Pollutants: Plywood and Composite Wood Products Residual Risk and Technology ReviewAGENCY: Environmental Protection Agency (EPA).ACTION: Final rule.-----------------------------------------------------------------------SUMMARY: This action finalizes the residual risk and technology review (RTR) conducted for the Plywood and Composite Wood Products (PCWP) source category regulated under national emission standards for hazardous air pollutants (NESHAP). In addition, the EPA is taking final action addressing periods of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(SSM); adding electronic reporting; adding repeat emissions testing; and making technical and editorial changes. These final amendments include no revisions to the numerical emission limits in the rule based on the RTR. While the amendments do not result in reductions of emissions of hazardous air pollutants (HAP), this action results in improved monitoring, compliance, and implementation of the rule.DATES: This final rule is effective on August 13, 2020. The incorporation by reference of certain publications listed in the rule is approved by the Director of the Federal Register as of August 13, 2020. The incorporation by reference of certain other publications listed in the rule was approved by the Director of the Federal Register as of February 16, 2006.ADDRESSES: The U.S Environmental Protection Agency (EPA) has established a docket for this action under Docket ID No. EPA-HQ-OAR-2016-0243. All documents in the docket are listed on the </w:t>
      </w:r>
      <w:hyperlink r:id="rId380"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xml:space="preserve">/ website. Although listed, some information is not publicly available, e.g , Confidential Business Information or other information whose disclosure is restricted by statute. Certain other material, such as copyrighted material, is not placed on the internet and will be publicly available only in hard copy form. Publicly available docket materials are available electronically through </w:t>
      </w:r>
      <w:hyperlink r:id="rId381"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xml:space="preserve">. Out of an abundance of caution for members of the public and our staff, the EPA Docket Center and Reading Room was closed to public visitors on March 31, 2020, to reduce the risk of transmitting COVID-19. Our Docket Center staff will continue to provide remote customer service via email, phone, and webform. There is a temporary suspension of mail delivery to the EPA, and no hand deliveries are currently accepted. For further information and updates on EPA Docket Center services and the current status, please visit us online at </w:t>
      </w:r>
      <w:hyperlink r:id="rId382" w:history="1">
        <w:r>
          <w:rPr>
            <w:rFonts w:ascii="Arial" w:eastAsia="Arial" w:hAnsi="Arial" w:cs="Arial"/>
            <w:i/>
            <w:color w:val="0077CC"/>
            <w:sz w:val="20"/>
            <w:u w:val="single"/>
            <w:shd w:val="clear" w:color="auto" w:fill="FFFFFF"/>
          </w:rPr>
          <w:t>https://www.epa.gov/dockets.FOR</w:t>
        </w:r>
      </w:hyperlink>
      <w:r>
        <w:rPr>
          <w:rFonts w:ascii="Arial" w:eastAsia="Arial" w:hAnsi="Arial" w:cs="Arial"/>
          <w:color w:val="000000"/>
          <w:sz w:val="20"/>
        </w:rPr>
        <w:t xml:space="preserve"> FURTHER INFORMATION CONTACT: For questions about this final action, contact Ms. Katie Hanks, Sector Policies and Programs Division (E143-03), Office of Air Quality Planning and Standards, U.S Environmental Protection Agency, Research Triangle Park, North Carolina 27711; telephone number: (919) 541-2159; fax number: (919) 541-0516; and email address: </w:t>
      </w:r>
      <w:hyperlink r:id="rId383" w:history="1">
        <w:r>
          <w:rPr>
            <w:rFonts w:ascii="Arial" w:eastAsia="Arial" w:hAnsi="Arial" w:cs="Arial"/>
            <w:i/>
            <w:color w:val="0077CC"/>
            <w:sz w:val="20"/>
            <w:u w:val="single"/>
            <w:shd w:val="clear" w:color="auto" w:fill="FFFFFF"/>
          </w:rPr>
          <w:t>hanks.katie@epa.gov</w:t>
        </w:r>
      </w:hyperlink>
      <w:r>
        <w:rPr>
          <w:rFonts w:ascii="Arial" w:eastAsia="Arial" w:hAnsi="Arial" w:cs="Arial"/>
          <w:color w:val="000000"/>
          <w:sz w:val="20"/>
        </w:rPr>
        <w:t xml:space="preserve"> For specific information regarding the risk modeling methodology, contact Mr. James Hirtz, Health and Environmental Impacts Division (C539-02), Office of Air Quality Planning and Standards, U.S Environmental Protection Agency, Research Triangle Park, North Carolina 27711; telephone number: (919) 541-0881; fax number: (919) 541-0840; and email address: </w:t>
      </w:r>
      <w:hyperlink r:id="rId384" w:history="1">
        <w:r>
          <w:rPr>
            <w:rFonts w:ascii="Arial" w:eastAsia="Arial" w:hAnsi="Arial" w:cs="Arial"/>
            <w:i/>
            <w:color w:val="0077CC"/>
            <w:sz w:val="20"/>
            <w:u w:val="single"/>
            <w:shd w:val="clear" w:color="auto" w:fill="FFFFFF"/>
          </w:rPr>
          <w:t>hirtz.james@epa.gov</w:t>
        </w:r>
      </w:hyperlink>
      <w:r>
        <w:rPr>
          <w:rFonts w:ascii="Arial" w:eastAsia="Arial" w:hAnsi="Arial" w:cs="Arial"/>
          <w:color w:val="000000"/>
          <w:sz w:val="20"/>
        </w:rPr>
        <w:t xml:space="preserve"> For information about the applicability of the NESHAP to a particular entity, contact Mr. John Cox, Office of Enforcement and Compliance Assurance, U.S Environmental Protection Agency, WJC South Building, 1200 Pennsylvania Ave. NW, Washington, DC 20460; telephone number: (202) 564-1395; and email address: </w:t>
      </w:r>
      <w:hyperlink r:id="rId385" w:history="1">
        <w:r>
          <w:rPr>
            <w:rFonts w:ascii="Arial" w:eastAsia="Arial" w:hAnsi="Arial" w:cs="Arial"/>
            <w:i/>
            <w:color w:val="0077CC"/>
            <w:sz w:val="20"/>
            <w:u w:val="single"/>
            <w:shd w:val="clear" w:color="auto" w:fill="FFFFFF"/>
          </w:rPr>
          <w:t>cox.john@epa.gov.SUPPLEMENTARY</w:t>
        </w:r>
      </w:hyperlink>
      <w:r>
        <w:rPr>
          <w:rFonts w:ascii="Arial" w:eastAsia="Arial" w:hAnsi="Arial" w:cs="Arial"/>
          <w:color w:val="000000"/>
          <w:sz w:val="20"/>
        </w:rPr>
        <w:t xml:space="preserve"> INFORMATION: Preamble acronyms and abbreviations. Multiple acronyms and terms are used in this preamble. While this list may not be exhaustive, to ease the reading of this preamble and for reference purposes, the EPA defines the following terms and acronyms here:AEGL acute exposure guideline levelCAA Clean Air ActCDX Central Data ExchangeCEDRI Compliance and Emissions Data Reporting InterfaceCEMS continuous emission monitoring systemsCFR Code of Federal RegulationsCMS continuous monitoring systemsEAV equivalent annualized valueEPA Environmental Protection AgencyERT Electronic Reporting ToolHAP hazardous air pollutants(s)HQ hazard quotientICR Information Collection Requestkm kilometerMACT maximum achievable control technologyNESHAP national emission standards for hazardous air pollutantsNTTAA National Technology Transfer and Advancement ActOMB Office of Management and BudgetOSHA Occupational Safety and Health AdministrationPCWP Plywood and Composite Wood ProductsPDF portable document formatPRA Paperwork Reduction ActPV present valueRATA relative accuracy test auditRCO regenerative catalytic oxidizerREL recommended exposure limitRFA Regulatory Flexibility ActRIN Regulatory Information NumberRTC Response to CommentsRTO regenerative thermal oxidizerRTR residual risk and technology reviewSSM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malfunctionthe Court United States Court of Appeals for the District of Columbia CircuitTOSHI target organ-specific hazard indextpy tons per yearUMRA Unfunded Mandates Reform Act Background information. On September 6, 2019, the EPA proposed revisions to the PCWP NESHAP based on our RTR. See 84 FR 47074. In this action, the EPA is finalizing decisions and revisions for the rule. We summarize some of the more significant comments we timely received regarding the proposed rulemaking and provide summaries of our responses in this preamble. A summary of all public comments on the proposal and the EPA's specific responses to those comments is available in the Response to Comments (RTC) document, National Emission Standards for Hazardous Air Pollutants: Plywood and Composite Wood Products (40 CFR part 63, subpart DDDD) Residual Risk and Technology Review, Final Amendments, Responses to Public Comments on September 6, 2019 Proposal, Docket ID No. EPA-HQ-OAR-2016-0243. A ``track changes'' version of the regulatory language that incorporates the changes in this action is available in the docket. Organization of this document. The information in this preamble is organized as follows:I. General Information A. Does this action apply to me? B. Where can I get a copy of this document and other related information? C. Judicial Review and Administrative ReconsiderationII. Background A. What is the statutory authority for this action? B. What is the PCWP source category and how does the NESHAP regulate HAP emissions from the source category? C. What changes did we propose for the PCWP source category in our September 6, 2019, proposal?III. What is included in this final rule? A. What are the final rule amendments based on the risk review for the PCWP source category?[[Page 49435]] B. What are the final rule amendments based on the technology review for the PCWP source category? C. What are the final rule amendments addressing emissions during periods of SSM? D. What other changes have been made to the NESHAP? E. What are the effective and compliance dates of the standards?IV. What is the rationale for our final decisions and amendments for the PCWP source category? A. Residual Risk Review for the PCWP Source Category B. Technology Review for the PCWP Source Category C. SSM Provisions D. Electronic Reporting E. Repeat Emissions Testing F. Biofilter Bed Temperature G. Thermocouple Calibration H. Non-HAP Coating Definition I. Technical and Editorial Changes J. Compliance </w:t>
      </w:r>
      <w:r>
        <w:rPr>
          <w:rFonts w:ascii="Arial" w:eastAsia="Arial" w:hAnsi="Arial" w:cs="Arial"/>
          <w:color w:val="000000"/>
          <w:sz w:val="20"/>
        </w:rPr>
        <w:lastRenderedPageBreak/>
        <w:t xml:space="preserve">DatesV. Summary of Cost, Environmental, and Economic Impacts and Additional Analyses Conducted A. What are the affected facilities? B. What are the air quality impacts? C. What are the cost impacts? D. What are the economic impacts? E. What are the benefits? F. What analysis of environmental justice did we conduct? G. What analysis of children's environmental health did we conduct?VI. Statutory and Executive Order Reviews A. Executive Orders 12866: Regulatory Planning and Review and Executive Order 13563: Improving Regulation and Regulatory Review B. Executive Order 13771: Reducing Regulations and Controlling Regulatory Cost C. Paperwork Reduction Act (PRA) D. Regulatory Flexibility Act (RFA) E. Unfunded Mandates Reform Act (UMRA) F. Executive Order 13132: Federalism G. Executive Order 13175: Consultation and Coordination With Indian Tribal Governments H. Executive Order 13045: Protection of Children From Environmental Health Risks and Safety Risks I. Executive Order 13211: Actions Concerning Regulations That Significantly Affect Energy Supply, Distribution, or Use J. National Technology Transfer and Advancement Act (NTTAA) and 1 CFR part 51 K. Executive Order 12898: Federal Actions To Address Environmental Justice in Minority Populations and Low-Income Populations L. Congressional Review Act (CRA)I. General InformationA. Does this action apply to me? Regulated entities. Categories and entities potentially regulated by this action are shown in Table 1 of this preamble. Table 1--NESHAP and Industrial Source Categories Affected by This Final Action------------------------------------------------------------------------ NESHAP and source category NAICS \1\ code------------------------------------------------------------------------National Emission Standards for 321999, 321211, 321212, 321219, Hazardous Air Pollutants: Plywood and 321213. Composite Wood Products.------------------------------------------------------------------------\1\ North American Industry Classification System. Table 1 of this preamble is not intended to be exhaustive, but rather to provide a guide for readers regarding entities likely to be affected by the final action for the source category listed. To determine whether your facility is affected, you should examine the applicability criteria in the appropriate NESHAP. If you have any questions regarding the applicability of any aspect of this NESHAP, please contact the appropriate person listed in the preceding FOR FURTHER INFORMATION CONTACT section of this preamble.B. Where can I get a copy of this document and other related information? In addition to being available in the docket, an electronic copy of this final action will also be available on the internet. Following signature by the EPA Administrator, the EPA will post a copy of this final action at: </w:t>
      </w:r>
      <w:hyperlink r:id="rId386" w:history="1">
        <w:r>
          <w:rPr>
            <w:rFonts w:ascii="Arial" w:eastAsia="Arial" w:hAnsi="Arial" w:cs="Arial"/>
            <w:i/>
            <w:color w:val="0077CC"/>
            <w:sz w:val="20"/>
            <w:u w:val="single"/>
            <w:shd w:val="clear" w:color="auto" w:fill="FFFFFF"/>
          </w:rPr>
          <w:t>https://www.epa.gov/stationary-sources-air-pollution/plywood-and-composite-wood-products-manufacture-national-emission</w:t>
        </w:r>
      </w:hyperlink>
      <w:r>
        <w:rPr>
          <w:rFonts w:ascii="Arial" w:eastAsia="Arial" w:hAnsi="Arial" w:cs="Arial"/>
          <w:color w:val="000000"/>
          <w:sz w:val="20"/>
        </w:rPr>
        <w:t xml:space="preserve">. Following publication in the Federal Register, the EPA will post the Federal Register version and key technical documents at this same website. Additional information is available on the RTR website at </w:t>
      </w:r>
      <w:hyperlink r:id="rId387" w:history="1">
        <w:r>
          <w:rPr>
            <w:rFonts w:ascii="Arial" w:eastAsia="Arial" w:hAnsi="Arial" w:cs="Arial"/>
            <w:i/>
            <w:color w:val="0077CC"/>
            <w:sz w:val="20"/>
            <w:u w:val="single"/>
            <w:shd w:val="clear" w:color="auto" w:fill="FFFFFF"/>
          </w:rPr>
          <w:t>https://www.epa.gov/stationary-sources-air-pollution/risk-and-technology-review-national-emissions-standards-hazardous</w:t>
        </w:r>
      </w:hyperlink>
      <w:r>
        <w:rPr>
          <w:rFonts w:ascii="Arial" w:eastAsia="Arial" w:hAnsi="Arial" w:cs="Arial"/>
          <w:color w:val="000000"/>
          <w:sz w:val="20"/>
        </w:rPr>
        <w:t xml:space="preserve">. This information includes an overview of the RTR program and links to project websites for the RTR source categories.C. Judicial Review and Administrative Reconsideration Under Clean Air Act (CAA) section 307(b)(1), judicial review of this final action is available only by filing a petition for review in the United States Court of Appeals for the District of Columbia Circuit (the Court) by October 13, 2020. Under CAA section 307(b)(2), the requirements established by this final rule may not be challenged separately in any civil or criminal proceedings brought by the EPA to enforce the requirements. Section 307(d)(7)(B) of the CAA further provides that only an objection to a rule or procedure which was raised with reasonable specificity during the period for public comment (including any public hearing) may be raised during judicial review. This section also provides a mechanism for the EPA to reconsider the rule if the person raising an objection can demonstrate to the Administrator that it was impracticable to raise such objection within the period for public comment or if the grounds for such objection arose after the period for public comment (but within the time specified for judicial review) and if such objection is of central relevance to the outcome of the rule. Any person seeking to make such a demonstration should submit a Petition for Reconsideration to the Office of the Administrator, U.S EPA, Room 3000, WJC South Building, 1200 Pennsylvania Ave. NW, Washington, DC 20460, with a copy to both the person(s) listed in the preceding FOR FURTHER INFORMATION CONTACT section, and the Associate General Counsel for the Air and Radiation Law Office, Office of General Counsel (Mail Code 2344A), U.S EPA, 1200 Pennsylvania Ave. NW, Washington, DC 20460.II. BackgroundA. What is the statutory authority for this action? Section 112 of the CAA establishes a two-stage regulatory process to address emissions of HAP from stationary sources. In the first stage, we must identify categories of sources emitting one or more of the HAP listed in CAA section 112(b) and then promulgate technology-based NESHAP for those sources. ``Major sources'' are those that emit, or have the potential to emit, any single HAP at a rate of 10 tons per year (tpy) or more, or 25 tpy or more of any combination of HAP. For major sources,[[Page 49436]]these standards are commonly referred to as maximum achievable control technology (MACT) standards and must reflect the maximum degree of emission reductions of HAP achievable </w:t>
      </w:r>
      <w:r>
        <w:rPr>
          <w:rFonts w:ascii="Arial" w:eastAsia="Arial" w:hAnsi="Arial" w:cs="Arial"/>
          <w:color w:val="000000"/>
          <w:sz w:val="20"/>
        </w:rPr>
        <w:lastRenderedPageBreak/>
        <w:t xml:space="preserve">(after considering cost, energy requirements, and non-air quality health and environmental impacts). In developing MACT standards, CAA section 112(d)(2) directs the EPA to consider the application of measures, processes, methods, systems, or techniques, including, but not limited to, those that reduce the volume of or eliminate HAP emissions through process changes, substitution of materials, or other modifications; enclose systems or processes to eliminate emissions; collect, capture, or treat HAP when released from a process, stack, storage, or fugitive emissions point; are design, equipment, work practice, or operational standards; or any combination of the above. For these MACT standards, the statute specifies certain minimum stringency requirements, which are referred to as MACT floor requirements, and which may not be based on cost considerations. See CAA section 112(d)(3). For new sources, the MACT floor cannot be less stringent than the emission control achieved in practice by the best-controlled similar source. The MACT standards for existing sources can be less stringent than floors for new sources, but they cannot be less stringent than the average emission limitation achieved by the best-performing 12 percent of existing sources in the category or subcategory (or the best-performing five sources for categories or subcategories with fewer than 30 sources). In developing MACT standards, the EPA must also consider control options that are more stringent than the floor under CAA section 112(d)(2). We may establish standards more stringent than the floor, based on the consideration of the cost of achieving the emissions reductions, any non-air quality health and environmental impacts, and energy requirements. In the second stage of the regulatory process, the CAA requires the EPA to undertake two different analyses, which we refer to as the technology review and the residual risk review. Under the technology review, we must review the technology-based standards and revise them ``as necessary (taking into account developments in practices, processes, and control technologies)'' no less frequently than every 8 years, pursuant to CAA section 112(d)(6). Under the residual risk review, we must evaluate the risk to public health remaining after application of the technology-based standards and revise the standards, if necessary, to provide an ample margin of safety to protect public health or to prevent, taking into consideration costs, energy, safety, and other relevant factors, an adverse environmental effect. The residual risk review is required within 8 years after promulgation of the technology-based standards, pursuant to CAA section 112(f). In conducting the residual risk review, if the EPA determines that the current standards provide an ample margin of safety to protect public health, it is not necessary to revise the MACT standards pursuant to CAA section 112(f) and the EPA may readopt the MACT standards as residual risk standards.\1\ For more information on the statutory authority for this rule, see 84 FR 47074 (September 6, 2019).--------------------------------------------------------------------------- \1\ The Court has affirmed this approach of implementing CAA section 112(f)(2)(A): NRDC v. EPA, 529 F.3d 1077, 1083 (D.C Cir. 2008) (``If EPA determines that the existing technology-based standards provide an 'ample margin of safety,' then the Agency is free to readopt those standards during the residual risk rulemaking.'').---------------------------------------------------------------------------B. What is the PCWP source category and how does the NESHAP regulate HAP emissions from the source category? The EPA originally promulgated the PCWP NESHAP on July 30, 2004. The standards are codified at 40 CFR part 63, subpart DDDD. The PCWP industry consists of facilities engaged in the production of PCWP and/or kiln-dried lumber. Plywood and composite wood products are manufactured by bonding wood material (fibers, particles, strands, etc.) or agricultural fiber, generally with resin under heat and pressure, to form a structural panel or engineered wood product. PCWP manufacturing facilities also include facilities that manufacture dry veneer and lumber kilns located at any facility. PCWP include (but are not limited to) plywood, veneer, particleboard, oriented strand board (OSB), hardboard, fiberboard, medium density fiberboard, laminated strand lumber, laminated veneer lumber, wood I-joists, kiln-dried lumber, and glue-laminated beams. As noted in the preamble to the proposed amendments, the PCWP source category covered by this MACT standard includes 230 major source facilities: 93 PCWP facilities, 121 lumber mills, and 16 facilities that produce both PCWP and lumber. The affected source under the PCWP NESHAP is the collection of dryers, refiners, blenders, formers, presses, board coolers, and other process units associated with the manufacturing of PCWP. The NESHAP contains several compliance options for process units subject to the standards: (1) Installation and use of emissions control systems with an efficiency of at least 90 percent; (2) production-based limits that restrict HAP emissions per unit of product; and (3) emissions averaging that allows control of emissions from a group of sources collectively (at existing affected sources). These compliance options apply for the following process units: Fiberboard mat dryer heated zones (at new affected sources); green rotary dryers; hardboard ovens; press predryers (at new affected sources); pressurized refiners; primary tube dryers; secondary tube dryers; reconstituted wood product board coolers (at new affected sources); reconstituted wood product presses; softwood veneer dryer heated zones; rotary strand dryers; and conveyor strand dryers (zone one at existing affected sources, and zones </w:t>
      </w:r>
      <w:r>
        <w:rPr>
          <w:rFonts w:ascii="Arial" w:eastAsia="Arial" w:hAnsi="Arial" w:cs="Arial"/>
          <w:color w:val="000000"/>
          <w:sz w:val="20"/>
        </w:rPr>
        <w:lastRenderedPageBreak/>
        <w:t xml:space="preserve">one and two at new affected sources). In addition, the PCWP NESHAP includes work practice standards for dry rotary dryers, hardwood veneer dryers, softwood veneer dryers, veneer redryers, and group 1 miscellaneous coating operations (defined in 40 CFR 63.2292).C. What changes did we propose for the PCWP source category in our September 6, 2019, proposal? On September 6, 2019, the EPA published a proposed rulemaking in the Federal Register for the PCWP NESHAP, 40 CFR part 63, subpart DDDD, that took into consideration the RTR analyses. In the proposed rulemaking, we proposed revisions to the SSM provisions for the NESHAP in order to ensure that they are consistent with the decision of the Court in Sierra Club v. EPA, 551 F.3d 1019 (D.C Cir. 2008), which vacated two provisions in EPA's 40 CFR part 63, subpart A--General Provisions, that exempted sources from the requirement to comply with otherwise applicable CAA section 112(d) emission standards during periods of SSM: 40 CFR 63.6(f)(1) and (h)(1). We also proposed various other changes, including addition of electronic reporting requirements, addition of repeat emissions testing requirements, revisions to parameter monitoring requirements, and various technical and editorial changes.III. What is included in this final rule? This action finalizes the EPA's determinations pursuant to the RTR provisions of CAA section 112 for the PCWP source category. This action also finalizes other changes to the NESHAP, including SSM provisions, electronic reporting, additional emissions testing requirements, and technical and editorial changes.[[Page 49437]]A. What are the final rule amendments based on the risk review for the PCWP source category? The EPA proposed no changes to the PCWP NESHAP based on the risk review conducted pursuant to CAA section 112(f). We are finalizing our proposed determination that risks from the PCWP source category are acceptable, considering all of the health information and factors evaluated, and also considering risk estimation uncertainty. We are also finalizing our proposed determination that revisions to the current standards are not necessary to reduce risk to an acceptable level, to provide an ample margin of safety to protect public health, or to prevent an adverse environmental effect. As discussed further in section IV.A of this preamble, the EPA reviewed public comments and data revisions submitted during the public comment period but none of the information received affected our determinations. Therefore, we are not requiring additional controls in order to reduce risks and, thus, are not making any revisions to the existing standards under CAA section 112(f)(2). Instead, we are readopting the existing standards under CAA section 112(f)(2), while making other modifications under other authorities unrelated to risk.B. What are the final rule amendments based on the technology review for the PCWP source category? We determined that there are no developments in practices, processes, and control technologies that warrant revisions to the MACT standards for this source category. In the proposal, the EPA noted a development in resin systems used to produce PCWP at some facilities but found that facilities generally have not altered their HAP emission control strategies to date as a result of resin changes and that it is not necessary, or supported based on available data, at this time, to amend the current standards. The EPA considered comments received during the public comment period regarding our technology review, however, these comments contained no new data or other information that affected our determinations. Therefore, we are not finalizing revisions to the MACT standards under CAA section 112(d)(6). Section IV.B of this preamble provides further details on our conclusion with respect to the technology review.C. What are the final rule amendments addressing emissions during periods of SSM? In its 2008 decision in Sierra Club v. EPA, 551 F.3d 1019 (D.C Cir. 2008), the Court vacated portions of two provisions in the EPA's CAA section 112 regulations governing the emissions of HAP during periods of SSM. Specifically, the Court vacated the SSM exemption contained in 40 CFR 63.6(f)(1) and (h)(1), holding that under section 302(k) of the CAA, emissions standards or limitations must be continuous in nature and that the SSM exemption violates the CAA's requirement that some CAA section 112 standards apply continuously. The EPA has eliminated the SSM exemption in this rule. Consistent with Sierra Club v. EPA, the EPA has established standards in this rule that apply at all times. The standards that apply during normal operation have been extended to apply at all times including SSM in most instances. However, in this final rule, the EPA has established work practice standards for specific types of </w:t>
      </w:r>
      <w:r>
        <w:rPr>
          <w:rFonts w:ascii="Arial" w:eastAsia="Arial" w:hAnsi="Arial" w:cs="Arial"/>
          <w:b/>
          <w:i/>
          <w:color w:val="000000"/>
          <w:sz w:val="20"/>
          <w:u w:val="single"/>
        </w:rPr>
        <w:t>startup</w:t>
      </w:r>
      <w:r>
        <w:rPr>
          <w:rFonts w:ascii="Arial" w:eastAsia="Arial" w:hAnsi="Arial" w:cs="Arial"/>
          <w:color w:val="000000"/>
          <w:sz w:val="20"/>
        </w:rPr>
        <w:t xml:space="preserve"> and shutdown events as described in section IV.C of this preamble. The EPA has also revised Table 10 of this rule (the General Provisions applicability table) in several respects as is explained in more detail in section IV.C of this preamble. For example, we have eliminated the incorporation of the General Provisions' requirement that sources develop SSM plans. We have also eliminated or revised certain recordkeeping and reporting requirements that are related to the SSM exemption as described in detail in the proposed rulemaking and summarized again in section IV.C of this preamble.D. What other changes have been made to the NESHAP? Other changes to the NESHAP include: 1. Electronic reporting. As discussed at proposal, the EPA is finalizing amendments to the reporting requirements in the rule to require electronic reporting for notifications of compliance status, compliance test reports, and semiannual reports. Electronic reporting is </w:t>
      </w:r>
      <w:r>
        <w:rPr>
          <w:rFonts w:ascii="Arial" w:eastAsia="Arial" w:hAnsi="Arial" w:cs="Arial"/>
          <w:color w:val="000000"/>
          <w:sz w:val="20"/>
        </w:rPr>
        <w:lastRenderedPageBreak/>
        <w:t xml:space="preserve">discussed further in section IV.D of this preamble. 2. Repeat emissions testing. As discussed at proposal, the EPA is finalizing amendments to Table 7 to subpart DDDD of part 63 to require repeat testing every 5 years for process units controlled with control devices other than biofilters. The first of the 5-year repeat tests will be required within 3 years of the effective date of the final amendments. Repeat emissions testing is discussed further in section IV.E of this preamble. 3. Revisions to parameter monitoring requirements. As discussed at proposal, the EPA is finalizing amendments to biofilter bed temperature provisions in 40 CFR 63.2262(m)(1) and the thermocouple calibration requirements in 40 CFR 63.2269 The biofilter bed temperature provisions are discussed further in section IV.F of this preamble and the thermocouple calibration requirements are discussed further in section IV.G of this preamble. 4. Revisions to the non-HAP coating definition. The EPA is finalizing amendments to the non-HAP coating definition in 40 CFR 63.2292 with changes from the proposed revision. The non-HAP coating definition is discussed further in section IV.H of this preamble. 5. Technical and editorial changes. The EPA is finalizing technical and editorial changes, as discussed further in section IV.I of this preamble.E. What are the effective and compliance dates of the standards? The revisions to the MACT standards being promulgated in this action are effective on August 13, 2020. The compliance date of the rule amendments for existing affected sources and other affected sources that commenced construction or reconstruction on or before September 6, 2019, is August 13, 2021. Affected sources that commenced construction or reconstruction after September 6, 2019, are new sources. New sources must comply with all of the standards immediately upon the effective date of the standard, August 13, 2020, or upon </w:t>
      </w:r>
      <w:r>
        <w:rPr>
          <w:rFonts w:ascii="Arial" w:eastAsia="Arial" w:hAnsi="Arial" w:cs="Arial"/>
          <w:b/>
          <w:i/>
          <w:color w:val="000000"/>
          <w:sz w:val="20"/>
          <w:u w:val="single"/>
        </w:rPr>
        <w:t>startup</w:t>
      </w:r>
      <w:r>
        <w:rPr>
          <w:rFonts w:ascii="Arial" w:eastAsia="Arial" w:hAnsi="Arial" w:cs="Arial"/>
          <w:color w:val="000000"/>
          <w:sz w:val="20"/>
        </w:rPr>
        <w:t xml:space="preserve">, whichever is later. All existing affected sources will have to continue to meet the current requirements of the NESHAP until the applicable compliance date of the amended rule. Section IV.D of this preamble discusses electronic reporting and a semiannual reporting template that facilities must use within 1 year after it is posted in the EPA's Compliance and Emissions Data Reporting Interface (CEDRI). In addition, the EPA is finalizing new requirements to conduct repeat performance testing every 5 years for facilities using an add-on control system other than a biofilter (see section IV.E of this preamble). The first of the repeat performance tests must be conducted within 3 years after August 13, 2020, or within 60 months following the previous performance test, whichever is later.[[Page 49438]]IV. What is the rationale for our final decisions and amendments for the PCWP source category? For each issue, this section provides a description of what was proposed and what is being finalized for the issue, the EPA's rationale for the final decisions and amendments, and a summary of key comments and responses. Comment summaries for all comments and the EPA's specific responses can be found in the RTC document, available in Docket ID No. EPA-HQ-OAR-2016-0243.A. Residual Risk Review for the PCWP Source Category1. What did we propose pursuant to CAA section 112(f) for the PCWP source category? Pursuant to CAA section 112(f), the EPA conducted a risk review and presented the results for the review, along with our proposed decisions regarding risk acceptability and ample margin of safety, in the September 6, 2019, proposed rulemaking for the PCWP source category (84 FR 47074). The results of the risk assessment are presented briefly in Table 2 of this preamble and in the risk report titled Residual Risk Assessment for the Plywood and Composite Wood Products Source Category in Support of the 2019 Risk and Technology Review Proposed Rule, and sections III and IV of the proposal preamble (84 FR 47074, September 6, 2019) available in the docket for this action. Table 2--Inhalation Risk Assessment Summary for Plywood and Composite Wood Products Source Category \1\-------------------------------------------------------------------------------------------------------------------------------------------------------- Maximum individual Population at increased Annual cancer incidence Maximum chronic Maximum cancer risk (in 1 risk of cancer &gt;= 1-in-1 (cases per year) noncancer TOSHI \4\ screening acute million) \3\ million ---------------------------------------------------- noncancer HQ \5\ ---------------------------------------------------- Based on . . . Based on . . . ----------------- Number of facilities \2\ Based on . . . Based on . . . ---------------------------------------------------- ---------------------------------------------------- Actual Allowable Actual Allowable Actual Allowable Actual Allowable Based on actual emissions emissions emissions emissions emissions emissions emissions emissions emissions level level level level level level level level level--------------------------------------------------------------------------------------------------------------------------------------------------------233........................... 30 30 204,000 230,000 0.03 0.03 0.8 0.8 4 (REL) 0.2 (AEGL-1)--------------------------------------------------------------------------------------------------------------------------------------------------------\1\ Based on actual and allowable emissions.\2\ Number of facilities evaluated in the risk assessment. Includes 230 operating facilities subject to 40 CFR part 63, subpart DDDD, plus three existing facilities that are currently closed but maintain active operating permits.\3\ Maximum individual excess lifetime cancer risk due to HAP emissions from the source category.\4\ Maximum target organ-specific hazard index (TOSHI). The target organ with the highest TOSHI for the PCWP source category is the respiratory system.\5\ The maximum estimated acute exposure concentration </w:t>
      </w:r>
      <w:r>
        <w:rPr>
          <w:rFonts w:ascii="Arial" w:eastAsia="Arial" w:hAnsi="Arial" w:cs="Arial"/>
          <w:color w:val="000000"/>
          <w:sz w:val="20"/>
        </w:rPr>
        <w:lastRenderedPageBreak/>
        <w:t xml:space="preserve">was divided by available short-term threshold values to develop an array of hazard quotient (HQ) values. The acute HQ values shown use the lowest available acute threshold value, which in most cases is the recommended exposure limit (REL). When an HQ exceeds 1, the EPA also shows the HQ using the next lowest available acute dose-response value. For the risk assessment conducted at proposal, the EPA estimated risks based on actual and allowable emissions from the PCWP source category. The results for the PCWP source category indicated that both the actual and allowable inhalation cancer risks to the individual most exposed are below the presumptive limit of acceptability of 100-in-1 million. The residual risk assessment for the PCWP category estimated cancer incidence rate at 0.03 cases per year (or one case every 33 years) based on both source category actual and allowable emissions. The estimated inhalation cancer risk to the individual most exposed to actual and allowable emissions from the source category was 30-in-1 million. The assessment showed that approximately 204,000 people faced an increased cancer risk equal to or above 1-in-1 million from source category actual emissions from 170 facilities. The number of people exposed to a cancer risk greater than 10-in-1 million from source category actual emissions is 650 people. The maximum chronic noncancer TOSHI due to inhalation exposures was less than 1 (0.8) for actual and allowable emissions from the source category. The results of the acute non-cancer refined analysis showed maximum acute HQs of 4 for acrolein and 2 for formaldehyde emissions based on the acute reference exposure level. Maximum cancer risk due to ingestion exposures estimated using health-protective risk screening assumptions are below 6-in-1 million for the Tier 2 fisher scenario and below 40-in-1 million for the Tier 2 rural gardener exposure scenario.\2\ Considering all the health risk information and factors and the uncertainties discussed in the preamble to the proposed amendments (84 FR 47074, September 6, 2019), the EPA proposed that the risks posed by emissions from the PCWP source category are acceptable after implementation of the existing MACT standards.--------------------------------------------------------------------------- \2\ As explained in the preamble for the proposed rulemaking, these multipathway risk estimates would be further reduced with Tier 3 screening.--------------------------------------------------------------------------- As directed by CAA section 112(f)(2), the EPA also conducted an analysis to determine if the current emission standards provide an ample margin of safety to protect public health. Under the ample margin of safety analysis, the EPA considers all health factors evaluated in the risk assessment and evaluates the cost and feasibility of available control technologies and other measures (including the controls, measures, and costs reviewed under the technology review) that could be applied to this source category to further reduce the risks (or potential risks) due to emissions of HAP identified in our risk assessment. The EPA did not identify methods for further reducing HAP emissions from the PCWP source category that would achieve meaningful risk reductions. Therefore, the EPA proposed that the current PCWP standards provide an ample margin of safety to protect public health and revision of the promulgated standards is not required. The EPA also concluded that an adverse environmental effect as a result of HAP emissions from this source category is not expected and, therefore, proposed that it is not necessary to set a more stringent standard to prevent, taking into consideration costs, energy, safety, and other relevant factors, an adverse environmental effect. The results of the EPA's residual risk analysis conducted according to CAA section 112(f)(2) were discussed in the preamble to the proposed rulemaking (84 FR 47074, September 6, 2019), in the risk report for the proposed rulemaking titled Residual Risk Assessment for the Plywood and Composite Wood Products Source Category in Support of the 2019 Risk[[Page 49439]]and Technology Review Proposed Rule, Docket Item No. EPA-HQ-OAR-2016-0243-0179, and in the risk report for the final rule titled Residual Risk Assessment for the Plywood and Composite Wood Products Source Category in Support of the 2019 Risk and Technology Review Final Rule, in the docket for this action. The risk report for the final rule is unchanged from the risk report prepared for the proposed rulemaking.2. How did the risk review change for the PCWP source category? The EPA has not changed any aspect of the risk assessment since the September 2019 proposal for the PCWP source category.3. What key comments did we receive on the risk review, and what are our responses? The EPA received several comments in support of and against the proposed residual risk review and our determination that no revisions were warranted under CAA section 112(f)(2). Generally, the commenters disagreeing with the risk review misunderstood the type of data used for the development of the risk review or suggested changes to the underlying risk assessment methodology. Some commenters noted the conservative nature of the underlying residual risk methodology. Commenters also submitted data revisions for 23 of the 233 modeled facilities. After reviewing the inventory revisions, the EPA concluded that 21 of the revisions would serve only to reduce modeled risk through reduced emissions or improved dispersion inputs. Further, the EPA concluded that neither of the two remaining inventory revisions would increase the maximum modeled risk for the PCWP source category or change our conclusions regarding risk acceptability or </w:t>
      </w:r>
      <w:r>
        <w:rPr>
          <w:rFonts w:ascii="Arial" w:eastAsia="Arial" w:hAnsi="Arial" w:cs="Arial"/>
          <w:color w:val="000000"/>
          <w:sz w:val="20"/>
        </w:rPr>
        <w:lastRenderedPageBreak/>
        <w:t xml:space="preserve">ample margin of safety. See the memorandum, Review of Plywood and Composite Wood Products Emissions Inventory Revisions, in the docket for this action for details on the inventory revisions submitted. After review of the comments and information submitted, we determined that no changes to the proposed residual risk assessment were necessary. The comments and our specific responses can be found in the RTC document, which is available in the docket for this action, Docket ID No. EPA-HQ-OAR-2016-0243.4. What is the rationale for our final approach and final decisions for the risk review? As noted in our proposal, the EPA sets standards under CAA section 112(f)(2) using ``a two-step standard-setting approach, with an analytical first step to determine an `acceptable risk' that considers all health information, including risk estimation uncertainty, and includes a presumptive limit on MIR of approximately 1-in-10 thousand'' (see 54 FR 38045, September 14, 1989). The EPA weighs all health risk factors in our risk acceptability determination, including the cancer maximum individual risk (MIR), cancer incidence, the maximum cancer TOSHI, the maximum acute noncancer HQ, the extent of noncancer risks, the distribution of cancer and noncancer risks in the exposed population, and the risk estimation uncertainties. Since proposal, neither the risk assessment nor our determinations regarding risk acceptability, ample margin of safety, or adverse environmental effects have changed. For the reasons explained in the proposed rulemaking, the EPA determined that the risks from the PCWP source category are acceptable, the current standards provide an ample margin of safety to protect public health, and more stringent standards are not necessary to prevent an adverse environmental effect. Therefore, the EPA is not revising the PCWP NESHAP (40 CFR part 63, subpart DDDD) to require additional controls pursuant to CAA section 112(f)(2) based on the residual risk review, and the EPA is readopting the existing standards under CAA section 112(f)(2).B. Technology Review for the PCWP Source Category The EPA's technology review focused on identifying developments in practices, processes, and control technologies for process units subject to standards under the NESHAP that have occurred since 2004 when emission standards were promulgated for the PCWP source category. The following process units were included in our review: Green rotary dryers, hardboard ovens, pressurized refiners, primary tube dryers, reconstituted wood product presses, softwood veneer dryer heated zones, rotary strand dryers, secondary tube dryers, conveyor strand dryers, fiberboard mat dryers, press predryers, and reconstituted wood product board coolers. The technological basis for the promulgated PCWP NESHAP was use of incineration-based or biofilter add-on controls to reduce HAP emissions. Incineration-based controls include regenerative thermal oxidizers (RTOs), regenerative catalytic oxidizers (RCOs), and incineration of process exhaust in an onsite combustion unit (referred to as ``process incineration''). In addition, the PCWP NESHAP contains production-based compliance options (PBCO) for process units with low emissions due to pollution prevention measures inherent in their process, an emissions averaging compliance option, and work practice requirements for selected process units. In the proposal, the EPA noted a development in resin systems used to produce PCWP at some facilities but found that facilities generally have not altered their HAP emission control strategies to date as a result of resin changes and that it is not necessary, or supported, based on available data, at this time, to amend the current standards. The EPA proposed that no revisions to the PCWP NESHAP are necessary pursuant to CAA section 112(d)(6). The EPA received comments supporting and opposing our proposed determination from the technology review that no revisions to the standards are necessary under CAA section 112(d)(6). Several commenters agreed with the EPA's decision not to revise the current standards pursuant to CAA section 112(d)(6). Conversely, another commenter opposed our determination not to revise the standards and stated that the EPA failed to satisfy the CAA because it did not set emission standards for currently unrestricted HAP (such as emissions from the PCWP process units not currently subject to emissions limits) and regulating these emissions is ``necessary'' under the CAA. The commenter asserted that the EPA must review and follow the CAA and existing case law to ensure it sets a numerical limit for every regulated HAP in order to satisfy CAA sections 112(d)(2), (3), and (6). The commenter further asserted that the EPA must update standards when a development is identified, such as the use of lower HAP resins. In response to the comments, the EPA maintains that our CAA section 112(d)(6) review of developments in the processes, practices, and controls applied to sources regulated under 40 CFR part 63, subpart DDDD, was complete. The technology review was based on responses to an Information Collection Request (ICR) conducted under CAA section 114, requiring a mandatory response. In addition to ICR data provided by respondents, the EPA requested and reviewed other information from sources to determine if there have been developments in practices, processes, or control technologies by PCWP facilities, as described in section 3 of the RTC document. The technology review was documented in the memorandum, Technology Review for the Plywood and[[Page 49440]]Composite Wood Products NESHAP, Docket Item No. EPA-HQ-OAR-2016-0243-0189. Section 3 of the RTC document contains full </w:t>
      </w:r>
      <w:r>
        <w:rPr>
          <w:rFonts w:ascii="Arial" w:eastAsia="Arial" w:hAnsi="Arial" w:cs="Arial"/>
          <w:color w:val="000000"/>
          <w:sz w:val="20"/>
        </w:rPr>
        <w:lastRenderedPageBreak/>
        <w:t xml:space="preserve">responses to the comments received. Regarding the comment that the technology review did not address the unregulated sources, the EPA acknowledged in the preamble to the proposed rulemaking that there are unregulated sources with no-control MACT determinations, and we stated our plans to address those units in a separate action subsequent to the RTR at 84 FR 47077-47078. See section 9 of the RTC document for further discussion of our position regarding our obligations under CAA section 112(d)(6) with respect to unregulated sources.\3\--------------------------------------------------------------------------- \3\ On April 21, 2020, as the Agency was preparing the final rule for signature, a decision was issued in LEAN v. EPA, 955 F. 3d. 1088 (D.C Cir. 2020) in which the Court held that the EPA has an obligation to set standards for unregulated pollutants as part of technology reviews under CAA section 112(d)(6). At the time of signature, the mandate in that case had not been issued and the EPA is continuing to evaluate the decision.--------------------------------------------------------------------------- Overall, the EPA's review of the developments in technology for the process units subject to the PCWP NESHAP did not reveal any changes that require revisions to the emission standards under CAA section 112(d)(6). As discussed in the first paragraph in this section of the preamble, the PCWP rule was promulgated with multiple options for reducing HAP emissions to demonstrate compliance with the standard. The EPA found that facilities are using each type of control system or pollution prevention measure (such as lower-HAP resins) that was anticipated when the PCWP emissions standards were promulgated. The EPA did not identify any developments in practices, processes, or control technologies for the regulated units beyond those accounted for in the originally promulgated PCWP NESHAP. Regarding lower-HAP resins, for the proposal, the EPA characterized changes in the type of resin systems used in the particleboard, MDF, and hardwood plywood segments of the PCWP industry due to the formaldehyde standards limiting emissions from these products \4\ as a ``development'' within the context of CAA section 112(d)(6). The EPA explained in the proposal that as facilities conduct repeat testing, they may find that the inlet concentration of formaldehyde and methanol from their pressing operations has dropped if they are now using a different, lower-HAP resin system to comply with the California Air Resources Board (CARB) and Toxic Substances Control Act (TSCA) standards. The decrease in inlet concentration may allow for future use of the PBCO without an add-on control device, providing an existing compliance option in addition to the current add-on control device compliance option. The EPA also explained that while the CARB and TSCA standards are a ``development'' within the context of CAA section 112(d)(6), these rules do not necessitate revision of the previously-promulgated PCWP emission standards because the promulgated PCWP emission standards already include the PBCO provisions for pollution prevention measures such as lower-HAP resins. The EPA disagrees that because resin changes made by some mills were noted as a development in the technology review that this necessitates revisions to the standards without regard to how the development is already addressed within the previously-promulgated emission standards, to how it relates to control technologies used in the industry, or other relevant factors. For the PCWP source category, the EPA did not identify information suggesting the resin system changes have significantly altered the type of process units or HAP pollution control technologies used in the PCWP industry to date or have led to processes or practices that have not been accounted for in the promulgated PCWP NESHAP compliance options. As explained further in Section 3 of the RTC document, at present, limited HAP emissions data are available to compare PCWP manufacturing process emissions before and after implementation of resin changes to meet the product formaldehyde standards. Facilities made a variety of different resin system changes (if needed for their specific products) in response to the CARB and TSCA rules, and, therefore, no single broadly-applicable approach feasible for all mills was identified. The different resin system changes facilities made, coupled with the limited available HAP emissions data, ongoing use of add-on control technologies following resin system changes, and availability of PBCO in the PCWP NESHAP do not support revising the PCWP NESHAP. Therefore, the EPA concluded it is not, at this time, necessary or supportable under this CAA section 112(d)(6) review to change the promulgated PCWP NESHAP as a result of resin changes facilities made to meet the CARB and TSCA rules. If additional emissions information on resin changes or other changes made by facilities becomes available and indicates updates need to be made to standards in future technology reviews, the EPA will evaluate that information at that time. In summary, the EPA proposed, and is finalizing the conclusion that no revisions to the PCWP NESHAP are necessary pursuant to CAA section 112(d)(6). All amendments being made to the final NESHAP are for reasons other than to reflect developments under CAA section 112(d)(6).--------------------------------------------------------------------------- \4\ In 2008, the CARB finalized an Airborne Toxic Control Measure (ATCM) to reduce formaldehyde emissions from hardwood plywood, MDF, and particleboard. Consistent with the CARB ATCM, in July 2010, Congress passed the Formaldehyde Standards for </w:t>
      </w:r>
      <w:r>
        <w:rPr>
          <w:rFonts w:ascii="Arial" w:eastAsia="Arial" w:hAnsi="Arial" w:cs="Arial"/>
          <w:color w:val="000000"/>
          <w:sz w:val="20"/>
        </w:rPr>
        <w:lastRenderedPageBreak/>
        <w:t xml:space="preserve">Composite Wood Products Act, as title VI of TSCA, [15 U.S.C 2697], requiring the EPA to promulgate a national rule. The EPA finalized the TSCA rule, Formaldehyde Emission Standards for Composite Wood Products, on December 12, 2016 (81 FR 89674), and finalized an implementation rule on February 7, 2018 (83 FR 5340). Compliance with the TSCA rule was required by December 2018. The CARB ATCM and the rule to implement TSCA title VI emphasize the use of low emission resins, including ultra-low-emitting formaldehyde and no added formaldehyde resin systems.---------------------------------------------------------------------------C. SSM Provisions Consistent with the 2008 decision in Sierra Club v. EPA, the EPA proposed eliminating the SSM exemption in this rule and instead proposed that the same standards that apply during normal operation also apply during SSM, except during specific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as described in section IV.C.2 of this preamble. Additionally, the EPA proposed several revisions to Table 10 (the General Provisions applicability table), proposed eliminating the incorporation of the General Provisions' requirement that the source develop an SSM plan, and proposed eliminating and revising certain recordkeeping and reporting requirements related to the SSM exemption, all of which are further described in section IV.C.4 of this preamble.1. Elimination of the SSM Exemption As noted in section III.C of this preamble, in its 2008 decision in Sierra Club v. EPA, 551 F.3d 1019 (D.C Cir. 2008), the Court vacated portions of two provisions in the EPA's CAA section 112 regulations governing the emissions of HAP during periods of SSM. Specifically, the Court vacated the SSM exemption contained in 40 CFR 63.6(f)(1) and (h)(1), holding that under section 302(k) of the CAA, emissions standards or limitations must be continuous in nature and that the SSM exemption violates the CAA's requirement that some CAA section 112 standards apply continuously. Consistent with the Sierra Club decision, the EPA proposed eliminating the SSM exemption in this rule from 40 CFR 63.2250 and to remove the incorporation of 40 CFR 63.6(f)(1). (40[[Page 49441]]CFR 63.6(h)(1) was not applicable to this NESHAP.) The EPA received comments supporting and opposing our proposal to eliminate the SSM exemption in the rule. Commenters opposed to eliminating the exemption stated that neither the CAA nor judicial precedent requires the EPA to delete the SSM provisions. According to these commenters, the best-performing facilities that are the basis for the MACT floor experience SSM events, and so it is appropriate for the EPA to recognize and account for those events, as it has in the existing PCWP MACT standards. One commenter noted that when the EPA promulgated the 2004 PCWP NESHAP, the EPA determined it was appropriate not to subject mills to the numerical emission limitations in those standards during SSM events, requiring instead that sources follow work practices to minimize emissions during such events, including developing and following an SSM plan. The commenter asserted that the EPA's proposal to eliminate 40 CFR 63.2250(a), and thereby require sources to meet the same emission limitations during periods of SSM, except for very limited cases (safety related shutdowns and brief periods during </w:t>
      </w:r>
      <w:r>
        <w:rPr>
          <w:rFonts w:ascii="Arial" w:eastAsia="Arial" w:hAnsi="Arial" w:cs="Arial"/>
          <w:b/>
          <w:i/>
          <w:color w:val="000000"/>
          <w:sz w:val="20"/>
          <w:u w:val="single"/>
        </w:rPr>
        <w:t>startup</w:t>
      </w:r>
      <w:r>
        <w:rPr>
          <w:rFonts w:ascii="Arial" w:eastAsia="Arial" w:hAnsi="Arial" w:cs="Arial"/>
          <w:color w:val="000000"/>
          <w:sz w:val="20"/>
        </w:rPr>
        <w:t xml:space="preserve"> and shutdown of pressurized refiners), represents an unauthorized change to existing MACT standards, specifically claiming that it is not the product of the technology review described in the CAA, it is not required by case law, and it is inconsistent with decades of the EPA practice and judicial interpretations of NESHAP and new source performance standards. Conversely, a commenter in favor of the EPA's proposal to eliminate the SSM exemption argued that it is legally required and necessary in this rulemaking under CAA section 112(d), including CAA section 112(d)(6), for the EPA to remove the SSM exemptions for PCWP facilities as it has proposed to do because the CAA requires standards to apply continuously and the Court precedent (Sierra Club v. EPA) is a development since the prior standards were made. The EPA acknowledges comments in support of the removal of the 40 CFR part 63, subpart DDDD, SSM exemption and we are promulgating our proposed SSM action. We disagree with comments suggesting that the legal precedent established in case law (Sierra Club v. EPA, 551 F.3d 1019 (D.C Cir. 2008) should not apply to subpart DDDD. The Court decision held that emission limits under CAA section 112 must apply continuously and meet minimum stringency requirements, even during periods of SSM. Consistent with the Court's decision and for the reasons explained in the proposal preamble at 84 FR 47092-47096, we are finalizing our proposal to eliminate the SSM language in subpart DDDD. As explained in the proposal, our SSM-related rule revisions are in response to the Court's vacatur of the SSM exemptions in 40 CFR 63.6(f)(1) and (h)(1). When incorporated into CAA section 112(d) regulations for specific source categories, these two provisions exempted sources from the requirement to comply with otherwise applicable MACT standards during periods of SSM. The Court's vacatur rendered those provisions null and void prior to this rulemaking. Eliminating reference to these provisions and other related General Provisions referenced in subpart DDDD reflects the vacatur by the Court. We also eliminated the rule specific SSM provisions in subpart DDDD, as discussed further in section IV.C.4 of this preamble. The specific changes in the language can be found in Docket ID No. EPA-HQ-OAR-2016-0243 in the document titled Redline Version of 40 CFR Part 63, </w:t>
      </w:r>
      <w:r>
        <w:rPr>
          <w:rFonts w:ascii="Arial" w:eastAsia="Arial" w:hAnsi="Arial" w:cs="Arial"/>
          <w:color w:val="000000"/>
          <w:sz w:val="20"/>
        </w:rPr>
        <w:lastRenderedPageBreak/>
        <w:t xml:space="preserve">subpart DDDD Showing Final Changes. However, we do not agree with the commenter who characterized the 2008 Court ruling as a ``development'' that compels elimination of the SSM exemption under CAA section 112(d)(6). The EPA is not and need not rely on CAA section 112(d)(6) in order to eliminate the exemption but is choosing to take action at this time to make the NESHAP consistent with the 2009 ruling. As discussed in section IV.C.2 below, we proposed and are promulgating work practice standards for specific </w:t>
      </w:r>
      <w:r>
        <w:rPr>
          <w:rFonts w:ascii="Arial" w:eastAsia="Arial" w:hAnsi="Arial" w:cs="Arial"/>
          <w:b/>
          <w:i/>
          <w:color w:val="000000"/>
          <w:sz w:val="20"/>
          <w:u w:val="single"/>
        </w:rPr>
        <w:t>startup</w:t>
      </w:r>
      <w:r>
        <w:rPr>
          <w:rFonts w:ascii="Arial" w:eastAsia="Arial" w:hAnsi="Arial" w:cs="Arial"/>
          <w:color w:val="000000"/>
          <w:sz w:val="20"/>
        </w:rPr>
        <w:t xml:space="preserve"> and shutdown events. Therefore, all current subpart DDDD facilities affected by SSM must be in compliance with a standard at all times (i.e , with either the normal operational standards or the work practices that apply during selected </w:t>
      </w:r>
      <w:r>
        <w:rPr>
          <w:rFonts w:ascii="Arial" w:eastAsia="Arial" w:hAnsi="Arial" w:cs="Arial"/>
          <w:b/>
          <w:i/>
          <w:color w:val="000000"/>
          <w:sz w:val="20"/>
          <w:u w:val="single"/>
        </w:rPr>
        <w:t>startup</w:t>
      </w:r>
      <w:r>
        <w:rPr>
          <w:rFonts w:ascii="Arial" w:eastAsia="Arial" w:hAnsi="Arial" w:cs="Arial"/>
          <w:color w:val="000000"/>
          <w:sz w:val="20"/>
        </w:rPr>
        <w:t xml:space="preserve"> and shutdown periods) consistent with the Sierra Club v. EPA decision. Section IV.C.3 of this preamble provides further information on our position with respect to periods of malfunction.2.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In finalizing the standards in this rule, the EPA considered and proposed alternative actions to the simple removal of SSM provisions in the rule. As an alternative approach consistent with Sierra Club v. EPA, the EPA may designate different standards to apply during </w:t>
      </w:r>
      <w:r>
        <w:rPr>
          <w:rFonts w:ascii="Arial" w:eastAsia="Arial" w:hAnsi="Arial" w:cs="Arial"/>
          <w:b/>
          <w:i/>
          <w:color w:val="000000"/>
          <w:sz w:val="20"/>
          <w:u w:val="single"/>
        </w:rPr>
        <w:t>startup</w:t>
      </w:r>
      <w:r>
        <w:rPr>
          <w:rFonts w:ascii="Arial" w:eastAsia="Arial" w:hAnsi="Arial" w:cs="Arial"/>
          <w:color w:val="000000"/>
          <w:sz w:val="20"/>
        </w:rPr>
        <w:t xml:space="preserve"> and shutdown. The EPA collected information with the PCWP ICR to use in determining whether applying the standards applicable under normal operations would be problematic for PCWP facilities during </w:t>
      </w:r>
      <w:r>
        <w:rPr>
          <w:rFonts w:ascii="Arial" w:eastAsia="Arial" w:hAnsi="Arial" w:cs="Arial"/>
          <w:b/>
          <w:i/>
          <w:color w:val="000000"/>
          <w:sz w:val="20"/>
          <w:u w:val="single"/>
        </w:rPr>
        <w:t>startup</w:t>
      </w:r>
      <w:r>
        <w:rPr>
          <w:rFonts w:ascii="Arial" w:eastAsia="Arial" w:hAnsi="Arial" w:cs="Arial"/>
          <w:color w:val="000000"/>
          <w:sz w:val="20"/>
        </w:rPr>
        <w:t xml:space="preserve"> and shutdown. Facilities operating control systems generally operate the control systems while the process unit(s) controlled are </w:t>
      </w:r>
      <w:r>
        <w:rPr>
          <w:rFonts w:ascii="Arial" w:eastAsia="Arial" w:hAnsi="Arial" w:cs="Arial"/>
          <w:b/>
          <w:i/>
          <w:color w:val="000000"/>
          <w:sz w:val="20"/>
          <w:u w:val="single"/>
        </w:rPr>
        <w:t>started up</w:t>
      </w:r>
      <w:r>
        <w:rPr>
          <w:rFonts w:ascii="Arial" w:eastAsia="Arial" w:hAnsi="Arial" w:cs="Arial"/>
          <w:color w:val="000000"/>
          <w:sz w:val="20"/>
        </w:rPr>
        <w:t xml:space="preserve"> and shut down. For example, RTOs and RCOs are warmed to their operating temperature set points using auxiliary fuel before the process unit(s) controlled </w:t>
      </w:r>
      <w:r>
        <w:rPr>
          <w:rFonts w:ascii="Arial" w:eastAsia="Arial" w:hAnsi="Arial" w:cs="Arial"/>
          <w:b/>
          <w:i/>
          <w:color w:val="000000"/>
          <w:sz w:val="20"/>
          <w:u w:val="single"/>
        </w:rPr>
        <w:t>startup</w:t>
      </w:r>
      <w:r>
        <w:rPr>
          <w:rFonts w:ascii="Arial" w:eastAsia="Arial" w:hAnsi="Arial" w:cs="Arial"/>
          <w:color w:val="000000"/>
          <w:sz w:val="20"/>
        </w:rPr>
        <w:t xml:space="preserve">, and the oxidizers continue to maintain their temperature until the process unit(s) controlled shutdown. Biofilters operate within a biofilter bed temperature range that will be more easily achieved during </w:t>
      </w:r>
      <w:r>
        <w:rPr>
          <w:rFonts w:ascii="Arial" w:eastAsia="Arial" w:hAnsi="Arial" w:cs="Arial"/>
          <w:b/>
          <w:i/>
          <w:color w:val="000000"/>
          <w:sz w:val="20"/>
          <w:u w:val="single"/>
        </w:rPr>
        <w:t>startup</w:t>
      </w:r>
      <w:r>
        <w:rPr>
          <w:rFonts w:ascii="Arial" w:eastAsia="Arial" w:hAnsi="Arial" w:cs="Arial"/>
          <w:color w:val="000000"/>
          <w:sz w:val="20"/>
        </w:rPr>
        <w:t xml:space="preserve"> and shutdown with changes in biofilter bed temperature operating range discussed in section IV.F of this preamble. Based on the information collected, the EPA determined that PCWP facilities can meet standards applicable under normal operations at all times except during periods of safety-related shutdowns and pressurized refiner </w:t>
      </w:r>
      <w:r>
        <w:rPr>
          <w:rFonts w:ascii="Arial" w:eastAsia="Arial" w:hAnsi="Arial" w:cs="Arial"/>
          <w:b/>
          <w:i/>
          <w:color w:val="000000"/>
          <w:sz w:val="20"/>
          <w:u w:val="single"/>
        </w:rPr>
        <w:t>startups</w:t>
      </w:r>
      <w:r>
        <w:rPr>
          <w:rFonts w:ascii="Arial" w:eastAsia="Arial" w:hAnsi="Arial" w:cs="Arial"/>
          <w:color w:val="000000"/>
          <w:sz w:val="20"/>
        </w:rPr>
        <w:t xml:space="preserve"> and shutdowns. To ensure that a CAA section 112 standard is met during all times, the EPA proposed alternate work practice standards for safety-related shutdowns and pressurized refiner </w:t>
      </w:r>
      <w:r>
        <w:rPr>
          <w:rFonts w:ascii="Arial" w:eastAsia="Arial" w:hAnsi="Arial" w:cs="Arial"/>
          <w:b/>
          <w:i/>
          <w:color w:val="000000"/>
          <w:sz w:val="20"/>
          <w:u w:val="single"/>
        </w:rPr>
        <w:t>startups</w:t>
      </w:r>
      <w:r>
        <w:rPr>
          <w:rFonts w:ascii="Arial" w:eastAsia="Arial" w:hAnsi="Arial" w:cs="Arial"/>
          <w:color w:val="000000"/>
          <w:sz w:val="20"/>
        </w:rPr>
        <w:t xml:space="preserve"> and shutdowns. After considering comments on the proposed amendments, the EPA determined that an alternate work practice standard was also needed for direct-fired softwood veneer dryers undergoing </w:t>
      </w:r>
      <w:r>
        <w:rPr>
          <w:rFonts w:ascii="Arial" w:eastAsia="Arial" w:hAnsi="Arial" w:cs="Arial"/>
          <w:b/>
          <w:i/>
          <w:color w:val="000000"/>
          <w:sz w:val="20"/>
          <w:u w:val="single"/>
        </w:rPr>
        <w:t>startup</w:t>
      </w:r>
      <w:r>
        <w:rPr>
          <w:rFonts w:ascii="Arial" w:eastAsia="Arial" w:hAnsi="Arial" w:cs="Arial"/>
          <w:color w:val="000000"/>
          <w:sz w:val="20"/>
        </w:rPr>
        <w:t xml:space="preserve"> or shutdown of gas-fired burners. The following sections discuss the work practices the EPA is finalizing. Each work practice is designed to minimize emissions, in keeping with CAA requirements. All three work practices minimize the duration of time and circumstances under which they can be applied. Further, because all three work practices require the temporary suspension of material flow through the PCWP process, PCWP facilities are incentivized to minimize the use and duration of these work practices. Sections IV.C.2.a and b of this preamble discuss in more detail the work practice standards for safety-related shutdowns and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respectively, including comments received about the standards following proposal and the EPA's final decision regarding their requirements. Section IV.C.2.c of this preamble discusses the details of the work practice standard for direct-fired softwood veneer dryers undergoing </w:t>
      </w:r>
      <w:r>
        <w:rPr>
          <w:rFonts w:ascii="Arial" w:eastAsia="Arial" w:hAnsi="Arial" w:cs="Arial"/>
          <w:b/>
          <w:i/>
          <w:color w:val="000000"/>
          <w:sz w:val="20"/>
          <w:u w:val="single"/>
        </w:rPr>
        <w:t>startup</w:t>
      </w:r>
      <w:r>
        <w:rPr>
          <w:rFonts w:ascii="Arial" w:eastAsia="Arial" w:hAnsi="Arial" w:cs="Arial"/>
          <w:color w:val="000000"/>
          <w:sz w:val="20"/>
        </w:rPr>
        <w:t xml:space="preserve"> or shutdown of gas-fired burners.a. Safety-Related Shutdowns As discussed in the preamble to the proposed rulemaking (84 FR 47093,[[Page 49442]]September 6, 2019) and further elaborated in the RTC document, safety-related shutdowns differ from routine, planned shutdowns where facilities can continue routing process unit emissions to the control device until the process unit is shut down. Safety-related shutdowns have been accounted for in the process design and are not necessarily frequent but are pre-determined remedial actions anticipated to occasionally occur to such a degree that they are also distinguished from malfunctions which are, by definition, infrequent and not reasonably preventable (40 CFR 63.2). Malfunctions are unpredictable and may require different types of remediation. For example, the PCWP process predictably shuts down when these events are triggered. Safety-related shutdowns must occur rapidly in the event of unsafe conditions such as a suspected fire in a process unit heating flammable wood material. When unsafe conditions are detected, facilities must act quickly to shut off fuel flow (or indirect process heat) to the system, cease addition of raw materials (e.g , wood furnish, resin) to the process units, purge wood material and gases from the process unit, and isolate equipment to prevent loss of property or life and protect workers from injury. Because it is unsafe to continue to route process gases to the control system, the control system will be bypassed as the process quickly shuts down, in many cases automatically, through a system of interlocks designed to prevent dangerous conditions from occurring. In order to clarify what constitutes a safety-related shutdown, the EPA proposed a new definition in 40 CFR 63.2292 defining a safety-related shutdown as an unscheduled shutdown of a process unit subject to a compliance option in Table 1B to 40 CFR part 63, subpart DDDD, (or a process unit with HAP control under an emissions averaging plan developed according to 40 CFR 63.2240(c)) during which time emissions from the process unit cannot be safely routed to the control system in </w:t>
      </w:r>
      <w:r>
        <w:rPr>
          <w:rFonts w:ascii="Arial" w:eastAsia="Arial" w:hAnsi="Arial" w:cs="Arial"/>
          <w:color w:val="000000"/>
          <w:sz w:val="20"/>
        </w:rPr>
        <w:lastRenderedPageBreak/>
        <w:t xml:space="preserve">place to meet the compliance options or operating requirements in subpart DDDD without imminent danger to the process, control system, or system operator. The EPA also proposed a work practice standard for safety-related shutdowns requiring facilities to follow documented site-specific procedures such as use of automated controls or other measures developed to protect workers and equipment to ensure that the flow of raw materials (such as furnish or resin) and fuel or process heat (as applicable) ceases and that material is removed from the process unit(s) as expeditiously as possible given the system design. These actions are taken by all (including the best-performing) facilities when safety-related shutdowns occur. Comments were received both supporting and opposing the proposed work practice for safety-related shutdowns. Commenters in support of the standards stated that CAA section 112(h) allows the EPA to promulgate a design, equipment, work practice, or operational standard, or combination thereof, in two circumstances: (1) When HAP ``cannot be emitted through a conveyance designed and constructed to emit or capture such a pollutant, or that any requirement for, or use of, such a conveyance would be inconsistent with any Federal, State, or local law,'' and (2) when ``the application of measurement methodology . . . is not practicable due to technological and economic limitations.'' Commenters stated that safety-related shutdowns of process units with add-on control equipment present both of those circumstances and provided operational details summarized in Section 4.3 of the RTC document. The commenter explained that the best practice for controlling HAP emissions during such safety-related shutdowns is to minimize the duration of the event by promptly ceasing the addition of raw materials and heat to the process and removing materials from process equipment as soon as possible (although in some instances it is safer to have the material remain in the process equipment to contain a problem such as a fire). A separate commenter opposed the EPA's proposed safety-related shutdown work practice standards, arguing that the EPA has not explained how the criteria under CAA section 112(h) are met to provide the EPA the statutory authority to set work practices. The commenter stated that the work practice standards the EPA proposed are too lax because they are written by the facilities with no requirement for approval by the EPA. The commenter contended that the work practices will not achieve ``maximum'' emission reduction because they only instruct facilities to protect workers and process equipment, with no reference to reducing air emissions. The commenter urged the EPA to clarify how recordkeeping requirements would apply in the context of work practice standards. The full comments and our responses pertaining to safety-related shutdowns are included in the RTC document. According to CAA section 112(h)(1), MACT standards may take the form of design, equipment, work practice, or operational standards ``if it is not feasible in the judgement of the Administrator to prescribe or enforce an emission standard.'' The phrase ``if it is not feasible to prescribe or enforce an emission standard'' is defined in CAA section 112(h)(2)(A) and (B) to mean any situation in which the Administrator determines that: (A) A HAP or pollutants cannot be emitted through a conveyance designed and constructed to emit or capture such pollutant, or that any requirement for, or use of, such a conveyance would be inconsistent with any federal, state or local law, or (B) the application of measurement methodology to a particular class of sources is not practicable due to technological and economic limitations. The EPA has determined that work practices are appropriate during safety-related shutdowns in the PCWP industry because facilities cannot capture and convey HAP emissions to a control device during these periods for safety reasons. The control device could serve as an ignition source if there is an upset in the oxygen concentration or buildup of other combustibles in the PCWP process or exhaust gas collection system (e.g , combustible gas, condensed pitch on ductwork if moisture-laden gases in the system are allowed to cool, or wood dust) due to various conditions (e.g , if PCWP process equipment or pneumatic conveying systems become plugged). If there are sparks or fire in the PCWP process unit, conveyance, or the control device, the equipment could be damaged if exhaust continues to be routed from the PCWP process unit to the control device. A PCWP dryer or control device may experience an over-temperature condition indicative of a fire and triggering rapid equipment isolation. Thus, conveying emissions from the PCWP process unit to the control device is not technically feasible during safety-related shutdowns. Further, application of measurement methodology is not practicable due to technological and economic limitations. Safety-related shutdowns are brief events that are incorporated into the process design for safety reasons but are not desirable operating conditions that constitute normal operations. Even if staged especially for an emissions measurement (which is economically impracticable due to lost production), the duration of safety-related shutdowns is necessarily brief (i.e , minutes), less than the 1 hour it takes to collect a single emissions measurement sample if the equipment is set </w:t>
      </w:r>
      <w:r>
        <w:rPr>
          <w:rFonts w:ascii="Arial" w:eastAsia="Arial" w:hAnsi="Arial" w:cs="Arial"/>
          <w:b/>
          <w:i/>
          <w:color w:val="000000"/>
          <w:sz w:val="20"/>
          <w:u w:val="single"/>
        </w:rPr>
        <w:t>up</w:t>
      </w:r>
      <w:r>
        <w:rPr>
          <w:rFonts w:ascii="Arial" w:eastAsia="Arial" w:hAnsi="Arial" w:cs="Arial"/>
          <w:color w:val="000000"/>
          <w:sz w:val="20"/>
        </w:rPr>
        <w:t xml:space="preserve"> and measurement contractors are onsite ready to sample, let alone the 3 hours needed for a full emissions test. Because[[Page 49443]]a full emissions measurement sample cannot be obtained during a safety-related shutdown, application of measurement methodology is not practicable due to technological limitations </w:t>
      </w:r>
      <w:r>
        <w:rPr>
          <w:rFonts w:ascii="Arial" w:eastAsia="Arial" w:hAnsi="Arial" w:cs="Arial"/>
          <w:color w:val="000000"/>
          <w:sz w:val="20"/>
        </w:rPr>
        <w:lastRenderedPageBreak/>
        <w:t xml:space="preserve">in addition to being economically impracticable. Therefore, it is the EPA's determination that PCWP-industry safety-related shutdowns meet the criteria in CAA section 112(h)(2)(B). Based on our authority to set work practices, the EPA is finalizing a definition of ``safety-related shutdown'' in 40 CFR 63.2292 and finalizing a work practice for these shutdown events. The work practice is designed to be consistent with actions commonly undertaken by facilities to protect plant personnel, production equipment, and control equipment from dangerous circumstances like fires and explosions. The final work practice requires facilities to follow documented site-specific procedures such as use of automated controls or other measures developed to protect workers and equipment to ensure that the flow of raw materials (such as furnish or resin) and fuel or process heat (as applicable) ceases and that material is removed from the process unit(s) as expeditiously as possible given the system design to reduce air emissions. The phrase ``to reduce air emissions'' was added to the standard to address the concern expressed by one commenter that the work practice should direct facilities to consider air quality. The actions required by the safety-related shutdown work practice represent the maximum degree of emissions reduction achievable because they limit the amount of time, as well as the flow of raw materials and fuel into the process, and, therefore, emissions from the process undergoing safety-related shutdown. Rule language relating to the safety-related shutdown work practice was strengthened for the final rule in response to the commenter's concern that the EPA is giving full discretion to the facilities to develop their safety-related shutdown work practices for their own equipment configurations without oversight by the EPA. To strengthen the standard, the EPA added an initial compliance requirement to Table 6 of the final rule to clarify that facilities must have a record of safety-related shutdown procedures available for inspection by the delegated authority upon request. In addition, a recordkeeping requirement was added to Table 8 of the final rule to ensure documentation is available to track when the work practice is used, consistent with the proposed requirement under 40 CFR 63.2282(a)(2)(i). Finally, a reporting requirement was added to 40 CFR 63.2281(c)(4) to require facilities to report the number of instances and total amount of time during the reporting period when the safety-related shutdown work practice is used. If the safety-related shutdown work practice is used for more than 100 hours during a reporting period, the facility must report the date, time, and duration of each instance when the work practice was used. The EPA has concluded that these initial compliance and ongoing recordkeeping and reporting measures are sufficient to provide delegated authorities with information needed for oversight. In addition, to clarify requirements, 40 CFR 63.2250(f)(6) was added to the final rule to state that the otherwise applicable compliance options, operating requirements, and work practice requirements (in rows 1 through 5 of Table 3 to 40 CFR part 63, subpart DDDD) do not apply when the </w:t>
      </w:r>
      <w:r>
        <w:rPr>
          <w:rFonts w:ascii="Arial" w:eastAsia="Arial" w:hAnsi="Arial" w:cs="Arial"/>
          <w:b/>
          <w:i/>
          <w:color w:val="000000"/>
          <w:sz w:val="20"/>
          <w:u w:val="single"/>
        </w:rPr>
        <w:t>startup</w:t>
      </w:r>
      <w:r>
        <w:rPr>
          <w:rFonts w:ascii="Arial" w:eastAsia="Arial" w:hAnsi="Arial" w:cs="Arial"/>
          <w:color w:val="000000"/>
          <w:sz w:val="20"/>
        </w:rPr>
        <w:t xml:space="preserve">/shutdown work practices apply (i.e , the work practices in rows 6 through 8 of Table 3 to subpart DDDD for safety-related shutdown,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and softwood veneer dryer gas-burner relights). Thus, compliance with the </w:t>
      </w:r>
      <w:r>
        <w:rPr>
          <w:rFonts w:ascii="Arial" w:eastAsia="Arial" w:hAnsi="Arial" w:cs="Arial"/>
          <w:b/>
          <w:i/>
          <w:color w:val="000000"/>
          <w:sz w:val="20"/>
          <w:u w:val="single"/>
        </w:rPr>
        <w:t>startup</w:t>
      </w:r>
      <w:r>
        <w:rPr>
          <w:rFonts w:ascii="Arial" w:eastAsia="Arial" w:hAnsi="Arial" w:cs="Arial"/>
          <w:color w:val="000000"/>
          <w:sz w:val="20"/>
        </w:rPr>
        <w:t xml:space="preserve">/shutdown work practices (in Table 3 to subpart DDDD, rows 6 through 8) does not constitute a </w:t>
      </w:r>
      <w:r>
        <w:rPr>
          <w:rFonts w:ascii="Arial" w:eastAsia="Arial" w:hAnsi="Arial" w:cs="Arial"/>
          <w:b/>
          <w:i/>
          <w:color w:val="000000"/>
          <w:sz w:val="20"/>
          <w:u w:val="single"/>
        </w:rPr>
        <w:t>failure</w:t>
      </w:r>
      <w:r>
        <w:rPr>
          <w:rFonts w:ascii="Arial" w:eastAsia="Arial" w:hAnsi="Arial" w:cs="Arial"/>
          <w:color w:val="000000"/>
          <w:sz w:val="20"/>
        </w:rPr>
        <w:t xml:space="preserve"> to meet the otherwise applicable compliance options, operating requirements, and work practice requirements because these requirements do not apply while the </w:t>
      </w:r>
      <w:r>
        <w:rPr>
          <w:rFonts w:ascii="Arial" w:eastAsia="Arial" w:hAnsi="Arial" w:cs="Arial"/>
          <w:b/>
          <w:i/>
          <w:color w:val="000000"/>
          <w:sz w:val="20"/>
          <w:u w:val="single"/>
        </w:rPr>
        <w:t>startup</w:t>
      </w:r>
      <w:r>
        <w:rPr>
          <w:rFonts w:ascii="Arial" w:eastAsia="Arial" w:hAnsi="Arial" w:cs="Arial"/>
          <w:color w:val="000000"/>
          <w:sz w:val="20"/>
        </w:rPr>
        <w:t xml:space="preserve">/shutdown work practices apply. Finally, 40 CFR 63.2271(b)(4) was added to clarify that instances when the </w:t>
      </w:r>
      <w:r>
        <w:rPr>
          <w:rFonts w:ascii="Arial" w:eastAsia="Arial" w:hAnsi="Arial" w:cs="Arial"/>
          <w:b/>
          <w:i/>
          <w:color w:val="000000"/>
          <w:sz w:val="20"/>
          <w:u w:val="single"/>
        </w:rPr>
        <w:t>startup</w:t>
      </w:r>
      <w:r>
        <w:rPr>
          <w:rFonts w:ascii="Arial" w:eastAsia="Arial" w:hAnsi="Arial" w:cs="Arial"/>
          <w:color w:val="000000"/>
          <w:sz w:val="20"/>
        </w:rPr>
        <w:t xml:space="preserve">/shutdown work practice requirements are used (as reported under 40 CFR 63.2281(c)(4)) are not considered to be deviations from (or violations of) the otherwise applicable compliance options, operating requirements, and work practice requirements (in rows 1 through 5 of Table 3 to subpart DDDD) as long as facilities do not exceed the minimum amount of time necessary for these events.b. Pressurized Refiner </w:t>
      </w:r>
      <w:r>
        <w:rPr>
          <w:rFonts w:ascii="Arial" w:eastAsia="Arial" w:hAnsi="Arial" w:cs="Arial"/>
          <w:b/>
          <w:i/>
          <w:color w:val="000000"/>
          <w:sz w:val="20"/>
          <w:u w:val="single"/>
        </w:rPr>
        <w:t>Startups</w:t>
      </w:r>
      <w:r>
        <w:rPr>
          <w:rFonts w:ascii="Arial" w:eastAsia="Arial" w:hAnsi="Arial" w:cs="Arial"/>
          <w:color w:val="000000"/>
          <w:sz w:val="20"/>
        </w:rPr>
        <w:t xml:space="preserve"> and Shutdowns Pressurized refiners use steam to heat and soften wood under pressure to grind it apart between rotating discs into fibers. Pressurized refiners discharge wood fiber and exhaust gases from refining directly into a primary tube dryer. Pressurized refiners cannot be vented through the dryer to the control system (i.e , the dryer control system) for a brief time after they are initially fed wood material during </w:t>
      </w:r>
      <w:r>
        <w:rPr>
          <w:rFonts w:ascii="Arial" w:eastAsia="Arial" w:hAnsi="Arial" w:cs="Arial"/>
          <w:b/>
          <w:i/>
          <w:color w:val="000000"/>
          <w:sz w:val="20"/>
          <w:u w:val="single"/>
        </w:rPr>
        <w:t>startup</w:t>
      </w:r>
      <w:r>
        <w:rPr>
          <w:rFonts w:ascii="Arial" w:eastAsia="Arial" w:hAnsi="Arial" w:cs="Arial"/>
          <w:color w:val="000000"/>
          <w:sz w:val="20"/>
        </w:rPr>
        <w:t xml:space="preserve"> and as wood material clears the refiner during shutdown because they are not producing useable fiber suitable for drying or producing PCWP products (hardboard or MDF). During this time, instead of the pressurized refiner output being discharged into the dryer, exhaust is vented to the atmosphere (e.g , through an abort cyclone) and the wood is directed to a reclaim bin for storage and, commonly, recycling back into the refining process once it is running steadily. No resin is mixed with the off-specification material and the time periods are short (e.g , 15 minutes or less) before the pressurized refiner begins to discharge wood fiber and exhaust through the dryer and when the refiner is shutting down. The EPA proposed a work practice requirement in Table 3 of the rule (40 CFR part 63, subpart DDDD) to apply during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that limits the amount of time (and, thus, emissions) when wood is being processed through the system while exhaust is not routed through the dryer to its control system. This practice is consistent with how the best-performing facilities </w:t>
      </w:r>
      <w:r>
        <w:rPr>
          <w:rFonts w:ascii="Arial" w:eastAsia="Arial" w:hAnsi="Arial" w:cs="Arial"/>
          <w:color w:val="000000"/>
          <w:sz w:val="20"/>
        </w:rPr>
        <w:lastRenderedPageBreak/>
        <w:t xml:space="preserve">complete </w:t>
      </w:r>
      <w:r>
        <w:rPr>
          <w:rFonts w:ascii="Arial" w:eastAsia="Arial" w:hAnsi="Arial" w:cs="Arial"/>
          <w:b/>
          <w:i/>
          <w:color w:val="000000"/>
          <w:sz w:val="20"/>
          <w:u w:val="single"/>
        </w:rPr>
        <w:t>startup</w:t>
      </w:r>
      <w:r>
        <w:rPr>
          <w:rFonts w:ascii="Arial" w:eastAsia="Arial" w:hAnsi="Arial" w:cs="Arial"/>
          <w:color w:val="000000"/>
          <w:sz w:val="20"/>
        </w:rPr>
        <w:t xml:space="preserve"> and shutdown of pressurized refiners. The proposed work practice stated that facilities must route exhaust gases from the pressurized refiner to its control system no later than 15 minutes after furnish is fed from the pressurized refiner to the tube dryer when </w:t>
      </w:r>
      <w:r>
        <w:rPr>
          <w:rFonts w:ascii="Arial" w:eastAsia="Arial" w:hAnsi="Arial" w:cs="Arial"/>
          <w:b/>
          <w:i/>
          <w:color w:val="000000"/>
          <w:sz w:val="20"/>
          <w:u w:val="single"/>
        </w:rPr>
        <w:t>starting up</w:t>
      </w:r>
      <w:r>
        <w:rPr>
          <w:rFonts w:ascii="Arial" w:eastAsia="Arial" w:hAnsi="Arial" w:cs="Arial"/>
          <w:color w:val="000000"/>
          <w:sz w:val="20"/>
        </w:rPr>
        <w:t xml:space="preserve">, and no more than 15 minutes after furnish ceases to be fed to the pressurized refiner when shutting down. Comments were received both supporting and opposing the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work practice standard. Commenters supporting the work practice stated that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of pressurized refiners meet the CAA section 112(h) criteria for establishing a work practice standard, while commenters opposing the work practice argued that the EPA does not have statutory authority to apply work practice standards instead of numerical emissions limits to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periods. Commenters in support of the EPA's proposed work practice standard for </w:t>
      </w:r>
      <w:r>
        <w:rPr>
          <w:rFonts w:ascii="Arial" w:eastAsia="Arial" w:hAnsi="Arial" w:cs="Arial"/>
          <w:b/>
          <w:i/>
          <w:color w:val="000000"/>
          <w:sz w:val="20"/>
          <w:u w:val="single"/>
        </w:rPr>
        <w:t>startup</w:t>
      </w:r>
      <w:r>
        <w:rPr>
          <w:rFonts w:ascii="Arial" w:eastAsia="Arial" w:hAnsi="Arial" w:cs="Arial"/>
          <w:color w:val="000000"/>
          <w:sz w:val="20"/>
        </w:rPr>
        <w:t xml:space="preserve"> and shutdown of pressurized refiners noted that the language of the standard in Table 3 to 40 CFR part 63, subpart DDDD appears to have a typographical error. The commenters suggested rewording the standard in Table 3 so that it instructs facilities to route exhaust gases from the pressurized refiner to the dryer control system no[[Page 49444]]later than 15 minutes after wood is fed to the pressurized refiner when </w:t>
      </w:r>
      <w:r>
        <w:rPr>
          <w:rFonts w:ascii="Arial" w:eastAsia="Arial" w:hAnsi="Arial" w:cs="Arial"/>
          <w:b/>
          <w:i/>
          <w:color w:val="000000"/>
          <w:sz w:val="20"/>
          <w:u w:val="single"/>
        </w:rPr>
        <w:t>starting up</w:t>
      </w:r>
      <w:r>
        <w:rPr>
          <w:rFonts w:ascii="Arial" w:eastAsia="Arial" w:hAnsi="Arial" w:cs="Arial"/>
          <w:color w:val="000000"/>
          <w:sz w:val="20"/>
        </w:rPr>
        <w:t xml:space="preserve"> and to stop wood flow to the pressurized refiner no more than 15 minutes after wood fiber stops being fed to the dryer from the pressurized refiner. The commenter opposing the work practice standard also questioned the timing and recordkeeping requirements. The full comments and our responses pertaining to pressurized refiners are included in the RTC document. In response to these comments, the EPA concluded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events meet the criteria in CAA section 112(h)(2)(B). Pressurized refiners are a particular class of sources where emissions are associated with wood processed through the refiner. Pressurized refiners cannot discharge unusable fiber through the tube dryer and its control system during </w:t>
      </w:r>
      <w:r>
        <w:rPr>
          <w:rFonts w:ascii="Arial" w:eastAsia="Arial" w:hAnsi="Arial" w:cs="Arial"/>
          <w:b/>
          <w:i/>
          <w:color w:val="000000"/>
          <w:sz w:val="20"/>
          <w:u w:val="single"/>
        </w:rPr>
        <w:t>startup</w:t>
      </w:r>
      <w:r>
        <w:rPr>
          <w:rFonts w:ascii="Arial" w:eastAsia="Arial" w:hAnsi="Arial" w:cs="Arial"/>
          <w:color w:val="000000"/>
          <w:sz w:val="20"/>
        </w:rPr>
        <w:t xml:space="preserve"> and shutdown. Because venting through the pressurized refiner abort cyclone during </w:t>
      </w:r>
      <w:r>
        <w:rPr>
          <w:rFonts w:ascii="Arial" w:eastAsia="Arial" w:hAnsi="Arial" w:cs="Arial"/>
          <w:b/>
          <w:i/>
          <w:color w:val="000000"/>
          <w:sz w:val="20"/>
          <w:u w:val="single"/>
        </w:rPr>
        <w:t>startup</w:t>
      </w:r>
      <w:r>
        <w:rPr>
          <w:rFonts w:ascii="Arial" w:eastAsia="Arial" w:hAnsi="Arial" w:cs="Arial"/>
          <w:color w:val="000000"/>
          <w:sz w:val="20"/>
        </w:rPr>
        <w:t xml:space="preserve"> and shutdown of pressurized refiners typically lasts 15 minutes or less, there are technological limitations to measuring emissions because HAP measurement methods require a 1-hour sampling time per test run, and a total of three test runs. The only way to obtain the required sample would be to operate in abort mode for each 1-hour sampling time. However, abort ``bins'' used to collect the off-spec wood furnish dumped from the system are not designed like material collection bins or silos for useable furnish at wood products facilities. Instead, the abort ``bins'' are often areas where off-spec fiber is dumped on the ground between concrete wind-breaks where it is removed with a front-end loader. Such areas do not have the capacity for dumping large amounts of fiber as would be needed to stage an event for 1 to 3 hours of testing, presenting another technological limitation. Staging abort dumping of 1 to 3 hours of fiber production also presents obvious economic limitations due to lost production for that time and loss or degradation of valuable fiber raw material. Finally, measuring emissions during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is impractical because the PCWP NESHAP requires emissions measurement under representative operating conditions that are the conditions under which the process unit typically operates, excluding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Therefore, the EPA is finalizing a work practice for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periods. The EPA agrees that the wording of the proposed work practice standard for pressurized refiners in Table 3 needed clarification and has rewritten the standard for the final rule to instruct facilities to route exhaust gases from the pressurized refiner to its dryer control system no later than 15 minutes after wood is fed to the pressurized refiner during </w:t>
      </w:r>
      <w:r>
        <w:rPr>
          <w:rFonts w:ascii="Arial" w:eastAsia="Arial" w:hAnsi="Arial" w:cs="Arial"/>
          <w:b/>
          <w:i/>
          <w:color w:val="000000"/>
          <w:sz w:val="20"/>
          <w:u w:val="single"/>
        </w:rPr>
        <w:t>startup</w:t>
      </w:r>
      <w:r>
        <w:rPr>
          <w:rFonts w:ascii="Arial" w:eastAsia="Arial" w:hAnsi="Arial" w:cs="Arial"/>
          <w:color w:val="000000"/>
          <w:sz w:val="20"/>
        </w:rPr>
        <w:t xml:space="preserve">, and to stop wood flow into the pressurized refiner no more than 15 minutes after wood fiber and exhaust gases from the pressurized refiner stop being routed to the dryer during shutdown. In addition, we strengthened the work practice for </w:t>
      </w:r>
      <w:r>
        <w:rPr>
          <w:rFonts w:ascii="Arial" w:eastAsia="Arial" w:hAnsi="Arial" w:cs="Arial"/>
          <w:b/>
          <w:i/>
          <w:color w:val="000000"/>
          <w:sz w:val="20"/>
          <w:u w:val="single"/>
        </w:rPr>
        <w:t>startup</w:t>
      </w:r>
      <w:r>
        <w:rPr>
          <w:rFonts w:ascii="Arial" w:eastAsia="Arial" w:hAnsi="Arial" w:cs="Arial"/>
          <w:color w:val="000000"/>
          <w:sz w:val="20"/>
        </w:rPr>
        <w:t xml:space="preserve">/shutdown of pressurized refiners in the final rule by clarifying when the </w:t>
      </w:r>
      <w:r>
        <w:rPr>
          <w:rFonts w:ascii="Arial" w:eastAsia="Arial" w:hAnsi="Arial" w:cs="Arial"/>
          <w:b/>
          <w:i/>
          <w:color w:val="000000"/>
          <w:sz w:val="20"/>
          <w:u w:val="single"/>
        </w:rPr>
        <w:t>startup</w:t>
      </w:r>
      <w:r>
        <w:rPr>
          <w:rFonts w:ascii="Arial" w:eastAsia="Arial" w:hAnsi="Arial" w:cs="Arial"/>
          <w:color w:val="000000"/>
          <w:sz w:val="20"/>
        </w:rPr>
        <w:t xml:space="preserve">/shutdown work practice applies in 40 CFR 63.2250(f)(6), adding an initial compliance requirement to Table 6 of 40 CFR part 63, subpart DDDD, and adding a recordkeeping requirement to Table 8 of subpart DDDD to track when the work practice is used, consistent with the proposed requirement under 40 CFR 63.2282(a)(2)(i). Continuous compliance and reporting provisions were also added in 40 CFR 63.2271(b)(4) and 63.2281(c)(4), respectively, to provide clarity and aid in enforceability of the work practice requirement.c. Veneer Dryer Burner Relights An issue with veneer dryer burner relights stemming from removal of the SSM exemption was raised during the comment period for the proposed amendments. The EPA received a comment seeking clarification for direct-fired softwood veneer dryers undergoing relights of gas-fired burners. Specifically, the commenter noted that 40 CFR 63.2250(d) of the current PCWP rule defines shutoff of direct-fired burners resulting from partial or full production stoppages as shutdowns and the lighting or re-lighting of any one or all gas burners in direct-fired softwood veneer dryers as </w:t>
      </w:r>
      <w:r>
        <w:rPr>
          <w:rFonts w:ascii="Arial" w:eastAsia="Arial" w:hAnsi="Arial" w:cs="Arial"/>
          <w:b/>
          <w:i/>
          <w:color w:val="000000"/>
          <w:sz w:val="20"/>
          <w:u w:val="single"/>
        </w:rPr>
        <w:t>startups</w:t>
      </w:r>
      <w:r>
        <w:rPr>
          <w:rFonts w:ascii="Arial" w:eastAsia="Arial" w:hAnsi="Arial" w:cs="Arial"/>
          <w:color w:val="000000"/>
          <w:sz w:val="20"/>
        </w:rPr>
        <w:t xml:space="preserve"> and not a malfunction. The commenter noted that the EPA proposed no changes to 40 CFR 63.2250(d) which was originally included in the PCWP rule to clarify that veneer dryer burner relights are not malfunctions due to their frequency. In the 2004 </w:t>
      </w:r>
      <w:r>
        <w:rPr>
          <w:rFonts w:ascii="Arial" w:eastAsia="Arial" w:hAnsi="Arial" w:cs="Arial"/>
          <w:color w:val="000000"/>
          <w:sz w:val="20"/>
        </w:rPr>
        <w:lastRenderedPageBreak/>
        <w:t xml:space="preserve">promulgated standard, these </w:t>
      </w:r>
      <w:r>
        <w:rPr>
          <w:rFonts w:ascii="Arial" w:eastAsia="Arial" w:hAnsi="Arial" w:cs="Arial"/>
          <w:b/>
          <w:i/>
          <w:color w:val="000000"/>
          <w:sz w:val="20"/>
          <w:u w:val="single"/>
        </w:rPr>
        <w:t>startup</w:t>
      </w:r>
      <w:r>
        <w:rPr>
          <w:rFonts w:ascii="Arial" w:eastAsia="Arial" w:hAnsi="Arial" w:cs="Arial"/>
          <w:color w:val="000000"/>
          <w:sz w:val="20"/>
        </w:rPr>
        <w:t xml:space="preserve">/shutdown events were required to be addressed under the SSM plan. The commenter explained that following the flame out of the burner, the dryer could contain non-combusted natural gas that must be purged prior to safely re-lighting the gas burners. Non-combusted natural gas cannot be exhausted to the control device due to safety concerns and must be vented along with whatever process emissions are in the dryer. The length of the purge varies based on system design, but only lasts a matter of minutes. Emissions are routed to the control system as expeditiously as possible following the burner re-light. Therefore, the commenter stated a dryer gas burner re-lighting </w:t>
      </w:r>
      <w:r>
        <w:rPr>
          <w:rFonts w:ascii="Arial" w:eastAsia="Arial" w:hAnsi="Arial" w:cs="Arial"/>
          <w:b/>
          <w:i/>
          <w:color w:val="000000"/>
          <w:sz w:val="20"/>
          <w:u w:val="single"/>
        </w:rPr>
        <w:t>startup</w:t>
      </w:r>
      <w:r>
        <w:rPr>
          <w:rFonts w:ascii="Arial" w:eastAsia="Arial" w:hAnsi="Arial" w:cs="Arial"/>
          <w:color w:val="000000"/>
          <w:sz w:val="20"/>
        </w:rPr>
        <w:t xml:space="preserve"> work practice is needed for the same reasons as a safety shutdown work practice. However, because 40 CFR 63.2250(d) deals with dryer re-lights by defining them as </w:t>
      </w:r>
      <w:r>
        <w:rPr>
          <w:rFonts w:ascii="Arial" w:eastAsia="Arial" w:hAnsi="Arial" w:cs="Arial"/>
          <w:b/>
          <w:i/>
          <w:color w:val="000000"/>
          <w:sz w:val="20"/>
          <w:u w:val="single"/>
        </w:rPr>
        <w:t>startups</w:t>
      </w:r>
      <w:r>
        <w:rPr>
          <w:rFonts w:ascii="Arial" w:eastAsia="Arial" w:hAnsi="Arial" w:cs="Arial"/>
          <w:color w:val="000000"/>
          <w:sz w:val="20"/>
        </w:rPr>
        <w:t xml:space="preserve">, and the proposed rulemaking no longer contains a general exemption for </w:t>
      </w:r>
      <w:r>
        <w:rPr>
          <w:rFonts w:ascii="Arial" w:eastAsia="Arial" w:hAnsi="Arial" w:cs="Arial"/>
          <w:b/>
          <w:i/>
          <w:color w:val="000000"/>
          <w:sz w:val="20"/>
          <w:u w:val="single"/>
        </w:rPr>
        <w:t>startups</w:t>
      </w:r>
      <w:r>
        <w:rPr>
          <w:rFonts w:ascii="Arial" w:eastAsia="Arial" w:hAnsi="Arial" w:cs="Arial"/>
          <w:color w:val="000000"/>
          <w:sz w:val="20"/>
        </w:rPr>
        <w:t xml:space="preserve">, the commenter stated that some provision is needed for veneer dryer gas burner lighting and re-lighting. In response to this comment, the EPA added a work practice to Table 3 of the final rule to clarify the requirements surrounding softwood veneer dryer gas-fired burner relights to ensure a standard applies continuously once the SSM plan is no longer required. The work practice requires direct-fired softwood veneer dryers undergoing </w:t>
      </w:r>
      <w:r>
        <w:rPr>
          <w:rFonts w:ascii="Arial" w:eastAsia="Arial" w:hAnsi="Arial" w:cs="Arial"/>
          <w:b/>
          <w:i/>
          <w:color w:val="000000"/>
          <w:sz w:val="20"/>
          <w:u w:val="single"/>
        </w:rPr>
        <w:t>startup</w:t>
      </w:r>
      <w:r>
        <w:rPr>
          <w:rFonts w:ascii="Arial" w:eastAsia="Arial" w:hAnsi="Arial" w:cs="Arial"/>
          <w:color w:val="000000"/>
          <w:sz w:val="20"/>
        </w:rPr>
        <w:t xml:space="preserve"> or shutdown of gas-fired burners to cease feeding green veneer into the softwood veneer dryer and minimize the amount of time direct gas-fired softwood veneer dryers are vented to the atmosphere due to the conditions described in 40 CFR 63.2250(d). Related text was added to 40 CFR 63.2250(f) noting the work practice in Table 3 of 40 CFR part 63, subpart DDDD, applies when the otherwise applicable compliance options and operating requirements in the rule cannot be met. An initial compliance requirement was added to Table 6 of subpart DDDD to have a record of the procedures for </w:t>
      </w:r>
      <w:r>
        <w:rPr>
          <w:rFonts w:ascii="Arial" w:eastAsia="Arial" w:hAnsi="Arial" w:cs="Arial"/>
          <w:b/>
          <w:i/>
          <w:color w:val="000000"/>
          <w:sz w:val="20"/>
          <w:u w:val="single"/>
        </w:rPr>
        <w:t>startup</w:t>
      </w:r>
      <w:r>
        <w:rPr>
          <w:rFonts w:ascii="Arial" w:eastAsia="Arial" w:hAnsi="Arial" w:cs="Arial"/>
          <w:color w:val="000000"/>
          <w:sz w:val="20"/>
        </w:rPr>
        <w:t xml:space="preserve"> and shutdown of softwood veneer dryer gas-fired burners available for inspection upon request by the delegated authority. In addition, a recordkeeping requirement was added to Table 8 of subpart DDDD to track when the work practice is used, consistent with the proposed requirement under 40 CFR 63.2282(a)(2)(i). Continuous compliance and reporting provisions were also added in 40 CFR 63.2271(b)(4) and 63.2281(c)(4), respectively, to provide clarity and aid in enforceability of the work practice requirement. Conforming changes to refer to the veneer dryer burner relight work practice with the other </w:t>
      </w:r>
      <w:r>
        <w:rPr>
          <w:rFonts w:ascii="Arial" w:eastAsia="Arial" w:hAnsi="Arial" w:cs="Arial"/>
          <w:b/>
          <w:i/>
          <w:color w:val="000000"/>
          <w:sz w:val="20"/>
          <w:u w:val="single"/>
        </w:rPr>
        <w:t>startup</w:t>
      </w:r>
      <w:r>
        <w:rPr>
          <w:rFonts w:ascii="Arial" w:eastAsia="Arial" w:hAnsi="Arial" w:cs="Arial"/>
          <w:color w:val="000000"/>
          <w:sz w:val="20"/>
        </w:rPr>
        <w:t xml:space="preserve">/shutdown work practices were also made throughout the rule. Further clarification with respect to 40 CFR 63.2250(d) is needed as a result of our proposal to remove the SSM exemption (including the SSM plan). The EPA determined that a work practice is appropriate during direct-fired softwood veneer dryer </w:t>
      </w:r>
      <w:r>
        <w:rPr>
          <w:rFonts w:ascii="Arial" w:eastAsia="Arial" w:hAnsi="Arial" w:cs="Arial"/>
          <w:b/>
          <w:i/>
          <w:color w:val="000000"/>
          <w:sz w:val="20"/>
          <w:u w:val="single"/>
        </w:rPr>
        <w:t>startups</w:t>
      </w:r>
      <w:r>
        <w:rPr>
          <w:rFonts w:ascii="Arial" w:eastAsia="Arial" w:hAnsi="Arial" w:cs="Arial"/>
          <w:color w:val="000000"/>
          <w:sz w:val="20"/>
        </w:rPr>
        <w:t xml:space="preserve">/shutdowns of gas-fired burners because the conditions of CAA section 112(h)(2)(A) and (B) are both present during veneer dryer burner relights.[[Page 49445]]Facilities cannot capture and convey HAP emissions to a control device during these periods for safety reasons. The control device for the veneer dryer could serve as an ignition source if there is an upset in the oxygen concentration or increase in the natural gas concentration in the system. Thus, is it not technically feasible for HAP emissions to be conveyed to the control device during </w:t>
      </w:r>
      <w:r>
        <w:rPr>
          <w:rFonts w:ascii="Arial" w:eastAsia="Arial" w:hAnsi="Arial" w:cs="Arial"/>
          <w:b/>
          <w:i/>
          <w:color w:val="000000"/>
          <w:sz w:val="20"/>
          <w:u w:val="single"/>
        </w:rPr>
        <w:t>startups</w:t>
      </w:r>
      <w:r>
        <w:rPr>
          <w:rFonts w:ascii="Arial" w:eastAsia="Arial" w:hAnsi="Arial" w:cs="Arial"/>
          <w:color w:val="000000"/>
          <w:sz w:val="20"/>
        </w:rPr>
        <w:t xml:space="preserve">/shutdowns associated with softwood veneer dryer gas-burner relights. Further, application of measurement methodology is not practicable due to technological and economic limitations. Softwood veneer dryer burner relights are brief events that take less than the 1 hour it takes to collect a single emissions measurement sample if the equipment is set </w:t>
      </w:r>
      <w:r>
        <w:rPr>
          <w:rFonts w:ascii="Arial" w:eastAsia="Arial" w:hAnsi="Arial" w:cs="Arial"/>
          <w:b/>
          <w:i/>
          <w:color w:val="000000"/>
          <w:sz w:val="20"/>
          <w:u w:val="single"/>
        </w:rPr>
        <w:t>up</w:t>
      </w:r>
      <w:r>
        <w:rPr>
          <w:rFonts w:ascii="Arial" w:eastAsia="Arial" w:hAnsi="Arial" w:cs="Arial"/>
          <w:color w:val="000000"/>
          <w:sz w:val="20"/>
        </w:rPr>
        <w:t xml:space="preserve"> and measurement contractors are onsite ready to sample, let alone the 3 hours needed for a full emissions test. Because a full emissions measurement sample cannot be obtained while softwood veneer dryers are undergoing gas-burner relights, application of measurement methodology is not practicable due to technological limitations. In addition, attempting to stage softwood veneer dryer burner relights for purposes of emissions measurement is economically impracticable because veneer is not being dried or moving through the veneer dryer when the burners are not lit, resulting in a production loss during testing. Therefore, the EPA concludes that direct-fired softwood veneer dryers undergoing </w:t>
      </w:r>
      <w:r>
        <w:rPr>
          <w:rFonts w:ascii="Arial" w:eastAsia="Arial" w:hAnsi="Arial" w:cs="Arial"/>
          <w:b/>
          <w:i/>
          <w:color w:val="000000"/>
          <w:sz w:val="20"/>
          <w:u w:val="single"/>
        </w:rPr>
        <w:t>startup</w:t>
      </w:r>
      <w:r>
        <w:rPr>
          <w:rFonts w:ascii="Arial" w:eastAsia="Arial" w:hAnsi="Arial" w:cs="Arial"/>
          <w:color w:val="000000"/>
          <w:sz w:val="20"/>
        </w:rPr>
        <w:t xml:space="preserve">/shutdown of gas-fired burners meet the criteria in CAA section 112(h)(2)(B).3. Periods of Malfunction Periods of </w:t>
      </w:r>
      <w:r>
        <w:rPr>
          <w:rFonts w:ascii="Arial" w:eastAsia="Arial" w:hAnsi="Arial" w:cs="Arial"/>
          <w:b/>
          <w:i/>
          <w:color w:val="000000"/>
          <w:sz w:val="20"/>
          <w:u w:val="single"/>
        </w:rPr>
        <w:t>startup</w:t>
      </w:r>
      <w:r>
        <w:rPr>
          <w:rFonts w:ascii="Arial" w:eastAsia="Arial" w:hAnsi="Arial" w:cs="Arial"/>
          <w:color w:val="000000"/>
          <w:sz w:val="20"/>
        </w:rPr>
        <w:t xml:space="preserve">, normal operations, and shutdown are all predictable and routine aspects of a source's operations. Malfunctions, in contrast, are neither predictable nor routine. Instead they are, by definition, sudden, infrequent, and not reasonably preventable </w:t>
      </w:r>
      <w:r>
        <w:rPr>
          <w:rFonts w:ascii="Arial" w:eastAsia="Arial" w:hAnsi="Arial" w:cs="Arial"/>
          <w:b/>
          <w:i/>
          <w:color w:val="000000"/>
          <w:sz w:val="20"/>
          <w:u w:val="single"/>
        </w:rPr>
        <w:t>failures</w:t>
      </w:r>
      <w:r>
        <w:rPr>
          <w:rFonts w:ascii="Arial" w:eastAsia="Arial" w:hAnsi="Arial" w:cs="Arial"/>
          <w:color w:val="000000"/>
          <w:sz w:val="20"/>
        </w:rPr>
        <w:t xml:space="preserve"> of emissions control, process, or monitoring equipment (40 CFR 63.2) (Definition of malfunction). The EPA interprets CAA section 112 as not requiring emissions that occur during periods of malfunction to be factored into development of CAA section 112 standards and this reading has been upheld as reasonable by the Court in U.S Sugar Corp. v. EPA, 830 F.3d 579, 606-610 (2016). Under CAA section 112, emissions standards for new sources must be no less stringent than the level ``achieved'' by the best controlled similar source and for existing sources generally must be no less stringent than the average emission limitation ``achieved'' by the best performing 12 percent of sources in the category. There is nothing in CAA section 112 that directs the Agency to consider malfunctions in determining the level ``achieved'' by the best performing sources when setting emission standards. </w:t>
      </w:r>
      <w:r>
        <w:rPr>
          <w:rFonts w:ascii="Arial" w:eastAsia="Arial" w:hAnsi="Arial" w:cs="Arial"/>
          <w:color w:val="000000"/>
          <w:sz w:val="20"/>
        </w:rPr>
        <w:lastRenderedPageBreak/>
        <w:t xml:space="preserve">As the Court has recognized, the phrase ``average emissions limitation achieved by the best performing 12 percent of'' sources ``says nothing about how the performance of the best units is to be calculated.'' Nat'l Ass'n of Clean Water Agencies v. EPA, 734 F.3d 1115, 1141 (D.C Cir. 2013). While the EPA accounts for variability in setting emissions standards, nothing in CAA section 112 requires the Agency to consider malfunctions as part of that analysis. The EPA is not required to treat a malfunction in the same manner as the type of variation in performance that occurs during routine operations of a source. A malfunction is a </w:t>
      </w:r>
      <w:r>
        <w:rPr>
          <w:rFonts w:ascii="Arial" w:eastAsia="Arial" w:hAnsi="Arial" w:cs="Arial"/>
          <w:b/>
          <w:i/>
          <w:color w:val="000000"/>
          <w:sz w:val="20"/>
          <w:u w:val="single"/>
        </w:rPr>
        <w:t>failure</w:t>
      </w:r>
      <w:r>
        <w:rPr>
          <w:rFonts w:ascii="Arial" w:eastAsia="Arial" w:hAnsi="Arial" w:cs="Arial"/>
          <w:color w:val="000000"/>
          <w:sz w:val="20"/>
        </w:rPr>
        <w:t xml:space="preserve"> of the source to perform in a ``normal or usual manner'' and no statutory language compels the EPA to consider such events in setting CAA section 112 standards. As the Court recognized in U.S Sugar Corp, accounting for malfunctions in setting standards would be difficult, if not impossible, given the myriad different types of malfunctions that can occur across all sources in the category and given the difficulties associated with predicting or accounting for the frequency, degree, and duration of various malfunctions that might occur. Id. at 608 (``the EPA would have to conceive of a standard that could apply equally to the wide range of possible boiler malfunctions, ranging from an explosion to minor mechanical defects. Any possible standard is likely to be hopelessly generic to govern such a wide array of circumstances''). As such, the performance of units that are malfunctioning is not ``reasonably'' foreseeable. See e.g , Sierra Club v. EPA, 167 F.3d 658, 662 (D.C Cir. 1999) (``The EPA typically has wide latitude in determining the extent of data-gathering necessary to solve a problem. We generally defer to an agency's decision to proceed on the basis of imperfect scientific information, rather than to `invest the resources to conduct the perfect study.'''). See also, Weyerhaeuser v. Costle, 590 F.2d 1011, 1058 (D.C Cir. 1978) (``In the nature of things, no general limit, individual permit, or even any upset provision can anticipate all upset situations. After a certain point, the transgression of regulatory limits caused by `uncontrollable acts of third parties,' such as strikes, sabotage, operator intoxication or insanity, and a variety of other eventualities, must be a matter for the administrative exercise of case-by-case enforcement discretion, not for specification in advance by regulation.''). In addition, emissions during a malfunction event can be significantly higher than emissions at any other time of source operation. For example, if an air pollution control device with 99-percent removal goes off-line as a result of a malfunction (as might happen if, for example, the bags in a baghouse catch fire) and the emission unit is a steady state type unit that would take days to shut down, the source would go from 99-percent control to zero control until the control device was repaired. The source's emissions during the malfunction would be 100 times higher than during normal operations. As such, the emissions over a 4-day malfunction period would exceed the annual emissions of the source during normal operations. As this example illustrates, accounting for malfunctions could lead to standards that are not reflective of (and significantly less stringent than) levels that are achieved by a well-performing non-malfunctioning source. It is reasonable to interpret CAA section 112 to avoid such a result. The EPA's approach to malfunctions is consistent with CAA section 112 and is a reasonable interpretation of the statute. Although no statutory language compels the EPA to set standards for malfunctions, the EPA has the discretion to do so where feasible. For example, in the Petroleum Refinery Sector RTR, the EPA established a work practice standard for unique types of malfunction that result in releases from pressure relief devices or emergency flaring events because the EPA had information for that source category to determine that such work practices reflected the level of control that applies to the best performers. 80 FR 75178, 75211-14 (December 1, 2015). In the proposed rulemaking for the PCWP, the EPA did not propose a work practice standard for malfunctions but instead stated that the EPA would consider whether circumstances warrant setting standards for a particular type of malfunction and, if so, whether the EPA has sufficient information to identify the relevant best performing sources and establish a standard for such malfunctions. The EPA encouraged commenters to provide any such information. Numerous comments were received supporting and opposing the EPA's decision not to set a standard for malfunctions. One commenter opposed to the EPA's decision stated that there are several options the EPA could use[[Page 49446]]for setting emission standards under CAA section 112 that would apply during malfunction events. For example, the commenter stated that the EPA might be able to establish a numerical emission limitation that applies at all times but has an averaging time of sufficient duration that short, infrequent spikes in emissions due to malfunctions would not cause the source to exceed the emission limitation (while at the same time ensuring that the source does not operate in a way that causes frequent, lengthy excursions above the normal controlled emission rate). The EPA also could use the flexibility accorded by CAA section 302(k) (which defines ``emission limitation'' and ``emission standard'' to include ``any requirement relating to the operation or maintenance of a source to ensure continuous emission reduction, and any design, equipment, work practice or operational standard promulgated under'' the CAA) to address emissions during malfunction events through operational requirements rather than by applying the </w:t>
      </w:r>
      <w:r>
        <w:rPr>
          <w:rFonts w:ascii="Arial" w:eastAsia="Arial" w:hAnsi="Arial" w:cs="Arial"/>
          <w:color w:val="000000"/>
          <w:sz w:val="20"/>
        </w:rPr>
        <w:lastRenderedPageBreak/>
        <w:t xml:space="preserve">same limits on pollutant emissions that apply during normal operations. Similarly, the commenter stated the EPA has grounds to exercise its authority under CAA section 112(h) to promulgate a design, equipment, work practice, or operational standard, or combination thereof, because it is not feasible to prescribe or enforce an emission standard. The commenter noted that even if the EPA does not identify a set of specific work practices that all affected facilities can follow that represent best practices for minimizing emissions during malfunctions, the EPA might instead be able to address malfunctions through a set of criteria that allows facilities to develop and follow a site-specific plan for minimizing the extent and duration of excess emissions during malfunctions. The commenter suggested that the EPA might use several of these approaches in combination and stated that accommodating malfunctions need not result in either an exemption or an increased numerical emission limitation. The commenter urged the EPA to use its authority under CAA sections 112 and 302(k) to address malfunctions in a reasonable, CAA section 112-compliant manner. Conversely, another commenter supported the EPA's proposed removal of unlawful SSM exemptions in all forms because the CAA requires standards to apply continuously, and the Court precedent is a development since the prior standards were issued. After considering all comments, the EPA is not finalizing a separate standard for periods of malfunction. In the PCWP proposed rulemaking, we requested comment and information to support the development of a work practice standard during periods of malfunction, but we did not receive sufficient information, including additional quantitative emissions data, on which to base a standard for periods of malfunction. Absent sufficient information, it is not reasonable at this time to establish a work practice standard for malfunctions for this source category.4. Revisions to Table 10 to Subpart DDDD of Part 63 The EPA proposed several specific revisions to Table 10 to subpart DDDD of part 63 (the General Provisions table) to establish standards in this rule that apply at all times. The EPA is finalizing the amendments as proposed, with the clarifications noted in the following sections. The specific revisions are described in the remainder of this section.a. General Duty (40 CFR 63.2250) The EPA is finalizing the General Provisions table (Table 10) entry for 40 CFR 63.6(e)(1) and (2) by redesignating it as 40 CFR 63.6(e)(1)(i) and changing the ``yes'' in column 4 to a ``no'' in column 5 which was added to specify requirements 1 year after the effective date of the final amendments. Section 63.6(e)(1)(i) describes the general duty to minimize emissions. Some of the language in that section is no longer necessary or appropriate in light of the elimination of the SSM exemption. The EPA is instead adding a general duty regulatory text at 40 CFR 63.2250 that reflects the general duty to minimize emissions while eliminating the reference to periods covered by an SSM exemption. The current language in 40 CFR 63.6(e)(1)(i) characterizes what the general duty entails during periods of SSM. With the elimination of the SSM exemption, there is no need to differentiate between normal operations, </w:t>
      </w:r>
      <w:r>
        <w:rPr>
          <w:rFonts w:ascii="Arial" w:eastAsia="Arial" w:hAnsi="Arial" w:cs="Arial"/>
          <w:b/>
          <w:i/>
          <w:color w:val="000000"/>
          <w:sz w:val="20"/>
          <w:u w:val="single"/>
        </w:rPr>
        <w:t>startup</w:t>
      </w:r>
      <w:r>
        <w:rPr>
          <w:rFonts w:ascii="Arial" w:eastAsia="Arial" w:hAnsi="Arial" w:cs="Arial"/>
          <w:color w:val="000000"/>
          <w:sz w:val="20"/>
        </w:rPr>
        <w:t xml:space="preserve"> and shutdown, and malfunction events in describing the general duty. Therefore, the language the EPA is finalizing for 40 CFR 63.2250 does not include that language from 40 CFR 63.6(e)(1). The EPA is also revising the General Provisions table (Table 10) by adding an entry for 40 CFR 63.6(e)(1)(ii) and including a ``no'' in column 5. Section 63.6(e)(1)(ii) imposes requirements that are not necessary with the elimination of the SSM exemption or are redundant with the general duty requirement being added at 40 CFR 63.2250 b. SSM Plan The EPA is finalizing revisions to the General Provisions table (Table 10) to add an entry for 40 CFR 63.6(e)(3) by changing the ``yes'' in column 4 to a ``no'' in column 5. Generally, the paragraphs under 40 CFR 63.6(e)(3) require development of an SSM plan and specify SSM recordkeeping and reporting requirements related to the SSM plan. As noted, the EPA is finalizing removal of the SSM exemptions. Therefore, affected units will be subject to an emission standard during such events. The applicability of a standard during such events will ensure that sources have ample incentive to plan for and achieve compliance and, thus, the SSM plan requirements are no longer necessary.c. Compliance With Standards The EPA is finalizing revisions to the General Provisions table (Table 10) entry for 40 CFR 63.6(f)(1) by changing the ``yes'' in column 4 to a ``no'' in columns 4 and 5. The final revision in column 4 refers to 40 CFR 63.2250(a). The current language of 40 CFR 63.6(f)(1) exempts sources from non-opacity standards during periods of SSM. As discussed in section IV.C.1 of this preamble, the Court in Sierra Club v. EPA vacated the exemptions contained in this provision and held that the CAA requires that some CAA section 112 standards apply continuously. Consistent with the Court decision, the EPA is finalizing the revised standards in this rule to apply at all times. The EPA is finalizing revisions to the General Provisions table (Table 10) entry for 40 CFR 63.6(h)(1) through (9) by redesignating it as 40 CFR 63.6(h)(1) and changing the ``NA'' in column 4 to a ``no'' in column 5. The current language of 40 CFR 63.6(h)(1) exempts sources from opacity standards during periods of SSM. As discussed in section IV.C.1 of this preamble, the Court in Sierra Club vacated the exemptions contained in this provision and held that the CAA requires that some CAA section 112 standards apply continuously. Consistent with the Court decision, the EPA is finalizing the </w:t>
      </w:r>
      <w:r>
        <w:rPr>
          <w:rFonts w:ascii="Arial" w:eastAsia="Arial" w:hAnsi="Arial" w:cs="Arial"/>
          <w:color w:val="000000"/>
          <w:sz w:val="20"/>
        </w:rPr>
        <w:lastRenderedPageBreak/>
        <w:t xml:space="preserve">revised standards in this rule to apply at all times.d. Performance Testing (40 CFR 63.2262) The EPA is finalizing revisions to the General Provisions table (Table 10) entry for 40 CFR 63.7(e)(1) by changing the ``yes'' in column 4 to a ``no'' in column 5. Section 63.7(e)(1) describes performance testing requirements. The[[Page 49447]]EPA is finalizing instead the addition of a performance testing requirement at 40 CFR 63.2262(a) and (b). The performance testing requirements the EPA is adding differ from the General Provisions performance testing provisions in several respects. The regulatory text does not include the language in 40 CFR 63.7(e)(1) that restated the SSM exemption. The finalized performance testing provisions remove reference to 40 CFR 63.7(e)(1), reiterate the requirement that was already included in the PCWP rule to conduct emissions tests under representative operating conditions, and clarify that representative operating conditions excludes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As in 40 CFR 63.7(e)(1), performance tests conducted under this subpart should not be conducted during malfunctions because conditions during malfunctions are not representative of normal operating conditions. The EPA is finalizing added language that requires the owner or operator to record the process information that is necessary to document operating conditions during the test and include in such record an explanation to support that such conditions are representative. Section 63.7(e) requires that the owner or operator make available to the Administrator such records ``as may be necessary to determine the condition of the performance test'' upon request but does not specifically require the information to be recorded. The added regulatory text to this provision that the EPA is finalizing builds on that requirement and makes explicit the requirement to record the information. The EPA is also finalizing the definition of ``representative operating conditions'' in 40 CFR 63.2292 to clarify that it excludes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Representative operating conditions include a range of operating conditions under which the process unit and control device typically operate and are not limited to conditions of optimal performance of the process unit and control device.e. Monitoring The EPA is finalizing revisions to the General Provisions table (Table 10) entry for 40 CFR 63.8(c)(1)(i) and (iii) by changing the ``yes'' in column 4 to a ``no'' in column 5. The cross-references to the general duty and SSM plan requirements in those subparagraphs are not necessary in light of other requirements of 40 CFR 63.8 that require good air pollution control practices (40 CFR 63.8(c)(1)) and that set out the requirements of a quality control program for monitoring equipment (40 CFR 63.8(d)). The EPA is finalizing revisions to the General Provisions table (Table 10) by adding an entry for 40 CFR 63.8(d)(3) and including a ``no'' in column 5. The final sentence in 40 CFR 63.8(d)(3) refers to the General Provisions' SSM plan requirement which is no longer applicable. The EPA is finalizing adding to the rule at 40 CFR 63.2282(f) text that is identical to 40 CFR 63.8(d)(3) except that the final sentence is replaced with the following sentence: ``The program of corrective action should be included in the plan required under 40 CFR 63.8(d)(2).''f. Recordkeeping (40 CFR 63.2282) The EPA is finalizing revisions to the General Provisions table (Table 10) entry for 40 CFR 63.10(b)(2)(i) through (iv) by redesignating it as 40 CFR 63.10(b)(2)(i) and changing the ``yes'' in column 4 to a ``no'' in column 5. Section 63.10(b)(2)(i) describes the recordkeeping requirements during </w:t>
      </w:r>
      <w:r>
        <w:rPr>
          <w:rFonts w:ascii="Arial" w:eastAsia="Arial" w:hAnsi="Arial" w:cs="Arial"/>
          <w:b/>
          <w:i/>
          <w:color w:val="000000"/>
          <w:sz w:val="20"/>
          <w:u w:val="single"/>
        </w:rPr>
        <w:t>startup</w:t>
      </w:r>
      <w:r>
        <w:rPr>
          <w:rFonts w:ascii="Arial" w:eastAsia="Arial" w:hAnsi="Arial" w:cs="Arial"/>
          <w:color w:val="000000"/>
          <w:sz w:val="20"/>
        </w:rPr>
        <w:t xml:space="preserve"> and shutdown. The EPA is finalizing instead the addition of recordkeeping requirements to 40 CFR 63.2282(a). When a source is subject to a different standard during </w:t>
      </w:r>
      <w:r>
        <w:rPr>
          <w:rFonts w:ascii="Arial" w:eastAsia="Arial" w:hAnsi="Arial" w:cs="Arial"/>
          <w:b/>
          <w:i/>
          <w:color w:val="000000"/>
          <w:sz w:val="20"/>
          <w:u w:val="single"/>
        </w:rPr>
        <w:t>startup</w:t>
      </w:r>
      <w:r>
        <w:rPr>
          <w:rFonts w:ascii="Arial" w:eastAsia="Arial" w:hAnsi="Arial" w:cs="Arial"/>
          <w:color w:val="000000"/>
          <w:sz w:val="20"/>
        </w:rPr>
        <w:t xml:space="preserve"> and shutdown, it will be important to know when such </w:t>
      </w:r>
      <w:r>
        <w:rPr>
          <w:rFonts w:ascii="Arial" w:eastAsia="Arial" w:hAnsi="Arial" w:cs="Arial"/>
          <w:b/>
          <w:i/>
          <w:color w:val="000000"/>
          <w:sz w:val="20"/>
          <w:u w:val="single"/>
        </w:rPr>
        <w:t>startup</w:t>
      </w:r>
      <w:r>
        <w:rPr>
          <w:rFonts w:ascii="Arial" w:eastAsia="Arial" w:hAnsi="Arial" w:cs="Arial"/>
          <w:color w:val="000000"/>
          <w:sz w:val="20"/>
        </w:rPr>
        <w:t xml:space="preserve"> and shutdown periods begin and end to determine compliance with the appropriate standard. Thus, the EPA is finalizing adding language to 40 CFR 63.2282(a) requiring that sources subject to an emission standard during </w:t>
      </w:r>
      <w:r>
        <w:rPr>
          <w:rFonts w:ascii="Arial" w:eastAsia="Arial" w:hAnsi="Arial" w:cs="Arial"/>
          <w:b/>
          <w:i/>
          <w:color w:val="000000"/>
          <w:sz w:val="20"/>
          <w:u w:val="single"/>
        </w:rPr>
        <w:t>startup</w:t>
      </w:r>
      <w:r>
        <w:rPr>
          <w:rFonts w:ascii="Arial" w:eastAsia="Arial" w:hAnsi="Arial" w:cs="Arial"/>
          <w:color w:val="000000"/>
          <w:sz w:val="20"/>
        </w:rPr>
        <w:t xml:space="preserve"> or shutdown that differs from the emission standard that applies at all other times must record the date, time, and duration of such periods. The EPA is finalizing revisions to the General Provisions table (Table 10) by adding an entry for 40 CFR 63.10(b)(2)(ii) and including a ``no'' in column 5. Section 63.10(b)(2)(ii) describes the recordkeeping requirements during a malfunction. The EPA is finalizing the addition of such requirements to 40 CFR 63.2282(a). The final regulatory text the EPA is adding differs from the General Provisions it is replacing in that the General Provisions requires the creation and retention of a record of the occurrence and duration of each malfunction of process, air pollution control, and monitoring equipment. The EPA is finalizing this requirement to apply to any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and is requiring that the source record the date, time, and duration of the </w:t>
      </w:r>
      <w:r>
        <w:rPr>
          <w:rFonts w:ascii="Arial" w:eastAsia="Arial" w:hAnsi="Arial" w:cs="Arial"/>
          <w:b/>
          <w:i/>
          <w:color w:val="000000"/>
          <w:sz w:val="20"/>
          <w:u w:val="single"/>
        </w:rPr>
        <w:t>failure</w:t>
      </w:r>
      <w:r>
        <w:rPr>
          <w:rFonts w:ascii="Arial" w:eastAsia="Arial" w:hAnsi="Arial" w:cs="Arial"/>
          <w:color w:val="000000"/>
          <w:sz w:val="20"/>
        </w:rPr>
        <w:t xml:space="preserve"> rather than the ``occurrence.'' The EPA is also finalizing adding to 40 CFR 63.2282(a) a requirement that sources keep records that include a list of the affected source or equipment and actions taken to minimize emissions, an estimate of the quantity of each regulated pollutant emitted over the compliance option in 40 CFR 63.2240 the source failed to meet (including the compliance options in Table 1A or B to 40 CFR part 63, subpart DDDD, or the emissions averaging compliance option), and a description of the method used to estimate the emissions. Examples of such methods would include product-loss calculations, mass balance calculations, measurements when available, or engineering judgment based on known process parameters. The EPA is finalizing the requirement that sources </w:t>
      </w:r>
      <w:r>
        <w:rPr>
          <w:rFonts w:ascii="Arial" w:eastAsia="Arial" w:hAnsi="Arial" w:cs="Arial"/>
          <w:color w:val="000000"/>
          <w:sz w:val="20"/>
        </w:rPr>
        <w:lastRenderedPageBreak/>
        <w:t xml:space="preserve">keep records of this information to ensure that there is adequate information to allow the EPA to determine the severity of any </w:t>
      </w:r>
      <w:r>
        <w:rPr>
          <w:rFonts w:ascii="Arial" w:eastAsia="Arial" w:hAnsi="Arial" w:cs="Arial"/>
          <w:b/>
          <w:i/>
          <w:color w:val="000000"/>
          <w:sz w:val="20"/>
          <w:u w:val="single"/>
        </w:rPr>
        <w:t>failure</w:t>
      </w:r>
      <w:r>
        <w:rPr>
          <w:rFonts w:ascii="Arial" w:eastAsia="Arial" w:hAnsi="Arial" w:cs="Arial"/>
          <w:color w:val="000000"/>
          <w:sz w:val="20"/>
        </w:rPr>
        <w:t xml:space="preserve"> to meet a standard, and to provide data that may document how the source met the general duty to minimize emissions when the source has failed to meet an applicable standard. For each </w:t>
      </w:r>
      <w:r>
        <w:rPr>
          <w:rFonts w:ascii="Arial" w:eastAsia="Arial" w:hAnsi="Arial" w:cs="Arial"/>
          <w:b/>
          <w:i/>
          <w:color w:val="000000"/>
          <w:sz w:val="20"/>
          <w:u w:val="single"/>
        </w:rPr>
        <w:t>failure</w:t>
      </w:r>
      <w:r>
        <w:rPr>
          <w:rFonts w:ascii="Arial" w:eastAsia="Arial" w:hAnsi="Arial" w:cs="Arial"/>
          <w:color w:val="000000"/>
          <w:sz w:val="20"/>
        </w:rPr>
        <w:t xml:space="preserve"> to meet an operating requirement in Table 2 to subpart DDDD or work practice requirement in Table 3 to subpart DDDD, facilities must maintain sufficient information to estimate the quantity of each regulated pollutant emitted over the emission limit. This information must be sufficient to provide a reliable emissions estimate if requested by the Administrator. The EPA is finalizing revisions to the General Provisions table (Table 10) by adding an entry for 40 CFR 63.10(b)(2)(iv) and including a ``no'' in column 5. When applicable, the provision requires sources to record actions taken during SSM events when actions were inconsistent with their SSM plan. The requirement is no longer appropriate because SSM plans will no longer be required. The requirement previously applicable under 40 CFR 63.10(b)(2)(iv)(B) to record actions to minimize emissions and record corrective actions is now applicable by reference to 40 CFR 63.2282(a). The EPA is finalizing revisions to the General Provisions table (Table 10) by adding 40 CFR 63.10(b)(2)(v) to the entry for 40 CFR 63.10(b)(2)(iv) and including a ``no'' in column 5. When applicable, the provision requires sources to record actions taken during SSM events to show that actions taken were consistent with their SSM plan. The requirement is no longer appropriate because SSM plans will no longer be required. The EPA is finalizing revisions to the General Provisions table (Table 10) by adding an entry for 40 CFR 63.10(c)(15) and including a ``no'' in column 5. The EPA is finalizing that 40 CFR[[Page 49448]]63.10(c)(15) no longer apply. When applicable, the provision allows an owner or operator to use the affected source's SSM plan or records kept to satisfy the recordkeeping requirements of the SSM plan, specified in 40 CFR 63.6(e), to also satisfy the requirements of 40 CFR 63.10(c)(10) through (12). The EPA is finalizing eliminating this requirement because SSM plans would no longer be required, and, therefore, 40 CFR 63.10(c)(15) no longer serves any useful purpose for affected units.g. Reporting (40 CFR 63.2281) The EPA is finalizing revisions to the General Provisions table (Table 10) entry for 40 CFR 63.10(d)(5) by redesignating it as 40 CFR 63.10(d)(5)(i) and changing the ``yes'' in column 4 to a ``no'' in column 5. Section 63.10(d)(5)(i) describes the reporting requirements for SSM events. To replace the General Provisions reporting requirement, the EPA is finalizing adding reporting requirements to 40 CFR 63.2281(d) and (e). The replacement language differs from the General Provisions requirement in that it eliminates periodic SSM reports as a stand-alone report. The EPA is finalizing language that requires sources that fail to meet an applicable compliance option in 40 CFR 63.2240 at any time to report the information concerning such events in the semiannual compliance report already required under this rule. The EPA is finalizing that the report must contain the number, date, time, duration, and the cause of such events (including unknown cause, if applicable), a list of the affected source or equipment, an estimate of the quantity of each regulated pollutant emitted over any emission limit, and a description of the method used to estimate the emissions. Examples of such methods would include product-loss calculations, mass balance calculations, measurements when available, or engineering judgment based on known process parameters. The EPA is finalizing this requirement to ensure that there is adequate information to determine compliance, to allow the EPA to determine the severity of the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and to provide data that may document how the source met the general duty to minimize emissions during a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A commenter on the proposed rulemaking stated that facilities may not have information to estimate emissions resulting from a deviation from an operating parameter limit (e.g , low oxidizer or biofilter temperature), and requested that emissions estimates only be required to be recorded or reported for </w:t>
      </w:r>
      <w:r>
        <w:rPr>
          <w:rFonts w:ascii="Arial" w:eastAsia="Arial" w:hAnsi="Arial" w:cs="Arial"/>
          <w:b/>
          <w:i/>
          <w:color w:val="000000"/>
          <w:sz w:val="20"/>
          <w:u w:val="single"/>
        </w:rPr>
        <w:t>failure</w:t>
      </w:r>
      <w:r>
        <w:rPr>
          <w:rFonts w:ascii="Arial" w:eastAsia="Arial" w:hAnsi="Arial" w:cs="Arial"/>
          <w:color w:val="000000"/>
          <w:sz w:val="20"/>
        </w:rPr>
        <w:t xml:space="preserve"> to meet an emission limit. As explained in the RTC document included in the docket, EPA agrees that precise measurement of PCWP process unit emissions during an operating requirement deviation under the PCWP NESHAP is challenging unless the </w:t>
      </w:r>
      <w:r>
        <w:rPr>
          <w:rFonts w:ascii="Arial" w:eastAsia="Arial" w:hAnsi="Arial" w:cs="Arial"/>
          <w:b/>
          <w:i/>
          <w:color w:val="000000"/>
          <w:sz w:val="20"/>
          <w:u w:val="single"/>
        </w:rPr>
        <w:t>failure</w:t>
      </w:r>
      <w:r>
        <w:rPr>
          <w:rFonts w:ascii="Arial" w:eastAsia="Arial" w:hAnsi="Arial" w:cs="Arial"/>
          <w:color w:val="000000"/>
          <w:sz w:val="20"/>
        </w:rPr>
        <w:t xml:space="preserve"> occurs during a performance test. Therefore, 40 CFR 63.2281(e)(12) was updated for the final rule to require reporting of an emission estimate only for </w:t>
      </w:r>
      <w:r>
        <w:rPr>
          <w:rFonts w:ascii="Arial" w:eastAsia="Arial" w:hAnsi="Arial" w:cs="Arial"/>
          <w:b/>
          <w:i/>
          <w:color w:val="000000"/>
          <w:sz w:val="20"/>
          <w:u w:val="single"/>
        </w:rPr>
        <w:t>failures</w:t>
      </w:r>
      <w:r>
        <w:rPr>
          <w:rFonts w:ascii="Arial" w:eastAsia="Arial" w:hAnsi="Arial" w:cs="Arial"/>
          <w:color w:val="000000"/>
          <w:sz w:val="20"/>
        </w:rPr>
        <w:t xml:space="preserve"> to meet the numerical emission compliance options in 40 CFR 63.2240, including the compliance options in Table 1A or 1B of subpart DDDD or the emissions averaging compliance option. As noted in section IV.C.4.f of this preamble, 40 CFR 63.2282(a) requires recordkeeping of sufficient information to provide an emissions estimate associated with </w:t>
      </w:r>
      <w:r>
        <w:rPr>
          <w:rFonts w:ascii="Arial" w:eastAsia="Arial" w:hAnsi="Arial" w:cs="Arial"/>
          <w:b/>
          <w:i/>
          <w:color w:val="000000"/>
          <w:sz w:val="20"/>
          <w:u w:val="single"/>
        </w:rPr>
        <w:t>failure</w:t>
      </w:r>
      <w:r>
        <w:rPr>
          <w:rFonts w:ascii="Arial" w:eastAsia="Arial" w:hAnsi="Arial" w:cs="Arial"/>
          <w:color w:val="000000"/>
          <w:sz w:val="20"/>
        </w:rPr>
        <w:t xml:space="preserve"> to meet an operating or work practice requirement, if requested by the Administrator. The EPA will no longer require owners or operators to determine whether actions taken to correct a malfunction are consistent with an SSM plan, because plans would no longer be required. The finalized amendments, therefore, eliminate the cross-reference to 40 CFR 63.10(d)(5)(i) that contains the description of the previously required SSM report format and submittal schedule from this section. These specifications are no longer necessary because the events will be reported in otherwise required reports with similar format and submittal requirements. The EPA is </w:t>
      </w:r>
      <w:r>
        <w:rPr>
          <w:rFonts w:ascii="Arial" w:eastAsia="Arial" w:hAnsi="Arial" w:cs="Arial"/>
          <w:color w:val="000000"/>
          <w:sz w:val="20"/>
        </w:rPr>
        <w:lastRenderedPageBreak/>
        <w:t xml:space="preserve">finalizing revisions to the General Provisions table (Table 10) by adding an entry for 40 CFR 63.10(d)(5)(ii) and including a ``no'' in column 5. Section 63.10(d)(5)(ii) describes an immediate report for SSM events when a source failed to meet an applicable standard but did not follow the SSM plan. The EPA will no longer require owners or operators to report when actions taken during an SSM event were not consistent with an SSM plan, because plans would no longer be required. Also, the EPA is removing and reserving 40 CFR 63.2281(e)(1) which required reporting of the date and time when each malfunction </w:t>
      </w:r>
      <w:r>
        <w:rPr>
          <w:rFonts w:ascii="Arial" w:eastAsia="Arial" w:hAnsi="Arial" w:cs="Arial"/>
          <w:b/>
          <w:i/>
          <w:color w:val="000000"/>
          <w:sz w:val="20"/>
          <w:u w:val="single"/>
        </w:rPr>
        <w:t>started</w:t>
      </w:r>
      <w:r>
        <w:rPr>
          <w:rFonts w:ascii="Arial" w:eastAsia="Arial" w:hAnsi="Arial" w:cs="Arial"/>
          <w:color w:val="000000"/>
          <w:sz w:val="20"/>
        </w:rPr>
        <w:t xml:space="preserve"> and stopped. As discussed in section IV.C.4.f of this preamble, reporting is required for deviations from the applicable standard as opposed to every malfunction occurrence regardless of whether it results in a </w:t>
      </w:r>
      <w:r>
        <w:rPr>
          <w:rFonts w:ascii="Arial" w:eastAsia="Arial" w:hAnsi="Arial" w:cs="Arial"/>
          <w:b/>
          <w:i/>
          <w:color w:val="000000"/>
          <w:sz w:val="20"/>
          <w:u w:val="single"/>
        </w:rPr>
        <w:t>failure</w:t>
      </w:r>
      <w:r>
        <w:rPr>
          <w:rFonts w:ascii="Arial" w:eastAsia="Arial" w:hAnsi="Arial" w:cs="Arial"/>
          <w:color w:val="000000"/>
          <w:sz w:val="20"/>
        </w:rPr>
        <w:t xml:space="preserve"> to meet the standard. Section 40 CFR 63.2281(e)(4) requires reporting of the date and time each deviation </w:t>
      </w:r>
      <w:r>
        <w:rPr>
          <w:rFonts w:ascii="Arial" w:eastAsia="Arial" w:hAnsi="Arial" w:cs="Arial"/>
          <w:b/>
          <w:i/>
          <w:color w:val="000000"/>
          <w:sz w:val="20"/>
          <w:u w:val="single"/>
        </w:rPr>
        <w:t>started</w:t>
      </w:r>
      <w:r>
        <w:rPr>
          <w:rFonts w:ascii="Arial" w:eastAsia="Arial" w:hAnsi="Arial" w:cs="Arial"/>
          <w:color w:val="000000"/>
          <w:sz w:val="20"/>
        </w:rPr>
        <w:t xml:space="preserve"> and stopped, and whether each deviation occurred during a period of SSM.D. Electronic Reporting The EPA proposed that owners or operators of PCWP facilities submit electronic copies of required performance test reports, performance evaluation reports for continuous monitoring systems (CMS) measuring relative accuracy test audit (RATA) pollutants (i.e , total hydrocarbon monitors), selected notifications, and semiannual reports through the EPA's Central Data Exchange (CDX) using the CEDRI. The EPA proposed that performance test results collected using test methods that are supported by the EPA's Electronic Reporting Tool (ERT) as listed on the ERT website \5\ at the time of the test be submitted in the format generated through the use of the ERT and that other performance test results be submitted in portable document format (PDF) using the attachment module of the ERT. Similarly, performance evaluation results of CMS measuring RATA pollutants that are supported by the ERT at the time of the test would be submitted in the format generated through the use of the ERT and other performance evaluation results be submitted in PDF using the attachment module of the ERT.--------------------------------------------------------------------------- \5\ </w:t>
      </w:r>
      <w:hyperlink r:id="rId388" w:history="1">
        <w:r>
          <w:rPr>
            <w:rFonts w:ascii="Arial" w:eastAsia="Arial" w:hAnsi="Arial" w:cs="Arial"/>
            <w:i/>
            <w:color w:val="0077CC"/>
            <w:sz w:val="20"/>
            <w:u w:val="single"/>
            <w:shd w:val="clear" w:color="auto" w:fill="FFFFFF"/>
          </w:rPr>
          <w:t>https://www.epa.gov/electronic-reporting-air-emissions/electronic-reporting-tool-ert.---------------------------------------------------------------------------</w:t>
        </w:r>
      </w:hyperlink>
      <w:r>
        <w:rPr>
          <w:rFonts w:ascii="Arial" w:eastAsia="Arial" w:hAnsi="Arial" w:cs="Arial"/>
          <w:color w:val="000000"/>
          <w:sz w:val="20"/>
        </w:rPr>
        <w:t xml:space="preserve"> For the PCWP semiannual report, the EPA proposed that owners or operators use a spreadsheet template to submit information to CEDRI. A draft version of the spreadsheet template for this report was included in the docket for the proposed rulemaking and the EPA specifically requested comment on its content, layout, and overall design.\6\ The EPA also proposed to require future initial notifications developed according to 40 CFR 63.2280(b) and notifications of compliance status developed according to 40 CFR 63.2280(d) to be uploaded in CEDRI in a user-specified (e.g , PDF) format. In addition, the EPA proposed two broad circumstances in which electronic reporting extensions may be granted. In both circumstances, the decision to accept the claim of needing additional time to report is within the discretion of the Administrator, and reporting should occur as soon as possible. The EPA proposed these potential extensions to protect owners or operators from noncompliance in cases where they cannot successfully submit a report by the reporting deadline for reasons[[Page 49449]]outside of their control. The situation where an extension may be warranted due to outages of the EPA's CDX or CEDRI which precludes an owner or operator from accessing the system and submitting required reports is addressed in 40 CFR 63.2281(k). The situation where an extension may be warranted due to a force majeure event, which is defined as an event that will be or has been caused by circumstances beyond the control of the affected facility, its contractors, or any entity controlled by the affected facility that prevents an owner or operator from complying with the requirement to submit a report electronically as required by this rule is addressed in 40 CFR 63.2281(l). Examples of such events are acts of nature, acts of war or terrorism, or equipment </w:t>
      </w:r>
      <w:r>
        <w:rPr>
          <w:rFonts w:ascii="Arial" w:eastAsia="Arial" w:hAnsi="Arial" w:cs="Arial"/>
          <w:b/>
          <w:i/>
          <w:color w:val="000000"/>
          <w:sz w:val="20"/>
          <w:u w:val="single"/>
        </w:rPr>
        <w:t>failure</w:t>
      </w:r>
      <w:r>
        <w:rPr>
          <w:rFonts w:ascii="Arial" w:eastAsia="Arial" w:hAnsi="Arial" w:cs="Arial"/>
          <w:color w:val="000000"/>
          <w:sz w:val="20"/>
        </w:rPr>
        <w:t xml:space="preserve"> or safety hazards beyond the control of the facility.--------------------------------------------------------------------------- \6\ See 40 CFR part 63, subpart DDDD--Plywood and Composite Wood Products Semiannual Compliance Reporting Spreadsheet Template, Docket Item No. EPA-HQ-OAR-2016-0243-0176.--------------------------------------------------------------------------- The EPA received several comments regarding the proposed electronic reporting requirements, including favorable comments and comments suggesting revisions. The electronic reporting requirements are included in the final rule as proposed with clarification of specific questions raised by commenters. Specific comments pertaining to the draft spreadsheet template are detailed in the RTC document along with the EPA's responses explaining how these comments were used to improve the template. A revised version of the semiannual electronic reporting spreadsheet template is available in the docket for the final rule. One commenter requested that the requirement to use a CEDRI form should not begin until after the form has been available in CEDRI for at least 1 year. The commenter also recommended that the transition to using the new reporting form apply to an entire reporting period, not come into effect in the middle of a reporting period and result in two different reports being prepared. In response to this comment, we revised the final rule to specify use of the semiannual reporting template for the first full reporting period after it has been available on the CEDRI website for 1 year. Refer to section IV.J of this preamble for more </w:t>
      </w:r>
      <w:r>
        <w:rPr>
          <w:rFonts w:ascii="Arial" w:eastAsia="Arial" w:hAnsi="Arial" w:cs="Arial"/>
          <w:color w:val="000000"/>
          <w:sz w:val="20"/>
        </w:rPr>
        <w:lastRenderedPageBreak/>
        <w:t xml:space="preserve">discussion of the compliance timeline. The EPA proposed a conforming amendment in Table 9 to 40 CFR part 63, subpart DDDD, to require submittal of CMS performance evaluations according to the electronic reporting provisions for performance evaluations proposed in 40 CFR 63.2281(j). One commenter requested that the EPA clarify that CMS performance evaluations should be submitted only for continuous emission monitoring systems (CEMS) and not for continuous parameter monitoring systems. In response to these requests for clarification, we revised Table 9 to subpart DDDD to refer to state the CMS performance evaluation to be reported is the performance evaluation required for CEMS under 40 CFR 63.2269(d)(2). As discussed in section IV.G of this preamble, for the final rule, we also revised Table 10 of subpart DDDD to clarify that the CMS performance evaluation provisions in 40 CFR 63.8(e) and the RATA provisions in 40 CFR 63.8(f)(6) only apply for CEMS under subpart DDDD.E. Repeat Emissions Testing As part of an ongoing effort to improve compliance with federal air emission regulations, the EPA reviewed the emissions testing requirements of 40 CFR part 63, subpart DDDD, and proposed to require facilities complying with the standards in Table 1B of 40 CFR part 63, subpart DDDD, using an add-on control system other than a biofilter to conduct repeat emissions performance testing every 5 years. Currently, facilities operating add-on controls are required to conduct an initial performance test by the date specified in 40 CFR 63.2261(a). In addition to the initial performance test, process units controlled by biofilters are already required by the PCWP NESHAP to conduct repeat performance testing every 2 years. Periodic performance tests for all types of control systems are already required by permitting authorities for many facilities. Further, the EPA believes that requiring repeat performance tests will help to ensure that control systems are properly maintained over time. As proposed in Table 7 to 40 CFR part 63, subpart DDDD (row 7), the first of the repeat performance tests would be required to be conducted within 3 years of the effective date of the revised standards or within 5 years (60 months) following the previous performance test, whichever is later, and thereafter within 60 months following the previous performance test. Section IV.J of this preamble provides more information on compliance dates. The EPA specifically requested comments on the proposed requirements for repeat performance testing. One commenter agreed with the proposed requirements and stated they are well supported and legally required as part of meeting the EPA's statutory obligations. The EPA received other comments requesting clarification of the requirements surrounding repeat testing. One commenter requested clarification with regards to whether the repeat testing is to include press capture efficiency testing and requested due to cost, that repeat press capture efficiency testing only be required if an alteration has been made to the enclosure that would significantly affect its efficacy. In response to this comment, a footnote was added to Table 7 to 40 CFR part 63, subpart DDDD, clarifying that capture efficiency demonstration is not required with repeat performance tests if the capture device is maintained and operated consistent with its design as well as its operation during the previous capture efficiency demonstration conducted according to Table 4 to subpart DDDD, row 9 as specified in 40 CFR 63.2267 \7\ Aside from this clarification, the proposed requirements for repeat emissions testing every 5 years for add-on controls other than biofilters are included in the final rule as proposed.--------------------------------------------------------------------------- \7\ The footnote added to Table 7 to 40 CFR part 63, subpart DDDD, clarifying when capture efficiency testing is required was included for biofilters and other control devices undergoing repeat emissions testing.--------------------------------------------------------------------------- Two commenters requested more flexibility for catalytic oxidizer catalyst checks required by the rule given the added repeat testing requirements. The commenters requested the frequency of catalyst checks be revised to ``annual'' or no more than every 15 months and requested the requirement for catalyst checks be eliminated during years when emissions tests are conducted. In response to these comments, the EPA revised Tables 2 and 7 to 40 CFR part 63, subpart DDDD, to refer to ``annual'' catalyst checks and included a footnote stating that facilities may forego the annual catalyst activity check during the calendar year when a performance test conducted according to Table 4 to subpart DDDD. The final rule requires that, in each calendar year, either a performance test or a catalyst activity check must be conducted. One commenter requested clarification that the Notification of Compliance Status (NCS) is only required with the initial performance test, not with each repeat performance test. As explained further in the RTC document, a NCS is required with initial and repeat performance tests under 40 CFR 63.9 In response to this comment, the EPA deleted the word ``initial'' from 40 CFR 63.2280(d) and added a phrase mentioning the ``repeat performance test as specified in Table 7 to this subpart'' so it is clearer that a NCS is required when performing repeat testing according to the methods in Table 4 to 40 CFR part 63, subpart DDDD. The EPA also deleted the word ``initial'' and added a reference to Table 7 to subpart DDDD (which includes repeat testing in[[Page 49450]]rows 3 and 7) to 40 CFR 63.2280(d)(2) and clarified that the NCS only needs to have ``a summary of'' the performance test results submitted </w:t>
      </w:r>
      <w:r>
        <w:rPr>
          <w:rFonts w:ascii="Arial" w:eastAsia="Arial" w:hAnsi="Arial" w:cs="Arial"/>
          <w:color w:val="000000"/>
          <w:sz w:val="20"/>
        </w:rPr>
        <w:lastRenderedPageBreak/>
        <w:t xml:space="preserve">according to the electronic performance test reporting provisions in 40 CFR 63.2281(i).F. Biofilter Bed Temperature Facilities using a biofilter to comply with the PCWP NESHAP must monitor biofilter bed temperature and maintain the 24-hour block biofilter bed temperature within the range established during performance testing showing compliance with the emission limits. As originally promulgated, the upper and lower limits of the biofilter bed temperature were required to be established as the highest and lowest 15-minute average bed temperatures, respectively, during the three test runs. Facilities may conduct multiple performance tests to expand the biofilter bed operating temperature range. See 40 CFR 63.2262(m). The EPA learned that multiple facilities are having difficulty complying with the PCWP biofilter bed temperature monitoring requirements established according to the original rule. Biofilter bed temperature is affected by ambient temperature which cannot always be accurately predicted in advance of scheduling performance tests. In consideration of this issue, as discussed in the preamble for the proposed amendments (at 84 FR 47097), the EPA proposed to revise 40 CFR 63.2262(m)(1) to add a 5-percent variability margin to the biofilter bed temperature upper and lower limits established during emissions testing. Commenters on the proposal stated that the proposed 5-percent variability margin is insufficient, particularly on the lower end of the biofilter bed temperature range and recommended instead that the EPA provide a wider margin allowance or extend the operating limit averaging period beyond the current 24-hour period. The commenters stated that, unlike other common air pollution control devices with operating parameters that can be controlled within a small percentage of set point and are not subject to ambient atmospheric conditions, biofilters are influenced by diurnal, day-to-day, and seasonal ambient temperature variations because they are typically located outside due to their size. They further stated that in practical terms, in order to set the widest bed temperature range, a facility must test on the coldest and the hottest day of the year, yet predicting those days is not possible and is further complicated by the fact that stack test teams and permitting agencies must be given months of advance notice when scheduling a test. To address the commenters' concern that a 5-percent variability margin is insufficient, the EPA increased the variability margin to 10 percent for the final rule with the stipulation that the variability margin not exceed 8 degrees Fahrenheit ([deg]F) on the upper end of the biofilter bed range. As noted in the memorandum, Review of Select Biofilter/Bioscrubber Data Submitted in Response to the Plywood and Composite Wood Products Information Collection Request, Docket Item No. EPA-HQ-OAR-2016-0243-0188, the biofilter bed temperature across all of the biofilters in the PCWP industry spans from 40 [deg]F to 150 [deg]F. On the low end of this range, 5 percent is 2 [deg]F while 10 percent is 4 [deg]F. On the high end of the range, 5 percent is 8 [deg]F while 10 percent is 15 [deg]F. The upper-end value of 15 [deg]F added to 150 [deg]F would allow the facility to operate at 165 [deg]F, which the EPA considers excessive in the absence of data showing this temperature is not detrimental to the microbial population. Therefore, for the final rule, the EPA capped the variability margin for the high end of the biofilter bed temperature range at 8 [deg]F (which coincides with the margin proposed). Thus, for the high-end biofilter bed temperature, facilities may add </w:t>
      </w:r>
      <w:r>
        <w:rPr>
          <w:rFonts w:ascii="Arial" w:eastAsia="Arial" w:hAnsi="Arial" w:cs="Arial"/>
          <w:b/>
          <w:i/>
          <w:color w:val="000000"/>
          <w:sz w:val="20"/>
          <w:u w:val="single"/>
        </w:rPr>
        <w:t>up</w:t>
      </w:r>
      <w:r>
        <w:rPr>
          <w:rFonts w:ascii="Arial" w:eastAsia="Arial" w:hAnsi="Arial" w:cs="Arial"/>
          <w:color w:val="000000"/>
          <w:sz w:val="20"/>
        </w:rPr>
        <w:t xml:space="preserve"> to 10 percent, not to exceed 8 [deg]F. The EPA anticipates that facilities currently having difficulty maintaining the biofilter bed temperature limits may wish to adjust their temperature limits. As originally promulgated, 40 CFR 63.2262(m)(1) states that facilities may base their biofilter bed temperature range on values recorded during previous performance tests provided that the data used to establish the temperature ranges have been obtained using the required test methods; and that facilities using data from previous performance tests must certify that the biofilter and associated process unit(s) have not been modified since the test. This provision (if met) clarifies that facilities can adjust their previously established biofilter temperature range to include the 5-percent variability margin, if desired.G. Thermocouple Calibration At 40 CFR 63.2269(b)(4), the PCWP NESHAP currently requires conducting an electronic calibration of the temperature monitoring device at least semiannually according to the procedures in the manufacturer's owner's manual. Stakeholders with facilities subject to the standard explained to the EPA that they are unaware of a thermocouple manufacturer that provides procedures for conducting electronic calibration of thermocouples. According to stakeholders, facilities have been replacing thermocouples because they cannot electronically calibrate them. The stakeholders requested the EPA consider an alternative approach to the current requirement in 40 CFR 63.2269(b)(4). To address this issue, the EPA proposed revisions to 40 CFR 63.2269(b)(4) to allow multiple alternative approaches to thermocouple validation. The EPA received comments supporting the proposed revisions to 40 CFR 63.2269(b)(4) and we are promulgating these revisions as proposed with minor clarifications. In response to a comment that the word ``calibration'' be removed from 40 CFR 63.2269(b)(5), the EPA is amending this paragraph to replace ``calibration and validation checks'' with ``validation checks'' and to specify that validation checks be conducted using the procedures in 40 CFR 63.2269(b)(4). One commenter requested the EPA to clarify </w:t>
      </w:r>
      <w:r>
        <w:rPr>
          <w:rFonts w:ascii="Arial" w:eastAsia="Arial" w:hAnsi="Arial" w:cs="Arial"/>
          <w:color w:val="000000"/>
          <w:sz w:val="20"/>
        </w:rPr>
        <w:lastRenderedPageBreak/>
        <w:t>that temperature sensor validations are not performance evaluations requiring formal notification and reporting under 40 CFR 63.8 For the final rule, the EPA has revised Table 10 of 40 CFR part 63, subpart DDDD, to clarify that the CMS performance evaluation provisions in 40 CFR 63.8(e) and the RATA provisions in 40 CFR 63.8(f)(6) only apply for CEMS under subpart DDDD.H. Non-HAP Coating Definition The EPA proposed to replace the references to Occupational Safety and Health Administration (OSHA)-defined carcinogens and 29 CFR 1910.1200(d)(4) in the PCWP ``non-HAP coating'' definition with a reference to a new appendix B to 40 CFR part 63, subpart DDDD. The proposed appendix listed the specific carcinogenic HAP that must be below 0.1 percent by mass for a PCWP coating to be considered a non-HAP coating. One commenter stated that the Hazard Communication Standard (HCS) (29 CFR 1910.1200(g)), revised in 2012, requires that a chemical manufacturer, distributor, or importer provide a Safety Data Sheet (SDS) (formerly MSDSs or Material Safety Data Sheets) for each hazardous chemical to downstream users, and that PCWP facilities rely on SDSs to identify whether coatings contain carcinogens. The commenter stated that if the EPA finalizes a separate list of HAP in appendix B to 40 CFR part 63, subpart DDDD, there will be no certainty as to whether non-HAP coatings are being used because of the[[Page 49451]]discrepancy in HAP listed on SDSs (per the HCS) and in appendix B to subpart DDDD. The commenter suggested the EPA should remove appendix B to subpart DDDD and instead reference the OSHA SDS requirements for classification of carcinogenicity at 29 CFR 1910.1200, appendix A, section A.6.4, which match the requirements in the now obsolete OSHA regulatory reference proposed for deletion from the PCWP non-HAP coating definition. The EPA agrees that referencing appendix A to 29 CFR 1910.1200 in the PCWP rule's non-HAP coating definition is a more streamlined approach for the PCWP NESHAP than use of the proposed appendix B to 40 CFR part 63, subpart DDDD. The OSHA language the PCWP proposal sought to replace is in appendix A to 29 CFR 1910.1200, section A.6.4 For the final PCWP amendments, the EPA is defining non-HAP coating to mean a coating with HAP contents below 0.1 percent by mass for OSHA-defined carcinogens as specified in section A.6.4 of appendix A to 29 CFR 1910.1200 and below 1.0 percent by mass for other HAP compounds. As a result of the new reference, the proposed appendix B is not being finalized.I. Technical and Editorial Changes The EPA is finalizing the following technical and editorial changes to the final rule as proposed: The clarifying reference to ``SSM plans'' in 40 CFR 63.2252 was removed because SSM plans would no longer be applicable after the date specified in 40 CFR 63.2250(c); the redundant reference in 40 CFR 63.2281(c)(6) for submittal of performance test results with the compliance report was eliminated because performance test results would be required to be electronically reported; the EPA revised 40 CFR 63.2281(d)(2) and added language to 40 CFR 63.2281(e) introductory text and (e)(12) and (13) to make these paragraphs more consistent to facilitate electronic reporting; a provision stating that the EPA retains authority to approve alternatives to electronic reporting was added to 40 CFR 63.2291(c)(5); cross-references to the 40 CFR part 60 appendices containing test methods were updated in Table 4 of the rule; cross-references were updated throughout the rule, as needed, to match the proposed changes; cross-references to 40 CFR 63.14 were updated to remove outdated paragraph references; the equation number cross-referenced in the definition of ``MSF'' was corrected; and the cross-reference in 40 CFR 63.2290 was updated to include all sections of the General Provisions.J. Compliance Dates The EPA proposed that existing affected sources and other affected sources that commenced construction or reconstruction on or before September 6, 2019, must comply with all of the amendments 6 months (180 days) after the effective date of the final rule.\8\ The EPA also proposed the addition of electronic reporting requirements that will require use of a semiannual reporting template once the template has been available on the CEDRI website (</w:t>
      </w:r>
      <w:hyperlink r:id="rId389" w:history="1">
        <w:r>
          <w:rPr>
            <w:rFonts w:ascii="Arial" w:eastAsia="Arial" w:hAnsi="Arial" w:cs="Arial"/>
            <w:i/>
            <w:color w:val="0077CC"/>
            <w:sz w:val="20"/>
            <w:u w:val="single"/>
            <w:shd w:val="clear" w:color="auto" w:fill="FFFFFF"/>
          </w:rPr>
          <w:t>https://www.epa.gov/electronic-reporting-air-emissions/compliance-and-emissions-data-reporting-interface-cedri</w:t>
        </w:r>
      </w:hyperlink>
      <w:r>
        <w:rPr>
          <w:rFonts w:ascii="Arial" w:eastAsia="Arial" w:hAnsi="Arial" w:cs="Arial"/>
          <w:color w:val="000000"/>
          <w:sz w:val="20"/>
        </w:rPr>
        <w:t xml:space="preserve">) for 6 months. New requirements to conduct repeat performance testing every 5 years for facilities using an add-on control system other than a biofilter (see section IV.E of this preamble) were also proposed. The first of the repeat performance tests would be required to be conducted within 3 years after the effective date of the revised standards, or within 5 years (60 months) following the previous performance test, whichever is later, and thereafter within 60 months following the previous performance test. The EPA specifically requested comment on whether the proposed compliance times provide enough time for owners or operators to comply with the proposed amendments, and if the proposed time window is not adequate, requested that commenters provide an explanation of specific actions that would need to be undertaken to comply with the proposed amended requirements and the time needed to make the adjustments for compliance with any of the revised requirements.--------------------------------------------------------------------------- \8\ The final action is not a ``major rule'' as defined by 5 U.S.C 804(2), therefore, the effective date of the final rule is the promulgation date as specified in CAA section 112(d)(10).--------------------------------------------------------------------------- </w:t>
      </w:r>
      <w:r>
        <w:rPr>
          <w:rFonts w:ascii="Arial" w:eastAsia="Arial" w:hAnsi="Arial" w:cs="Arial"/>
          <w:color w:val="000000"/>
          <w:sz w:val="20"/>
        </w:rPr>
        <w:lastRenderedPageBreak/>
        <w:t xml:space="preserve">One commenter stated that the 180 days proposed by the EPA for existing facilities to comply with all of the proposed amendments is not enough time to complete all of the activities that must be done in order to effect a smooth transition to the new requirements, including: Developing a site-specific implementation plan; implementing new </w:t>
      </w:r>
      <w:r>
        <w:rPr>
          <w:rFonts w:ascii="Arial" w:eastAsia="Arial" w:hAnsi="Arial" w:cs="Arial"/>
          <w:b/>
          <w:i/>
          <w:color w:val="000000"/>
          <w:sz w:val="20"/>
          <w:u w:val="single"/>
        </w:rPr>
        <w:t>startup</w:t>
      </w:r>
      <w:r>
        <w:rPr>
          <w:rFonts w:ascii="Arial" w:eastAsia="Arial" w:hAnsi="Arial" w:cs="Arial"/>
          <w:color w:val="000000"/>
          <w:sz w:val="20"/>
        </w:rPr>
        <w:t xml:space="preserve"> and shutdown procedures; reprogramming of electronic systems and automated alarms to account for the removal of SSM provisions and the addition of new </w:t>
      </w:r>
      <w:r>
        <w:rPr>
          <w:rFonts w:ascii="Arial" w:eastAsia="Arial" w:hAnsi="Arial" w:cs="Arial"/>
          <w:b/>
          <w:i/>
          <w:color w:val="000000"/>
          <w:sz w:val="20"/>
          <w:u w:val="single"/>
        </w:rPr>
        <w:t>startup</w:t>
      </w:r>
      <w:r>
        <w:rPr>
          <w:rFonts w:ascii="Arial" w:eastAsia="Arial" w:hAnsi="Arial" w:cs="Arial"/>
          <w:color w:val="000000"/>
          <w:sz w:val="20"/>
        </w:rPr>
        <w:t xml:space="preserve"> and shutdown related work practices; reworking recordkeeping and reporting systems to match the layout of the new CEDRI form (e.g , breaking out reporting by individual equipment instead of by process group); developing and communicating guidance to ensure consistent implementation across a company's facilities; preparing permit applications and acquiring revised air permits to reflect the elimination of SSM provisions and addition of new requirements; developing procedures for estimating excess emissions due to deviations; and developing and providing training for facility staff on the revised requirements. The commenter further stated that applying for and receiving a permit revision to reflect the revised requirements alone will likely take more than 180 days and expressed concern that if additional time is not provided and if current permit language conflicts with the final RTR rule, facilities will have to determine how to comply with both the old requirements and the new requirements. The commenter also noted that working with information technology support staff to re-program a facility's electronic systems to align with the new requirements is an effort that takes more than 180 days to plan and implement. After considering the public comments, the EPA recognizes that 180 days is not practicable for completion of the steps needed to implement the PCWP rule changes given the complexity of operations in the PCWP source category. The PCWP industry involves manufacturing of several different products, using a variety of process unit and control system combinations that differ from facility to facility. As documented in the technology review, the PCWP processes and controls at many mills are highly interconnected (e.g , where multiple different types of process units are routed to the same control device; process units of one type are routed through process units of a different type to emissions control; or where the furnace that provides process heat is also part of the air pollution control system for some processes). The interconnectivity of processes and fire-prevention systems needed for processing wood requires a high degree of automation and interconnection in the programmable logic controllers and data acquisition systems (DAS) tailored to each PCWP plant site. Some companies have one PCWP facility while others have more than 10 facilities manufacturing different PCWP products using a variety of equipment[[Page 49452]]configurations. The EPA understands that companies with numerous PCWP facilities need time for corporate coordination of IT programming resources across multiple uniquely configured plant sites, while companies with fewer facilities have more-limited environmental staff that are sometimes shared across two or three PCWP facilities to oversee reprogramming. The EPA has concluded that 1 year following the effective date of the final amendments is the most expeditious compliance period practicable for existing PCWP affected sources to make the DAS adjustments needed to demonstrate compliance with the revised requirements during </w:t>
      </w:r>
      <w:r>
        <w:rPr>
          <w:rFonts w:ascii="Arial" w:eastAsia="Arial" w:hAnsi="Arial" w:cs="Arial"/>
          <w:b/>
          <w:i/>
          <w:color w:val="000000"/>
          <w:sz w:val="20"/>
          <w:u w:val="single"/>
        </w:rPr>
        <w:t>startup</w:t>
      </w:r>
      <w:r>
        <w:rPr>
          <w:rFonts w:ascii="Arial" w:eastAsia="Arial" w:hAnsi="Arial" w:cs="Arial"/>
          <w:color w:val="000000"/>
          <w:sz w:val="20"/>
        </w:rPr>
        <w:t xml:space="preserve"> and shutdown periods and to transition to electronic reporting. All existing affected facilities will have to continue to meet the current requirements of the NESHAP until the applicable compliance date of the amended rule. Affected sources that commence construction or reconstruction after September 6, 2019 (the publication date of the proposed rulemaking) must comply with all requirements of the subpart, including the final amendments, no later than the effective date of the final rule or upon initial </w:t>
      </w:r>
      <w:r>
        <w:rPr>
          <w:rFonts w:ascii="Arial" w:eastAsia="Arial" w:hAnsi="Arial" w:cs="Arial"/>
          <w:b/>
          <w:i/>
          <w:color w:val="000000"/>
          <w:sz w:val="20"/>
          <w:u w:val="single"/>
        </w:rPr>
        <w:t>startup</w:t>
      </w:r>
      <w:r>
        <w:rPr>
          <w:rFonts w:ascii="Arial" w:eastAsia="Arial" w:hAnsi="Arial" w:cs="Arial"/>
          <w:color w:val="000000"/>
          <w:sz w:val="20"/>
        </w:rPr>
        <w:t xml:space="preserve">, whichever is later. Regarding the compliance timeline for semiannual reporting, the EPA received comments requesting that the new requirements come into effect at the beginning of a semiannual reporting period, and not in the middle of a reporting period to avoid two different reports being prepared. The EPA recognizes that there can be a transitional compliance period because of the way the effective date of the final PCWP rule is set as the date of publication of the final Federal Register document. During this transitional period for existing sources, the previously promulgated rule requirements must be met until the compliance date (e.g , compliance with the SSM plan), and then the newly promulgated requirements must be met thereafter. The EPA anticipates that this transitional semiannual reporting period will occur before the PCWP semiannual electronic reporting spreadsheet is required to be used. To ensure this, we have revised the final rule to specify use of the semiannual reporting template for the first full reporting period after it has been available on the CEDRI website for 1 year. Regarding the compliance timeline for repeat emissions testing, the compliance dates are included in the final rule as proposed. No comments were received regarding the compliance dates for repeat emissions testing. As proposed, the first of the repeat performance tests must be conducted within 3 years after August 13, 2020, or within 60 months following the previous performance test, whichever is later.V. Summary of Cost, Environmental, and Economic Impacts and Additional Analyses ConductedA. What are the affected facilities? As noted in the preamble to the proposed </w:t>
      </w:r>
      <w:r>
        <w:rPr>
          <w:rFonts w:ascii="Arial" w:eastAsia="Arial" w:hAnsi="Arial" w:cs="Arial"/>
          <w:color w:val="000000"/>
          <w:sz w:val="20"/>
        </w:rPr>
        <w:lastRenderedPageBreak/>
        <w:t xml:space="preserve">amendments, the EPA identified 230 facilities that are operating and subject to the PCWP NESHAP. This includes 109 facilities manufacturing one or more PCWP products (e.g , plywood, veneer, particleboard, OSB, hardboard, fiberboard, MDF, engineered wood products) and 121 facilities that produce kiln-dried lumber. Sixteen facilities produce PCWP products and kiln-dried lumber. Information on operational facilities is included in the Technology Review for the Plywood and Composite Wood Products NESHAP, available as Docket Item No. EPA-HQ-OAR-2016-0243-0189. In addition, the EPA is aware of 13 greenfield facilities (four PCWP and nine kiln-dried lumber mills) that recently commenced construction as major sources of HAP emissions. The EPA is projecting that two new OSB mills will be constructed as major sources within the next 5 years, and that existing facilities will add or replace process units during this same time frame. More details on our projections of new sources are available in Projections of the Number of New and Reconstructed Sources for the Subpart DDDD Technology Review, available as Docket Item No. EPA-HQ-OAR-2016-0243-0182.B. What are the air quality impacts? The nationwide baseline HAP emissions from the 230 facilities in the PCWP source category are estimated to be 7,600 tpy. Emissions of the six compounds defined as ``total HAP'' in the PCWP NESHAP (acetaldehyde, acrolein, formaldehyde, methanol, phenol, and propionaldehyde) make </w:t>
      </w:r>
      <w:r>
        <w:rPr>
          <w:rFonts w:ascii="Arial" w:eastAsia="Arial" w:hAnsi="Arial" w:cs="Arial"/>
          <w:b/>
          <w:i/>
          <w:color w:val="000000"/>
          <w:sz w:val="20"/>
          <w:u w:val="single"/>
        </w:rPr>
        <w:t>up</w:t>
      </w:r>
      <w:r>
        <w:rPr>
          <w:rFonts w:ascii="Arial" w:eastAsia="Arial" w:hAnsi="Arial" w:cs="Arial"/>
          <w:color w:val="000000"/>
          <w:sz w:val="20"/>
        </w:rPr>
        <w:t xml:space="preserve"> 96 percent of the nationwide emissions. The amendments include removal of the SSM exemption and addition of repeat emissions testing for controls other than biofilters (which already require repeat tests). Although the EPA is unable to quantify the emission reduction associated with these changes, we expect that emissions will be reduced by requiring facilities to meet the applicable standard during periods of SSM and that the repeat emissions testing requirements will encourage operation of add-on controls to achieve optimum performance. The EPA is not finalizing other revisions to the emission limits that would impact emissions, so there are no quantifiable air quality impacts resulting from the final amendments.C. What are the cost impacts? No capital costs are estimated to be incurred to comply with the final amendments. The costs associated with the final amendments are related to recordkeeping and reporting labor costs and repeat performance testing. Because repeat performance testing is required every 5 years, costs are estimated and summarized over a 5-year period. The nationwide cost of the final amendments is estimated to include a one-time cost of $1.3 million for facilities to review the revised rule and make record systems adjustments and a cost of $3.5 million every 5 years for repeat emissions testing. These costs are in 2018 dollars. Another metric for presenting the one-time costs is as a present value (PV), which is a technique that converts a stream of costs over time into a one-time estimate for the present year or other year. The EPA estimates that the PV of costs for these final amendments is $5.6 million at a discount rate of 7 percent and $6.9 million at a discount rate of 3 percent. In addition, the EPA presents these costs as an equivalent annualized value (EAV) in order to provide an estimate of annual costs consistent with the PV. The EAV for these final amendments is estimated to be $0.9 million at a discount rate of 7 percent and $1.0 million at a discount rate of 3 percent. The PV and EAV cost estimates are in 2016 dollars, in part, to conform to Executive Order 13771 requirements. These estimates have not changed since the proposal. For further information on the costs associated with the amendments, see the memorandum, Cost, Environmental, and Energy Impacts of Regulatory Options for Subpart DDDD, Docket Item No. EPA-HQ-OAR-2016-0243-0184, and the memorandum, Economic Impact and Small Business Analysis for the Proposed Plywood and Composite Wood Products Risk and Technology Review (RTR) NESHAP, Docket Item No. EPA-HQ-OAR-2016-0243-0185.D. What are the economic impacts? The EPA estimated that none of the ultimate parent owners affected by the proposed amendments would incur annualized costs of 1.0 percent or greater of their revenues, and that estimate has not changed since proposal. Thus, these economic impacts are low for affected companies and the[[Page 49453]]industries impacted by this action, and there will not be substantial impacts in the markets for affected products. For more information on the economic impact analysis conducted for the proposal, see the memorandum titled Economic Impact and Small Business Analysis for the Proposed Plywood and Composite Wood Risk and Technology Review (RTR) NESHAP, Docket Item No. EPA-HQ-OAR-2016-0243-0185.E. What are the benefits? The EPA is not finalizing changes to emissions limits, except to the extent necessary to make them applicable during SSM periods and to establish work practice requirements for certain </w:t>
      </w:r>
      <w:r>
        <w:rPr>
          <w:rFonts w:ascii="Arial" w:eastAsia="Arial" w:hAnsi="Arial" w:cs="Arial"/>
          <w:b/>
          <w:i/>
          <w:color w:val="000000"/>
          <w:sz w:val="20"/>
          <w:u w:val="single"/>
        </w:rPr>
        <w:t>startup</w:t>
      </w:r>
      <w:r>
        <w:rPr>
          <w:rFonts w:ascii="Arial" w:eastAsia="Arial" w:hAnsi="Arial" w:cs="Arial"/>
          <w:color w:val="000000"/>
          <w:sz w:val="20"/>
        </w:rPr>
        <w:t xml:space="preserve"> and shutdown periods. The EPA estimates the final amendments (i.e , changes to SSM, recordkeeping, reporting, and monitoring) are not economically significant. Because these amendments are not considered economically significant, as defined by Executive Order 12866, and because no emissions reductions were estimated, the EPA did not estimate any benefits from reducing emissions.F. What analysis of environmental justice did we conduct? Executive Order 12898 (59 FR 7629, February 16, 1994) establishes federal executive policy on environmental justice. Its main provision directs federal agencies, to the greatest extent practicable and permitted by law, to make environmental justice part of their </w:t>
      </w:r>
      <w:r>
        <w:rPr>
          <w:rFonts w:ascii="Arial" w:eastAsia="Arial" w:hAnsi="Arial" w:cs="Arial"/>
          <w:color w:val="000000"/>
          <w:sz w:val="20"/>
        </w:rPr>
        <w:lastRenderedPageBreak/>
        <w:t xml:space="preserve">mission by identifying and addressing, as appropriate, disproportionately high and adverse human health or environmental effects of their programs, policies, and activities on minority populations and low-income populations in the United States. To examine the potential for any environmental justice issues that might be associated with the source category, the EPA performed a demographic analysis, which is an assessment of risks to individual demographic groups of the populations living within 5 kilometers (km) and within 50 km of the facilities. In the analysis, we evaluated the distribution of HAP-related cancer and noncancer risks from each source category across different demographic groups within the populations living near facilities. The results of the PCWP source category demographic analysis indicate that emissions from the source category expose approximately 200,000 people to a cancer risk at or above 1-in-1 million and zero people to a chronic noncancer TOSHI greater than 1. The percentages of the at-risk population in four of the 11 demographic groups (African American, Native American, below poverty level, and over 25 without a high school diploma) are greater than their respective nationwide percentages. The methodology and the results of the demographic analysis are presented in the technical report, Risk and Technology Review--Analysis of Demographic Factors for Populations Living Near Plywood and Composite Wood Products Source Category, Docket Item No. EPA-HQ-OAR-2016-0243-0181.G. What analysis of children's environmental health did we conduct? The EPA does not believe the environmental health or safety risks addressed by this action present a disproportionate risk to children. This action's health and risk assessments are contained in the Residual Risk Assessment for the Plywood and Composite Wood Products Source Category in Support of the 2019 Risk and Technology Review Final Rule, available in the docket for this action, Docket ID No. EPA-HQ-OAR-2016-0243.VI. Statutory and Executive Order Reviews Additional information about these statutes and Executive Orders can be found at </w:t>
      </w:r>
      <w:hyperlink r:id="rId390" w:history="1">
        <w:r>
          <w:rPr>
            <w:rFonts w:ascii="Arial" w:eastAsia="Arial" w:hAnsi="Arial" w:cs="Arial"/>
            <w:i/>
            <w:color w:val="0077CC"/>
            <w:sz w:val="20"/>
            <w:u w:val="single"/>
            <w:shd w:val="clear" w:color="auto" w:fill="FFFFFF"/>
          </w:rPr>
          <w:t>https://www.epa.gov/laws-regulations/laws-and-executive-orders.A</w:t>
        </w:r>
      </w:hyperlink>
      <w:r>
        <w:rPr>
          <w:rFonts w:ascii="Arial" w:eastAsia="Arial" w:hAnsi="Arial" w:cs="Arial"/>
          <w:color w:val="000000"/>
          <w:sz w:val="20"/>
        </w:rPr>
        <w:t xml:space="preserve">. Executive Orders 12866: Regulatory Planning and Review and Executive Order 13563: Improving Regulation and Regulatory Review This action is not a significant regulatory action and was, therefore, not submitted to the Office of Management and Budget (OMB) for review.B. Executive Order 13771: Reducing Regulations and Controlling Regulatory Cost This action is not an Executive Order 13771 regulatory action because this action is not significant under Executive Order 12866.C. Paperwork Reduction Act (PRA) The information collection activities in this final rule have been submitted for approval to OMB under the PRA. The ICR document that the EPA prepared has been assigned EPA ICR number 1984.09 You can find a copy of the ICR in the docket for this rule, and it is briefly summarized here. The information collection requirements are not enforceable until OMB approves them. The information is being collected to assure compliance with 40 CFR part 63, subpart DDDD. The information requirements are based on notification, recordkeeping, and reporting requirements in the NESHAP General Provisions (40 CFR part 63, subpart A), which are mandatory for all operators subject to national emissions standards. The information collection activities also include paperwork requirements associated with initial and repeat performance testing and parameter monitoring. The final amendments to the rule eliminate the paperwork requirements associated with the SSM plan and recordkeeping of SSM events and require electronic submittal of performance test results and semiannual compliance reports. These recordkeeping and reporting requirements are specifically authorized by CAA section 114 (42 U.S.C 7414). Respondents/affected entities: Owners or operators of facilities subject to 40 CFR part 63, subpart DDDD, that produce plywood, composite wood products, or kiln-dried lumber. Respondent's obligation to respond: Mandatory (40 CFR part 63, subpart DDDD). Estimated number of respondents: 244 facilities (including existing and new facilities projected to begin reporting during the ICR period). Frequency of response: The frequency varies depending on the type of response (e.g , initial notification, semiannual compliance report). Total estimated burden: 39,700 hours (per year). Burden is defined at 5 CFR 1320.3(b). Total estimated cost: $6,930,000 (per year), includes $2,365,000 annualized capital or operation and maintenance costs. An agency may not conduct or sponsor, and a person is not required to respond to, a collection of information unless it displays a currently valid OMB control number. The OMB control numbers for the EPA's regulations in 40 CFR are listed in 40 CFR part 9. When OMB approves this ICR, the Agency will announce that approval in the Federal Register and publish a technical amendment to 40 CFR part 9 to display the OMB control number for the approved information collection activities contained in this final rule.D. Regulatory Flexibility Act (RFA) I certify that this action will not have a significant economic impact on a substantial number of small entities under the RFA. In making this determination, the impact of concern is any significant adverse economic impact on small entities. An agency may certify that a rule will not have a significant economic impact on a substantial number of small entities if[[Page 49454]]the rule relieves regulatory burden, has no net burden, or otherwise has a positive economic effect on the small entities subject to the rule. Of the 69 ultimate parent entities that are subject to the </w:t>
      </w:r>
      <w:r>
        <w:rPr>
          <w:rFonts w:ascii="Arial" w:eastAsia="Arial" w:hAnsi="Arial" w:cs="Arial"/>
          <w:color w:val="000000"/>
          <w:sz w:val="20"/>
        </w:rPr>
        <w:lastRenderedPageBreak/>
        <w:t xml:space="preserve">rule, 28 are small according to the Small Business Administration's small business size standards and standards regarding other entities (e.g , federally recognized tribes). None of the affected 28 small entities have annualized costs of 1 percent or greater of sales. The EPA has, therefore, concluded that this action will not have a significant impact on a substantial number of small entities.E. Unfunded Mandates Reform Act (UMRA) This action does not contain an unfunded mandate of $100 million or more as described in UMRA, 2 U.S.C 1531-1538, and does not significantly or uniquely affect small governments. While this action creates an enforceable duty on the private sector, the cost does not exceed $100 million or more.F. Executive Order 13132: Federalism This action does not have federalism implications. It will not have substantial direct effects on the states, on the relationship between the National Government and the states, or on the distribution of power and responsibilities among the various levels of government.G. Executive Order 13175: Consultation and Coordination With Indian Tribal Governments This action does not have tribal implications as specified in Executive Order 13175. It will not have substantial direct effects on tribal governments, on the relationship between the Federal Government and Indian tribes, or on the distribution of power and responsibilities between the Federal Government and Indian tribes. No tribal governments own facilities that are impacted by the proposed changes to the NESHAP. Thus, Executive Order 13175 does not apply to this action.H. Executive Order 13045: Protection of Children From Environmental Health Risks and Safety Risks This action is not subject to Executive Order 13045 because it is not economically significant as defined in Executive Order 12866, and because the EPA does not believe the environmental health or safety risks addressed by this action present a disproportionate risk to children. This action's health and risk assessments are discussed in sections III and IV of this preamble and further documented in the risk report titled Residual Risk Assessment for the Plywood and Composite Wood Products Source Category in Support of the 2019 Risk and Technology Review Final Rule, which can be found in the docket for this action.I. Executive Order 13211: Actions Concerning Regulations That Significantly Affect Energy Supply, Distribution, or Use This action is not subject to Executive Order 13211, because it is not a significant regulatory action under Executive Order 12866.J. National Technology Transfer and Advancement Act (NTTAA) and 1 CFR Part 51 This action involves technical standards. The EPA is finalizing the use of the standards currently listed in Table 4 of the rule (40 CFR part 63, subpart DDDD). The EPA is amending 40 CFR 63.14 to incorporate by reference EPA Method 0011 for measurement of formaldehyde. Method 0011 is applicable to the determination of destruction and removal efficiency of analytes including formaldehyde and other compounds. Pollutants withdrawn isokinetically from the emission source and are collected in aqueous acidic 2,4-dinitrophenylhydrazine. Formaldehyde present in the emission stream reacts to form a derivative that extracted, solvent-exchanged, concentrated, and then analyzed by high performance liquid chromatography. The SW-846 Method 0011 (Revision 0, December 1996) is available in </w:t>
      </w:r>
      <w:r w:rsidR="00DA1FF3">
        <w:rPr>
          <w:rFonts w:ascii="Arial" w:eastAsia="Arial" w:hAnsi="Arial" w:cs="Arial"/>
          <w:color w:val="000000"/>
          <w:sz w:val="20"/>
        </w:rPr>
        <w:t>“</w:t>
      </w:r>
      <w:r>
        <w:rPr>
          <w:rFonts w:ascii="Arial" w:eastAsia="Arial" w:hAnsi="Arial" w:cs="Arial"/>
          <w:color w:val="000000"/>
          <w:sz w:val="20"/>
        </w:rPr>
        <w:t>Test Methods for Evaluating Solid Waste,</w:t>
      </w:r>
      <w:r w:rsidR="001519AA">
        <w:rPr>
          <w:rFonts w:ascii="Arial" w:eastAsia="Arial" w:hAnsi="Arial" w:cs="Arial"/>
          <w:color w:val="000000"/>
          <w:sz w:val="20"/>
        </w:rPr>
        <w:t xml:space="preserve"> </w:t>
      </w:r>
      <w:r>
        <w:rPr>
          <w:rFonts w:ascii="Arial" w:eastAsia="Arial" w:hAnsi="Arial" w:cs="Arial"/>
          <w:color w:val="000000"/>
          <w:sz w:val="20"/>
        </w:rPr>
        <w:t>Physical/Chemical Methods''</w:t>
      </w:r>
      <w:r w:rsidR="001519AA">
        <w:rPr>
          <w:rFonts w:ascii="Arial" w:eastAsia="Arial" w:hAnsi="Arial" w:cs="Arial"/>
          <w:color w:val="000000"/>
          <w:sz w:val="20"/>
        </w:rPr>
        <w:t xml:space="preserve">, </w:t>
      </w:r>
      <w:r>
        <w:rPr>
          <w:rFonts w:ascii="Arial" w:eastAsia="Arial" w:hAnsi="Arial" w:cs="Arial"/>
          <w:color w:val="000000"/>
          <w:sz w:val="20"/>
        </w:rPr>
        <w:t>EPA Publication No. SW-846. This method was included in the</w:t>
      </w:r>
      <w:r w:rsidR="001519AA">
        <w:rPr>
          <w:rFonts w:ascii="Arial" w:eastAsia="Arial" w:hAnsi="Arial" w:cs="Arial"/>
          <w:color w:val="000000"/>
          <w:sz w:val="20"/>
        </w:rPr>
        <w:t xml:space="preserve"> </w:t>
      </w:r>
      <w:r>
        <w:rPr>
          <w:rFonts w:ascii="Arial" w:eastAsia="Arial" w:hAnsi="Arial" w:cs="Arial"/>
          <w:color w:val="000000"/>
          <w:sz w:val="20"/>
        </w:rPr>
        <w:t>PCWP</w:t>
      </w:r>
      <w:r w:rsidR="001519AA">
        <w:rPr>
          <w:rFonts w:ascii="Arial" w:eastAsia="Arial" w:hAnsi="Arial" w:cs="Arial"/>
          <w:color w:val="000000"/>
          <w:sz w:val="20"/>
        </w:rPr>
        <w:t xml:space="preserve"> </w:t>
      </w:r>
      <w:r>
        <w:rPr>
          <w:rFonts w:ascii="Arial" w:eastAsia="Arial" w:hAnsi="Arial" w:cs="Arial"/>
          <w:color w:val="000000"/>
          <w:sz w:val="20"/>
        </w:rPr>
        <w:t xml:space="preserve">rule when it was promulgated in 2004 and is reasonably available from the EPA at </w:t>
      </w:r>
      <w:hyperlink r:id="rId391" w:history="1">
        <w:r>
          <w:rPr>
            <w:rFonts w:ascii="Arial" w:eastAsia="Arial" w:hAnsi="Arial" w:cs="Arial"/>
            <w:i/>
            <w:color w:val="0077CC"/>
            <w:sz w:val="20"/>
            <w:u w:val="single"/>
            <w:shd w:val="clear" w:color="auto" w:fill="FFFFFF"/>
          </w:rPr>
          <w:t>https://www.epa.gov/hw-sw846/sw-846-compendium</w:t>
        </w:r>
      </w:hyperlink>
      <w:r>
        <w:rPr>
          <w:rFonts w:ascii="Arial" w:eastAsia="Arial" w:hAnsi="Arial" w:cs="Arial"/>
          <w:color w:val="000000"/>
          <w:sz w:val="20"/>
        </w:rPr>
        <w:t xml:space="preserve">. Under 40 CFR 63.7(f) and 40 CFR 63.8(f) of subpart A of the General Provisions, a source may apply to the EPA for permission to use alternative test methods or alternative monitoring requirements in place of any required testing methods, performance specifications, or procedures in the final rule or any amendments. The following standards, referenced in the regulatory text, are already approved for incorporation by reference at their respective locations: NCASI Method CI/WP-98.01; NCASI Method IM/CAN/WP-99.02; NCASI Method ISS/FP-A105.01; ASTM D6348-03.K. Executive Order 12898: Federal Actions To Address Environmental Justice in Minority Populations and Low-Income Populations The EPA believes that this action does not have disproportionately high and adverse human health or environmental effects on minority populations, low income populations, and/or indigenous peoples, as specified in Executive Order 12898 (59 FR 7629, February 16, 1994). The documentation for this decision is contained in section IV.A.6 of the preamble to the proposed amendments (84 FR 47074, September 6, 2019) and the technical report, Risk and Technology Review--Analysis of Demographic Factors for Populations Living Near Plywood and Composite Wood Products Source Category, Docket Item No. EPA-HQ-OAR-2016-0243-0181.L. Congressional Review Act (CRA) This action is subject to the CRA, and the EPA will submit a rule report to each House of the Congress and to the Comptroller General of the United States. This action is not a ``major rule'' as defined by U.S.C 804(2).List of Subjects in 40 CFR Part 63 Environmental protection, Administrative practice and procedures, Air pollution control, Hazardous substances, Incorporation by reference, Intergovernmental relations, Reporting and recordkeeping requirements.Andrew Wheeler,Administrator. For the reasons set forth in the preamble, 40 CFR part 63 is amended as follows:PART 63--NATIONAL EMISSION STANDARDS FOR HAZARDOUS AIR POLLUTANTS FOR SOURCE CATEGORIES01. </w:t>
      </w:r>
      <w:r>
        <w:rPr>
          <w:rFonts w:ascii="Arial" w:eastAsia="Arial" w:hAnsi="Arial" w:cs="Arial"/>
          <w:color w:val="000000"/>
          <w:sz w:val="20"/>
        </w:rPr>
        <w:lastRenderedPageBreak/>
        <w:t xml:space="preserve">The authority citation for part 63 continues to read as follows: Authority: 42 U.S.C 7401 et seq.Subpart A--General Provisions02. Section 63.14 is amended by redesignating paragraphs (n)(8) through (28) as (n)(9) through (29) and adding new paragraph (n)(8) to read as follows:Sec. 63.14 Incorporations by reference.* * * * * (n) * * * (8) SW-846-0011, Sampling for Selected Aldehyde and Ketone Emissions from Stationary Sources, Revision 0, December 1996, in EPA Publication No. SW-846, Test Methods[[Page 49455]]for Evaluating Solid Waste, Physical/Chemical Methods, Third Edition, IBR approved for table 4 to subpart DDDD.* * * * *Subpart DDDD--National Emission Standards for Hazardous Air Pollutants: Plywood and Composite Wood Products03. Section 63.2233 is amended by revising paragraphs (a)(1) and (2) and (b) to read as follows:Sec. 63.2233 When do I have to comply with this subpart? (a) * * * (1) If the initial </w:t>
      </w:r>
      <w:r>
        <w:rPr>
          <w:rFonts w:ascii="Arial" w:eastAsia="Arial" w:hAnsi="Arial" w:cs="Arial"/>
          <w:b/>
          <w:i/>
          <w:color w:val="000000"/>
          <w:sz w:val="20"/>
          <w:u w:val="single"/>
        </w:rPr>
        <w:t>startup</w:t>
      </w:r>
      <w:r>
        <w:rPr>
          <w:rFonts w:ascii="Arial" w:eastAsia="Arial" w:hAnsi="Arial" w:cs="Arial"/>
          <w:color w:val="000000"/>
          <w:sz w:val="20"/>
        </w:rPr>
        <w:t xml:space="preserve"> of your affected source is before September 28, 2004, then you must comply with the compliance options, operating requirements, and work practice requirements for new and reconstructed sources in this subpart no later than September 28, 2004, except as otherwise specified in Sec. Sec. 63.2250, 63.2280(b) and (d), 63.2281(b)(6), and 63.2282(a)(2) and Tables 3, 6, 7, 8, 9, and 10 to this subpart. (2) If the initial </w:t>
      </w:r>
      <w:r>
        <w:rPr>
          <w:rFonts w:ascii="Arial" w:eastAsia="Arial" w:hAnsi="Arial" w:cs="Arial"/>
          <w:b/>
          <w:i/>
          <w:color w:val="000000"/>
          <w:sz w:val="20"/>
          <w:u w:val="single"/>
        </w:rPr>
        <w:t>startup</w:t>
      </w:r>
      <w:r>
        <w:rPr>
          <w:rFonts w:ascii="Arial" w:eastAsia="Arial" w:hAnsi="Arial" w:cs="Arial"/>
          <w:color w:val="000000"/>
          <w:sz w:val="20"/>
        </w:rPr>
        <w:t xml:space="preserve"> of your affected source is after September 28, 2004, then you must comply with the compliance options, operating requirements, and work practice requirements for new and reconstructed sources in this subpart upon initial </w:t>
      </w:r>
      <w:r>
        <w:rPr>
          <w:rFonts w:ascii="Arial" w:eastAsia="Arial" w:hAnsi="Arial" w:cs="Arial"/>
          <w:b/>
          <w:i/>
          <w:color w:val="000000"/>
          <w:sz w:val="20"/>
          <w:u w:val="single"/>
        </w:rPr>
        <w:t>startup</w:t>
      </w:r>
      <w:r>
        <w:rPr>
          <w:rFonts w:ascii="Arial" w:eastAsia="Arial" w:hAnsi="Arial" w:cs="Arial"/>
          <w:color w:val="000000"/>
          <w:sz w:val="20"/>
        </w:rPr>
        <w:t xml:space="preserve"> of your affected source, except as otherwise specified in Sec. Sec. 63.2250, 63.2280(b) and (d), 63.2281(b)(6), and 63.2282(a)(2) and Tables 3, 6, 7, 8, 9, and 10 to this subpart. (b) If you have an existing affected source, you must comply with the compliance options, operating requirements, and work practice requirements for existing sources no later than October 1, 2007, except as otherwise specified in Sec. Sec. 63.2240(c)(2)(vi)(A), 63.2250, 63.2280(b) and (d), 63.2281(b)(6) and (c)(4), and 63.2282(a)(2) and Tables 3, 6, 7, 8, 9, and 10 to this subpart.* * * * *04. Section 63.2240 is amended by revising paragraph (c)(2)(vi)(A) to read as follows:Sec. 63.2240 What are the compliance options and operating requirements and how must I meet them?* * * * * (c) * * * (2) * * * (vi) * * * (A) Before August 13, 2021, emissions during periods of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as described in the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plan (SSMP). On and after August 13, 2021, emissions during safety-related shutdowns, pressurized refiner </w:t>
      </w:r>
      <w:r>
        <w:rPr>
          <w:rFonts w:ascii="Arial" w:eastAsia="Arial" w:hAnsi="Arial" w:cs="Arial"/>
          <w:b/>
          <w:i/>
          <w:color w:val="000000"/>
          <w:sz w:val="20"/>
          <w:u w:val="single"/>
        </w:rPr>
        <w:t>startups</w:t>
      </w:r>
      <w:r>
        <w:rPr>
          <w:rFonts w:ascii="Arial" w:eastAsia="Arial" w:hAnsi="Arial" w:cs="Arial"/>
          <w:color w:val="000000"/>
          <w:sz w:val="20"/>
        </w:rPr>
        <w:t xml:space="preserve"> and shutdowns, or </w:t>
      </w:r>
      <w:r>
        <w:rPr>
          <w:rFonts w:ascii="Arial" w:eastAsia="Arial" w:hAnsi="Arial" w:cs="Arial"/>
          <w:b/>
          <w:i/>
          <w:color w:val="000000"/>
          <w:sz w:val="20"/>
          <w:u w:val="single"/>
        </w:rPr>
        <w:t>startup</w:t>
      </w:r>
      <w:r>
        <w:rPr>
          <w:rFonts w:ascii="Arial" w:eastAsia="Arial" w:hAnsi="Arial" w:cs="Arial"/>
          <w:color w:val="000000"/>
          <w:sz w:val="20"/>
        </w:rPr>
        <w:t xml:space="preserve"> and shutdown of direct-fired softwood veneer dryer gas-fired burners.* * * * *05. Section 63.2250 is amended by:0a. Adding two sentences to the end of paragraph (a);0b. Revising paragraphs (b) and (c); and0c. Adding paragraphs (e) through (g). The revisions and additions read as follows:Sec. 63.2250 What are the general requirements? (a) * * * For any affected source that commences construction or reconstruction after September 6, 2019, this paragraph (a) does not apply on and after August 13, 2020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all other affected sources, this paragraph (a) does not apply on and after August 13, 2021. (b) You must always operate and maintain your affected source, including air pollution control and monitoring equipment according to the provisions in Sec. 63.6(e)(1)(i). For any affected source that commences construction or reconstruction after September 6, 2019, this paragraph (b) does not apply on and after August 13, 2020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all other affected sources, this paragraph (b) does not apply on and after August 13, 2021. (c) You must develop a written SSMP according to the provisions in Sec. 63.6(e)(3). For any affected source that commences construction or reconstruction after September 6, 2019, this paragraph (c) does not apply on and after August 13, 2020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all other affected sources, this paragraph (c) does not apply on and after August 13, 2021.* * * * * (e) You must be in compliance with the provisions of subpart A of this part, except as noted in Table 10 to this subpart. (f) Upon August 13, 2020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affected sources that commenced construction or reconstruction after September 6, 2019, and on and after August 13, 2021 for all other affected sources, you must be in compliance with the compliance options, operating requirements, and the work practice requirements in this subpart when the process unit(s) subject to the compliance options, operating requirements, and work practice requirements are operating, except as specified in paragraphs (f)(1) through (6) of this section. (1) Prior to process unit initial </w:t>
      </w:r>
      <w:r>
        <w:rPr>
          <w:rFonts w:ascii="Arial" w:eastAsia="Arial" w:hAnsi="Arial" w:cs="Arial"/>
          <w:b/>
          <w:i/>
          <w:color w:val="000000"/>
          <w:sz w:val="20"/>
          <w:u w:val="single"/>
        </w:rPr>
        <w:t>startup</w:t>
      </w:r>
      <w:r>
        <w:rPr>
          <w:rFonts w:ascii="Arial" w:eastAsia="Arial" w:hAnsi="Arial" w:cs="Arial"/>
          <w:color w:val="000000"/>
          <w:sz w:val="20"/>
        </w:rPr>
        <w:t xml:space="preserve">. (2) During safety-related shutdowns conducted according to the work practice requirement in Table 3 to this subpart. (3) During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according to the work practice requirement in Table 3 to this subpart. (4) During </w:t>
      </w:r>
      <w:r>
        <w:rPr>
          <w:rFonts w:ascii="Arial" w:eastAsia="Arial" w:hAnsi="Arial" w:cs="Arial"/>
          <w:b/>
          <w:i/>
          <w:color w:val="000000"/>
          <w:sz w:val="20"/>
          <w:u w:val="single"/>
        </w:rPr>
        <w:t>startup</w:t>
      </w:r>
      <w:r>
        <w:rPr>
          <w:rFonts w:ascii="Arial" w:eastAsia="Arial" w:hAnsi="Arial" w:cs="Arial"/>
          <w:color w:val="000000"/>
          <w:sz w:val="20"/>
        </w:rPr>
        <w:t xml:space="preserve"> and shutdown of direct-fired softwood veneer dryer gas-fired burners according to the work practice requirement in Table 3 to this subpart. (5) You must minimize the length of time when compliance options and operating requirements in this subpart are not met due to the conditions in paragraphs (f)(2) and (4) of this section. (6) The applicable standard during each of the operating conditions specified in paragraphs (f)(2) through (4) of this section are the work practice requirements in Table 3 to this subpart for safety-related shutdowns (row 6),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(row 7), and direct-fired softwood veneer dryers undergoing </w:t>
      </w:r>
      <w:r>
        <w:rPr>
          <w:rFonts w:ascii="Arial" w:eastAsia="Arial" w:hAnsi="Arial" w:cs="Arial"/>
          <w:b/>
          <w:i/>
          <w:color w:val="000000"/>
          <w:sz w:val="20"/>
          <w:u w:val="single"/>
        </w:rPr>
        <w:lastRenderedPageBreak/>
        <w:t>startup</w:t>
      </w:r>
      <w:r>
        <w:rPr>
          <w:rFonts w:ascii="Arial" w:eastAsia="Arial" w:hAnsi="Arial" w:cs="Arial"/>
          <w:color w:val="000000"/>
          <w:sz w:val="20"/>
        </w:rPr>
        <w:t xml:space="preserve"> or shutdown of gas-fired burners (row 8). The otherwise applicable compliance options, operating requirements, and work practice requirements (in rows 1 through 5 of Table 3 to this subpart) do not apply during the operating conditions specified in paragraphs (f)(2) through (4) of this section. (g) For affected sources that commenced construction or reconstruction after September 6, 2019, and for all other affected sources on and after August 13, 2021, you must always operate and maintain your affected source, including air pollution control and monitoring equipment in a manner consistent with good air pollution control practices for minimizing emissions at least to the levels required by this subpart. The general duty to minimize emissions does not require you to make any further efforts to reduce emissions if levels required by the applicable standard have been achieved. Determination of whether a source is operating in compliance with operation and maintenance requirements will be based on information available to the Administrator which may include, but is not limited to, monitoring results, review of operation and maintenance procedures, review of operation and maintenance records, and inspection of the source.06. Section 63.2252 is revised to read as follows:[[Page 49456]]Sec. 63.2252 What are the requirements for process units that have no control or work practice requirements? For process units not subject to the compliance options or work practice requirements specified in Sec. 63.2240 (including, but not limited to, lumber kilns), you are not required to comply with the compliance options, work practice requirements, performance testing, monitoring, and recordkeeping or reporting requirements of this subpart, or any other requirements in subpart A of this part, except for the initial notification requirements in Sec. 63.9(b).07. Section 63.2262 is amended by revising paragraphs (a), (b), (m)(1), and (n)(1) to read as follows:Sec. 63.2262 How do I conduct performance tests and establish operating requirements? (a) Testing procedures. You must conduct each performance test according to the requirements in paragraphs (b) through (o) of this section and according to the methods specified in Table 4 to this subpart. (b) Periods when performance tests must be conducted. You must conduct each performance test based on representative performance (i.e , performance based on representative operating conditions as defined in Sec. 63.2292) of the affected source for the period being tested. Representative conditions exclude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You may not conduct performance tests during periods of malfunction. You must describe representative operating conditions in your performance test report for the process and control systems and explain why they are representative. You must record the process information that is necessary to document operating conditions during the test and include in such record an explanation to support that such conditions are representative. Upon request, you shall make available to the Administrator such records as may be necessary to determine the conditions of performance tests.* * * * * (m) * * * (1) During the performance test, you must continuously monitor the biofilter bed temperature during each of the required 1-hour test runs. To monitor biofilter bed temperature, you may use multiple thermocouples in representative locations throughout the biofilter bed and calculate the average biofilter bed temperature across these thermocouples prior to reducing the temperature data to 15-minute averages for purposes of establishing biofilter bed temperature limits. The biofilter bed temperature range must be established as the temperature values 10 percent below the minimum and 10 percent (not to exceed 8[deg] F) above the maximum 15-minute biofilter bed temperatures monitored during the three test runs. You may base your biofilter bed temperature range on values recorded during previous performance tests provided that the data used to establish the temperature ranges have been obtained using the test methods required in this subpart. If you use data from previous performance tests, you must certify that the biofilter and associated process unit(s) have not been modified subsequent to the date of the performance tests. Replacement of the biofilter media with the same type of material is not considered a modification of the biofilter for purposes of this section.* * * * * (n) * * * (1) During the performance test, you must identify and document the process unit controlling parameter(s) that affect total HAP emissions during the three-run performance test. The controlling parameters you identify must coincide with the representative operating conditions you describe according to paragraph (b) of this section. For each parameter, you must specify appropriate monitoring methods, monitoring frequencies, and for continuously monitored parameters, averaging times not to exceed 24 hours. The operating limit for each controlling parameter must then be established as the minimum, maximum, range, or average (as appropriate depending on the parameter) recorded during the performance test. Multiple three-run performance tests may be conducted to establish a range of parameter values under different operating conditions.* * * * *08. Section 63.2269 is amended by revising paragraphs (b)(4) and (5) to read as follows:Sec. 63.2269 What are my monitoring installation, operation, and maintenance requirements?* * * * * (b) * * * (4) Validate the temperature sensor's reading at least semiannually using the requirements of paragraph (b)(4)(i), (ii), (iii), (iv), or (v) of this section: (i) Compare measured readings to a National Institute of Standards and Technology (NIST) traceable temperature measurement device or </w:t>
      </w:r>
      <w:r>
        <w:rPr>
          <w:rFonts w:ascii="Arial" w:eastAsia="Arial" w:hAnsi="Arial" w:cs="Arial"/>
          <w:color w:val="000000"/>
          <w:sz w:val="20"/>
        </w:rPr>
        <w:lastRenderedPageBreak/>
        <w:t xml:space="preserve">simulate a typical operating temperature using a NIST traceable temperature simulation device. When the temperature measurement device method is used, the sensor of the NIST traceable calibrated device must be placed as close as practicable to the process sensor, and both devices must be subjected to the same environmental conditions. The accuracy of the temperature measured must be 2.5 percent of the temperature measured by the NIST traceable device or 5 [deg]F, whichever is greater. (ii) Follow applicable procedures in the thermocouple manufacturer owner's manual. (iii) Request thermocouple manufacturer to certify or re-certify electromotive force (electrical properties) of the thermocouple. (iv) Replace thermocouple with a new certified thermocouple in lieu of validation. (v) Permanently install a redundant temperature sensor as close as practicable to the process temperature sensor. The sensors must yield a reading within 30 [deg]F of each other for thermal oxidizers and catalytic oxidizers; within 5 [deg]F of each other for biofilters; and within 20 [deg]F of each other for dry rotary dryers. (5) Conduct validation checks using the procedures in paragraph (b)(4) of this section any time the sensor exceeds the manufacturer's specified maximum operating temperature range or install a new temperature sensor.* * * * *09. Section 63.2270 is amended by revising paragraph (c) to read as follows:Sec. 63.2270 How do I monitor and collect data to demonstrate continuous compliance?* * * * * (c) You may not use data recorded during monitoring malfunctions, associated repairs, and required quality assurance or control activities or data recorded during periods of safety-related shutdown, pressurized refiner </w:t>
      </w:r>
      <w:r>
        <w:rPr>
          <w:rFonts w:ascii="Arial" w:eastAsia="Arial" w:hAnsi="Arial" w:cs="Arial"/>
          <w:b/>
          <w:i/>
          <w:color w:val="000000"/>
          <w:sz w:val="20"/>
          <w:u w:val="single"/>
        </w:rPr>
        <w:t>startup</w:t>
      </w:r>
      <w:r>
        <w:rPr>
          <w:rFonts w:ascii="Arial" w:eastAsia="Arial" w:hAnsi="Arial" w:cs="Arial"/>
          <w:color w:val="000000"/>
          <w:sz w:val="20"/>
        </w:rPr>
        <w:t xml:space="preserve"> or shutdown, </w:t>
      </w:r>
      <w:r>
        <w:rPr>
          <w:rFonts w:ascii="Arial" w:eastAsia="Arial" w:hAnsi="Arial" w:cs="Arial"/>
          <w:b/>
          <w:i/>
          <w:color w:val="000000"/>
          <w:sz w:val="20"/>
          <w:u w:val="single"/>
        </w:rPr>
        <w:t>startup</w:t>
      </w:r>
      <w:r>
        <w:rPr>
          <w:rFonts w:ascii="Arial" w:eastAsia="Arial" w:hAnsi="Arial" w:cs="Arial"/>
          <w:color w:val="000000"/>
          <w:sz w:val="20"/>
        </w:rPr>
        <w:t xml:space="preserve"> and shutdown of direct-fired softwood veneer dryer gas-fired burners, or control device downtime covered in any approved routine control device maintenance exemption in data averages and calculations used to report emission or operating levels, nor may such data be used in fulfilling a minimum data availability requirement, if applicable. You must use all the data collected during all other periods in assessing the operation of the control system.* * * * *010. Section 63.2271 is amended by:0a. Revising paragraph (b) introductory text;[[Page 49457]]0b. Removing and reserving paragraph (b)(2); and0c. Adding paragraph (b)(4). The revisions and additions read as follows:Sec. 63.2271 How do I demonstrate continuous compliance with the compliance options, operating requirements, and work practice requirements?* * * * * (b) You must report each instance in which you did not meet each compliance option, operating requirement, and work practice requirement in Tables 7 and 8 to this subpart that applies to you. This includes periods of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and periods of control device maintenance specified in paragraphs (b)(1) through (4) of this section. These instances are deviations from the compliance options, operating requirements, and work practice requirements in this subpart. These deviations must be reported according to the requirements in Sec. 63.2281 * * * * * (4) Instances of safety-related shutdown,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and </w:t>
      </w:r>
      <w:r>
        <w:rPr>
          <w:rFonts w:ascii="Arial" w:eastAsia="Arial" w:hAnsi="Arial" w:cs="Arial"/>
          <w:b/>
          <w:i/>
          <w:color w:val="000000"/>
          <w:sz w:val="20"/>
          <w:u w:val="single"/>
        </w:rPr>
        <w:t>startup</w:t>
      </w:r>
      <w:r>
        <w:rPr>
          <w:rFonts w:ascii="Arial" w:eastAsia="Arial" w:hAnsi="Arial" w:cs="Arial"/>
          <w:color w:val="000000"/>
          <w:sz w:val="20"/>
        </w:rPr>
        <w:t xml:space="preserve"> and shutdown of direct-fired softwood veneer dryer gas-fired burners subject to the work practice requirements in Table 3 to this subpart (rows 6 through 8) must be reported as required in Sec. 63.2281(c)(4). Instances when the work practice requirements in Table 3 to this subpart (rows 6 through 8) are used are not considered to be deviations from (or violations of) the otherwise applicable compliance options, operating requirements and work practice requirements (in rows 1 through 5 of Table 3 to this subpart) as long as you do not exceed the minimum amount of time necessary for these events.011. Section 63.2280 is amended by revising paragraphs (b), (d) introductory text, and (d)(2) to read as follows:Sec. 63.2280 What notifications must I submit and when?* * * * * (b) You must submit an Initial Notification no later than 120 calendar days after September 28, 2004, or after initial </w:t>
      </w:r>
      <w:r>
        <w:rPr>
          <w:rFonts w:ascii="Arial" w:eastAsia="Arial" w:hAnsi="Arial" w:cs="Arial"/>
          <w:b/>
          <w:i/>
          <w:color w:val="000000"/>
          <w:sz w:val="20"/>
          <w:u w:val="single"/>
        </w:rPr>
        <w:t>startup</w:t>
      </w:r>
      <w:r>
        <w:rPr>
          <w:rFonts w:ascii="Arial" w:eastAsia="Arial" w:hAnsi="Arial" w:cs="Arial"/>
          <w:color w:val="000000"/>
          <w:sz w:val="20"/>
        </w:rPr>
        <w:t xml:space="preserve">, whichever is later, as specified in Sec. 63.9(b)(2). Initial Notifications required to be submitted after August 13, 2020 for affected sources that commence construction or reconstruction after September 6, 2019, and on and after August 13, 2021 for all other affected sources submitting initial notifications required in Sec. 63.9(b) must be submitted following the procedure specified in Sec. 63.2281(h), (k), and (l).* * * * * (d) If you are required to conduct a performance test, design evaluation, or other compliance demonstration as specified in Tables 4, 5, and 6 to this subpart, or a repeat performance test as specified in Table 7 to this subpart, you must submit a Notification of Compliance Status as specified in Sec. 63.9(h)(2)(ii). After August 13, 2020 for affected sources that commence construction or reconstruction after September 6, 2019, and on and after August 13, 2021 for all other affected sources, submit all subsequent Notifications of Compliance Status following the procedure specified in Sec. 63.2281(h), (k), and (l).* * * * * (2) For each compliance demonstration required in Tables 5, 6, and 7 to this subpart that includes a performance test conducted according to the requirements in Table 4 to this subpart, you must submit the Notification of Compliance Status, including a summary of the performance test results, before the close of business on the 60th calendar day following the completion of the performance test.* * * * *012. Section 63.2281 is amended by:0a. Revising paragraph (b) introductory text;0b. Adding paragraph (b)(6);0c. Revising paragraph (c)(4);0d. Removing and reserving paragraph </w:t>
      </w:r>
      <w:r>
        <w:rPr>
          <w:rFonts w:ascii="Arial" w:eastAsia="Arial" w:hAnsi="Arial" w:cs="Arial"/>
          <w:color w:val="000000"/>
          <w:sz w:val="20"/>
        </w:rPr>
        <w:lastRenderedPageBreak/>
        <w:t xml:space="preserve">(c)(6);0e. Revising paragraph (d)(2);0f. Revising the first sentence of paragraph (e) introductory text;0g. Removing and reserving paragraph (e)(1);0h. Revising paragraph (e)(2);0i. Adding paragraphs (e)(12) and (13); and0j. Adding paragraphs (h) through (l). The revisions and additions read as follows:Sec. 63.2281 What reports must I submit and when?* * * * * (b) Unless the EPA Administrator has approved a different schedule for submission of reports under Sec. 63.10(a), you must submit each report by the date in Table 9 to this subpart and as specified in paragraphs (b)(1) through (6) of this section.* * * * * (6) After August 13, 2020 for affected sources that commenced construction or reconstruction after September 6, 2019, and on and after August 13, 2021 for all other affected sources, submit all subsequent reports following the procedure specified in paragraphs (h), (k) and (l) of this section. (c) * * * (4) If you had a </w:t>
      </w:r>
      <w:r>
        <w:rPr>
          <w:rFonts w:ascii="Arial" w:eastAsia="Arial" w:hAnsi="Arial" w:cs="Arial"/>
          <w:b/>
          <w:i/>
          <w:color w:val="000000"/>
          <w:sz w:val="20"/>
          <w:u w:val="single"/>
        </w:rPr>
        <w:t>startup</w:t>
      </w:r>
      <w:r>
        <w:rPr>
          <w:rFonts w:ascii="Arial" w:eastAsia="Arial" w:hAnsi="Arial" w:cs="Arial"/>
          <w:color w:val="000000"/>
          <w:sz w:val="20"/>
        </w:rPr>
        <w:t xml:space="preserve">, shutdown, or malfunction during the reporting period and you took actions consistent with your SSMP, the compliance report must include the information specified in Sec. 63.10(d)(5)(i) before August 13, 2021 for affected sources that commenced construction or reconstruction before September 6, 2019. After August 13, 2020 for affected sources that commenced construction or reconstruction after September 6, 2019, and on and after August 13, 2021 for all other affected sources, the compliance report must include the number of instances and total amount of time during the reporting period in which each of the </w:t>
      </w:r>
      <w:r>
        <w:rPr>
          <w:rFonts w:ascii="Arial" w:eastAsia="Arial" w:hAnsi="Arial" w:cs="Arial"/>
          <w:b/>
          <w:i/>
          <w:color w:val="000000"/>
          <w:sz w:val="20"/>
          <w:u w:val="single"/>
        </w:rPr>
        <w:t>startup</w:t>
      </w:r>
      <w:r>
        <w:rPr>
          <w:rFonts w:ascii="Arial" w:eastAsia="Arial" w:hAnsi="Arial" w:cs="Arial"/>
          <w:color w:val="000000"/>
          <w:sz w:val="20"/>
        </w:rPr>
        <w:t xml:space="preserve">/shutdown work practice requirements in Table 3 to this subpart (rows 6 through 8) is used in place of the otherwise applicable compliance options, operating requirements, and work practice requirements (in Table 3 to this subpart rows 1 through 5). If a </w:t>
      </w:r>
      <w:r>
        <w:rPr>
          <w:rFonts w:ascii="Arial" w:eastAsia="Arial" w:hAnsi="Arial" w:cs="Arial"/>
          <w:b/>
          <w:i/>
          <w:color w:val="000000"/>
          <w:sz w:val="20"/>
          <w:u w:val="single"/>
        </w:rPr>
        <w:t>startup</w:t>
      </w:r>
      <w:r>
        <w:rPr>
          <w:rFonts w:ascii="Arial" w:eastAsia="Arial" w:hAnsi="Arial" w:cs="Arial"/>
          <w:color w:val="000000"/>
          <w:sz w:val="20"/>
        </w:rPr>
        <w:t xml:space="preserve">/shutdown work practice in Table 3 to this subpart (rows 6 through 8) is used for more than a total of 100 hours during the semiannual reporting period, you must report the date, time and duration of each instance when that </w:t>
      </w:r>
      <w:r>
        <w:rPr>
          <w:rFonts w:ascii="Arial" w:eastAsia="Arial" w:hAnsi="Arial" w:cs="Arial"/>
          <w:b/>
          <w:i/>
          <w:color w:val="000000"/>
          <w:sz w:val="20"/>
          <w:u w:val="single"/>
        </w:rPr>
        <w:t>startup</w:t>
      </w:r>
      <w:r>
        <w:rPr>
          <w:rFonts w:ascii="Arial" w:eastAsia="Arial" w:hAnsi="Arial" w:cs="Arial"/>
          <w:color w:val="000000"/>
          <w:sz w:val="20"/>
        </w:rPr>
        <w:t xml:space="preserve">/shutdown work practice was used.* * * * * (d) * * * (2) Information on the date, time, duration, and cause of deviations (including unknown cause, if applicable), as applicable, and the corrective action taken. (e) For each deviation from a compliance option, operating requirement, or work practice requirement occurring at an affected source where you are using a CMS to comply with the compliance options, operating requirements, or work practice requirements in this subpart, you must include the information in paragraphs (c)(1) through (6) and (e)(1) through (13) of this section. * * ** * * * * (2) The date, time, and duration that each CMS was inoperative, except for zero (low-level) and high-level checks.* * * * * (12) For any </w:t>
      </w:r>
      <w:r>
        <w:rPr>
          <w:rFonts w:ascii="Arial" w:eastAsia="Arial" w:hAnsi="Arial" w:cs="Arial"/>
          <w:b/>
          <w:i/>
          <w:color w:val="000000"/>
          <w:sz w:val="20"/>
          <w:u w:val="single"/>
        </w:rPr>
        <w:t>failure</w:t>
      </w:r>
      <w:r>
        <w:rPr>
          <w:rFonts w:ascii="Arial" w:eastAsia="Arial" w:hAnsi="Arial" w:cs="Arial"/>
          <w:color w:val="000000"/>
          <w:sz w:val="20"/>
        </w:rPr>
        <w:t xml:space="preserve"> to meet a compliance option in Sec. 63.2240, including the compliance options in Table 1A or 1B to this subpart or the emissions averaging compliance option, provide an estimate of the quantity of each regulated pollutant emitted over any emission limit, and a description of[[Page 49458]]the method used to estimate the emissions. (13) The total operating time of each affected source during the reporting period.* * * * * (h) If you are required to submit reports following the procedure specified in this paragraph (h), you must submit reports to the EPA via the Compliance and Emissions Data Reporting Interface (CEDRI), which can be accessed through the EPA's Central Data Exchange (CDX) (</w:t>
      </w:r>
      <w:hyperlink r:id="rId392" w:history="1">
        <w:r>
          <w:rPr>
            <w:rFonts w:ascii="Arial" w:eastAsia="Arial" w:hAnsi="Arial" w:cs="Arial"/>
            <w:i/>
            <w:color w:val="0077CC"/>
            <w:sz w:val="20"/>
            <w:u w:val="single"/>
            <w:shd w:val="clear" w:color="auto" w:fill="FFFFFF"/>
          </w:rPr>
          <w:t>https://cdx.epa.gov/</w:t>
        </w:r>
      </w:hyperlink>
      <w:r>
        <w:rPr>
          <w:rFonts w:ascii="Arial" w:eastAsia="Arial" w:hAnsi="Arial" w:cs="Arial"/>
          <w:color w:val="000000"/>
          <w:sz w:val="20"/>
        </w:rPr>
        <w:t>). The EPA will make all the information submitted through CEDRI available to the public without further notice to you. Do not use CEDRI to submit information you claim as confidential business information (CBI). Anything submitted using CEDRI cannot later be claimed to be CBI. For semiannual compliance reports required in this section and Table 9 (row 1) to this subpart, you must use the appropriate electronic report template on the CEDRI website (</w:t>
      </w:r>
      <w:hyperlink r:id="rId393" w:history="1">
        <w:r>
          <w:rPr>
            <w:rFonts w:ascii="Arial" w:eastAsia="Arial" w:hAnsi="Arial" w:cs="Arial"/>
            <w:i/>
            <w:color w:val="0077CC"/>
            <w:sz w:val="20"/>
            <w:u w:val="single"/>
            <w:shd w:val="clear" w:color="auto" w:fill="FFFFFF"/>
          </w:rPr>
          <w:t>https://www.epa.gov/electronic-reporting-air-emissions/compliance-and-emissions-data-reporting-interface-cedri</w:t>
        </w:r>
      </w:hyperlink>
      <w:r>
        <w:rPr>
          <w:rFonts w:ascii="Arial" w:eastAsia="Arial" w:hAnsi="Arial" w:cs="Arial"/>
          <w:color w:val="000000"/>
          <w:sz w:val="20"/>
        </w:rPr>
        <w:t xml:space="preserve">) for this subpart once the reporting template has been available on the CEDRI website for 1 year. The date report templates become available will be listed on the CEDRI website. If the reporting form for the semiannual compliance report specific to this subpart is not available in CEDRI at the time that the report is due, you must submit the report to the Administrator at the appropriate addresses listed in Sec. 63.13 You must begin submitting all subsequent reports via CEDRI in the first full reporting period after the report template for this subpart has been available in CEDRI for 1 year. Initial Notifications developed according to Sec. 63.2280(b) and Notifications of Compliance Status developed according to Sec. 63.2280(d) may be uploaded in a user-specified format such as portable document format (PDF). The report must be submitted by the deadline specified in this subpart, regardless of the method in which the report is submitted. Although we do not expect persons to assert a claim of CBI, if persons wish to assert a CBI claim, submit a complete report, including information claimed to be CBI, to the EPA. The report must be generated using the appropriate form on the CEDRI website. Submit the file on a compact disc, flash drive, or other commonly used electronic storage medium and clearly mark the medium as CBI. Mail the electronic medium to U.S EPA/OAQPS/CORE CBI Office, Attention: Group Leader, Measurement Policy Group, MD C404-02, 4930 Old Page Rd., Durham, NC 27703. The same file with the CBI omitted must be submitted to the EPA via the EPA's CDX. All CBI claims must be asserted at the time of submission. Furthermore, under CAA section 114(c) emissions data is not entitled to confidential treatment and requires EPA to make </w:t>
      </w:r>
      <w:r>
        <w:rPr>
          <w:rFonts w:ascii="Arial" w:eastAsia="Arial" w:hAnsi="Arial" w:cs="Arial"/>
          <w:color w:val="000000"/>
          <w:sz w:val="20"/>
        </w:rPr>
        <w:lastRenderedPageBreak/>
        <w:t>emissions data available to the public. Thus, emissions data will not be protected as CBI and will be made publicly available. (i) Within 60 days after the date of completing each performance test required by this subpart, you must submit the results of the performance test following the procedures specified in paragraphs (i)(1) through (3) of this section. (1) Data collected using test methods supported by the EPA's Electronic Reporting Tool (ERT) as listed on the EPA's ERT website (</w:t>
      </w:r>
      <w:hyperlink r:id="rId394" w:history="1">
        <w:r>
          <w:rPr>
            <w:rFonts w:ascii="Arial" w:eastAsia="Arial" w:hAnsi="Arial" w:cs="Arial"/>
            <w:i/>
            <w:color w:val="0077CC"/>
            <w:sz w:val="20"/>
            <w:u w:val="single"/>
            <w:shd w:val="clear" w:color="auto" w:fill="FFFFFF"/>
          </w:rPr>
          <w:t>https://www.epa.gov/electronic-reporting-air-emissions/electronic-reporting-tool-ert</w:t>
        </w:r>
      </w:hyperlink>
      <w:r>
        <w:rPr>
          <w:rFonts w:ascii="Arial" w:eastAsia="Arial" w:hAnsi="Arial" w:cs="Arial"/>
          <w:color w:val="000000"/>
          <w:sz w:val="20"/>
        </w:rPr>
        <w:t>) at the time of the test. Submit the results of the performance test to the EPA via CEDRI, which can be accessed through the EPA's CDX (</w:t>
      </w:r>
      <w:hyperlink r:id="rId395" w:history="1">
        <w:r>
          <w:rPr>
            <w:rFonts w:ascii="Arial" w:eastAsia="Arial" w:hAnsi="Arial" w:cs="Arial"/>
            <w:i/>
            <w:color w:val="0077CC"/>
            <w:sz w:val="20"/>
            <w:u w:val="single"/>
            <w:shd w:val="clear" w:color="auto" w:fill="FFFFFF"/>
          </w:rPr>
          <w:t>https://cdx.epa.gov/</w:t>
        </w:r>
      </w:hyperlink>
      <w:r>
        <w:rPr>
          <w:rFonts w:ascii="Arial" w:eastAsia="Arial" w:hAnsi="Arial" w:cs="Arial"/>
          <w:color w:val="000000"/>
          <w:sz w:val="20"/>
        </w:rPr>
        <w:t xml:space="preserve">). The data must be submitted in a file format generated through the use of the EPA's ERT. Alternatively, you may submit an electronic file consistent with the extensible markup language (XML) schema listed on the EPA's ERT website. (2) Data collected using test methods that are not supported by the EPA's ERT as listed on the EPA's ERT website at the time of the test. The results of the performance test must be included as an attachment in the ERT or an alternate electronic file consistent with the XML schema listed on the EPA's ERT website. Submit the ERT generated package or alternative file to the EPA via CEDRI. (3) Confidential Business Information (CBI). The EPA will make all the information submitted through CEDRI available to the public without further notice to you. Do not use CEDRI to submit information you claim as CBI. Anything submitted using CEDRI cannot later be claimed to be CBI. Although we do not expect persons to assert a claim of CBI, if you claim some of the information submitted under this paragraph (i) is CBI, you must submit a complete file, including information claimed to be CBI, to the EPA. The file must be generated through the use of the EPA's ERT or an alternate electronic file consistent with the XML schema listed on the EPA's ERT website. Submit the file on a compact disc, flash drive, or other commonly used electronic storage medium and clearly mark the medium as CBI. Mail the electronic medium to U.S EPA/OAQPS/CORE CBI Office, Attention: Group Leader, Measurement Policy Group, MD C404-02, 4930 Old Page Rd., Durham, NC 27703. The same file with the CBI omitted must be submitted to the EPA via the EPA's CDX as described in this paragraph (i). All CBI claims must be asserted at the time of submission. Furthermore, under CAA section 114(c) emissions data is not entitled to confidential treatment and requires EPA to make emissions data available to the public. Thus, emissions data will not be protected as CBI and will be made publicly available. (j) Within 60 days after the date of completing each continuous monitoring system (CMS) performance evaluation (as defined in Sec. 63.2), you must submit the results of the performance evaluation following the procedures specified in paragraphs (j)(1) through (3) of this section. (1) Performance evaluations of CMS measuring relative accuracy test audit (RATA) pollutants that are supported by the EPA's ERT as listed on the EPA's ERT website at the time of the evaluation. Submit the results of the performance evaluation to the EPA via CEDRI, which can be accessed through the EPA's CDX. The data must be submitted in a file format generated through the use of the EPA's ERT. Alternatively, you may submit an electronic file consistent with the XML schema listed on the EPA's ERT website. (2) Performance evaluations of CMS measuring RATA pollutants that are not supported by the EPA's ERT as listed on the EPA's ERT website at the time of the evaluation. The results of the performance evaluation must be included as an attachment in the ERT or an alternate electronic file consistent with the XML schema listed on the EPA's ERT website. Submit the ERT generated package or alternative file to the EPA via CEDRI. (3) Confidential Business Information (CBI). The EPA will make all the information submitted through CEDRI available to the public without further notice to you. Do not use CEDRI to submit information you claim as CBI. Anything submitted using CEDRI cannot later be claimed to be CBI. Although we do not expect persons to assert a claim of CBI, if you claim some of the information submitted under this paragraph (j) is CBI, you must submit a complete file, including information claimed to be CBI, to the EPA. The file must be generated through the use of the EPA's ERT or an alternate electronic file consistent with the XML schema listed on the EPA's ERT website. Submit the[[Page 49459]]file on a compact disc, flash drive, or other commonly used electronic storage medium and clearly mark the medium as CBI. Mail the electronic medium to U.S EPA/OAQPS/CORE CBI Office, Attention: Group Leader, Measurement Policy Group, MD C404-02, 4930 Old Page Rd., Durham, NC 27703. The same file with the CBI omitted must be submitted to the EPA via the EPA's CDX as described in this paragraph (j). All CBI claims must be asserted at the time of submission. Furthermore, under CAA section 114(c) emissions data is not entitled to confidential treatment and requires EPA to make emissions data available to the public. Thus, emissions data will not be protected as CBI and will be made publicly available. (k) If you are required to electronically submit a report or notification through CEDRI in the EPA's CDX by this subpart, you may assert a claim of EPA system outage for </w:t>
      </w:r>
      <w:r>
        <w:rPr>
          <w:rFonts w:ascii="Arial" w:eastAsia="Arial" w:hAnsi="Arial" w:cs="Arial"/>
          <w:b/>
          <w:i/>
          <w:color w:val="000000"/>
          <w:sz w:val="20"/>
          <w:u w:val="single"/>
        </w:rPr>
        <w:t>failure</w:t>
      </w:r>
      <w:r>
        <w:rPr>
          <w:rFonts w:ascii="Arial" w:eastAsia="Arial" w:hAnsi="Arial" w:cs="Arial"/>
          <w:color w:val="000000"/>
          <w:sz w:val="20"/>
        </w:rPr>
        <w:t xml:space="preserve"> to timely comply with the electronic submittal reporting requirement in this section. To assert a claim of EPA system outage, you must meet the requirements outlined in paragraphs (k)(1) through (7) of this section. (1) You must have been or will be precluded from accessing CEDRI </w:t>
      </w:r>
      <w:r>
        <w:rPr>
          <w:rFonts w:ascii="Arial" w:eastAsia="Arial" w:hAnsi="Arial" w:cs="Arial"/>
          <w:color w:val="000000"/>
          <w:sz w:val="20"/>
        </w:rPr>
        <w:lastRenderedPageBreak/>
        <w:t xml:space="preserve">and submitting a required report within the time prescribed due to an outage of either the EPA's CEDRI or CDX systems. (2) The outage must have occurred within the period of time beginning 5 business days prior to the date that the submission is due. (3) The outage may be planned or unplanned. (4) You must submit notification to the Administrator in writing as soon as possible following the date you first knew, or through due diligence should have known, that the event may cause or has caused a delay in reporting. (5) You must provide to the Administrator a written description identifying: (i) The date(s) and time(s) when CDX or CEDRI was accessed and the system was unavailable; (ii) A rationale for attributing the delay in reporting beyond the regulatory deadline to EPA system outage; (iii) Measures taken or to be taken to minimize the delay in reporting; and (iv) The date by which you propose to report, or if you have already met the electronic submittal requirement in this subpart at the time of the notification, the date you submitted the report. (6) The decision to accept the claim of EPA system outage and allow an extension to the reporting deadline is solely within the discretion of the Administrator. (7) In any circumstance, the report must be submitted electronically as soon as possible after the outage is resolved. (l) If you are required to electronically submit a report through CEDRI in the EPA's CDX by this subpart, you may assert a claim of force majeure for </w:t>
      </w:r>
      <w:r>
        <w:rPr>
          <w:rFonts w:ascii="Arial" w:eastAsia="Arial" w:hAnsi="Arial" w:cs="Arial"/>
          <w:b/>
          <w:i/>
          <w:color w:val="000000"/>
          <w:sz w:val="20"/>
          <w:u w:val="single"/>
        </w:rPr>
        <w:t>failure</w:t>
      </w:r>
      <w:r>
        <w:rPr>
          <w:rFonts w:ascii="Arial" w:eastAsia="Arial" w:hAnsi="Arial" w:cs="Arial"/>
          <w:color w:val="000000"/>
          <w:sz w:val="20"/>
        </w:rPr>
        <w:t xml:space="preserve"> to timely comply with the electronic submittal requirement in this section. To assert a claim of force majeure, you must meet the requirements outlined in paragraphs (l)(1) through (5) of this section. (1) You may submit a claim if a force majeure event is about to occur, occurs, or has occurred or there are lingering effects from such an event within the period of time beginning five business days prior to the date the submission is due. For the purposes of this section, a force majeure event is defined as an event that will be or has been caused by circumstances beyond the control of the affected facility, its contractors, or any entity controlled by the affected facility that prevents you from complying with the requirement to submit a report electronically within the time period prescribed. Examples of such events are acts of nature (e.g , hurricanes, earthquakes, or floods), acts of war or terrorism, or equipment </w:t>
      </w:r>
      <w:r>
        <w:rPr>
          <w:rFonts w:ascii="Arial" w:eastAsia="Arial" w:hAnsi="Arial" w:cs="Arial"/>
          <w:b/>
          <w:i/>
          <w:color w:val="000000"/>
          <w:sz w:val="20"/>
          <w:u w:val="single"/>
        </w:rPr>
        <w:t>failure</w:t>
      </w:r>
      <w:r>
        <w:rPr>
          <w:rFonts w:ascii="Arial" w:eastAsia="Arial" w:hAnsi="Arial" w:cs="Arial"/>
          <w:color w:val="000000"/>
          <w:sz w:val="20"/>
        </w:rPr>
        <w:t xml:space="preserve"> or safety hazard beyond the control of the affected facility (e.g , large scale power outage). (2) You must submit notification to the Administrator in writing as soon as possible following the date you first knew, or through due diligence should have known, that the event may cause or has caused a delay in reporting. (3) You must provide to the Administrator: (i) A written description of the force majeure event; (ii) A rationale for attributing the delay in reporting beyond the regulatory deadline to the force majeure event; (iii) Measures taken or to be taken to minimize the delay in reporting; and (iv) The date by which you propose to report, or if you have already met the electronic submittal requirement in this subpart at the time of the notification, the date you submitted the report. (4) The decision to accept the claim of force majeure and allow an extension to the reporting deadline is solely within the discretion of the Administrator. (5) In any circumstance, the reporting must occur as soon as possible after the force majeure event occurs.013. Section 63.2282 is amended by revising paragraphs (a)(2) and (c)(2) and adding paragraph (f) to read as follows:Sec. 63.2282 What records must I keep? (a) * * * (2) Before August 13, 2021, the records in Sec. 63.6(e)(3)(iii) through (v) related to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for affected sources that commenced construction or reconstruction before September 6, 2019. After August 13, 2021] for affected sources that commenced construction or reconstruction after September 6, 2019, and on and after August 13, 2021 for all other affected sources, the records related to </w:t>
      </w:r>
      <w:r>
        <w:rPr>
          <w:rFonts w:ascii="Arial" w:eastAsia="Arial" w:hAnsi="Arial" w:cs="Arial"/>
          <w:b/>
          <w:i/>
          <w:color w:val="000000"/>
          <w:sz w:val="20"/>
          <w:u w:val="single"/>
        </w:rPr>
        <w:t>startup</w:t>
      </w:r>
      <w:r>
        <w:rPr>
          <w:rFonts w:ascii="Arial" w:eastAsia="Arial" w:hAnsi="Arial" w:cs="Arial"/>
          <w:color w:val="000000"/>
          <w:sz w:val="20"/>
        </w:rPr>
        <w:t xml:space="preserve"> and shutdown, </w:t>
      </w:r>
      <w:r>
        <w:rPr>
          <w:rFonts w:ascii="Arial" w:eastAsia="Arial" w:hAnsi="Arial" w:cs="Arial"/>
          <w:b/>
          <w:i/>
          <w:color w:val="000000"/>
          <w:sz w:val="20"/>
          <w:u w:val="single"/>
        </w:rPr>
        <w:t>failures</w:t>
      </w:r>
      <w:r>
        <w:rPr>
          <w:rFonts w:ascii="Arial" w:eastAsia="Arial" w:hAnsi="Arial" w:cs="Arial"/>
          <w:color w:val="000000"/>
          <w:sz w:val="20"/>
        </w:rPr>
        <w:t xml:space="preserve"> to meet the standard, and actions taken to minimize emissions, specified in paragraphs (a)(2)(i) through (iv) of this section. (i) Record the date, time, and duration of each </w:t>
      </w:r>
      <w:r>
        <w:rPr>
          <w:rFonts w:ascii="Arial" w:eastAsia="Arial" w:hAnsi="Arial" w:cs="Arial"/>
          <w:b/>
          <w:i/>
          <w:color w:val="000000"/>
          <w:sz w:val="20"/>
          <w:u w:val="single"/>
        </w:rPr>
        <w:t>startup</w:t>
      </w:r>
      <w:r>
        <w:rPr>
          <w:rFonts w:ascii="Arial" w:eastAsia="Arial" w:hAnsi="Arial" w:cs="Arial"/>
          <w:color w:val="000000"/>
          <w:sz w:val="20"/>
        </w:rPr>
        <w:t xml:space="preserve"> and/or shutdown period, including the periods when the affected source was subject to the standard applicable to </w:t>
      </w:r>
      <w:r>
        <w:rPr>
          <w:rFonts w:ascii="Arial" w:eastAsia="Arial" w:hAnsi="Arial" w:cs="Arial"/>
          <w:b/>
          <w:i/>
          <w:color w:val="000000"/>
          <w:sz w:val="20"/>
          <w:u w:val="single"/>
        </w:rPr>
        <w:t>startup</w:t>
      </w:r>
      <w:r>
        <w:rPr>
          <w:rFonts w:ascii="Arial" w:eastAsia="Arial" w:hAnsi="Arial" w:cs="Arial"/>
          <w:color w:val="000000"/>
          <w:sz w:val="20"/>
        </w:rPr>
        <w:t xml:space="preserve"> and shutdown. (ii) In the event that an affected unit fails to meet an applicable standard, record the number of </w:t>
      </w:r>
      <w:r>
        <w:rPr>
          <w:rFonts w:ascii="Arial" w:eastAsia="Arial" w:hAnsi="Arial" w:cs="Arial"/>
          <w:b/>
          <w:i/>
          <w:color w:val="000000"/>
          <w:sz w:val="20"/>
          <w:u w:val="single"/>
        </w:rPr>
        <w:t>failures</w:t>
      </w:r>
      <w:r>
        <w:rPr>
          <w:rFonts w:ascii="Arial" w:eastAsia="Arial" w:hAnsi="Arial" w:cs="Arial"/>
          <w:color w:val="000000"/>
          <w:sz w:val="20"/>
        </w:rPr>
        <w:t xml:space="preserve">; for each </w:t>
      </w:r>
      <w:r>
        <w:rPr>
          <w:rFonts w:ascii="Arial" w:eastAsia="Arial" w:hAnsi="Arial" w:cs="Arial"/>
          <w:b/>
          <w:i/>
          <w:color w:val="000000"/>
          <w:sz w:val="20"/>
          <w:u w:val="single"/>
        </w:rPr>
        <w:t>failure</w:t>
      </w:r>
      <w:r>
        <w:rPr>
          <w:rFonts w:ascii="Arial" w:eastAsia="Arial" w:hAnsi="Arial" w:cs="Arial"/>
          <w:color w:val="000000"/>
          <w:sz w:val="20"/>
        </w:rPr>
        <w:t xml:space="preserve">, record the date, time, cause and duration of each </w:t>
      </w:r>
      <w:r>
        <w:rPr>
          <w:rFonts w:ascii="Arial" w:eastAsia="Arial" w:hAnsi="Arial" w:cs="Arial"/>
          <w:b/>
          <w:i/>
          <w:color w:val="000000"/>
          <w:sz w:val="20"/>
          <w:u w:val="single"/>
        </w:rPr>
        <w:t>failure</w:t>
      </w:r>
      <w:r>
        <w:rPr>
          <w:rFonts w:ascii="Arial" w:eastAsia="Arial" w:hAnsi="Arial" w:cs="Arial"/>
          <w:color w:val="000000"/>
          <w:sz w:val="20"/>
        </w:rPr>
        <w:t xml:space="preserve">. (iii) For each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record and retain a list of the affected sources or equipment, and the following information: (A) For any </w:t>
      </w:r>
      <w:r>
        <w:rPr>
          <w:rFonts w:ascii="Arial" w:eastAsia="Arial" w:hAnsi="Arial" w:cs="Arial"/>
          <w:b/>
          <w:i/>
          <w:color w:val="000000"/>
          <w:sz w:val="20"/>
          <w:u w:val="single"/>
        </w:rPr>
        <w:t>failure</w:t>
      </w:r>
      <w:r>
        <w:rPr>
          <w:rFonts w:ascii="Arial" w:eastAsia="Arial" w:hAnsi="Arial" w:cs="Arial"/>
          <w:color w:val="000000"/>
          <w:sz w:val="20"/>
        </w:rPr>
        <w:t xml:space="preserve"> to meet a compliance option in Sec. 63.2240, including the compliance options in Table 1A or 1B to this subpart or the emissions averaging compliance option, record an estimate of the quantity of each regulated pollutant emitted over any emission limit and a description of the method used to estimate the emissions. (B) For each </w:t>
      </w:r>
      <w:r>
        <w:rPr>
          <w:rFonts w:ascii="Arial" w:eastAsia="Arial" w:hAnsi="Arial" w:cs="Arial"/>
          <w:b/>
          <w:i/>
          <w:color w:val="000000"/>
          <w:sz w:val="20"/>
          <w:u w:val="single"/>
        </w:rPr>
        <w:t>failure</w:t>
      </w:r>
      <w:r>
        <w:rPr>
          <w:rFonts w:ascii="Arial" w:eastAsia="Arial" w:hAnsi="Arial" w:cs="Arial"/>
          <w:color w:val="000000"/>
          <w:sz w:val="20"/>
        </w:rPr>
        <w:t xml:space="preserve"> to meet an operating requirement in Table 2 to this subpart or work practice requirement in Table 3 to this subpart, maintain sufficient information to estimate the quantity of each regulated pollutant emitted over the emission limit. This information must be sufficient to provide a reliable emissions estimate if requested by the Administrator. (iv) Record actions taken to minimize emissions in accordance with Sec. 63.2250(g), and any corrective actions taken to return the affected unit to its normal or usual manner of operation.* * * * * (c) * * * (2) Previous (i.e , superseded) versions of the performance evaluation plan, with the program of corrective action included in the plan required under Sec. 63.8(d)(2).* * * * * (f) You must keep the written CMS quality control procedures required by Sec. 63.8(d)(2) on </w:t>
      </w:r>
      <w:r>
        <w:rPr>
          <w:rFonts w:ascii="Arial" w:eastAsia="Arial" w:hAnsi="Arial" w:cs="Arial"/>
          <w:color w:val="000000"/>
          <w:sz w:val="20"/>
        </w:rPr>
        <w:lastRenderedPageBreak/>
        <w:t>record for the life of the[[Page 49460]]affected source or until the affected source is no longer subject to the provisions of this subpart, to be made available for inspection, upon request, by the Administrator. If the performance evaluation plan is revised, you must keep previous (i.e , superseded) versions of the performance evaluation plan on record to be made available for inspection, upon request, by the Administrator, for a period of 5 years after each revision to the plan. The program of corrective action should be included in the plan required under Sec. 63.8(d)(2).014. Section 63.2283 is amended by adding paragraph (d) to read as follows:Sec. 63.2283 In what form and how long must I keep my records?* * * * * (d) Any records required to be maintained by this part that are submitted electronically via the EPA's CEDRI may be maintained in electronic format. This ability to maintain electronic copies does not affect the requirement for facilities to make records, data, and reports available upon request to a delegated air agency or the EPA as part of an on-site compliance evaluation.015. Section 63.2290 is revised to read as follows:Sec. 63.2290 What parts of the general provisions apply to me? Table 10 to this subpart shows which parts of the general provisions in Sec. Sec. 63.1 through 63.16 apply to you.016. Section 63.2291 is amended by revising paragraph (c) introductory text and adding paragraph (c)(5) to read as follows:Sec. 63.2291 Who implements and enforces this subpart?* * * * * (c) The authorities that will not be delegated to State, local, or tribal agencies are listed in paragraphs (c)(1) through (5) of this section.* * * * * (5) Approval of an alternative to any electronic reporting to the EPA required by this subpart.017. Section 63.2292 is amended by:0a. Revising the definitions of ``MSF,'' ``Non-HAP coating,'' and ``Representative operating conditions'';0b. Adding the definition of ``Safety-related shutdown'' in alphabetical order; and0c. Removing the definition of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plan.'' The revisions and addition read as follows:Sec. 63.2292 What definitions apply to this subpart?* * * * * MSF means thousand square feet (92.9 square meters). Square footage of panels is usually measured on a thickness basis, such as \3/8\-inch, to define the total volume of panels. Equation 3 of Sec. 63.2262(j) shows how to convert from one thickness basis to another.* * * * * Non-HAP coating means a coating with HAP contents below 0.1 percent by mass for Occupational Safety and Health Administration-defined carcinogens as specified in section A.6.4 of appendix A to 29 CFR 1910.1200, and below 1.0 percent by mass for other HAP compounds.* * * * * Representative operating conditions means operation of a process unit during performance testing under the conditions that the process unit will typically be operating in the future, including use of a representative range of materials (e.g , wood material of a typical species mix and moisture content or typical resin formulation) and representative operating temperature range. Representative operating conditions exclude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 * * * Safety-related shutdown means an unscheduled shutdown of a process unit subject to a compliance option in Table 1B to this subpart (or a process unit with HAP control under an emissions averaging plan developed according to Sec. 63.2240(c)) during which time emissions from the process unit cannot be safely routed to the control system in place to meet the compliance options or operating requirements in this subpart without imminent danger to the process, control system, or system operator.* * * * *018. Table 2 to subpart DDDD is revised to read as follows: Table 2 to Subpart DDDD of Part 63--Operating Requirements---------------------------------------------------------------------------------------------------------------- If you operate a(n) . . . You must . . . Or you must . . .----------------------------------------------------------------------------------------------------------------(1) Thermal oxidizer.................. Maintain the 3-hour block average Maintain the 3-hour block firebox temperature above the minimum average THC concentration \1\ temperature established during the in the thermal oxidizer performance test. exhaust below the maximum concentration established during the performance test.(2) Catalytic oxidizer................ Maintain the 3-hour block average Maintain the 3-hour block catalytic oxidizer temperature above average THC concentration \1\ the minimum temperature established in the catalytic oxidizer during the performance test; AND check exhaust below the maximum the activity level of a representative concentration established sample of the catalyst annually except during the performance test. as specified in footnote ``2'' to this table.(3) Biofilter......................... Maintain the 24-hour block biofilter bed Maintain the 24-hour block temperature within the range average THC concentration \1\ established according to Sec. in the biofilter exhaust 63.2262(m). below the maximum concentration established during the performance test.(4) Control device other than a Petition the EPA Administrator for site- Maintain the 3-hour block thermal oxidizer, catalytic oxidizer, specific operating parameter(s) to be average THC concentration \1\ or biofilter. established during the performance test in the control device exhaust and maintain the average operating below the maximum parameter(s) within the range(s) concentration established established during the performance test. during the performance test.[[Page 49461]] (5) Process unit that meets a Maintain on a daily basis the process Maintain the 3-hour block compliance option in Table 1A to this unit controlling operating parameter(s) average THC concentration \1\ subpart, or a process unit that within the ranges established during in </w:t>
      </w:r>
      <w:r>
        <w:rPr>
          <w:rFonts w:ascii="Arial" w:eastAsia="Arial" w:hAnsi="Arial" w:cs="Arial"/>
          <w:color w:val="000000"/>
          <w:sz w:val="20"/>
        </w:rPr>
        <w:lastRenderedPageBreak/>
        <w:t xml:space="preserve">the process unit exhaust generates debits in an emissions the performance test according to Sec. below the maximum average without the use of a control 63.2262(n). concentration established device. during the performance test.----------------------------------------------------------------------------------------------------------------\1\ You may choose to subtract methane from THC measurements.\2\ You may forego the annual catalyst activity check during the calendar year when a performance test is conducted according to Table 4 to this subpart.019. Table 3 to subpart DDDD is revised to read as follows: Table 3 to Subpart DDDD of Part 63--Work Practice Requirements------------------------------------------------------------------------ For the following process units at existing or new You must . . . affected sources . . .------------------------------------------------------------------------(1) Dry rotary dryers........ Process furnish with a 24-hour block average inlet moisture content of less than or equal to 30 percent (by weight, dry basis); AND operate with a 24-hour block average inlet dryer temperature of less than or equal to 600 [deg]F.(2) Hardwood veneer dryers... Process less than 30 volume percent softwood species on an annual basis.(3) Softwood veneer dryers... Minimize fugitive emissions from the dryer doors through (proper maintenance procedures) and the green end of the dryers (through proper balancing of the heated zone exhausts).(4) Veneer redryers.......... Process veneer that has been previously dried, such that the 24-hour block average inlet moisture content of the veneer is less than or equal to 25 percent (by weight, dry basis).(5) Group 1 miscellaneous Use non-HAP coatings as defined in Sec. coating operations. 63.2292 (6) Process units and control Follow documented site-specific systems undergoing safety- procedures such as use of automated related shutdown on and controls or other measures that you have after August 13, 2021 except developed to protect workers and as noted in footnote ``1'' equipment to ensure that the flow of raw to this table. materials (such as furnish or resin) and fuel or process heat (as applicable) ceases and that material is removed from the process unit(s) as expeditiously as possible given the system design to reduce air emissions.(7) Pressurized refiners Route exhaust gases from the pressurized undergoing </w:t>
      </w:r>
      <w:r>
        <w:rPr>
          <w:rFonts w:ascii="Arial" w:eastAsia="Arial" w:hAnsi="Arial" w:cs="Arial"/>
          <w:b/>
          <w:i/>
          <w:color w:val="000000"/>
          <w:sz w:val="20"/>
          <w:u w:val="single"/>
        </w:rPr>
        <w:t>startup</w:t>
      </w:r>
      <w:r>
        <w:rPr>
          <w:rFonts w:ascii="Arial" w:eastAsia="Arial" w:hAnsi="Arial" w:cs="Arial"/>
          <w:color w:val="000000"/>
          <w:sz w:val="20"/>
        </w:rPr>
        <w:t xml:space="preserve"> or refiner to its dryer control system no shutdown on and after August later than 15 minutes after wood is fed 13, 2021 except as noted in to the pressurized refiner during footnote ``1'' to this table. </w:t>
      </w:r>
      <w:r>
        <w:rPr>
          <w:rFonts w:ascii="Arial" w:eastAsia="Arial" w:hAnsi="Arial" w:cs="Arial"/>
          <w:b/>
          <w:i/>
          <w:color w:val="000000"/>
          <w:sz w:val="20"/>
          <w:u w:val="single"/>
        </w:rPr>
        <w:t>startup</w:t>
      </w:r>
      <w:r>
        <w:rPr>
          <w:rFonts w:ascii="Arial" w:eastAsia="Arial" w:hAnsi="Arial" w:cs="Arial"/>
          <w:color w:val="000000"/>
          <w:sz w:val="20"/>
        </w:rPr>
        <w:t xml:space="preserve">. Stop wood flow into the pressurized refiner no more than 15 minutes after wood fiber and exhaust gases from the pressurized refiner stop being routed to the dryer during shutdown.(8) Direct-fired softwood Cease feeding green veneer into the veneer dryers undergoing softwood veneer dryer and minimize the </w:t>
      </w:r>
      <w:r>
        <w:rPr>
          <w:rFonts w:ascii="Arial" w:eastAsia="Arial" w:hAnsi="Arial" w:cs="Arial"/>
          <w:b/>
          <w:i/>
          <w:color w:val="000000"/>
          <w:sz w:val="20"/>
          <w:u w:val="single"/>
        </w:rPr>
        <w:t>startup</w:t>
      </w:r>
      <w:r>
        <w:rPr>
          <w:rFonts w:ascii="Arial" w:eastAsia="Arial" w:hAnsi="Arial" w:cs="Arial"/>
          <w:color w:val="000000"/>
          <w:sz w:val="20"/>
        </w:rPr>
        <w:t xml:space="preserve"> or shutdown of gas- amount of time direct gas-fired softwood fired burners on and after veneer dryers are vented to the August 13, 2021 except as atmosphere due to the conditions noted in footnote ``1'' to described in Sec. 63.2250(d). this table.------------------------------------------------------------------------\1\ New or reconstructed affected sources that commenced construction or reconstruction after September 6, 2019 must comply with this requirement beginning on August 13, 2020 or upon initial </w:t>
      </w:r>
      <w:r>
        <w:rPr>
          <w:rFonts w:ascii="Arial" w:eastAsia="Arial" w:hAnsi="Arial" w:cs="Arial"/>
          <w:b/>
          <w:i/>
          <w:color w:val="000000"/>
          <w:sz w:val="20"/>
          <w:u w:val="single"/>
        </w:rPr>
        <w:t>startup</w:t>
      </w:r>
      <w:r>
        <w:rPr>
          <w:rFonts w:ascii="Arial" w:eastAsia="Arial" w:hAnsi="Arial" w:cs="Arial"/>
          <w:color w:val="000000"/>
          <w:sz w:val="20"/>
        </w:rPr>
        <w:t xml:space="preserve">, whichever is later.020. Table 4 to subpart DDDD is revised to read as follows: Table 4 to Subpart DDDD of Part 63--Requirements for Performance Tests------------------------------------------------------------------------ For . . . You must . . . Using . . .------------------------------------------------------------------------(1) each process unit subject select sampling Method 1 or 1A of 40 to a compliance option in port's location CFR part 60, table 1A or 1B to this and the number appendix A-1 (as subpart or used in of traverse appropriate). calculation of an emissions ports. average under Sec. 63.2240(c).(2) each process unit subject determine Method 2 in addition to a compliance option in velocity and to Method 2A, 2C, table 1A or 1B to this volumetric flow 2D, 2F, or 2G in subpart or used in rate. appendices A-1 and A- calculation of an emissions 2 to 40 CFR part 60 average under Sec. (as appropriate). 63.2240(c).(3) each process unit subject conduct gas Method 3, 3A, or 3B to a compliance option in molecular weight in appendix A-2 to table 1A or 1B to this analysis. 40 CFR part 60 (as subpart or used in appropriate). calculation of an emissions average under Sec. 63.2240(c).(4) each process unit subject measure moisture Method 4 in appendix to a compliance option in content of the A-3 to 40 CFR part table 1A or 1B to this stack gas. 60; OR Method 320 in subpart or used in appendix A to this calculation of an emissions part; OR ASTM D6348- average under Sec. 03 (IBR, see Sec. 63.2240(c). 63.14).(5) each process unit subject measure emissions Method 25A in to a compliance option in of total HAP as appendix A-7 to 40 table 1B to this subpart for THC. CFR part 60. You may which you choose to measure emissions of demonstrate compliance using methane using EPA a total HAP as THC compliance Method 18 in option. appendix A-6 to 40 CFR part 60 and subtract the methane emissions from the emissions of total HAP as THC.[[Page 49462]] (6) each process unit subject measure emissions Method 320 in to a compliance option in of total HAP (as appendix A to this table 1A to this subpart; OR defined in Sec. part; OR the NCASI for each process unit used in 63.2292). Method IM/CAN/WP- calculation of an emissions 99.02 (IBR, see Sec. average under Sec. 63.14); OR the 63.2240(c). NCASI Method ISS/FP- A105.01 (IBR, see Sec. 63.14); OR ASTM D6348-03 (IBR, see Sec. 63.14) provided that percent R as determined in Annex A5 of ASTM D6348-03 is </w:t>
      </w:r>
      <w:r>
        <w:rPr>
          <w:rFonts w:ascii="Arial" w:eastAsia="Arial" w:hAnsi="Arial" w:cs="Arial"/>
          <w:color w:val="000000"/>
          <w:sz w:val="20"/>
        </w:rPr>
        <w:lastRenderedPageBreak/>
        <w:t xml:space="preserve">equal or greater than 70 percent and less than or equal to 130 percent.(7) each process unit subject measure emissions Method 308 in to a compliance option in of methanol. appendix A to this table 1B to this subpart for part; OR Method 320 which you choose to in appendix A to demonstrate compliance using this part; OR the a methanol compliance option. NCASI Method CI/WP- 98.01 (IBR, see Sec. 63.14); OR the NCASI Method IM/CAN/ WP-99.02 (IBR, see Sec. 63.14); OR the NCASI Method ISS/ FP-A105.01 (IBR, see Sec. 63.14).(8) each process unit subject measure emissions Method 316 in to a compliance option in of formaldehyde. appendix A to this table 1B to this subpart for part; OR Method 320 which you choose to in appendix A to demonstrate compliance using this part; OR Method a formaldehyde compliance 0011 in </w:t>
      </w:r>
      <w:r w:rsidR="00DA1FF3">
        <w:rPr>
          <w:rFonts w:ascii="Arial" w:eastAsia="Arial" w:hAnsi="Arial" w:cs="Arial"/>
          <w:color w:val="000000"/>
          <w:sz w:val="20"/>
        </w:rPr>
        <w:t>“</w:t>
      </w:r>
      <w:r>
        <w:rPr>
          <w:rFonts w:ascii="Arial" w:eastAsia="Arial" w:hAnsi="Arial" w:cs="Arial"/>
          <w:color w:val="000000"/>
          <w:sz w:val="20"/>
        </w:rPr>
        <w:t xml:space="preserve">Test option. Methods for Evaluating Solid Waste, Physical/ Chemical Methods'' (EPA Publication No. SW-846) for formaldehyde (IBR, see Sec. 63.14); OR the NCASI Method CI/WP-98.01 (IBR, see Sec. 63.14); OR the NCASI Method IM/CAN/WP-99.02 (IBR, see Sec. 63.14); OR the NCASI Method ISS/FP- A105.01 (IBR, see Sec. 63.14).(9) each reconstituted wood meet the design Methods 204 and 204A product press at a new or specifications through 204F of 40 existing affected source or included in the CFR part 51, reconstituted wood product definition of appendix M, to board cooler at a new wood products determine capture affected source subject to a enclosure in efficiency (except compliance option in table 1B Sec. 63.2292; for wood products to this subpart or used in or determine the enclosures as calculation of an emissions percent capture defined in Sec. average under Sec. efficiency of 63.2292). Enclosures 63.2240(c). the enclosure that meet the directing definition of wood emissions to an products enclosure add-on control or that meet Method device. 204 requirements for a permanent total enclosure (PTE) are assumed to have a capture efficiency of 100 percent. Enclosures that do not meet either the PTE requirements or design criteria for a wood products enclosure must determine the capture efficiency by constructing a TTE according to the requirements of Method 204 and applying Methods 204A through 204F (as appropriate). As an alternative to Methods 204 and 204A through 204F, you may use the tracer gas method contained in appendix A to this subpart.(10) each reconstituted wood determine the a TTE and Methods 204 product press at a new or percent capture and 204A through existing affected source or efficiency. 204F (as reconstituted wood product appropriate) of 40 board cooler at a new CFR part 51, affected source subject to a appendix M. As an compliance option in table 1A alternative to to this subpart. installing a TTE and using Methods 204 and 204A through 204F, you may use the tracer gas method contained in appendix A to this subpart. Enclosures that meet the design criteria (1) through (4) in the definition of wood products enclosure, or that meet Method 204 requirements for a PTE (except for the criteria specified in section 6.2 of Method 204) are assumed to have a capture efficiency of 100 percent. Measured emissions divided by the capture efficiency provides the emission rate.(11) each process unit subject establish the data from the to a compliance option in site-specific parameter monitoring tables 1A and 1B to this operating system or THC CEMS subpart or used in requirements and the applicable calculation of an emissions (including the performance test average under Sec. parameter limits method(s). 63.2240(c). or THC concentration limits) in table 2 to this subpart.------------------------------------------------------------------------021. Table 6 to subpart DDDD is revised to read as follows: Table 6 to Subpart DDDD of Part 63--Initial Compliance Demonstrations for Work Practice Requirements---------------------------------------------------------------------------------------------------------------- For the following work practice You have demonstrated initial For each . . . requirements . . . compliance if . . .----------------------------------------------------------------------------------------------------------------(1) Dry rotary dryer............... Process furnish with an inlet You meet the work practice moisture content less than or equal requirement AND you submit a signed to 30 percent (by weight, dry basis) statement with the Notification of AND operate with an inlet dryer Compliance Status that the dryer temperature of less than or equal to meets the criteria of a ``dry 600 [deg]F. rotary dryer'' AND you have a record of the inlet moisture content and inlet dryer temperature (as required in Sec. 63.2263).[[Page 49463]] (2) Hardwood veneer dryer.......... Process less than 30 volume percent You meet the work practice softwood species. requirement AND you submit a signed statement with the Notification of Compliance Status that the dryer meets the criteria of a ``hardwood veneer dryer'' AND you have a record of the percentage of softwoods processed in the dryer (as required in Sec. 63.2264).(3) Softwood veneer dryer.......... Minimize fugitive emissions from the You meet the work practice dryer doors and the green end. requirement AND you submit with the Notification of Compliance Status a copy of your plan for minimizing fugitive emissions from the veneer dryer heated zones (as required in Sec. 63.2265).(4) Veneer redryers................ Process veneer with an inlet moisture You meet the work practice content of less than or equal to 25 requirement AND you submit a signed percent (by weight, dry basis). statement with the Notification of Compliance Status that the dryer operates only as a redryer AND you have a record of the veneer inlet moisture content of the veneer processed in the redryer (as required in Sec. 63.2266).(5) Group 1 </w:t>
      </w:r>
      <w:r>
        <w:rPr>
          <w:rFonts w:ascii="Arial" w:eastAsia="Arial" w:hAnsi="Arial" w:cs="Arial"/>
          <w:color w:val="000000"/>
          <w:sz w:val="20"/>
        </w:rPr>
        <w:lastRenderedPageBreak/>
        <w:t xml:space="preserve">miscellaneous coating Use non-HAP coatings as defined in You meet the work practice operations. Sec. 63.2292 requirement AND you submit a signed statement with the Notification of Compliance Status that you are using non-HAP coatings AND you have a record showing that you are using non-HAP coatings.(6) Process units and control Follow documented site-specific You meet the work practice systems undergoing safety-related procedures to ensure the flow of raw requirement AND you have a record shutdown on and after August 13, materials and fuel or process heat of safety-related shutdown 2021, except as noted in footnote ceases and that material is removed procedures available for inspection ``1'' to this table. from the process unit(s) as by the delegated authority upon expeditiously as possible given the request. system design to reduce air emissions.(7) Pressurized refiners undergoing Route exhaust gases from the You meet the work practice </w:t>
      </w:r>
      <w:r>
        <w:rPr>
          <w:rFonts w:ascii="Arial" w:eastAsia="Arial" w:hAnsi="Arial" w:cs="Arial"/>
          <w:b/>
          <w:i/>
          <w:color w:val="000000"/>
          <w:sz w:val="20"/>
          <w:u w:val="single"/>
        </w:rPr>
        <w:t>startup</w:t>
      </w:r>
      <w:r>
        <w:rPr>
          <w:rFonts w:ascii="Arial" w:eastAsia="Arial" w:hAnsi="Arial" w:cs="Arial"/>
          <w:color w:val="000000"/>
          <w:sz w:val="20"/>
        </w:rPr>
        <w:t xml:space="preserve"> or shutdown on and after pressurized refiner to its dryer requirement AND you have a record August 13, 2021, except as noted control system no later than 15 of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in footnote ``1'' to this table. minutes after wood is fed to the shutdown procedures available for pressurized refiner during </w:t>
      </w:r>
      <w:r>
        <w:rPr>
          <w:rFonts w:ascii="Arial" w:eastAsia="Arial" w:hAnsi="Arial" w:cs="Arial"/>
          <w:b/>
          <w:i/>
          <w:color w:val="000000"/>
          <w:sz w:val="20"/>
          <w:u w:val="single"/>
        </w:rPr>
        <w:t>startup</w:t>
      </w:r>
      <w:r>
        <w:rPr>
          <w:rFonts w:ascii="Arial" w:eastAsia="Arial" w:hAnsi="Arial" w:cs="Arial"/>
          <w:color w:val="000000"/>
          <w:sz w:val="20"/>
        </w:rPr>
        <w:t xml:space="preserve">. inspection by the delegated Stop wood flow into the pressurized authority upon request. refiner no more than 15 minutes after wood fiber and exhaust gases from the pressurized refiner stop being routed to the dryer during shutdown.(8) Direct-fired softwood veneer Cease feeding green veneer into the You meet the work practice dryers undergoing </w:t>
      </w:r>
      <w:r>
        <w:rPr>
          <w:rFonts w:ascii="Arial" w:eastAsia="Arial" w:hAnsi="Arial" w:cs="Arial"/>
          <w:b/>
          <w:i/>
          <w:color w:val="000000"/>
          <w:sz w:val="20"/>
          <w:u w:val="single"/>
        </w:rPr>
        <w:t>startup</w:t>
      </w:r>
      <w:r>
        <w:rPr>
          <w:rFonts w:ascii="Arial" w:eastAsia="Arial" w:hAnsi="Arial" w:cs="Arial"/>
          <w:color w:val="000000"/>
          <w:sz w:val="20"/>
        </w:rPr>
        <w:t xml:space="preserve"> or softwood veneer dryer and minimize requirement AND you have a record shutdown of gas-fired burners on the amount of time direct gas-fired of the procedures for </w:t>
      </w:r>
      <w:r>
        <w:rPr>
          <w:rFonts w:ascii="Arial" w:eastAsia="Arial" w:hAnsi="Arial" w:cs="Arial"/>
          <w:b/>
          <w:i/>
          <w:color w:val="000000"/>
          <w:sz w:val="20"/>
          <w:u w:val="single"/>
        </w:rPr>
        <w:t>startup</w:t>
      </w:r>
      <w:r>
        <w:rPr>
          <w:rFonts w:ascii="Arial" w:eastAsia="Arial" w:hAnsi="Arial" w:cs="Arial"/>
          <w:color w:val="000000"/>
          <w:sz w:val="20"/>
        </w:rPr>
        <w:t xml:space="preserve"> and and after August 13, 2021, except softwood veneer dryers are vented to shutdown of softwood veneer dryer as noted in footnote ``1'' to this the atmosphere due to the conditions gas-fired burners available for table. described in Sec. 63.2250(d). inspection by the delegated authority upon request.----------------------------------------------------------------------------------------------------------------\1\ New or reconstructed affected sources that commenced construction or reconstruction after September 6, 2019 must comply with this requirement beginning on August 13, 2020 or upon initial </w:t>
      </w:r>
      <w:r>
        <w:rPr>
          <w:rFonts w:ascii="Arial" w:eastAsia="Arial" w:hAnsi="Arial" w:cs="Arial"/>
          <w:b/>
          <w:i/>
          <w:color w:val="000000"/>
          <w:sz w:val="20"/>
          <w:u w:val="single"/>
        </w:rPr>
        <w:t>startup</w:t>
      </w:r>
      <w:r>
        <w:rPr>
          <w:rFonts w:ascii="Arial" w:eastAsia="Arial" w:hAnsi="Arial" w:cs="Arial"/>
          <w:color w:val="000000"/>
          <w:sz w:val="20"/>
        </w:rPr>
        <w:t xml:space="preserve">, whichever is later.022. Table 7 to subpart DDDD is revised to read as follows:Table 7 to Subpart DDDD of Part 63--Continuous Compliance With the Compliance Options and Operating Requirements---------------------------------------------------------------------------------------------------------------- For the following compliance options You must demonstrate continuous For . . . and operating requirements . . . compliance by . . .----------------------------------------------------------------------------------------------------------------(1) Each process unit listed in Compliance options in Table 1B to Collecting and recording the Table 1B to this subpart or used this subpart or the emissions operating parameter monitoring in calculation of an emissions averaging compliance option in Sec. system data listed in Table 2 to average under Sec. 63.2240(c). 63.2240(c) and the operating this subpart for the process unit requirements in Table 2 to this according to Sec. Sec. subpart based on monitoring of 63.2269(a) through (b) and 63.2270; operating parameters. AND reducing the operating parameter monitoring system data to the specified averages in units of the applicable requirement according to calculations in Sec. 63.2270; AND maintaining the average operating parameter at or above the minimum, at or below the maximum, or within the range (whichever applies) established according to Sec. 63.2262 [[Page 49464]] (2) Each process unit listed in Compliance options in Tables 1A and Collecting and recording the THC Tables 1A and 1B to this subpart 1B to this subpart or the emissions monitoring data listed in Table 2 or used in calculation of an averaging compliance option in Sec. to this subpart for the process emissions average under Sec. 63.2240(c) and the operating unit according to Sec. 63.2240(c). requirements in Table 2 to this 63.2269(d); AND reducing the CEMS subpart based on THC CEMS data. data to 3-hour block averages according to calculations in Sec. 63.2269(d); AND maintaining the 3- hour block average THC concentration in the exhaust gases less than or equal to the THC concentration established according to Sec. 63.2262 (3) Each process unit using a Compliance options in Tables 1B to Conducting a repeat performance test biofilter. this subpart or the emissions using the applicable method(s) averaging compliance option in Sec. specified in Table 4 to this 63.2240(c). subpart \1\ within 2 years following the previous performance test and within 180 days after each replacement of any portion of the biofilter bed media with a different type of media or each replacement of more than 50 percent (by volume) of the biofilter bed media with the same type of media.(4) Each process unit using a Compliance options in Table 1B to Checking the activity level of a catalytic oxidizer. this subpart or the emissions representative sample of the averaging compliance option in Sec. catalyst at least annually \2\ and 63.2240(c). taking any necessary corrective action to ensure that the catalyst is performing within its design range.(5) Each process unit listed in Compliance options in Table 1A to Collecting and recording on a daily Table 1A to this subpart, or each this subpart or the emissions basis process unit controlling process unit without a control averaging compliance option in Sec. operating parameter data; AND device used in calculation of an 63.2240(c) and the operating maintaining the operating parameter </w:t>
      </w:r>
      <w:r>
        <w:rPr>
          <w:rFonts w:ascii="Arial" w:eastAsia="Arial" w:hAnsi="Arial" w:cs="Arial"/>
          <w:color w:val="000000"/>
          <w:sz w:val="20"/>
        </w:rPr>
        <w:lastRenderedPageBreak/>
        <w:t xml:space="preserve">emissions averaging debit under requirements in Table 2 to this at or above the minimum, at or Sec. 63.2240(c). subpart based on monitoring of below the maximum, or within the process unit controlling operating range (whichever applies) parameters. established according to Sec. 63.2262 (6) Each Process unit listed in Compliance options in Table 1B to Implementing your plan to address Table 1B to this subpart using a this subpart or the emissions how organic HAP captured in the wet control device as the sole averaging compliance option in Sec. wastewater from the wet control means of reducing HAP emissions. 63.2240(c). device is contained or destroyed to minimize re-release to the atmosphere.(7) Each process unit listed in Compliance options in Tables 1B to Conducting a repeat performance test Table 1B to this subpart using a this subpart. using the applicable method(s) control device other than a specified in Table 4 to this biofilter. subpart \1\ by August 13, 2023 or within 60 months following the previous performance test, whichever is later, and thereafter within 60 months following the previous performance test.----------------------------------------------------------------------------------------------------------------\1\ When conducting a repeat performance test, the capture efficiency demonstration required in Table 4 to this subpart, row 9 is not required to be repeated with the repeat emissions test if the capture device is maintained and operated consistent with its design as well as its operation during the previous capture efficiency demonstration conducted according to Table 4 to this subpart, row 9 as specified in Sec. 63.2267 \2\ You may forego the annual catalyst activity check during the calendar year when a performance test is conducted according to Table 4 to this subpart.023. Table 8 to subpart DDDD is revised to read as follows: Table 8 to Subpart DDDD of Part 63--Continuous Compliance With the Work Practice Requirements---------------------------------------------------------------------------------------------------------------- For the following work practice You must demonstrate continuous For . . . requirements . . . compliance by . . .----------------------------------------------------------------------------------------------------------------(1) Dry rotary dryer............... Process furnish with an inlet Maintaining the 24-hour block moisture content less than or equal average inlet furnish moisture to 30 percent (by weight, dry basis) content at less than or equal to 30 AND operate with an inlet dryer percent (by weight, dry basis) AND temperature of less than or equal to maintaining the 24-hour block 600 [deg]F. average inlet dryer temperature at less than or equal to 600 [deg]F; AND keeping records of the inlet temperature of furnish moisture content and inlet dryer temperature.(2) Hardwood veneer dryer.......... Process less than 30 volume percent Maintaining the volume percent softwood species. softwood species processed below 30 percent AND keeping records of the volume percent softwood species processed.(3) Softwood veneer dryer.......... Minimize fugitive emissions from the Following (and documenting that you dryer doors and the green end. are following) your plan for minimizing fugitive emissions.[[Page 49465]] (4) Veneer redryers................ Process veneer with an inlet moisture Maintaining the 24-hour block content of less than or equal to 25 average inlet moisture content of percent (by weight, dry basis). the veneer processed at or below of less than or 25 percent AND keeping records of the inlet moisture content of the veneer processed.(5) Group 1 miscellaneous coating Use non-HAP coatings as defined in Continuing to use non-HAP coatings operations. Sec. 63.2292 AND keeping records showing that you are using non-HAP coatings.(6) Process units and control Follow documented site-specific Keeping records showing that you are systems undergoing safety-related procedures to ensure the flow of raw following the work practice shutdown on and after August 13, materials and fuel or process heat requirements during safety-related 2021, except as noted in footnote ceases and that material is removed shutdowns. ``1'' to this table. from the process unit(s) as expeditiously as possible given the system design to reduce air emissions.(7) Pressurized refiners undergoing Route exhaust gases from the Keeping records showing that you are </w:t>
      </w:r>
      <w:r>
        <w:rPr>
          <w:rFonts w:ascii="Arial" w:eastAsia="Arial" w:hAnsi="Arial" w:cs="Arial"/>
          <w:b/>
          <w:i/>
          <w:color w:val="000000"/>
          <w:sz w:val="20"/>
          <w:u w:val="single"/>
        </w:rPr>
        <w:t>startup</w:t>
      </w:r>
      <w:r>
        <w:rPr>
          <w:rFonts w:ascii="Arial" w:eastAsia="Arial" w:hAnsi="Arial" w:cs="Arial"/>
          <w:color w:val="000000"/>
          <w:sz w:val="20"/>
        </w:rPr>
        <w:t xml:space="preserve"> or shutdown on and after pressurized refiner to its dryer following the work practice August 13, 2021, except as noted control system no later than 15 requirements during pressurized in footnote ``1'' to this table. minutes after wood is fed to the refiner </w:t>
      </w:r>
      <w:r>
        <w:rPr>
          <w:rFonts w:ascii="Arial" w:eastAsia="Arial" w:hAnsi="Arial" w:cs="Arial"/>
          <w:b/>
          <w:i/>
          <w:color w:val="000000"/>
          <w:sz w:val="20"/>
          <w:u w:val="single"/>
        </w:rPr>
        <w:t>startup</w:t>
      </w:r>
      <w:r>
        <w:rPr>
          <w:rFonts w:ascii="Arial" w:eastAsia="Arial" w:hAnsi="Arial" w:cs="Arial"/>
          <w:color w:val="000000"/>
          <w:sz w:val="20"/>
        </w:rPr>
        <w:t xml:space="preserve"> and shutdown pressurized refiner during </w:t>
      </w:r>
      <w:r>
        <w:rPr>
          <w:rFonts w:ascii="Arial" w:eastAsia="Arial" w:hAnsi="Arial" w:cs="Arial"/>
          <w:b/>
          <w:i/>
          <w:color w:val="000000"/>
          <w:sz w:val="20"/>
          <w:u w:val="single"/>
        </w:rPr>
        <w:t>startup</w:t>
      </w:r>
      <w:r>
        <w:rPr>
          <w:rFonts w:ascii="Arial" w:eastAsia="Arial" w:hAnsi="Arial" w:cs="Arial"/>
          <w:color w:val="000000"/>
          <w:sz w:val="20"/>
        </w:rPr>
        <w:t xml:space="preserve">. events. Stop wood flow into the pressurized refiner no more than 15 minutes after wood fiber and exhaust gases from the pressurized refiner stop being routed to the dryer during shutdown..(8) Direct-fired softwood veneer Cease feeding green veneer into the Keeping records showing that you are dryers undergoing </w:t>
      </w:r>
      <w:r>
        <w:rPr>
          <w:rFonts w:ascii="Arial" w:eastAsia="Arial" w:hAnsi="Arial" w:cs="Arial"/>
          <w:b/>
          <w:i/>
          <w:color w:val="000000"/>
          <w:sz w:val="20"/>
          <w:u w:val="single"/>
        </w:rPr>
        <w:t>startup</w:t>
      </w:r>
      <w:r>
        <w:rPr>
          <w:rFonts w:ascii="Arial" w:eastAsia="Arial" w:hAnsi="Arial" w:cs="Arial"/>
          <w:color w:val="000000"/>
          <w:sz w:val="20"/>
        </w:rPr>
        <w:t xml:space="preserve"> or softwood veneer dryer and minimize following the work practice shutdown of gas-fired burners on the amount of time direct gas-fired requirements while undergoing and after August 13, 2021, except softwood veneer dryers are vented to </w:t>
      </w:r>
      <w:r>
        <w:rPr>
          <w:rFonts w:ascii="Arial" w:eastAsia="Arial" w:hAnsi="Arial" w:cs="Arial"/>
          <w:b/>
          <w:i/>
          <w:color w:val="000000"/>
          <w:sz w:val="20"/>
          <w:u w:val="single"/>
        </w:rPr>
        <w:t>startup</w:t>
      </w:r>
      <w:r>
        <w:rPr>
          <w:rFonts w:ascii="Arial" w:eastAsia="Arial" w:hAnsi="Arial" w:cs="Arial"/>
          <w:color w:val="000000"/>
          <w:sz w:val="20"/>
        </w:rPr>
        <w:t xml:space="preserve"> or shutdown of softwood as noted in footnote ``1'' to this the atmosphere due to the conditions veneer dryer direct gas-fired table. described in Sec. 63.2250(d). burners.----------------------------------------------------------------------------------------------------------------\1\ New or reconstructed affected sources that commenced construction or reconstruction after September 6, 2019 must comply with this requirement beginning on August 13, 2020 or upon initial </w:t>
      </w:r>
      <w:r>
        <w:rPr>
          <w:rFonts w:ascii="Arial" w:eastAsia="Arial" w:hAnsi="Arial" w:cs="Arial"/>
          <w:b/>
          <w:i/>
          <w:color w:val="000000"/>
          <w:sz w:val="20"/>
          <w:u w:val="single"/>
        </w:rPr>
        <w:t>startup</w:t>
      </w:r>
      <w:r>
        <w:rPr>
          <w:rFonts w:ascii="Arial" w:eastAsia="Arial" w:hAnsi="Arial" w:cs="Arial"/>
          <w:color w:val="000000"/>
          <w:sz w:val="20"/>
        </w:rPr>
        <w:t>, whichever is later.024. Table 9 to subpart DDDD is revised to read as follows: Table 9 to Subpart DDDD of Part 63-</w:t>
      </w:r>
      <w:r>
        <w:rPr>
          <w:rFonts w:ascii="Arial" w:eastAsia="Arial" w:hAnsi="Arial" w:cs="Arial"/>
          <w:color w:val="000000"/>
          <w:sz w:val="20"/>
        </w:rPr>
        <w:lastRenderedPageBreak/>
        <w:t xml:space="preserve">-Requirements for Reports---------------------------------------------------------------------------------------------------------------- You must submit a(n) . . . The report must contain . . . You must submit the report . . .----------------------------------------------------------------------------------------------------------------(1) Compliance report.............. The information in Sec. 63.2281(c) Semiannually according to the through (g). requirements in Sec. 63.2281(b).(2) Immediate </w:t>
      </w:r>
      <w:r>
        <w:rPr>
          <w:rFonts w:ascii="Arial" w:eastAsia="Arial" w:hAnsi="Arial" w:cs="Arial"/>
          <w:b/>
          <w:i/>
          <w:color w:val="000000"/>
          <w:sz w:val="20"/>
          <w:u w:val="single"/>
        </w:rPr>
        <w:t>startup</w:t>
      </w:r>
      <w:r>
        <w:rPr>
          <w:rFonts w:ascii="Arial" w:eastAsia="Arial" w:hAnsi="Arial" w:cs="Arial"/>
          <w:color w:val="000000"/>
          <w:sz w:val="20"/>
        </w:rPr>
        <w:t xml:space="preserve">, shutdown, (i) Actions taken for the event...... By fax or telephone within 2 working and malfunction report if you had ..................................... days after </w:t>
      </w:r>
      <w:r>
        <w:rPr>
          <w:rFonts w:ascii="Arial" w:eastAsia="Arial" w:hAnsi="Arial" w:cs="Arial"/>
          <w:b/>
          <w:i/>
          <w:color w:val="000000"/>
          <w:sz w:val="20"/>
          <w:u w:val="single"/>
        </w:rPr>
        <w:t>starting</w:t>
      </w:r>
      <w:r>
        <w:rPr>
          <w:rFonts w:ascii="Arial" w:eastAsia="Arial" w:hAnsi="Arial" w:cs="Arial"/>
          <w:color w:val="000000"/>
          <w:sz w:val="20"/>
        </w:rPr>
        <w:t xml:space="preserve"> actions a </w:t>
      </w:r>
      <w:r>
        <w:rPr>
          <w:rFonts w:ascii="Arial" w:eastAsia="Arial" w:hAnsi="Arial" w:cs="Arial"/>
          <w:b/>
          <w:i/>
          <w:color w:val="000000"/>
          <w:sz w:val="20"/>
          <w:u w:val="single"/>
        </w:rPr>
        <w:t>startup</w:t>
      </w:r>
      <w:r>
        <w:rPr>
          <w:rFonts w:ascii="Arial" w:eastAsia="Arial" w:hAnsi="Arial" w:cs="Arial"/>
          <w:color w:val="000000"/>
          <w:sz w:val="20"/>
        </w:rPr>
        <w:t xml:space="preserve">, shutdown, or (ii) The information in Sec. inconsistent with the plan. malfunction during the reporting 63.10(d)(5)(ii). By letter within 7 working days period that is not consistent with after the end of the event unless your SSMP before August 13, you have made alternative 2021.\1\ arrangements with the permitting authority.(3) Performance test report........ The information required in Sec. According to the requirements of 63.7(g). Sec. 63.2281(i).(4) CMS performance evaluation, as The information required in Sec. According to the requirements of required for CEMS under Sec. 63.7(g). Sec. 63.2281(j). 63.2269(d)(2).----------------------------------------------------------------------------------------------------------------\1\ The requirement for the SSM report in row 2 of this table does not apply for new or reconstructed affected sources that commenced construction or reconstruction after September 6, 2019.025. Table 10 to subpart DDDD is revised to read as follows: Table 10 to Subpart DDDD of Part 63--Applicability of General Provisions to This Subpart---------------------------------------------------------------------------------------------------------------- Applies to this Applies to this subpart before subpart on and August 13, 2021, after August 13, Citation Subject Brief description except as noted 2021, except as in footnote noted in footnote ``1'' to this ``1'' to this table table----------------------------------------------------------------------------------------------------------------Sec. 63.1 ................. Applicability..... Initial applicability Yes.............. Yes. determination; applicability after standard established; permit requirements; extensions, notifications.Sec. 63.2 ................. Definitions....... Definitions for Yes.............. Yes. standards in this part.Sec. 63.3 ................. Units and Units and abbreviations Yes.............. Yes. Abbreviations. for standards in this part.[[Page 49466]] Sec. 63.4 ................. Prohibited Prohibited activities; Yes.............. Yes. Activities and compliance date; Circumvention. circumvention, fragmentation.Sec. 63.5 ................. Preconstruction Preconstruction review Yes.............. Yes. Review and requirements of Notification section 112(i)(1). Requirements.Sec. 63.6(a)............... Applicability..... GP apply unless Yes.............. Yes. compliance extension; GP apply to area sources that become major.Sec. 63.6(b)(1)-(4)........ Compliance Dates Standards apply at Yes.............. Yes. for New and effective date; 3 Reconstructed years after effective Sources. date; upon </w:t>
      </w:r>
      <w:r>
        <w:rPr>
          <w:rFonts w:ascii="Arial" w:eastAsia="Arial" w:hAnsi="Arial" w:cs="Arial"/>
          <w:b/>
          <w:i/>
          <w:color w:val="000000"/>
          <w:sz w:val="20"/>
          <w:u w:val="single"/>
        </w:rPr>
        <w:t>startup</w:t>
      </w:r>
      <w:r>
        <w:rPr>
          <w:rFonts w:ascii="Arial" w:eastAsia="Arial" w:hAnsi="Arial" w:cs="Arial"/>
          <w:color w:val="000000"/>
          <w:sz w:val="20"/>
        </w:rPr>
        <w:t xml:space="preserve">; 10 years after construction or reconstruction commences for section 112(f).Sec. 63.6(b)(5)............ Notification...... Must notify if Yes.............. Yes. commenced construction or reconstruction after proposal.Sec. 63.6(b)(6)............ [Reserved]........Sec. 63.6(b)(7)............ Compliance Dates Area sources that Yes.............. Yes. for New and become major must Reconstructed comply with major Area Sources that source standards Become Major. immediately upon becoming major, regardless of whether required to comply when they were an area source.Sec. 63.6(c)(1)-(2)........ Compliance Dates Comply according to Yes.............. Yes. for Existing date in subpart, which Sources. must be no later than 3 years after effective date; for section 112(f) standards, comply within 90 days of effective date unless compliance extension.Sec. 63.6(c)(3)-(4)........ [Reserved]........Sec. 63.6(c)(5)............ Compliance Dates Area sources that Yes.............. Yes. for Existing Area become major must Sources that comply with major Become Major. source standards by date indicated in subpart or by equivalent time period (e.g , 3 years).Sec. 63.6(d)............... [Reserved]........Sec. 63.6(e)(1)(i)......... General Duty to You must operate and Yes.............. No, see Sec. Minimize maintain affected 63.2250 for Emissions. source in a manner general duty consistent with safety requirement. and good air pollution control practices for minimizing emissions.Sec. 63.6(e)(1)(ii)........ Requirement to You must correct Yes.............. No. Correct malfunctions as soon Malfunctions ASAP. as practicable after their occurrence.Sec. 63.6(e)(1)(iii)....... Operation and Operation and Yes.............. Yes. Maintenance maintenance Requirements. requirements are enforceable independent of emissions limitations or other requirements in relevant standards.Sec. 63.6(e)(2)............ [Reserved]........Sec. 63.6(e)(3)............ </w:t>
      </w:r>
      <w:r>
        <w:rPr>
          <w:rFonts w:ascii="Arial" w:eastAsia="Arial" w:hAnsi="Arial" w:cs="Arial"/>
          <w:b/>
          <w:i/>
          <w:color w:val="000000"/>
          <w:sz w:val="20"/>
          <w:u w:val="single"/>
        </w:rPr>
        <w:t>Startup</w:t>
      </w:r>
      <w:r>
        <w:rPr>
          <w:rFonts w:ascii="Arial" w:eastAsia="Arial" w:hAnsi="Arial" w:cs="Arial"/>
          <w:color w:val="000000"/>
          <w:sz w:val="20"/>
        </w:rPr>
        <w:t xml:space="preserve">, Shutdown, Requirement for SSM and Yes.............. No. and Malfunction SSMP; content of SSMP. Plan (SSMP).Sec. 63.6(f)(1)............ SSM Exemption..... You must comply with No. See Sec. No. emission standards at 63.2250(a). all times except during SSM.Sec. 63.6(f)(2)-(3)........ Methods for Compliance based on Yes.............. Yes. Determining performance test, Compliance/ operation and Finding of maintenance plans, Compliance. records, inspection.Sec. 63.6(g)(1)-(3)........ Alternative Procedures for getting Yes.............. Yes. Standard. an alternative standard.Sec. 63.6(h)(1)............ SSM Exemption..... You must comply with NA............... No. opacity and visible emission standards at all times except during SSM.Sec. 63.6(h)(2)-(9)........ Opacity/Visible Requirements for NA............... NA. Emission (VE) opacity and </w:t>
      </w:r>
      <w:r>
        <w:rPr>
          <w:rFonts w:ascii="Arial" w:eastAsia="Arial" w:hAnsi="Arial" w:cs="Arial"/>
          <w:color w:val="000000"/>
          <w:sz w:val="20"/>
        </w:rPr>
        <w:lastRenderedPageBreak/>
        <w:t xml:space="preserve">visible Standards. emission standards.Sec. 63.6(i)(1)-(14)....... Compliance Procedures and criteria Yes.............. Yes. Extension. for Administrator to grant compliance extension.Sec. 63.6(i)(15)........... [Reserved]........Sec. 63.6(i)(16)........... Compliance Compliance extension Yes.............. Yes. Extension. and Administrator's authority.Sec. 63.6(j)............... Presidential President may exempt Yes.............. Yes. Compliance source category from Exemption. requirement to comply with rule.Sec. 63.7(a)(1)-(2)........ Performance Test Dates for conducting Yes.............. Yes. Dates. initial performance testing and other compliance demonstrations; must conduct 180 days after first subject to rule.Sec. 63.7(a)(3)............ Section 114 Administrator may Yes.............. Yes. Authority. require a performance test under CAA section 114 at any time.Sec. 63.7(b)(1)............ Notification of Must notify Yes.............. Yes. Performance Test. Administrator 60 days before the test.Sec. 63.7(b)(2)............ Notification of If have to reschedule Yes.............. Yes. Rescheduling. performance test, must notify Administrator as soon as practicable.Sec. 63.7(c)............... Quality Assurance/ Requirement to submit Yes.............. Yes. Test Plan. site-specific test plan 60 days before the test or on date Administrator agrees with; test plan approval procedures; performance audit requirements; internal and external QA procedures for testing.Sec. 63.7(d)............... Testing Facilities Requirements for Yes.............. Yes. testing facilities.Sec. 63.7(e)(1)............ Performance Performance tests must Yes.............. No, see Sec. Testing. be conducted under 63.2262(a)-(b). representative conditions; cannot conduct performance tests during SSM; not a violation to exceed standard during SSM.Sec. 63.7(e)(2)............ Conditions for Must conduct according Yes.............. Yes. Conducting to rule and EPA test Performance Tests. methods unless Administrator approves alternative.[[Page 49467]] Sec. 63.7(e)(3)............ Test Run Duration. Must have three test Yes.............. Yes. runs for at least the time specified in the relevant standard; compliance is based on arithmetic mean of three runs; specifies conditions when data from an additional test run can be used.Sec. 63.7(f)............... Alternative Test Procedures by which Yes.............. Yes. Method. Administrator can grant approval to use an alternative test method.Sec. 63.7(g)............... Performance Test Must include raw data Yes.............. Yes. Data Analysis. in performance test report; must submit performance test data 60 days after end of test with the notification of compliance status; keep data for 5 years.Sec. 63.7(h)............... Waiver of Tests... Procedures for Yes.............. Yes. Administrator to waive performance test.Sec. 63.8(a)(1)............ Applicability of Subject to all Yes.............. Yes. Monitoring monitoring Requirements. requirements in standard.Sec. 63.8(a)(2)............ Performance Performance Yes.............. Yes. Specifications. specifications in appendix B of part 60 of this chapter apply.Sec. 63.8(a)(3)............ [Reserved]........Sec. 63.8(a)(4)............ Monitoring with Requirements for flares NA............... NA. Flares. in Sec. 63.11 apply.Sec. 63.8(b)(1)............ Monitoring........ Must conduct monitoring Yes.............. Yes. according to standard unless Administrator approves alternative.Sec. 63.8(b)(2)-(3)........ Multiple Effluents Specific requirements Yes.............. Yes. and Multiple for installing Monitoring monitoring systems; Systems. must install on each effluent before it is combined and before it is released to the atmosphere unless Administrator approves otherwise; if more than one monitoring system on an emission point, must report all monitoring system results, unless one monitoring system is a backup.Sec. 63.8(c)(1)............ Monitoring System Maintain monitoring Yes.............. Yes. Operation and system in a manner Maintenance. consistent with and good air pollution control practices.Sec. 63.8(c)(1)(i)......... Operation and Must maintain and Yes.............. No. Maintenance of operate CMS in CMS. accordance with Sec. 63.6(e)(1).Sec. 63.8(c)(1)(ii)........ Spare Parts for Must maintain spare Yes.............. Yes. CMS. parts for routine CMS repairs.Sec. 63.8(c)(1)(iii)....... Requirements to Must develop and Yes.............. No. Develop SSMP for implement SSMP for CMS. CMS.Sec. 63.8(c)(2)-(3)........ Monitoring System Must install to get Yes.............. Yes. Installation. representative emission of parameter measurements; must verify operational status before or at performance test.Sec. 63.8(c)(4)............ CMS Requirements.. CMS must be operating Yes.............. Yes. except during breakdown, out-of- control, repair, maintenance, and high- level calibration drifts; COMS must have a minimum of one cycle of sampling and analysis for each successive 10-second period and one cycle of data recording for each successive 6- minute period; CEMS must have a minimum of one cycle of operation for each successive 15- minute period.Sec. 63.8(c)(5)............ Continuous Opacity COMS minimum procedures NA............... NA. Monitoring System (COMS) Minimum Procedures.Sec. 63.8(c)(6)-(8)........ CMS Requirements.. Zero and high-level Yes.............. Yes. calibration check requirements; out-of- control periods.Sec. 63.8(d)(1)-(2)........ CMS Quality Requirements for CMS Yes. Refer to Yes. Refer to Control. quality control, Sec. Sec. including calibration, 63.2269(a)-(c) 63.2269(a)-(c) etc.. for CPMS quality for CPMS quality control control procedures to be procedures to be included in the included in the quality control quality control program. program.Sec. 63.8(d)(3)............ Written Procedures Must keep quality Yes.............. No, see Sec. for CMS. control plan on record 63.2282(f). for 5 years. Keep old versions for 5 years after revisions. </w:t>
      </w:r>
      <w:r>
        <w:rPr>
          <w:rFonts w:ascii="Arial" w:eastAsia="Arial" w:hAnsi="Arial" w:cs="Arial"/>
          <w:color w:val="000000"/>
          <w:sz w:val="20"/>
        </w:rPr>
        <w:lastRenderedPageBreak/>
        <w:t xml:space="preserve">May incorporate as part of SSMP to avoid duplication..Sec. 63.8(e)............... CMS Performance Notification, Yes, for CEMS.... Yes, for CEMS. Evaluation. performance evaluation test plan, reports.Sec. 63.8(f)(1)-(5)........ Alternative Procedures for Yes.............. Yes. Monitoring Method. Administrator to approve alternative monitoring.Sec. 63.8(f)(6)............ Alternative to Procedures for Yes, for CEMS.... Yes, for CEMS. Relative Accuracy Administrator to Test. approve alternative relative accuracy tests for CEMS.Sec. 63.8(g)............... Data Reduction.... COMS 6-minute averages Yes.............. Yes. calculated over at least 36 evenly spaced data points; CEMS 1 hour averages computed over at least 4 equally spaced data points; data that can't be used in average; rounding of data.Sec. 63.9(a)............... Notification Applicability and State Yes.............. Yes. Requirements. delegation.Sec. 63.9(b)(1)-(2)........ Initial Submit notification 120 Yes.............. Yes. Notifications. days after effective date; contents of notification.Sec. 63.9(b)(3)............ [Reserved]........[[Page 49468]] Sec. 63.9(b)(4)-(5)........ Initial Submit notification 120 Yes.............. Yes. Notifications. days after effective date; notification of intent to construct/ reconstruct; notification of commencement of construct/reconstruct; notification of </w:t>
      </w:r>
      <w:r>
        <w:rPr>
          <w:rFonts w:ascii="Arial" w:eastAsia="Arial" w:hAnsi="Arial" w:cs="Arial"/>
          <w:b/>
          <w:i/>
          <w:color w:val="000000"/>
          <w:sz w:val="20"/>
          <w:u w:val="single"/>
        </w:rPr>
        <w:t>startup</w:t>
      </w:r>
      <w:r>
        <w:rPr>
          <w:rFonts w:ascii="Arial" w:eastAsia="Arial" w:hAnsi="Arial" w:cs="Arial"/>
          <w:color w:val="000000"/>
          <w:sz w:val="20"/>
        </w:rPr>
        <w:t xml:space="preserve">; contents of each.Sec. 63.9(c)............... Request for Can request if cannot Yes.............. Yes. Compliance comply by date or if Extension. installed best available control technology/lowest achievable emission rate.Sec. 63.9(d)............... Notification of For sources that Yes.............. Yes. Special commence construction Compliance between proposal and Requirements for promulgation and want New Source. to comply 3 years after effective date.Sec. 63.9(e)............... Notification of Notify EPA Yes.............. Yes. Performance Test. Administrator 60 days prior.Sec. 63.9(f)............... Notification of Notify EPA No............... No. Visible Emissions/ Administrator 30 days Opacity Test. prior.Sec. 63.9(g)............... Additional Notification of Yes.............. Yes. Notifications performance When Using CMS. evaluation; notification using COMS data; notification that exceeded criterion for relative accuracy.Sec. 63.9(h)(1)-(6)........ Notification of Contents; due 60 days Yes.............. Yes. Compliance Status. after end of performance test or other compliance demonstration, except for opacity/VE, which are due 30 days after; when to submit to Federal vs. State authority.Sec. 63.9(i)............... Adjustment of Procedures for Yes.............. Yes. Submittal Administrator to Deadlines. approve change in when notifications must be submitted.Sec. 63.9(j)............... Change in Previous Must submit within 15 Yes.............. Yes. Information. days after the change.Sec. 63.10(a).............. Recordkeeping/ Applies to all, unless Yes.............. Yes. Reporting. compliance extension; when to submit to Federal vs. State authority; procedures for owners of more than one source.Sec. 63.10(b)(1)........... Recordkeeping/ General Requirements; Yes.............. Yes. Reporting. keep all records readily available; keep for 5 years.Sec. 63.10(b)(2)(i)........ Recordkeeping of Records of occurrence Yes.............. No, see Sec. Occurrence and and duration of each 63.2282(a). Duration of </w:t>
      </w:r>
      <w:r>
        <w:rPr>
          <w:rFonts w:ascii="Arial" w:eastAsia="Arial" w:hAnsi="Arial" w:cs="Arial"/>
          <w:b/>
          <w:i/>
          <w:color w:val="000000"/>
          <w:sz w:val="20"/>
          <w:u w:val="single"/>
        </w:rPr>
        <w:t>startup</w:t>
      </w:r>
      <w:r>
        <w:rPr>
          <w:rFonts w:ascii="Arial" w:eastAsia="Arial" w:hAnsi="Arial" w:cs="Arial"/>
          <w:color w:val="000000"/>
          <w:sz w:val="20"/>
        </w:rPr>
        <w:t xml:space="preserve"> or shutdown </w:t>
      </w:r>
      <w:r>
        <w:rPr>
          <w:rFonts w:ascii="Arial" w:eastAsia="Arial" w:hAnsi="Arial" w:cs="Arial"/>
          <w:b/>
          <w:i/>
          <w:color w:val="000000"/>
          <w:sz w:val="20"/>
          <w:u w:val="single"/>
        </w:rPr>
        <w:t>Startups</w:t>
      </w:r>
      <w:r>
        <w:rPr>
          <w:rFonts w:ascii="Arial" w:eastAsia="Arial" w:hAnsi="Arial" w:cs="Arial"/>
          <w:color w:val="000000"/>
          <w:sz w:val="20"/>
        </w:rPr>
        <w:t xml:space="preserve"> and that causes source to Shutdowns. exceed emission limitation.Sec. 63.10(b)(2)(ii)....... Recordkeeping of Records of occurrence Yes.............. No, see Sec. </w:t>
      </w:r>
      <w:r>
        <w:rPr>
          <w:rFonts w:ascii="Arial" w:eastAsia="Arial" w:hAnsi="Arial" w:cs="Arial"/>
          <w:b/>
          <w:i/>
          <w:color w:val="000000"/>
          <w:sz w:val="20"/>
          <w:u w:val="single"/>
        </w:rPr>
        <w:t>Failures</w:t>
      </w:r>
      <w:r>
        <w:rPr>
          <w:rFonts w:ascii="Arial" w:eastAsia="Arial" w:hAnsi="Arial" w:cs="Arial"/>
          <w:color w:val="000000"/>
          <w:sz w:val="20"/>
        </w:rPr>
        <w:t xml:space="preserve"> to Meet and duration of each 63.2282(a) for a Standard. malfunction of recordkeeping of operation or air (1) date, time pollution control and and duration; monitoring equipment. (2) listing of affected source or equipment, and an estimate of the quantity of each regulated pollutant emitted over the standard; and (3) actions to minimize emissions and correct the </w:t>
      </w:r>
      <w:r>
        <w:rPr>
          <w:rFonts w:ascii="Arial" w:eastAsia="Arial" w:hAnsi="Arial" w:cs="Arial"/>
          <w:b/>
          <w:i/>
          <w:color w:val="000000"/>
          <w:sz w:val="20"/>
          <w:u w:val="single"/>
        </w:rPr>
        <w:t>failure</w:t>
      </w:r>
      <w:r>
        <w:rPr>
          <w:rFonts w:ascii="Arial" w:eastAsia="Arial" w:hAnsi="Arial" w:cs="Arial"/>
          <w:color w:val="000000"/>
          <w:sz w:val="20"/>
        </w:rPr>
        <w:t xml:space="preserve">.Sec. 63.10(b)(2)(iii)...... Maintenance Records of maintenance Yes.............. Yes. Records. performed on air pollution control and monitoring equipment.Sec. 63.10(b)(2)(iv)-(v)... Actions Taken to Records of actions Yes.............. No. Minimize taken during SSM to Emissions During minimize emissions. SSM.Sec. 63.10(b)(2)(vi) and CMS Records....... Malfunctions, Yes.............. Yes. (x)-(xi). inoperative, out-of- control.Sec. 63.10(b)(2)(vii)-(ix). Records........... Measurements to Yes.............. Yes. demonstrate compliance with compliance options and operating requirements; performance test, performance evaluation, and visible emission observation results; measurements to determine conditions of performance tests and performance evaluations.Sec. 63.10(b)(2)(xii)...... Records........... Records when under Yes.............. Yes. waiver.Sec. 63.10(b)(2)(xiii)..... Records........... Records when using Yes.............. Yes. alternative to relative accuracy test.Sec. 63.10(b)(2)(xiv)...... Records........... All documentation Yes.............. Yes. supporting initial notification and notification of compliance status.Sec. 63.10(b)(3)........... Records........... Applicability Yes.............. Yes. determinations.Sec. 63.10(c)(1)-(6), (9)- Records........... Additional records for Yes.............. Yes. (14). CMS.Sec. 63.10(c)(7)-(8)....... Records........... Records of excess No............... No. emissions and parameter monitoring exceedances for CMS.Sec. 63.10(c)(15).......... Use of SSMP....... Use SSMP to satisfy Yes.............. No. recordkeeping requirements for identification of malfunction, correction action taken, and nature of repairs to CMS.Sec. 63.10(d)(1)........... General Reporting Requirement to report.. Yes.............. Yes. Requirements.Sec. 63.10(d)(2)........... Report of When to submit to Yes.............. Yes. Performance Test Federal or State Results. authority.Sec. 63.10(d)(3)........... Reporting Opacity What to report and when NA............... NA. or VE </w:t>
      </w:r>
      <w:r>
        <w:rPr>
          <w:rFonts w:ascii="Arial" w:eastAsia="Arial" w:hAnsi="Arial" w:cs="Arial"/>
          <w:color w:val="000000"/>
          <w:sz w:val="20"/>
        </w:rPr>
        <w:lastRenderedPageBreak/>
        <w:t xml:space="preserve">Observations.[[Page 49469]] Sec. 63.10(d)(4)........... Progress Reports.. Must submit progress Yes.............. Yes. reports on schedule if under compliance extension.Sec. 63.10(d)(5)(i)........ Periodic SSM Contents and submission Yes.............. No, see Sec. Reports. of periodic SSM 63.2281(d)-(e) reports. for malfunction reporting requirements.Sec. 63.10(d)(5)(ii)....... Immediate SSM Contents and submission Yes.............. No. Reports. of immediate SSM reports.Sec. 63.10(e)(1)-(2)....... Additional CMS Must report results for Yes.............. Yes. Reports. each CEM on a unit; written copy of performance evaluation; 3 copies of COMS performance evaluation.Sec. 63.10(e)(3)........... Reports........... Excess emission reports No............... No.Sec. 63.10(e)(4)........... Reporting COMS Must submit COMS data NA............... NA. Data. with performance test data.Sec. 63.10(f).............. Waiver for Procedures for EPA Yes.............. Yes. Recordkeeping/ Administrator to waive. Reporting.Sec. 63.11 ................ Control Device and Requirements for flares NA............... NA. Work Practice and alternative work Requirements. practice for equipment leaks.Sec. 63.12 ................ State Authority State authority to Yes.............. Yes. and Delegations. enforce standards.Sec. 63.13 ................ Addresses......... Addresses where Yes.............. Yes. reports, notifications, and requests are sent.Sec. 63.14 ................ Incorporations by Test methods Yes.............. Yes. Reference. incorporated by reference.Sec. 63.15 ................ Availability of Public and confidential Yes.............. Yes. Information and information. Confidentiality.Sec. 63.16 ................ Performance Track Requirements for Yes.............. Yes. Provisions. Performance Track member facilities.----------------------------------------------------------------------------------------------------------------\1\ New or reconstructed affected sources that commenced construction or reconstruction after September 6, 2019 must comply with the requirements in column 5 of this table beginning on August 13, 2020 or upon initial </w:t>
      </w:r>
      <w:r>
        <w:rPr>
          <w:rFonts w:ascii="Arial" w:eastAsia="Arial" w:hAnsi="Arial" w:cs="Arial"/>
          <w:b/>
          <w:i/>
          <w:color w:val="000000"/>
          <w:sz w:val="20"/>
          <w:u w:val="single"/>
        </w:rPr>
        <w:t>startup</w:t>
      </w:r>
      <w:r>
        <w:rPr>
          <w:rFonts w:ascii="Arial" w:eastAsia="Arial" w:hAnsi="Arial" w:cs="Arial"/>
          <w:color w:val="000000"/>
          <w:sz w:val="20"/>
        </w:rPr>
        <w:t>, whichever is later.[FR Doc. 2020-12725 Filed 8-12-20; 8:45 am]BILLING CODE 6560-50-P</w:t>
      </w:r>
    </w:p>
    <w:p w14:paraId="5CEAE937"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15, 2020</w:t>
      </w:r>
    </w:p>
    <w:p w14:paraId="3B01C9EF" w14:textId="77777777" w:rsidR="00054BF0" w:rsidRDefault="00054BF0"/>
    <w:p w14:paraId="4EAC9F54" w14:textId="77777777" w:rsidR="00054BF0" w:rsidRDefault="00000000">
      <w:pPr>
        <w:ind w:left="200"/>
        <w:sectPr w:rsidR="00054BF0">
          <w:type w:val="continuous"/>
          <w:pgSz w:w="12240" w:h="15840"/>
          <w:pgMar w:top="840" w:right="1000" w:bottom="840" w:left="1000" w:header="400" w:footer="400" w:gutter="0"/>
          <w:cols w:space="720"/>
        </w:sectPr>
      </w:pPr>
      <w:r>
        <w:br/>
      </w:r>
      <w:r>
        <w:pict w14:anchorId="2D4C140D">
          <v:line id="_x0000_s2116" style="position:absolute;left:0;text-align:left;z-index:251699200;mso-position-horizontal-relative:text;mso-position-vertical-relative:text" from="0,10pt" to="512pt,10pt" strokeweight="1pt"/>
        </w:pict>
      </w:r>
      <w:r>
        <w:rPr>
          <w:rFonts w:ascii="Arial" w:eastAsia="Arial" w:hAnsi="Arial" w:cs="Arial"/>
          <w:b/>
          <w:color w:val="767676"/>
          <w:sz w:val="16"/>
        </w:rPr>
        <w:t>End of Document</w:t>
      </w:r>
    </w:p>
    <w:p w14:paraId="4F693A9F" w14:textId="77777777" w:rsidR="00054BF0" w:rsidRDefault="00054BF0">
      <w:pPr>
        <w:sectPr w:rsidR="00054BF0">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gutter="0"/>
          <w:cols w:space="720"/>
          <w:titlePg/>
        </w:sectPr>
      </w:pPr>
    </w:p>
    <w:p w14:paraId="12FACF30" w14:textId="77777777" w:rsidR="00054BF0" w:rsidRDefault="00054BF0">
      <w:bookmarkStart w:id="40" w:name="Bookmark_21"/>
      <w:bookmarkEnd w:id="40"/>
    </w:p>
    <w:p w14:paraId="3AEB2DB8" w14:textId="77777777" w:rsidR="00054BF0" w:rsidRDefault="00BE2275">
      <w:r>
        <w:pict w14:anchorId="5AAA0B64">
          <v:shape id="_x0000_i1053" type="#_x0000_t75" alt="LexisNexis®" style="width:148pt;height:30pt">
            <v:imagedata r:id="rId6" o:title=""/>
          </v:shape>
        </w:pict>
      </w:r>
      <w:r w:rsidR="00A540D1">
        <w:cr/>
      </w:r>
    </w:p>
    <w:p w14:paraId="6B45B80B" w14:textId="77777777" w:rsidR="00054BF0" w:rsidRDefault="00000000">
      <w:pPr>
        <w:spacing w:before="240" w:after="200" w:line="340" w:lineRule="atLeast"/>
        <w:jc w:val="center"/>
        <w:outlineLvl w:val="0"/>
        <w:rPr>
          <w:rFonts w:ascii="Arial" w:hAnsi="Arial" w:cs="Arial"/>
          <w:b/>
          <w:bCs/>
          <w:kern w:val="32"/>
          <w:sz w:val="32"/>
          <w:szCs w:val="32"/>
        </w:rPr>
      </w:pPr>
      <w:hyperlink r:id="rId402" w:history="1">
        <w:r>
          <w:rPr>
            <w:rFonts w:ascii="Arial" w:eastAsia="Arial" w:hAnsi="Arial" w:cs="Arial"/>
            <w:b/>
            <w:bCs/>
            <w:i/>
            <w:color w:val="0077CC"/>
            <w:kern w:val="32"/>
            <w:sz w:val="28"/>
            <w:szCs w:val="32"/>
            <w:u w:val="single"/>
            <w:shd w:val="clear" w:color="auto" w:fill="FFFFFF"/>
          </w:rPr>
          <w:t>Economics in elections</w:t>
        </w:r>
      </w:hyperlink>
    </w:p>
    <w:p w14:paraId="6CB273C8" w14:textId="77777777" w:rsidR="00054BF0" w:rsidRDefault="00000000">
      <w:pPr>
        <w:spacing w:before="120" w:line="260" w:lineRule="atLeast"/>
        <w:jc w:val="center"/>
      </w:pPr>
      <w:r>
        <w:rPr>
          <w:rFonts w:ascii="Arial" w:eastAsia="Arial" w:hAnsi="Arial" w:cs="Arial"/>
          <w:color w:val="000000"/>
          <w:sz w:val="20"/>
        </w:rPr>
        <w:t>Assam Tribune (India)</w:t>
      </w:r>
    </w:p>
    <w:p w14:paraId="1510AE2E" w14:textId="77777777" w:rsidR="00054BF0" w:rsidRDefault="00000000">
      <w:pPr>
        <w:spacing w:before="120" w:line="260" w:lineRule="atLeast"/>
        <w:jc w:val="center"/>
      </w:pPr>
      <w:r>
        <w:rPr>
          <w:rFonts w:ascii="Arial" w:eastAsia="Arial" w:hAnsi="Arial" w:cs="Arial"/>
          <w:color w:val="000000"/>
          <w:sz w:val="20"/>
        </w:rPr>
        <w:t>February 11, 2021 Thursday</w:t>
      </w:r>
    </w:p>
    <w:p w14:paraId="3BF6CB31" w14:textId="77777777" w:rsidR="00054BF0" w:rsidRDefault="00054BF0">
      <w:pPr>
        <w:spacing w:line="240" w:lineRule="atLeast"/>
        <w:jc w:val="both"/>
      </w:pPr>
    </w:p>
    <w:p w14:paraId="05DDDE49" w14:textId="77777777" w:rsidR="00054BF0" w:rsidRDefault="00000000">
      <w:pPr>
        <w:spacing w:before="120" w:line="220" w:lineRule="atLeast"/>
      </w:pPr>
      <w:r>
        <w:br/>
      </w:r>
      <w:r>
        <w:rPr>
          <w:rFonts w:ascii="Arial" w:eastAsia="Arial" w:hAnsi="Arial" w:cs="Arial"/>
          <w:color w:val="000000"/>
          <w:sz w:val="16"/>
        </w:rPr>
        <w:t>Copyright 2021 Assam Tribune (P) Ltd. All Rights Reserved</w:t>
      </w:r>
    </w:p>
    <w:p w14:paraId="2BA554F0"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1278 words</w:t>
      </w:r>
    </w:p>
    <w:p w14:paraId="00B83A6E"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Guwahati </w:t>
      </w:r>
    </w:p>
    <w:p w14:paraId="36A64D20" w14:textId="77777777" w:rsidR="00054BF0" w:rsidRDefault="00000000">
      <w:pPr>
        <w:keepNext/>
        <w:spacing w:before="240" w:line="340" w:lineRule="atLeast"/>
      </w:pPr>
      <w:bookmarkStart w:id="41" w:name="Body_19"/>
      <w:bookmarkEnd w:id="41"/>
      <w:r>
        <w:rPr>
          <w:rFonts w:ascii="Arial" w:eastAsia="Arial" w:hAnsi="Arial" w:cs="Arial"/>
          <w:b/>
          <w:color w:val="000000"/>
          <w:sz w:val="28"/>
        </w:rPr>
        <w:t>Body</w:t>
      </w:r>
    </w:p>
    <w:p w14:paraId="24E9A330" w14:textId="77777777" w:rsidR="00054BF0" w:rsidRDefault="00000000">
      <w:pPr>
        <w:spacing w:line="60" w:lineRule="exact"/>
      </w:pPr>
      <w:r>
        <w:pict w14:anchorId="4883DEE8">
          <v:line id="_x0000_s2118" style="position:absolute;z-index:251700224" from="0,2pt" to="512pt,2pt" strokecolor="#009ddb" strokeweight="2pt">
            <w10:wrap type="topAndBottom"/>
          </v:line>
        </w:pict>
      </w:r>
    </w:p>
    <w:p w14:paraId="32263038" w14:textId="77777777" w:rsidR="00054BF0" w:rsidRDefault="00054BF0"/>
    <w:p w14:paraId="7E14AEA1" w14:textId="77777777" w:rsidR="00054BF0" w:rsidRDefault="00000000">
      <w:pPr>
        <w:spacing w:before="200" w:line="260" w:lineRule="atLeast"/>
        <w:jc w:val="both"/>
      </w:pPr>
      <w:r>
        <w:rPr>
          <w:rFonts w:ascii="Arial" w:eastAsia="Arial" w:hAnsi="Arial" w:cs="Arial"/>
          <w:color w:val="000000"/>
          <w:sz w:val="20"/>
        </w:rPr>
        <w:t>Guwahati, Feb. 11 -- To a common voter the coming elections are becoming a very confusing arithmetic. While all this while BJP was claiming it would get 100+ of the 126 seats in the Assembly, leaving the rest 20 odd to the Opposition parties, it is now the Congress and its 'Mahajot' which is claiming 100+ seats, probably leaving the rest 20 odd to the BJP. The BJP has given its calculation as to how the claimed figure would be reached. On the contrary, the Congress Plus is silent on how it would reach its claimed figure. So the common voter is dismissing both the claims as election rhetoric and getting on to do his own calculations and waiting for the final outcome after a good dose of merriment and feasting in the Rongali Bihu. The electoral pundits and media are also not very sure what would be the final results as yet, the lone election forecast which predicted a victory for the BJP now well forgotten.</w:t>
      </w:r>
    </w:p>
    <w:p w14:paraId="7A7C51F8" w14:textId="77777777" w:rsidR="00054BF0" w:rsidRDefault="00000000">
      <w:pPr>
        <w:spacing w:before="200" w:line="260" w:lineRule="atLeast"/>
        <w:jc w:val="both"/>
      </w:pPr>
      <w:r>
        <w:rPr>
          <w:rFonts w:ascii="Arial" w:eastAsia="Arial" w:hAnsi="Arial" w:cs="Arial"/>
          <w:color w:val="000000"/>
          <w:sz w:val="20"/>
        </w:rPr>
        <w:t xml:space="preserve">What is interesting is that the latest Union Budget which come clean on the entire approach to governance in the coming years by going on a free enterprise path and ending the behemoth called the public sector, has been lost in Assam in the midst of this 100 plus calculations of both the major political groups contesting the elections. In the next four years, other than the oil companies and the telecommunications sector, there will be no central public sector undertakings and following from this it can be expected that the non-profit making State PSUs will also have to wind </w:t>
      </w:r>
      <w:r>
        <w:rPr>
          <w:rFonts w:ascii="Arial" w:eastAsia="Arial" w:hAnsi="Arial" w:cs="Arial"/>
          <w:b/>
          <w:i/>
          <w:color w:val="000000"/>
          <w:sz w:val="20"/>
          <w:u w:val="single"/>
        </w:rPr>
        <w:t>up</w:t>
      </w:r>
      <w:r>
        <w:rPr>
          <w:rFonts w:ascii="Arial" w:eastAsia="Arial" w:hAnsi="Arial" w:cs="Arial"/>
          <w:color w:val="000000"/>
          <w:sz w:val="20"/>
        </w:rPr>
        <w:t>. Not that it will make much of a difference to the people of Assam, the closure of most State PSUs will mean a loss of jobs for a few thousand employees and a parking place for non-ministerial MLAs. But the noise will be much bigger in the media and will give the Opposition parties of the day a handle to rent the air with agitation and prove their existence.</w:t>
      </w:r>
    </w:p>
    <w:p w14:paraId="0E617E20" w14:textId="77777777" w:rsidR="00054BF0" w:rsidRDefault="00000000">
      <w:pPr>
        <w:spacing w:before="200" w:line="260" w:lineRule="atLeast"/>
        <w:jc w:val="both"/>
      </w:pPr>
      <w:r>
        <w:rPr>
          <w:rFonts w:ascii="Arial" w:eastAsia="Arial" w:hAnsi="Arial" w:cs="Arial"/>
          <w:color w:val="000000"/>
          <w:sz w:val="20"/>
        </w:rPr>
        <w:t xml:space="preserve">The performance of the Sonowal Government has been comparatively good. It has followed the path shown by the Prime Minister as the then Chief Minister of Gujarat years ago of improving bijli, sadak, paani, swasthya, siksha. It has built new bridges and 20,000 km of roads have been repaired and improved. The education sector has been given a new impetus with the appointment of new teachers in thousands, building new schools and colleges and improving the old, waiving school and college fees, free books, free uniforms, midday meals, book grants for college students, grants subsidizing mess dues, scooties to girl students, computers and many more. On the electricity front, the power situation has improved and more homes have been reached. Drinking water supply has been a weak point. Corruption has come down and the performance of government servants have marginally improved. On the health front, the Atal Amrit Yojana for providing cashless treatment has made a welcome development and needs to be made universal covering the middle-class. The best news in the medical front has been in the setting </w:t>
      </w:r>
      <w:r>
        <w:rPr>
          <w:rFonts w:ascii="Arial" w:eastAsia="Arial" w:hAnsi="Arial" w:cs="Arial"/>
          <w:b/>
          <w:i/>
          <w:color w:val="000000"/>
          <w:sz w:val="20"/>
          <w:u w:val="single"/>
        </w:rPr>
        <w:t>up</w:t>
      </w:r>
      <w:r>
        <w:rPr>
          <w:rFonts w:ascii="Arial" w:eastAsia="Arial" w:hAnsi="Arial" w:cs="Arial"/>
          <w:color w:val="000000"/>
          <w:sz w:val="20"/>
        </w:rPr>
        <w:t xml:space="preserve"> of new medical colleges which will double the annual availability of doctors in the State in another five years. The new cancer hospitals and the upcoming AIIMS are a much-needed addition. The growth of </w:t>
      </w:r>
      <w:r>
        <w:rPr>
          <w:rFonts w:ascii="Arial" w:eastAsia="Arial" w:hAnsi="Arial" w:cs="Arial"/>
          <w:color w:val="000000"/>
          <w:sz w:val="20"/>
        </w:rPr>
        <w:lastRenderedPageBreak/>
        <w:t>paramedical and nursing institutions will have a long-term impact. Granting of pattas to the indigenous people has been a good step and taken in a mission mode will help the poor and marginalized. Containing the corona epidemic would be a feather in the cap of the outgoing Government. It contained the outbreak medically and ensured the supply lines. Migrants and daily labour were helped to tide over the darkest of days.</w:t>
      </w:r>
    </w:p>
    <w:p w14:paraId="4D303BCF" w14:textId="77777777" w:rsidR="00054BF0" w:rsidRDefault="00000000">
      <w:pPr>
        <w:spacing w:before="200" w:line="260" w:lineRule="atLeast"/>
        <w:jc w:val="both"/>
      </w:pPr>
      <w:r>
        <w:rPr>
          <w:rFonts w:ascii="Arial" w:eastAsia="Arial" w:hAnsi="Arial" w:cs="Arial"/>
          <w:color w:val="000000"/>
          <w:sz w:val="20"/>
        </w:rPr>
        <w:t>The weak spots of the Government have been in managing the environment by increasing the green cover to 33% of the landmass and controlling floods and erosion. Steps taken have been woefully insufficient.</w:t>
      </w:r>
    </w:p>
    <w:p w14:paraId="4E735827" w14:textId="77777777" w:rsidR="00054BF0" w:rsidRDefault="00000000">
      <w:pPr>
        <w:spacing w:before="200" w:line="260" w:lineRule="atLeast"/>
        <w:jc w:val="both"/>
      </w:pPr>
      <w:r>
        <w:rPr>
          <w:rFonts w:ascii="Arial" w:eastAsia="Arial" w:hAnsi="Arial" w:cs="Arial"/>
          <w:color w:val="000000"/>
          <w:sz w:val="20"/>
        </w:rPr>
        <w:t>The Union Government has set its economic agenda clearly in the last budget. India will go on an atmanirbhar path, where the economy will be driven by individual enterprise aided in infrastructure by the Government. The public sector will be phased out in non-strategic areas. It will be less of government and more of governance. So all jobs will be primarily created in the private sector. This will mean that Assam too in the coming years has to go for the self-dependent mode with job creation happening mostly in the private sector. This is something that the Assamese mind has to adjust to. However difficult it may not be, it will be a harsh reality which the Government has to cope with and inculcate a cultural change in the mindset of the locals. How to ignite the entrepreneurial spirit in the youth will be a big challenge, as there are no teachers and very few self-made success stories to emulate.</w:t>
      </w:r>
    </w:p>
    <w:p w14:paraId="3A09B5D9" w14:textId="77777777" w:rsidR="00054BF0" w:rsidRDefault="00000000">
      <w:pPr>
        <w:spacing w:before="200" w:line="260" w:lineRule="atLeast"/>
        <w:jc w:val="both"/>
      </w:pPr>
      <w:r>
        <w:rPr>
          <w:rFonts w:ascii="Arial" w:eastAsia="Arial" w:hAnsi="Arial" w:cs="Arial"/>
          <w:color w:val="000000"/>
          <w:sz w:val="20"/>
        </w:rPr>
        <w:t xml:space="preserve">Again the country has pegged its annual growth rate to 11%, which in Assam's case has to be in the region of 20% if it has to keep pace with the developed States and 25% if it has to come </w:t>
      </w:r>
      <w:r>
        <w:rPr>
          <w:rFonts w:ascii="Arial" w:eastAsia="Arial" w:hAnsi="Arial" w:cs="Arial"/>
          <w:b/>
          <w:i/>
          <w:color w:val="000000"/>
          <w:sz w:val="20"/>
          <w:u w:val="single"/>
        </w:rPr>
        <w:t>up</w:t>
      </w:r>
      <w:r>
        <w:rPr>
          <w:rFonts w:ascii="Arial" w:eastAsia="Arial" w:hAnsi="Arial" w:cs="Arial"/>
          <w:color w:val="000000"/>
          <w:sz w:val="20"/>
        </w:rPr>
        <w:t xml:space="preserve"> from its 28th position in per capita income, among the States. This has to be done in organic and variety products in tea, organic farming, horticulture and tourism. None of these sectors are in robust health today nor are they widespread. Newer avenues have to be also added to the thrust areas. All this will call for a detailed plan to coordinate individual enterprise with government infrastructure support. Assistance will have to be provided in marketing and finance also. </w:t>
      </w:r>
      <w:r>
        <w:rPr>
          <w:rFonts w:ascii="Arial" w:eastAsia="Arial" w:hAnsi="Arial" w:cs="Arial"/>
          <w:b/>
          <w:i/>
          <w:color w:val="000000"/>
          <w:sz w:val="20"/>
          <w:u w:val="single"/>
        </w:rPr>
        <w:t>Startups</w:t>
      </w:r>
      <w:r>
        <w:rPr>
          <w:rFonts w:ascii="Arial" w:eastAsia="Arial" w:hAnsi="Arial" w:cs="Arial"/>
          <w:color w:val="000000"/>
          <w:sz w:val="20"/>
        </w:rPr>
        <w:t xml:space="preserve"> will have more </w:t>
      </w:r>
      <w:r>
        <w:rPr>
          <w:rFonts w:ascii="Arial" w:eastAsia="Arial" w:hAnsi="Arial" w:cs="Arial"/>
          <w:b/>
          <w:i/>
          <w:color w:val="000000"/>
          <w:sz w:val="20"/>
          <w:u w:val="single"/>
        </w:rPr>
        <w:t>failures</w:t>
      </w:r>
      <w:r>
        <w:rPr>
          <w:rFonts w:ascii="Arial" w:eastAsia="Arial" w:hAnsi="Arial" w:cs="Arial"/>
          <w:color w:val="000000"/>
          <w:sz w:val="20"/>
        </w:rPr>
        <w:t xml:space="preserve"> than success in the initial days. How will the Government assist in cushioning the </w:t>
      </w:r>
      <w:r>
        <w:rPr>
          <w:rFonts w:ascii="Arial" w:eastAsia="Arial" w:hAnsi="Arial" w:cs="Arial"/>
          <w:b/>
          <w:i/>
          <w:color w:val="000000"/>
          <w:sz w:val="20"/>
          <w:u w:val="single"/>
        </w:rPr>
        <w:t>failures</w:t>
      </w:r>
      <w:r>
        <w:rPr>
          <w:rFonts w:ascii="Arial" w:eastAsia="Arial" w:hAnsi="Arial" w:cs="Arial"/>
          <w:color w:val="000000"/>
          <w:sz w:val="20"/>
        </w:rPr>
        <w:t xml:space="preserve"> and put the entrepreneurs back on track will mean the placing of a mechanism to deal with the pitfalls. With the cushion effect, the first generation entrepreneurs will back out from repeated attempts, thereby killing dreams before they are made into a reality. Assam does not have enough of quality mentors to create a climate of entrepreneurship. Hence, the State Government will have to reach out to other States and corporates for support.</w:t>
      </w:r>
    </w:p>
    <w:p w14:paraId="21920BF8" w14:textId="77777777" w:rsidR="00054BF0" w:rsidRDefault="00000000">
      <w:pPr>
        <w:spacing w:before="200" w:line="260" w:lineRule="atLeast"/>
        <w:jc w:val="both"/>
      </w:pPr>
      <w:r>
        <w:rPr>
          <w:rFonts w:ascii="Arial" w:eastAsia="Arial" w:hAnsi="Arial" w:cs="Arial"/>
          <w:color w:val="000000"/>
          <w:sz w:val="20"/>
        </w:rPr>
        <w:t xml:space="preserve">Opening </w:t>
      </w:r>
      <w:r>
        <w:rPr>
          <w:rFonts w:ascii="Arial" w:eastAsia="Arial" w:hAnsi="Arial" w:cs="Arial"/>
          <w:b/>
          <w:i/>
          <w:color w:val="000000"/>
          <w:sz w:val="20"/>
          <w:u w:val="single"/>
        </w:rPr>
        <w:t>up</w:t>
      </w:r>
      <w:r>
        <w:rPr>
          <w:rFonts w:ascii="Arial" w:eastAsia="Arial" w:hAnsi="Arial" w:cs="Arial"/>
          <w:color w:val="000000"/>
          <w:sz w:val="20"/>
        </w:rPr>
        <w:t xml:space="preserve"> the national and international markets for products of the State or even gaining a foothold will be a Herculean task, much beyond the capacity of the local bureaucracy. How the Government proposes to deal with the issue will require advance and creative planning.</w:t>
      </w:r>
    </w:p>
    <w:p w14:paraId="7AE1DD2A" w14:textId="77777777" w:rsidR="00054BF0" w:rsidRDefault="00000000">
      <w:pPr>
        <w:spacing w:before="200" w:line="260" w:lineRule="atLeast"/>
        <w:jc w:val="both"/>
      </w:pPr>
      <w:r>
        <w:rPr>
          <w:rFonts w:ascii="Arial" w:eastAsia="Arial" w:hAnsi="Arial" w:cs="Arial"/>
          <w:color w:val="000000"/>
          <w:sz w:val="20"/>
        </w:rPr>
        <w:t>In the organic farming sector, for prices to be remunerative, the selling has to be done mostly in the export market. This will call for adherence to international food safety requirements, quality packing and transport, cold chain support, timely supply of inputs, easy access to finance, ease of doing business, regularity in international cargo flights, keeping to delivery schedule, etc. The Assamese farmer has to be inculcated with the business sense and expertise to meet the demands of the international market. Unfortunately, there are no such institutions to train the farmers of Assam in national and international marketing. The role of intermediaries has to be kept to the minimum. The whole production, storage, packaging and selling process has to be tuned into a seamless flow, to fructify the Prime Minister's dream of an Organic Northeast. Sikkim has taken a lead. It's now to be seen how Assam comes to the forefront and how the government makes it a policy in the party's manifesto for the coming assembly elections.</w:t>
      </w:r>
    </w:p>
    <w:p w14:paraId="45EE9DAD" w14:textId="77777777" w:rsidR="00054BF0" w:rsidRDefault="00000000">
      <w:pPr>
        <w:spacing w:before="200" w:line="260" w:lineRule="atLeast"/>
        <w:jc w:val="both"/>
      </w:pPr>
      <w:r>
        <w:rPr>
          <w:rFonts w:ascii="Arial" w:eastAsia="Arial" w:hAnsi="Arial" w:cs="Arial"/>
          <w:color w:val="000000"/>
          <w:sz w:val="20"/>
        </w:rPr>
        <w:t>Will the Assam Mala have a plan for bridges across the Brahmaputra at every 60 km gap or a second Trunk Road on both the banks of the mighty river connecting the bridges will have to be seen in future.</w:t>
      </w:r>
    </w:p>
    <w:p w14:paraId="6E23D4C8"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Assam Tribune. For any query with respect to this article or any other content requirement, please contact Editor at </w:t>
      </w:r>
      <w:hyperlink r:id="rId403" w:history="1">
        <w:r>
          <w:rPr>
            <w:rFonts w:ascii="Arial" w:eastAsia="Arial" w:hAnsi="Arial" w:cs="Arial"/>
            <w:i/>
            <w:color w:val="0077CC"/>
            <w:sz w:val="20"/>
            <w:u w:val="single"/>
            <w:shd w:val="clear" w:color="auto" w:fill="FFFFFF"/>
          </w:rPr>
          <w:t>contentservices@htlive.com</w:t>
        </w:r>
      </w:hyperlink>
    </w:p>
    <w:p w14:paraId="6FA6DBD0"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15, 2021</w:t>
      </w:r>
    </w:p>
    <w:p w14:paraId="6F4BAEC6" w14:textId="77777777" w:rsidR="00054BF0" w:rsidRDefault="00054BF0"/>
    <w:p w14:paraId="457CD7A4" w14:textId="77777777" w:rsidR="00054BF0" w:rsidRDefault="00000000">
      <w:pPr>
        <w:ind w:left="200"/>
        <w:sectPr w:rsidR="00054BF0">
          <w:type w:val="continuous"/>
          <w:pgSz w:w="12240" w:h="15840"/>
          <w:pgMar w:top="840" w:right="1000" w:bottom="840" w:left="1000" w:header="400" w:footer="400" w:gutter="0"/>
          <w:cols w:space="720"/>
        </w:sectPr>
      </w:pPr>
      <w:r>
        <w:br/>
      </w:r>
      <w:r>
        <w:pict w14:anchorId="060B537C">
          <v:line id="_x0000_s2119" style="position:absolute;left:0;text-align:left;z-index:251701248;mso-position-horizontal-relative:text;mso-position-vertical-relative:text" from="0,10pt" to="512pt,10pt" strokeweight="1pt"/>
        </w:pict>
      </w:r>
      <w:r>
        <w:rPr>
          <w:rFonts w:ascii="Arial" w:eastAsia="Arial" w:hAnsi="Arial" w:cs="Arial"/>
          <w:b/>
          <w:color w:val="767676"/>
          <w:sz w:val="16"/>
        </w:rPr>
        <w:t>End of Document</w:t>
      </w:r>
    </w:p>
    <w:p w14:paraId="61699634" w14:textId="77777777" w:rsidR="00054BF0" w:rsidRDefault="00054BF0">
      <w:pPr>
        <w:sectPr w:rsidR="00054BF0">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gutter="0"/>
          <w:cols w:space="720"/>
          <w:titlePg/>
        </w:sectPr>
      </w:pPr>
    </w:p>
    <w:p w14:paraId="2AB42AC0" w14:textId="77777777" w:rsidR="00054BF0" w:rsidRDefault="00054BF0">
      <w:bookmarkStart w:id="42" w:name="Bookmark_22"/>
      <w:bookmarkEnd w:id="42"/>
    </w:p>
    <w:p w14:paraId="5CD8C3C4" w14:textId="77777777" w:rsidR="00054BF0" w:rsidRDefault="00BE2275">
      <w:r>
        <w:pict w14:anchorId="7B8E706B">
          <v:shape id="_x0000_i1054" type="#_x0000_t75" alt="LexisNexis®" style="width:148pt;height:30pt">
            <v:imagedata r:id="rId6" o:title=""/>
          </v:shape>
        </w:pict>
      </w:r>
      <w:r w:rsidR="00A540D1">
        <w:cr/>
      </w:r>
    </w:p>
    <w:p w14:paraId="02DB2301" w14:textId="77777777" w:rsidR="00054BF0" w:rsidRDefault="00000000">
      <w:pPr>
        <w:spacing w:before="240" w:after="200" w:line="340" w:lineRule="atLeast"/>
        <w:jc w:val="center"/>
        <w:outlineLvl w:val="0"/>
        <w:rPr>
          <w:rFonts w:ascii="Arial" w:hAnsi="Arial" w:cs="Arial"/>
          <w:b/>
          <w:bCs/>
          <w:kern w:val="32"/>
          <w:sz w:val="32"/>
          <w:szCs w:val="32"/>
        </w:rPr>
      </w:pPr>
      <w:hyperlink r:id="rId410" w:history="1">
        <w:r>
          <w:rPr>
            <w:rFonts w:ascii="Arial" w:eastAsia="Arial" w:hAnsi="Arial" w:cs="Arial"/>
            <w:b/>
            <w:bCs/>
            <w:i/>
            <w:color w:val="0077CC"/>
            <w:kern w:val="32"/>
            <w:sz w:val="28"/>
            <w:szCs w:val="32"/>
            <w:u w:val="single"/>
            <w:shd w:val="clear" w:color="auto" w:fill="FFFFFF"/>
          </w:rPr>
          <w:t xml:space="preserve">YourStory UNCUT: upGrad's Phalgun Kompalli on the </w:t>
        </w:r>
      </w:hyperlink>
      <w:hyperlink r:id="rId411" w:history="1">
        <w:r>
          <w:rPr>
            <w:rFonts w:ascii="Arial" w:eastAsia="Arial" w:hAnsi="Arial" w:cs="Arial"/>
            <w:b/>
            <w:bCs/>
            <w:i/>
            <w:color w:val="0077CC"/>
            <w:kern w:val="32"/>
            <w:sz w:val="28"/>
            <w:szCs w:val="32"/>
            <w:u w:val="single"/>
            <w:shd w:val="clear" w:color="auto" w:fill="FFFFFF"/>
          </w:rPr>
          <w:t>ups</w:t>
        </w:r>
      </w:hyperlink>
      <w:hyperlink r:id="rId412" w:history="1">
        <w:r>
          <w:rPr>
            <w:rFonts w:ascii="Arial" w:eastAsia="Arial" w:hAnsi="Arial" w:cs="Arial"/>
            <w:b/>
            <w:bCs/>
            <w:i/>
            <w:color w:val="0077CC"/>
            <w:kern w:val="32"/>
            <w:sz w:val="28"/>
            <w:szCs w:val="32"/>
            <w:u w:val="single"/>
            <w:shd w:val="clear" w:color="auto" w:fill="FFFFFF"/>
          </w:rPr>
          <w:t xml:space="preserve"> and downs of building an edtech unicorn</w:t>
        </w:r>
      </w:hyperlink>
    </w:p>
    <w:p w14:paraId="2BDA86F3" w14:textId="77777777" w:rsidR="00054BF0" w:rsidRDefault="00000000">
      <w:pPr>
        <w:spacing w:before="120" w:line="260" w:lineRule="atLeast"/>
        <w:jc w:val="center"/>
      </w:pPr>
      <w:r>
        <w:rPr>
          <w:rFonts w:ascii="Arial" w:eastAsia="Arial" w:hAnsi="Arial" w:cs="Arial"/>
          <w:color w:val="000000"/>
          <w:sz w:val="20"/>
        </w:rPr>
        <w:t>Yourstory.in</w:t>
      </w:r>
    </w:p>
    <w:p w14:paraId="7977EAD9" w14:textId="77777777" w:rsidR="00054BF0" w:rsidRDefault="00000000">
      <w:pPr>
        <w:spacing w:before="120" w:line="260" w:lineRule="atLeast"/>
        <w:jc w:val="center"/>
      </w:pPr>
      <w:r>
        <w:rPr>
          <w:rFonts w:ascii="Arial" w:eastAsia="Arial" w:hAnsi="Arial" w:cs="Arial"/>
          <w:color w:val="000000"/>
          <w:sz w:val="20"/>
        </w:rPr>
        <w:t>April 21, 2022 Thursday 6:30 AM EST</w:t>
      </w:r>
    </w:p>
    <w:p w14:paraId="08797E1F" w14:textId="77777777" w:rsidR="00054BF0" w:rsidRDefault="00054BF0">
      <w:pPr>
        <w:spacing w:line="240" w:lineRule="atLeast"/>
        <w:jc w:val="both"/>
      </w:pPr>
    </w:p>
    <w:p w14:paraId="37E82555" w14:textId="77777777" w:rsidR="00054BF0"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5FECFEF3"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1102 words</w:t>
      </w:r>
    </w:p>
    <w:p w14:paraId="21FD9EA6"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Debolina Biswas</w:t>
      </w:r>
    </w:p>
    <w:p w14:paraId="19BC0F23" w14:textId="77777777" w:rsidR="00054BF0" w:rsidRDefault="00000000">
      <w:pPr>
        <w:keepNext/>
        <w:spacing w:before="240" w:line="340" w:lineRule="atLeast"/>
      </w:pPr>
      <w:bookmarkStart w:id="43" w:name="Body_20"/>
      <w:bookmarkEnd w:id="43"/>
      <w:r>
        <w:rPr>
          <w:rFonts w:ascii="Arial" w:eastAsia="Arial" w:hAnsi="Arial" w:cs="Arial"/>
          <w:b/>
          <w:color w:val="000000"/>
          <w:sz w:val="28"/>
        </w:rPr>
        <w:t>Body</w:t>
      </w:r>
    </w:p>
    <w:p w14:paraId="5E9D7A78" w14:textId="77777777" w:rsidR="00054BF0" w:rsidRDefault="00000000">
      <w:pPr>
        <w:spacing w:line="60" w:lineRule="exact"/>
      </w:pPr>
      <w:r>
        <w:pict w14:anchorId="227BB7CD">
          <v:line id="_x0000_s2121" style="position:absolute;z-index:251702272" from="0,2pt" to="512pt,2pt" strokecolor="#009ddb" strokeweight="2pt">
            <w10:wrap type="topAndBottom"/>
          </v:line>
        </w:pict>
      </w:r>
    </w:p>
    <w:p w14:paraId="5A7035BE" w14:textId="77777777" w:rsidR="00054BF0" w:rsidRDefault="00054BF0"/>
    <w:p w14:paraId="1DCAA64C" w14:textId="77777777" w:rsidR="00054BF0" w:rsidRDefault="00000000">
      <w:pPr>
        <w:spacing w:before="200" w:line="260" w:lineRule="atLeast"/>
        <w:jc w:val="both"/>
      </w:pPr>
      <w:r>
        <w:rPr>
          <w:rFonts w:ascii="Arial" w:eastAsia="Arial" w:hAnsi="Arial" w:cs="Arial"/>
          <w:color w:val="000000"/>
          <w:sz w:val="20"/>
        </w:rPr>
        <w:t xml:space="preserve">YourStory UNCUT aims to explore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entrepreneurs have faced in their journeys. This week, Phalgun Kompalli of upGrad talks about the roadblocks he encountered.</w:t>
      </w:r>
    </w:p>
    <w:p w14:paraId="025A7726" w14:textId="77777777" w:rsidR="00054BF0" w:rsidRDefault="00000000">
      <w:pPr>
        <w:spacing w:before="200" w:line="260" w:lineRule="atLeast"/>
        <w:jc w:val="both"/>
      </w:pPr>
      <w:r>
        <w:rPr>
          <w:rFonts w:ascii="Arial" w:eastAsia="Arial" w:hAnsi="Arial" w:cs="Arial"/>
          <w:color w:val="000000"/>
          <w:sz w:val="20"/>
        </w:rPr>
        <w:t>"Even today, when we pitch to 10 investors, we hear a 'No' from eight," Phalgun Kompalli, Co-founder of edtech unicorn upGrad, tells YourStory. Founded in 2015 by founder of the UTV Group and RSVP Movies Ronnie Screwvala, Mayank Kumar, and Phalgun, upGrad aimed to cater to the growing needs of upskilling in the market. Believed to be South Asia's largest online higher edtech company, it currently offers more than 100 courses with tie-</w:t>
      </w:r>
      <w:r>
        <w:rPr>
          <w:rFonts w:ascii="Arial" w:eastAsia="Arial" w:hAnsi="Arial" w:cs="Arial"/>
          <w:b/>
          <w:i/>
          <w:color w:val="000000"/>
          <w:sz w:val="20"/>
          <w:u w:val="single"/>
        </w:rPr>
        <w:t>ups</w:t>
      </w:r>
      <w:r>
        <w:rPr>
          <w:rFonts w:ascii="Arial" w:eastAsia="Arial" w:hAnsi="Arial" w:cs="Arial"/>
          <w:color w:val="000000"/>
          <w:sz w:val="20"/>
        </w:rPr>
        <w:t xml:space="preserve"> with top-notch universities. The </w:t>
      </w:r>
      <w:r>
        <w:rPr>
          <w:rFonts w:ascii="Arial" w:eastAsia="Arial" w:hAnsi="Arial" w:cs="Arial"/>
          <w:b/>
          <w:i/>
          <w:color w:val="000000"/>
          <w:sz w:val="20"/>
          <w:u w:val="single"/>
        </w:rPr>
        <w:t>startup</w:t>
      </w:r>
      <w:r>
        <w:rPr>
          <w:rFonts w:ascii="Arial" w:eastAsia="Arial" w:hAnsi="Arial" w:cs="Arial"/>
          <w:color w:val="000000"/>
          <w:sz w:val="20"/>
        </w:rPr>
        <w:t xml:space="preserve"> has impacted over one million learners across 50-plus countries. In August 2021, Mumbai-based upGrad entered the unicorn club after raising $185 million from Temasek, IFC and Indian Infoline Finance. However, all this success was not achieved overnight and the founders continue to struggle with roadblocks that the entrepreneurial journey presents. Get connected to upGrad "There will always be challenges It is not like you will only have challenges if you are an angel-funded company, or a Series A company or a unicorn Even if you are a Tesla or an Amazon, you will have the same number of challenges," Phalgun says. For the latest episode in YourStory UNCUT, Phalgun shares the challenges that he, and upGrad at large, faced while building the edtech unicorn. "&gt; "&gt;</w:t>
      </w:r>
    </w:p>
    <w:p w14:paraId="63998F7F" w14:textId="77777777" w:rsidR="00054BF0" w:rsidRDefault="00000000">
      <w:pPr>
        <w:spacing w:before="200" w:line="260" w:lineRule="atLeast"/>
        <w:jc w:val="both"/>
      </w:pPr>
      <w:r>
        <w:rPr>
          <w:rFonts w:ascii="Arial" w:eastAsia="Arial" w:hAnsi="Arial" w:cs="Arial"/>
          <w:color w:val="000000"/>
          <w:sz w:val="20"/>
        </w:rPr>
        <w:t>Hiring and retention</w:t>
      </w:r>
    </w:p>
    <w:p w14:paraId="1522D8CD" w14:textId="77777777" w:rsidR="00054BF0" w:rsidRDefault="00000000">
      <w:pPr>
        <w:spacing w:before="200" w:line="260" w:lineRule="atLeast"/>
        <w:jc w:val="both"/>
      </w:pPr>
      <w:r>
        <w:rPr>
          <w:rFonts w:ascii="Arial" w:eastAsia="Arial" w:hAnsi="Arial" w:cs="Arial"/>
          <w:color w:val="000000"/>
          <w:sz w:val="20"/>
        </w:rPr>
        <w:t>"The number one challenge at every point in the last seven years, and even more right now, is hiring great talent," reveals Phalgun.</w:t>
      </w:r>
    </w:p>
    <w:p w14:paraId="74E3FCE6" w14:textId="77777777" w:rsidR="00054BF0" w:rsidRDefault="00000000">
      <w:pPr>
        <w:spacing w:before="200" w:line="260" w:lineRule="atLeast"/>
        <w:jc w:val="both"/>
      </w:pPr>
      <w:r>
        <w:rPr>
          <w:rFonts w:ascii="Arial" w:eastAsia="Arial" w:hAnsi="Arial" w:cs="Arial"/>
          <w:color w:val="000000"/>
          <w:sz w:val="20"/>
        </w:rPr>
        <w:t>Even with enough capital at its disposal and established brand equity in the market, upGrad struggles with hiring the right talent across its teams. "It is still such a competitive market for hiring talent. The challenge of getting hold of the best talent and getting them to do their best work is always there," he says.</w:t>
      </w:r>
    </w:p>
    <w:p w14:paraId="6969E7E2" w14:textId="77777777" w:rsidR="00054BF0" w:rsidRDefault="00000000">
      <w:pPr>
        <w:spacing w:before="200" w:line="260" w:lineRule="atLeast"/>
        <w:jc w:val="both"/>
      </w:pPr>
      <w:r>
        <w:rPr>
          <w:rFonts w:ascii="Arial" w:eastAsia="Arial" w:hAnsi="Arial" w:cs="Arial"/>
          <w:color w:val="000000"/>
          <w:sz w:val="20"/>
        </w:rPr>
        <w:t xml:space="preserve">In the early days of COVID-19, the edtech </w:t>
      </w:r>
      <w:r>
        <w:rPr>
          <w:rFonts w:ascii="Arial" w:eastAsia="Arial" w:hAnsi="Arial" w:cs="Arial"/>
          <w:b/>
          <w:i/>
          <w:color w:val="000000"/>
          <w:sz w:val="20"/>
          <w:u w:val="single"/>
        </w:rPr>
        <w:t>startup</w:t>
      </w:r>
      <w:r>
        <w:rPr>
          <w:rFonts w:ascii="Arial" w:eastAsia="Arial" w:hAnsi="Arial" w:cs="Arial"/>
          <w:color w:val="000000"/>
          <w:sz w:val="20"/>
        </w:rPr>
        <w:t xml:space="preserve"> faced a major challenge with respect to keeping the entire team engaged. "Given work-from-home and the difficulties we were facing overall as a group, we saw some level of attrition."</w:t>
      </w:r>
    </w:p>
    <w:p w14:paraId="1EF1AB56" w14:textId="77777777" w:rsidR="00054BF0" w:rsidRDefault="00000000">
      <w:pPr>
        <w:spacing w:before="200" w:line="260" w:lineRule="atLeast"/>
        <w:jc w:val="both"/>
      </w:pPr>
      <w:r>
        <w:rPr>
          <w:rFonts w:ascii="Arial" w:eastAsia="Arial" w:hAnsi="Arial" w:cs="Arial"/>
          <w:color w:val="000000"/>
          <w:sz w:val="20"/>
        </w:rPr>
        <w:t xml:space="preserve">At present, upGrad is proactively working towards decreasing attrition. To do so, Phalgun reveals that the </w:t>
      </w:r>
      <w:r>
        <w:rPr>
          <w:rFonts w:ascii="Arial" w:eastAsia="Arial" w:hAnsi="Arial" w:cs="Arial"/>
          <w:b/>
          <w:i/>
          <w:color w:val="000000"/>
          <w:sz w:val="20"/>
          <w:u w:val="single"/>
        </w:rPr>
        <w:t>startup</w:t>
      </w:r>
      <w:r>
        <w:rPr>
          <w:rFonts w:ascii="Arial" w:eastAsia="Arial" w:hAnsi="Arial" w:cs="Arial"/>
          <w:color w:val="000000"/>
          <w:sz w:val="20"/>
        </w:rPr>
        <w:t xml:space="preserve"> is offering competitive pay, working on its culture to make employees feel entrepreneurial and empowered, and hiring from within the personal network of the existing team.</w:t>
      </w:r>
    </w:p>
    <w:p w14:paraId="3846BABD" w14:textId="77777777" w:rsidR="00054BF0" w:rsidRDefault="00000000">
      <w:pPr>
        <w:spacing w:before="200" w:line="260" w:lineRule="atLeast"/>
        <w:jc w:val="both"/>
      </w:pPr>
      <w:r>
        <w:rPr>
          <w:rFonts w:ascii="Arial" w:eastAsia="Arial" w:hAnsi="Arial" w:cs="Arial"/>
          <w:color w:val="000000"/>
          <w:sz w:val="20"/>
        </w:rPr>
        <w:lastRenderedPageBreak/>
        <w:t>"People do not mind being told no. What they do mind is being disengaged," he says. Keeping this in mind, upGrad has been working towards employee engagement.</w:t>
      </w:r>
    </w:p>
    <w:p w14:paraId="0C76BCDB" w14:textId="77777777" w:rsidR="00054BF0" w:rsidRDefault="00000000">
      <w:pPr>
        <w:spacing w:before="200" w:line="260" w:lineRule="atLeast"/>
        <w:jc w:val="both"/>
      </w:pPr>
      <w:r>
        <w:rPr>
          <w:rFonts w:ascii="Arial" w:eastAsia="Arial" w:hAnsi="Arial" w:cs="Arial"/>
          <w:color w:val="000000"/>
          <w:sz w:val="20"/>
        </w:rPr>
        <w:t>"We try spreading positivity among our employees by sharing the success stories This makes employees believe that what they are doing is meaningful and that they are helping make people's lives better."</w:t>
      </w:r>
    </w:p>
    <w:p w14:paraId="4237C904" w14:textId="77777777" w:rsidR="00054BF0" w:rsidRDefault="00000000">
      <w:pPr>
        <w:spacing w:before="200" w:line="260" w:lineRule="atLeast"/>
        <w:jc w:val="both"/>
      </w:pPr>
      <w:r>
        <w:rPr>
          <w:rFonts w:ascii="Arial" w:eastAsia="Arial" w:hAnsi="Arial" w:cs="Arial"/>
          <w:color w:val="000000"/>
          <w:sz w:val="20"/>
        </w:rPr>
        <w:t>Innovation and growth</w:t>
      </w:r>
    </w:p>
    <w:p w14:paraId="712785C7" w14:textId="77777777" w:rsidR="00054BF0" w:rsidRDefault="00000000">
      <w:pPr>
        <w:spacing w:before="200" w:line="260" w:lineRule="atLeast"/>
        <w:jc w:val="both"/>
      </w:pPr>
      <w:r>
        <w:rPr>
          <w:rFonts w:ascii="Arial" w:eastAsia="Arial" w:hAnsi="Arial" w:cs="Arial"/>
          <w:color w:val="000000"/>
          <w:sz w:val="20"/>
        </w:rPr>
        <w:t xml:space="preserve">Another challenge upGrad faces is in innovating to grow. With </w:t>
      </w:r>
      <w:r>
        <w:rPr>
          <w:rFonts w:ascii="Arial" w:eastAsia="Arial" w:hAnsi="Arial" w:cs="Arial"/>
          <w:b/>
          <w:i/>
          <w:color w:val="000000"/>
          <w:sz w:val="20"/>
          <w:u w:val="single"/>
        </w:rPr>
        <w:t>startups</w:t>
      </w:r>
      <w:r>
        <w:rPr>
          <w:rFonts w:ascii="Arial" w:eastAsia="Arial" w:hAnsi="Arial" w:cs="Arial"/>
          <w:color w:val="000000"/>
          <w:sz w:val="20"/>
        </w:rPr>
        <w:t xml:space="preserve"> going through various inflexion points, one gets stuck at one point for months. Post which, figuring out the next innovation to jump to the next point is challenging.</w:t>
      </w:r>
    </w:p>
    <w:p w14:paraId="14440FA4" w14:textId="77777777" w:rsidR="00054BF0" w:rsidRDefault="00000000">
      <w:pPr>
        <w:spacing w:before="200" w:line="260" w:lineRule="atLeast"/>
        <w:jc w:val="both"/>
      </w:pPr>
      <w:r>
        <w:rPr>
          <w:rFonts w:ascii="Arial" w:eastAsia="Arial" w:hAnsi="Arial" w:cs="Arial"/>
          <w:color w:val="000000"/>
          <w:sz w:val="20"/>
        </w:rPr>
        <w:t xml:space="preserve">"It all depends on the team, and how fast a </w:t>
      </w:r>
      <w:r>
        <w:rPr>
          <w:rFonts w:ascii="Arial" w:eastAsia="Arial" w:hAnsi="Arial" w:cs="Arial"/>
          <w:b/>
          <w:i/>
          <w:color w:val="000000"/>
          <w:sz w:val="20"/>
          <w:u w:val="single"/>
        </w:rPr>
        <w:t>startup</w:t>
      </w:r>
      <w:r>
        <w:rPr>
          <w:rFonts w:ascii="Arial" w:eastAsia="Arial" w:hAnsi="Arial" w:cs="Arial"/>
          <w:color w:val="000000"/>
          <w:sz w:val="20"/>
        </w:rPr>
        <w:t xml:space="preserve"> can innovate and execute We constantly face these inflexion points," Phalgun adds.</w:t>
      </w:r>
    </w:p>
    <w:p w14:paraId="1218D33C" w14:textId="77777777" w:rsidR="00054BF0" w:rsidRDefault="00000000">
      <w:pPr>
        <w:spacing w:before="200" w:line="260" w:lineRule="atLeast"/>
        <w:jc w:val="both"/>
      </w:pPr>
      <w:r>
        <w:rPr>
          <w:rFonts w:ascii="Arial" w:eastAsia="Arial" w:hAnsi="Arial" w:cs="Arial"/>
          <w:color w:val="000000"/>
          <w:sz w:val="20"/>
        </w:rPr>
        <w:t>With the infusion of the last round of funding, upGrad now has a team in Singapore, the UK, and the US, and is currently figuring out how to go about these international markets. "Currently we are at a dis-inflexion point where we are trying to figure out what initiatives we pick and where we need to focus on for the next 20-24 months."</w:t>
      </w:r>
    </w:p>
    <w:p w14:paraId="5D6C514E" w14:textId="77777777" w:rsidR="00054BF0" w:rsidRDefault="00000000">
      <w:pPr>
        <w:spacing w:before="200" w:line="260" w:lineRule="atLeast"/>
        <w:jc w:val="both"/>
      </w:pPr>
      <w:r>
        <w:rPr>
          <w:rFonts w:ascii="Arial" w:eastAsia="Arial" w:hAnsi="Arial" w:cs="Arial"/>
          <w:color w:val="000000"/>
          <w:sz w:val="20"/>
        </w:rPr>
        <w:t>Major milestones</w:t>
      </w:r>
    </w:p>
    <w:p w14:paraId="1F77F322" w14:textId="77777777" w:rsidR="00054BF0" w:rsidRDefault="00000000">
      <w:pPr>
        <w:spacing w:before="200" w:line="260" w:lineRule="atLeast"/>
        <w:jc w:val="both"/>
      </w:pPr>
      <w:r>
        <w:rPr>
          <w:rFonts w:ascii="Arial" w:eastAsia="Arial" w:hAnsi="Arial" w:cs="Arial"/>
          <w:color w:val="000000"/>
          <w:sz w:val="20"/>
        </w:rPr>
        <w:t xml:space="preserve">While getting labelled as a unicorn is a key milestone, Phalgun never mentions it as a highlight of upGrad's journey. Instead, he listed the following as the major five milestones in the history of the edtech </w:t>
      </w:r>
      <w:r>
        <w:rPr>
          <w:rFonts w:ascii="Arial" w:eastAsia="Arial" w:hAnsi="Arial" w:cs="Arial"/>
          <w:b/>
          <w:i/>
          <w:color w:val="000000"/>
          <w:sz w:val="20"/>
          <w:u w:val="single"/>
        </w:rPr>
        <w:t>startup</w:t>
      </w:r>
      <w:r>
        <w:rPr>
          <w:rFonts w:ascii="Arial" w:eastAsia="Arial" w:hAnsi="Arial" w:cs="Arial"/>
          <w:color w:val="000000"/>
          <w:sz w:val="20"/>
        </w:rPr>
        <w:t>.</w:t>
      </w:r>
    </w:p>
    <w:p w14:paraId="57B71201" w14:textId="77777777" w:rsidR="00054BF0" w:rsidRDefault="00000000">
      <w:pPr>
        <w:spacing w:before="200" w:line="260" w:lineRule="atLeast"/>
        <w:jc w:val="both"/>
      </w:pPr>
      <w:r>
        <w:rPr>
          <w:rFonts w:ascii="Arial" w:eastAsia="Arial" w:hAnsi="Arial" w:cs="Arial"/>
          <w:color w:val="000000"/>
          <w:sz w:val="20"/>
        </w:rPr>
        <w:t>Getting the first learner onboarded seven years back</w:t>
      </w:r>
    </w:p>
    <w:p w14:paraId="253A821D" w14:textId="77777777" w:rsidR="00054BF0" w:rsidRDefault="00000000">
      <w:pPr>
        <w:spacing w:before="200" w:line="260" w:lineRule="atLeast"/>
        <w:jc w:val="both"/>
      </w:pPr>
      <w:r>
        <w:rPr>
          <w:rFonts w:ascii="Arial" w:eastAsia="Arial" w:hAnsi="Arial" w:cs="Arial"/>
          <w:color w:val="000000"/>
          <w:sz w:val="20"/>
        </w:rPr>
        <w:t>Partnering with the first university - IIIT Bangalore, and having it as the largest university partner today</w:t>
      </w:r>
    </w:p>
    <w:p w14:paraId="509E4C87" w14:textId="77777777" w:rsidR="00054BF0" w:rsidRDefault="00000000">
      <w:pPr>
        <w:spacing w:before="200" w:line="260" w:lineRule="atLeast"/>
        <w:jc w:val="both"/>
      </w:pPr>
      <w:r>
        <w:rPr>
          <w:rFonts w:ascii="Arial" w:eastAsia="Arial" w:hAnsi="Arial" w:cs="Arial"/>
          <w:color w:val="000000"/>
          <w:sz w:val="20"/>
        </w:rPr>
        <w:t>Onboarding the first international university partner - John Moores University, which is now the second-largest university partner for upGrad</w:t>
      </w:r>
    </w:p>
    <w:p w14:paraId="63EAC782" w14:textId="77777777" w:rsidR="00054BF0" w:rsidRDefault="00000000">
      <w:pPr>
        <w:spacing w:before="200" w:line="260" w:lineRule="atLeast"/>
        <w:jc w:val="both"/>
      </w:pPr>
      <w:r>
        <w:rPr>
          <w:rFonts w:ascii="Arial" w:eastAsia="Arial" w:hAnsi="Arial" w:cs="Arial"/>
          <w:color w:val="000000"/>
          <w:sz w:val="20"/>
        </w:rPr>
        <w:t>Hiring the first employee and growing the team to 4,000 employees today</w:t>
      </w:r>
    </w:p>
    <w:p w14:paraId="40F4B8B8" w14:textId="77777777" w:rsidR="00054BF0" w:rsidRDefault="00000000">
      <w:pPr>
        <w:spacing w:before="200" w:line="260" w:lineRule="atLeast"/>
        <w:jc w:val="both"/>
      </w:pPr>
      <w:r>
        <w:rPr>
          <w:rFonts w:ascii="Arial" w:eastAsia="Arial" w:hAnsi="Arial" w:cs="Arial"/>
          <w:color w:val="000000"/>
          <w:sz w:val="20"/>
        </w:rPr>
        <w:t>Raising investments</w:t>
      </w:r>
    </w:p>
    <w:p w14:paraId="075F334E" w14:textId="77777777" w:rsidR="00054BF0" w:rsidRDefault="00000000">
      <w:pPr>
        <w:spacing w:before="200" w:line="260" w:lineRule="atLeast"/>
        <w:jc w:val="both"/>
      </w:pPr>
      <w:r>
        <w:rPr>
          <w:rFonts w:ascii="Arial" w:eastAsia="Arial" w:hAnsi="Arial" w:cs="Arial"/>
          <w:color w:val="000000"/>
          <w:sz w:val="20"/>
        </w:rPr>
        <w:t>On raising funds</w:t>
      </w:r>
    </w:p>
    <w:p w14:paraId="6A3FDD3F" w14:textId="77777777" w:rsidR="00054BF0" w:rsidRDefault="00000000">
      <w:pPr>
        <w:spacing w:before="200" w:line="260" w:lineRule="atLeast"/>
        <w:jc w:val="both"/>
      </w:pPr>
      <w:r>
        <w:rPr>
          <w:rFonts w:ascii="Arial" w:eastAsia="Arial" w:hAnsi="Arial" w:cs="Arial"/>
          <w:color w:val="000000"/>
          <w:sz w:val="20"/>
        </w:rPr>
        <w:t xml:space="preserve">One may think raising funds for a </w:t>
      </w:r>
      <w:r>
        <w:rPr>
          <w:rFonts w:ascii="Arial" w:eastAsia="Arial" w:hAnsi="Arial" w:cs="Arial"/>
          <w:b/>
          <w:i/>
          <w:color w:val="000000"/>
          <w:sz w:val="20"/>
          <w:u w:val="single"/>
        </w:rPr>
        <w:t>startup</w:t>
      </w:r>
      <w:r>
        <w:rPr>
          <w:rFonts w:ascii="Arial" w:eastAsia="Arial" w:hAnsi="Arial" w:cs="Arial"/>
          <w:color w:val="000000"/>
          <w:sz w:val="20"/>
        </w:rPr>
        <w:t xml:space="preserve"> founded by an eminent entrepreneur must be a cakewalk. However, that is not the case, suggests Phalgun.</w:t>
      </w:r>
    </w:p>
    <w:p w14:paraId="2F17B6A5" w14:textId="77777777" w:rsidR="00054BF0" w:rsidRDefault="00000000">
      <w:pPr>
        <w:spacing w:before="200" w:line="260" w:lineRule="atLeast"/>
        <w:jc w:val="both"/>
      </w:pPr>
      <w:r>
        <w:rPr>
          <w:rFonts w:ascii="Arial" w:eastAsia="Arial" w:hAnsi="Arial" w:cs="Arial"/>
          <w:color w:val="000000"/>
          <w:sz w:val="20"/>
        </w:rPr>
        <w:t>"Having a seasoned entrepreneur is extremely valuable in terms of mistakes that we could have otherwise made and setting the pace and making the right decisionsthat guidance and experience are definitely helpful," he says.</w:t>
      </w:r>
    </w:p>
    <w:p w14:paraId="3BC69BFA" w14:textId="77777777" w:rsidR="00054BF0" w:rsidRDefault="00000000">
      <w:pPr>
        <w:spacing w:before="200" w:line="260" w:lineRule="atLeast"/>
        <w:jc w:val="both"/>
      </w:pPr>
      <w:r>
        <w:rPr>
          <w:rFonts w:ascii="Arial" w:eastAsia="Arial" w:hAnsi="Arial" w:cs="Arial"/>
          <w:color w:val="000000"/>
          <w:sz w:val="20"/>
        </w:rPr>
        <w:t>That being said, upGrad does not have a playbook for raising investments.</w:t>
      </w:r>
    </w:p>
    <w:p w14:paraId="4D5A9CF6" w14:textId="77777777" w:rsidR="00054BF0" w:rsidRDefault="00000000">
      <w:pPr>
        <w:spacing w:before="200" w:line="260" w:lineRule="atLeast"/>
        <w:jc w:val="both"/>
      </w:pPr>
      <w:r>
        <w:rPr>
          <w:rFonts w:ascii="Arial" w:eastAsia="Arial" w:hAnsi="Arial" w:cs="Arial"/>
          <w:color w:val="000000"/>
          <w:sz w:val="20"/>
        </w:rPr>
        <w:t>"I am used to hearing no 50 times a weekfrom investors, employees, team, university partners, and learners," he adds, and that he has gotten used to getting rejections.</w:t>
      </w:r>
    </w:p>
    <w:p w14:paraId="28446CB9" w14:textId="77777777" w:rsidR="00054BF0" w:rsidRDefault="00000000">
      <w:pPr>
        <w:spacing w:before="200" w:line="260" w:lineRule="atLeast"/>
        <w:jc w:val="both"/>
      </w:pPr>
      <w:r>
        <w:rPr>
          <w:rFonts w:ascii="Arial" w:eastAsia="Arial" w:hAnsi="Arial" w:cs="Arial"/>
          <w:color w:val="000000"/>
          <w:sz w:val="20"/>
        </w:rPr>
        <w:t>Phalgun suggests that with the right amount of persistence, entrepreneurs will be able to find investors who understand the value that they bring to the table, understand the mission, and support them in their journey.</w:t>
      </w:r>
    </w:p>
    <w:p w14:paraId="640BC980" w14:textId="77777777" w:rsidR="00054BF0" w:rsidRDefault="00000000">
      <w:pPr>
        <w:spacing w:before="200" w:line="260" w:lineRule="atLeast"/>
        <w:jc w:val="both"/>
      </w:pPr>
      <w:r>
        <w:rPr>
          <w:rFonts w:ascii="Arial" w:eastAsia="Arial" w:hAnsi="Arial" w:cs="Arial"/>
          <w:color w:val="000000"/>
          <w:sz w:val="20"/>
        </w:rPr>
        <w:t xml:space="preserve">"When you are trying to push boundaries and be creative, there will be roadblocks. But do not take it personally when someone says no. It is an opportunity to either understand and learn where they are coming from or to change somebody's mind and accept that it will not happen overnight," he says. Phalgun recalls that a university partner that upGrad had approached eight years ago, was only convinced recently, and signed the partnership with the </w:t>
      </w:r>
      <w:r>
        <w:rPr>
          <w:rFonts w:ascii="Arial" w:eastAsia="Arial" w:hAnsi="Arial" w:cs="Arial"/>
          <w:b/>
          <w:i/>
          <w:color w:val="000000"/>
          <w:sz w:val="20"/>
          <w:u w:val="single"/>
        </w:rPr>
        <w:t>startup</w:t>
      </w:r>
      <w:r>
        <w:rPr>
          <w:rFonts w:ascii="Arial" w:eastAsia="Arial" w:hAnsi="Arial" w:cs="Arial"/>
          <w:color w:val="000000"/>
          <w:sz w:val="20"/>
        </w:rPr>
        <w:t>.</w:t>
      </w:r>
    </w:p>
    <w:p w14:paraId="333E1A9A" w14:textId="77777777" w:rsidR="00054BF0" w:rsidRDefault="00000000">
      <w:pPr>
        <w:spacing w:before="200" w:line="260" w:lineRule="atLeast"/>
        <w:jc w:val="both"/>
      </w:pPr>
      <w:r>
        <w:rPr>
          <w:rFonts w:ascii="Arial" w:eastAsia="Arial" w:hAnsi="Arial" w:cs="Arial"/>
          <w:color w:val="000000"/>
          <w:sz w:val="20"/>
        </w:rPr>
        <w:lastRenderedPageBreak/>
        <w:t>"Talk to someone who has said no to you. If not money, get constructive feedback from investors who reject you and see how you can improve," Phalgun advises.</w:t>
      </w:r>
    </w:p>
    <w:p w14:paraId="708F5D62" w14:textId="77777777" w:rsidR="00054BF0" w:rsidRDefault="00000000">
      <w:pPr>
        <w:spacing w:before="200" w:line="260" w:lineRule="atLeast"/>
        <w:jc w:val="both"/>
      </w:pPr>
      <w:r>
        <w:rPr>
          <w:rFonts w:ascii="Arial" w:eastAsia="Arial" w:hAnsi="Arial" w:cs="Arial"/>
          <w:color w:val="000000"/>
          <w:sz w:val="20"/>
        </w:rPr>
        <w:t>Expert says</w:t>
      </w:r>
    </w:p>
    <w:p w14:paraId="46FE77D4" w14:textId="77777777" w:rsidR="00054BF0" w:rsidRDefault="00000000">
      <w:pPr>
        <w:spacing w:before="200" w:line="260" w:lineRule="atLeast"/>
        <w:jc w:val="both"/>
      </w:pPr>
      <w:r>
        <w:rPr>
          <w:rFonts w:ascii="Arial" w:eastAsia="Arial" w:hAnsi="Arial" w:cs="Arial"/>
          <w:color w:val="000000"/>
          <w:sz w:val="20"/>
        </w:rPr>
        <w:t>Towards the end of the conversation, Phalgun shares a few suggestions for aspiring and early-stage entrepreneurs. He says:</w:t>
      </w:r>
    </w:p>
    <w:p w14:paraId="2B47EA57" w14:textId="77777777" w:rsidR="00054BF0" w:rsidRDefault="00000000">
      <w:pPr>
        <w:spacing w:before="200" w:line="260" w:lineRule="atLeast"/>
        <w:jc w:val="both"/>
      </w:pPr>
      <w:r>
        <w:rPr>
          <w:rFonts w:ascii="Arial" w:eastAsia="Arial" w:hAnsi="Arial" w:cs="Arial"/>
          <w:color w:val="000000"/>
          <w:sz w:val="20"/>
        </w:rPr>
        <w:t>"Hire your first employees very carefully, it is a make-it or break-it situation for any companyIt will eventually decide if your company grows into a $1 million or $100 million business."</w:t>
      </w:r>
    </w:p>
    <w:p w14:paraId="00F5DBC8" w14:textId="77777777" w:rsidR="00054BF0" w:rsidRDefault="00000000">
      <w:pPr>
        <w:spacing w:before="200" w:line="260" w:lineRule="atLeast"/>
        <w:jc w:val="both"/>
      </w:pPr>
      <w:r>
        <w:rPr>
          <w:rFonts w:ascii="Arial" w:eastAsia="Arial" w:hAnsi="Arial" w:cs="Arial"/>
          <w:color w:val="000000"/>
          <w:sz w:val="20"/>
        </w:rPr>
        <w:t>"Post the initial phase, you need to realise the value that domain expertise brings to the tableYou cannot assume that a general, smart and dedicated person will figure out everything."</w:t>
      </w:r>
    </w:p>
    <w:p w14:paraId="72FD48C4" w14:textId="77777777" w:rsidR="00054BF0" w:rsidRDefault="00000000">
      <w:pPr>
        <w:spacing w:before="200" w:line="260" w:lineRule="atLeast"/>
        <w:jc w:val="both"/>
      </w:pPr>
      <w:r>
        <w:rPr>
          <w:rFonts w:ascii="Arial" w:eastAsia="Arial" w:hAnsi="Arial" w:cs="Arial"/>
          <w:color w:val="000000"/>
          <w:sz w:val="20"/>
        </w:rPr>
        <w:t>"Entrepreneurship is not a straight line with a 20-degree slope, it is a sinusoidal curve. So, build emotional and mental resilience."</w:t>
      </w:r>
    </w:p>
    <w:p w14:paraId="79DD817C" w14:textId="77777777" w:rsidR="00054BF0" w:rsidRDefault="00000000">
      <w:pPr>
        <w:spacing w:before="200" w:line="260" w:lineRule="atLeast"/>
        <w:jc w:val="both"/>
      </w:pPr>
      <w:r>
        <w:rPr>
          <w:rFonts w:ascii="Arial" w:eastAsia="Arial" w:hAnsi="Arial" w:cs="Arial"/>
          <w:color w:val="000000"/>
          <w:sz w:val="20"/>
        </w:rPr>
        <w:t>When asked one thing that he would like to change about his journey as an entrepreneur, Phalgun ends with, "I would not let various situations affect me as much as I have allowed them to. When something did not go the way I wanted, I would sulk for a long time. What I would do differently is have a little more resilience and take a longer view of life."</w:t>
      </w:r>
    </w:p>
    <w:p w14:paraId="41BD6836"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21, 2022</w:t>
      </w:r>
    </w:p>
    <w:p w14:paraId="1A53A454" w14:textId="77777777" w:rsidR="00054BF0" w:rsidRDefault="00054BF0"/>
    <w:p w14:paraId="15D3F3A6" w14:textId="77777777" w:rsidR="00054BF0" w:rsidRDefault="00000000">
      <w:pPr>
        <w:ind w:left="200"/>
        <w:sectPr w:rsidR="00054BF0">
          <w:type w:val="continuous"/>
          <w:pgSz w:w="12240" w:h="15840"/>
          <w:pgMar w:top="840" w:right="1000" w:bottom="840" w:left="1000" w:header="400" w:footer="400" w:gutter="0"/>
          <w:cols w:space="720"/>
        </w:sectPr>
      </w:pPr>
      <w:r>
        <w:br/>
      </w:r>
      <w:r>
        <w:pict w14:anchorId="7F4701EB">
          <v:line id="_x0000_s2122" style="position:absolute;left:0;text-align:left;z-index:251703296;mso-position-horizontal-relative:text;mso-position-vertical-relative:text" from="0,10pt" to="512pt,10pt" strokeweight="1pt"/>
        </w:pict>
      </w:r>
      <w:r>
        <w:rPr>
          <w:rFonts w:ascii="Arial" w:eastAsia="Arial" w:hAnsi="Arial" w:cs="Arial"/>
          <w:b/>
          <w:color w:val="767676"/>
          <w:sz w:val="16"/>
        </w:rPr>
        <w:t>End of Document</w:t>
      </w:r>
    </w:p>
    <w:p w14:paraId="7F36E591" w14:textId="77777777" w:rsidR="00054BF0" w:rsidRDefault="00054BF0">
      <w:pPr>
        <w:sectPr w:rsidR="00054BF0">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gutter="0"/>
          <w:cols w:space="720"/>
          <w:titlePg/>
        </w:sectPr>
      </w:pPr>
    </w:p>
    <w:p w14:paraId="7811E9B4" w14:textId="77777777" w:rsidR="00054BF0" w:rsidRDefault="00054BF0">
      <w:bookmarkStart w:id="44" w:name="Bookmark_23"/>
      <w:bookmarkEnd w:id="44"/>
    </w:p>
    <w:p w14:paraId="623F8C4F" w14:textId="77777777" w:rsidR="00054BF0" w:rsidRDefault="00BE2275">
      <w:r>
        <w:pict w14:anchorId="62219B64">
          <v:shape id="_x0000_i1055" type="#_x0000_t75" alt="LexisNexis®" style="width:148pt;height:30pt">
            <v:imagedata r:id="rId6" o:title=""/>
          </v:shape>
        </w:pict>
      </w:r>
      <w:r w:rsidR="00A540D1">
        <w:cr/>
      </w:r>
    </w:p>
    <w:p w14:paraId="3AF69E86" w14:textId="77777777" w:rsidR="00054BF0" w:rsidRDefault="00000000">
      <w:pPr>
        <w:spacing w:before="240" w:after="200" w:line="340" w:lineRule="atLeast"/>
        <w:jc w:val="center"/>
        <w:outlineLvl w:val="0"/>
        <w:rPr>
          <w:rFonts w:ascii="Arial" w:hAnsi="Arial" w:cs="Arial"/>
          <w:b/>
          <w:bCs/>
          <w:kern w:val="32"/>
          <w:sz w:val="32"/>
          <w:szCs w:val="32"/>
        </w:rPr>
      </w:pPr>
      <w:hyperlink r:id="rId419" w:history="1">
        <w:r>
          <w:rPr>
            <w:rFonts w:ascii="Arial" w:eastAsia="Arial" w:hAnsi="Arial" w:cs="Arial"/>
            <w:b/>
            <w:bCs/>
            <w:i/>
            <w:color w:val="0077CC"/>
            <w:kern w:val="32"/>
            <w:sz w:val="28"/>
            <w:szCs w:val="32"/>
            <w:u w:val="single"/>
            <w:shd w:val="clear" w:color="auto" w:fill="FFFFFF"/>
          </w:rPr>
          <w:t>Special Edition of "Hannity": Issues Facing America; Biden Campaign Is Allegedly Considering Scaling Back, Elizabeth Warren And Kamala Harris Calling Michael Brown`s Shooting A Murder; Joe Biden`s Ongoing Gaffes</w:t>
        </w:r>
      </w:hyperlink>
    </w:p>
    <w:p w14:paraId="222C3CC5" w14:textId="77777777" w:rsidR="00054BF0" w:rsidRDefault="00000000">
      <w:pPr>
        <w:spacing w:before="120" w:line="260" w:lineRule="atLeast"/>
        <w:jc w:val="center"/>
      </w:pPr>
      <w:r>
        <w:rPr>
          <w:rFonts w:ascii="Arial" w:eastAsia="Arial" w:hAnsi="Arial" w:cs="Arial"/>
          <w:color w:val="000000"/>
          <w:sz w:val="20"/>
        </w:rPr>
        <w:t>Fox News Network FOX HANNITY 9:00 PM EST</w:t>
      </w:r>
    </w:p>
    <w:p w14:paraId="16240CFD" w14:textId="77777777" w:rsidR="00054BF0" w:rsidRDefault="00000000">
      <w:pPr>
        <w:spacing w:before="120" w:line="260" w:lineRule="atLeast"/>
        <w:jc w:val="center"/>
      </w:pPr>
      <w:r>
        <w:rPr>
          <w:rFonts w:ascii="Arial" w:eastAsia="Arial" w:hAnsi="Arial" w:cs="Arial"/>
          <w:color w:val="000000"/>
          <w:sz w:val="20"/>
        </w:rPr>
        <w:t>August 16, 2019 Friday</w:t>
      </w:r>
    </w:p>
    <w:p w14:paraId="0012FAF7" w14:textId="77777777" w:rsidR="00054BF0" w:rsidRDefault="00054BF0">
      <w:pPr>
        <w:spacing w:line="240" w:lineRule="atLeast"/>
        <w:jc w:val="both"/>
      </w:pPr>
    </w:p>
    <w:p w14:paraId="733279EB" w14:textId="77777777" w:rsidR="00054BF0" w:rsidRDefault="00000000">
      <w:pPr>
        <w:spacing w:before="120" w:line="220" w:lineRule="atLeast"/>
      </w:pPr>
      <w:r>
        <w:br/>
      </w:r>
      <w:r>
        <w:rPr>
          <w:rFonts w:ascii="Arial" w:eastAsia="Arial" w:hAnsi="Arial" w:cs="Arial"/>
          <w:color w:val="000000"/>
          <w:sz w:val="16"/>
        </w:rPr>
        <w:t xml:space="preserve">Copyright 2019 Fox News Network LLC All Rights Reserved </w:t>
      </w:r>
    </w:p>
    <w:p w14:paraId="727C224F"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Domestic</w:t>
      </w:r>
    </w:p>
    <w:p w14:paraId="1F3D1495"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6729 words</w:t>
      </w:r>
    </w:p>
    <w:p w14:paraId="054B508E"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Gregg Jarrett, Trace Gallagher, Catherine Herridge, Mark Fuhrman, Emily Compagno, Doug Schoen, Charles Hurt, David Webb</w:t>
      </w:r>
    </w:p>
    <w:p w14:paraId="355E0272" w14:textId="77777777" w:rsidR="00054BF0" w:rsidRDefault="00000000">
      <w:pPr>
        <w:spacing w:before="120" w:line="260" w:lineRule="atLeast"/>
      </w:pPr>
      <w:r>
        <w:rPr>
          <w:rFonts w:ascii="Arial" w:eastAsia="Arial" w:hAnsi="Arial" w:cs="Arial"/>
          <w:b/>
          <w:color w:val="000000"/>
          <w:sz w:val="20"/>
        </w:rPr>
        <w:t>Guests:</w:t>
      </w:r>
      <w:r>
        <w:rPr>
          <w:rFonts w:ascii="Arial" w:eastAsia="Arial" w:hAnsi="Arial" w:cs="Arial"/>
          <w:color w:val="000000"/>
          <w:sz w:val="20"/>
        </w:rPr>
        <w:t> Cyril Wecht, Matt Whitaker, Matt Gaetz, Brett Tolman, Herman Cain, Joe Concha</w:t>
      </w:r>
    </w:p>
    <w:p w14:paraId="7290A55B" w14:textId="77777777" w:rsidR="00054BF0" w:rsidRDefault="00000000">
      <w:pPr>
        <w:keepNext/>
        <w:spacing w:before="240" w:line="340" w:lineRule="atLeast"/>
      </w:pPr>
      <w:bookmarkStart w:id="45" w:name="Body_21"/>
      <w:bookmarkEnd w:id="45"/>
      <w:r>
        <w:rPr>
          <w:rFonts w:ascii="Arial" w:eastAsia="Arial" w:hAnsi="Arial" w:cs="Arial"/>
          <w:b/>
          <w:color w:val="000000"/>
          <w:sz w:val="28"/>
        </w:rPr>
        <w:t>Body</w:t>
      </w:r>
    </w:p>
    <w:p w14:paraId="32247B03" w14:textId="77777777" w:rsidR="00054BF0" w:rsidRDefault="00000000">
      <w:pPr>
        <w:spacing w:line="60" w:lineRule="exact"/>
      </w:pPr>
      <w:r>
        <w:pict w14:anchorId="3E533175">
          <v:line id="_x0000_s2124" style="position:absolute;z-index:251704320" from="0,2pt" to="512pt,2pt" strokecolor="#009ddb" strokeweight="2pt">
            <w10:wrap type="topAndBottom"/>
          </v:line>
        </w:pict>
      </w:r>
    </w:p>
    <w:p w14:paraId="3C8FEBBF" w14:textId="77777777" w:rsidR="00054BF0" w:rsidRDefault="00054BF0"/>
    <w:p w14:paraId="7853C710" w14:textId="77777777" w:rsidR="00054BF0" w:rsidRDefault="00000000">
      <w:pPr>
        <w:spacing w:before="200" w:line="260" w:lineRule="atLeast"/>
        <w:jc w:val="both"/>
      </w:pPr>
      <w:r>
        <w:rPr>
          <w:rFonts w:ascii="Arial" w:eastAsia="Arial" w:hAnsi="Arial" w:cs="Arial"/>
          <w:color w:val="000000"/>
          <w:sz w:val="20"/>
        </w:rPr>
        <w:t>TAMMY BRUCE, FOX NEWS HOST: That`s it for tonight`s "Inside the Issue" special. Tune in each night at 8:00 to the show, that is the sworn enemy of lying, pomposity, smugness and groupthink, Tucker will be back from his vacation on Monday. But you can also check out my Fox Nation --</w:t>
      </w:r>
    </w:p>
    <w:p w14:paraId="4108B85C" w14:textId="77777777" w:rsidR="00054BF0" w:rsidRDefault="00000000">
      <w:pPr>
        <w:spacing w:before="200" w:line="260" w:lineRule="atLeast"/>
        <w:jc w:val="both"/>
      </w:pPr>
      <w:r>
        <w:rPr>
          <w:rFonts w:ascii="Arial" w:eastAsia="Arial" w:hAnsi="Arial" w:cs="Arial"/>
          <w:color w:val="000000"/>
          <w:sz w:val="20"/>
        </w:rPr>
        <w:t>GREGG JARRETT, FOX NEWS HOST: And welcome to this special edition of "Hannity": Issues Facing America. I`m Gregg Jarrett, in tonight for Sean.</w:t>
      </w:r>
    </w:p>
    <w:p w14:paraId="06956B88" w14:textId="77777777" w:rsidR="00054BF0" w:rsidRDefault="00000000">
      <w:pPr>
        <w:spacing w:before="200" w:line="260" w:lineRule="atLeast"/>
        <w:jc w:val="both"/>
      </w:pPr>
      <w:r>
        <w:rPr>
          <w:rFonts w:ascii="Arial" w:eastAsia="Arial" w:hAnsi="Arial" w:cs="Arial"/>
          <w:color w:val="000000"/>
          <w:sz w:val="20"/>
        </w:rPr>
        <w:t>Jeffrey Epstein`s autopsy has been released to some extent. The convicted pedophile`s death was officially ruled a suicide. But according to reports, Epstein was in great spirits just hours before the suicide and was confident about his ongoing criminal case.</w:t>
      </w:r>
    </w:p>
    <w:p w14:paraId="2D4AE62C" w14:textId="77777777" w:rsidR="00054BF0" w:rsidRDefault="00000000">
      <w:pPr>
        <w:spacing w:before="200" w:line="260" w:lineRule="atLeast"/>
        <w:jc w:val="both"/>
      </w:pPr>
      <w:r>
        <w:rPr>
          <w:rFonts w:ascii="Arial" w:eastAsia="Arial" w:hAnsi="Arial" w:cs="Arial"/>
          <w:color w:val="000000"/>
          <w:sz w:val="20"/>
        </w:rPr>
        <w:t xml:space="preserve">Coming </w:t>
      </w:r>
      <w:r>
        <w:rPr>
          <w:rFonts w:ascii="Arial" w:eastAsia="Arial" w:hAnsi="Arial" w:cs="Arial"/>
          <w:b/>
          <w:i/>
          <w:color w:val="000000"/>
          <w:sz w:val="20"/>
          <w:u w:val="single"/>
        </w:rPr>
        <w:t>up</w:t>
      </w:r>
      <w:r>
        <w:rPr>
          <w:rFonts w:ascii="Arial" w:eastAsia="Arial" w:hAnsi="Arial" w:cs="Arial"/>
          <w:color w:val="000000"/>
          <w:sz w:val="20"/>
        </w:rPr>
        <w:t>, forensic pathologist Cyril Wecht will be here with a full analysis. But first, joining us with more is Trace Gallagher -- Trace.</w:t>
      </w:r>
    </w:p>
    <w:p w14:paraId="2D6CEE71" w14:textId="77777777" w:rsidR="00054BF0" w:rsidRDefault="00000000">
      <w:pPr>
        <w:spacing w:before="200" w:line="260" w:lineRule="atLeast"/>
        <w:jc w:val="both"/>
      </w:pPr>
      <w:r>
        <w:rPr>
          <w:rFonts w:ascii="Arial" w:eastAsia="Arial" w:hAnsi="Arial" w:cs="Arial"/>
          <w:color w:val="000000"/>
          <w:sz w:val="20"/>
        </w:rPr>
        <w:t>TRACE GALLAGHER, FOX NEWS CORRESPONDENT: And, Gregg, breaking tonight, three of Jeffrey Epstein`s lawyers are challenging the autopsy report and planning their own investigation into the cause of death. The lawyers also blame the Metropolitan Correctional Center for the medieval conditions and for not protecting Epstein by violating numerous protocols.</w:t>
      </w:r>
    </w:p>
    <w:p w14:paraId="47043154" w14:textId="77777777" w:rsidR="00054BF0" w:rsidRDefault="00000000">
      <w:pPr>
        <w:spacing w:before="200" w:line="260" w:lineRule="atLeast"/>
        <w:jc w:val="both"/>
      </w:pPr>
      <w:r>
        <w:rPr>
          <w:rFonts w:ascii="Arial" w:eastAsia="Arial" w:hAnsi="Arial" w:cs="Arial"/>
          <w:color w:val="000000"/>
          <w:sz w:val="20"/>
        </w:rPr>
        <w:t>Meantime, the autopsy results themselves are vague. Normally, we get the diagrams, descriptions and the definitions to help decipher the findings. But so far, all the medical examiner is saying is that Jeffrey Epstein died by suicide and the cause was hanging. The "Daily Beast" is reporting that the marks on Epstein`s neck looks like those from fabric, which squares with the information that Epstein tied a bed sheet around his neck and secured it to the top bunk.</w:t>
      </w:r>
    </w:p>
    <w:p w14:paraId="06E539E9" w14:textId="77777777" w:rsidR="00054BF0" w:rsidRDefault="00000000">
      <w:pPr>
        <w:spacing w:before="200" w:line="260" w:lineRule="atLeast"/>
        <w:jc w:val="both"/>
      </w:pPr>
      <w:r>
        <w:rPr>
          <w:rFonts w:ascii="Arial" w:eastAsia="Arial" w:hAnsi="Arial" w:cs="Arial"/>
          <w:color w:val="000000"/>
          <w:sz w:val="20"/>
        </w:rPr>
        <w:lastRenderedPageBreak/>
        <w:t>There are reports that Epstein was found kneeling forward as if lunging forward. But several medical examiners say lunging as a rule is not enough force to break the hyoid bone. And they add that just because he was found on his knees doesn`t necessarily mean he didn`t throw himself off the top bunk.</w:t>
      </w:r>
    </w:p>
    <w:p w14:paraId="22EB63AE" w14:textId="77777777" w:rsidR="00054BF0" w:rsidRDefault="00000000">
      <w:pPr>
        <w:spacing w:before="200" w:line="260" w:lineRule="atLeast"/>
        <w:jc w:val="both"/>
      </w:pPr>
      <w:r>
        <w:rPr>
          <w:rFonts w:ascii="Arial" w:eastAsia="Arial" w:hAnsi="Arial" w:cs="Arial"/>
          <w:color w:val="000000"/>
          <w:sz w:val="20"/>
        </w:rPr>
        <w:t>And adding another twist to an already dizzying canvas, Fox News can confirm that some MCC personnel, including prison staff, are not cooperating with the investigations in to Epstein`s death. But with Congress and the DOJ both conducting separate inquiries, the belief is that many will be compelled to cooperate -- Gregg.</w:t>
      </w:r>
    </w:p>
    <w:p w14:paraId="3B5BE15A" w14:textId="77777777" w:rsidR="00054BF0" w:rsidRDefault="00000000">
      <w:pPr>
        <w:spacing w:before="200" w:line="260" w:lineRule="atLeast"/>
        <w:jc w:val="both"/>
      </w:pPr>
      <w:r>
        <w:rPr>
          <w:rFonts w:ascii="Arial" w:eastAsia="Arial" w:hAnsi="Arial" w:cs="Arial"/>
          <w:color w:val="000000"/>
          <w:sz w:val="20"/>
        </w:rPr>
        <w:t>JARRETT: I would imagine. Trace, thanks very much.</w:t>
      </w:r>
    </w:p>
    <w:p w14:paraId="4EE11D0D" w14:textId="77777777" w:rsidR="00054BF0" w:rsidRDefault="00000000">
      <w:pPr>
        <w:spacing w:before="200" w:line="260" w:lineRule="atLeast"/>
        <w:jc w:val="both"/>
      </w:pPr>
      <w:r>
        <w:rPr>
          <w:rFonts w:ascii="Arial" w:eastAsia="Arial" w:hAnsi="Arial" w:cs="Arial"/>
          <w:color w:val="000000"/>
          <w:sz w:val="20"/>
        </w:rPr>
        <w:t>Tonight, we know Epstein`s autopsy concluded that he hung himself reportedly with a bed sheet. But according to my next guest, there could be more to the story.</w:t>
      </w:r>
    </w:p>
    <w:p w14:paraId="2D245005" w14:textId="77777777" w:rsidR="00054BF0" w:rsidRDefault="00000000">
      <w:pPr>
        <w:spacing w:before="200" w:line="260" w:lineRule="atLeast"/>
        <w:jc w:val="both"/>
      </w:pPr>
      <w:r>
        <w:rPr>
          <w:rFonts w:ascii="Arial" w:eastAsia="Arial" w:hAnsi="Arial" w:cs="Arial"/>
          <w:color w:val="000000"/>
          <w:sz w:val="20"/>
        </w:rPr>
        <w:t>Joining us now to talk about it, forensic pathologist Dr. Cyril Wecht.</w:t>
      </w:r>
    </w:p>
    <w:p w14:paraId="651E908D" w14:textId="77777777" w:rsidR="00054BF0" w:rsidRDefault="00000000">
      <w:pPr>
        <w:spacing w:before="200" w:line="260" w:lineRule="atLeast"/>
        <w:jc w:val="both"/>
      </w:pPr>
      <w:r>
        <w:rPr>
          <w:rFonts w:ascii="Arial" w:eastAsia="Arial" w:hAnsi="Arial" w:cs="Arial"/>
          <w:color w:val="000000"/>
          <w:sz w:val="20"/>
        </w:rPr>
        <w:t>Dr. Wecht, great to see you.</w:t>
      </w:r>
    </w:p>
    <w:p w14:paraId="609C6F07" w14:textId="77777777" w:rsidR="00054BF0" w:rsidRDefault="00000000">
      <w:pPr>
        <w:spacing w:before="200" w:line="260" w:lineRule="atLeast"/>
        <w:jc w:val="both"/>
      </w:pPr>
      <w:r>
        <w:rPr>
          <w:rFonts w:ascii="Arial" w:eastAsia="Arial" w:hAnsi="Arial" w:cs="Arial"/>
          <w:color w:val="000000"/>
          <w:sz w:val="20"/>
        </w:rPr>
        <w:t>DR. CYRIL WECHT, FORENSIC PATHOLOGIST: Good evening.</w:t>
      </w:r>
    </w:p>
    <w:p w14:paraId="6C5C3868" w14:textId="77777777" w:rsidR="00054BF0" w:rsidRDefault="00000000">
      <w:pPr>
        <w:spacing w:before="200" w:line="260" w:lineRule="atLeast"/>
        <w:jc w:val="both"/>
      </w:pPr>
      <w:r>
        <w:rPr>
          <w:rFonts w:ascii="Arial" w:eastAsia="Arial" w:hAnsi="Arial" w:cs="Arial"/>
          <w:color w:val="000000"/>
          <w:sz w:val="20"/>
        </w:rPr>
        <w:t>JARRETT: There`s been a great deal of talk that Epstein suffered a hyoid fracture right around the Adam`s apple area. But I want to caution our viewers, that`s only from sources to the "Washington Post," which broke that story. We haven`t heard that from the medical examiner herself. So that, I mean, it would be important to know A, that`s confirmed. And, B, what, I would imagine the nature of that fracture.</w:t>
      </w:r>
    </w:p>
    <w:p w14:paraId="28ECD7F5" w14:textId="77777777" w:rsidR="00054BF0" w:rsidRDefault="00000000">
      <w:pPr>
        <w:spacing w:before="200" w:line="260" w:lineRule="atLeast"/>
        <w:jc w:val="both"/>
      </w:pPr>
      <w:r>
        <w:rPr>
          <w:rFonts w:ascii="Arial" w:eastAsia="Arial" w:hAnsi="Arial" w:cs="Arial"/>
          <w:color w:val="000000"/>
          <w:sz w:val="20"/>
        </w:rPr>
        <w:t>WECHT: Yes. It`s my understanding that no details have been released. We are just simply told what the medical examiner`s conclusions were. Vis-a- vis, cause of death, hanging, manner of death, suicide. I would need to see all of the details.</w:t>
      </w:r>
    </w:p>
    <w:p w14:paraId="21259451" w14:textId="77777777" w:rsidR="00054BF0" w:rsidRDefault="00000000">
      <w:pPr>
        <w:spacing w:before="200" w:line="260" w:lineRule="atLeast"/>
        <w:jc w:val="both"/>
      </w:pPr>
      <w:r>
        <w:rPr>
          <w:rFonts w:ascii="Arial" w:eastAsia="Arial" w:hAnsi="Arial" w:cs="Arial"/>
          <w:color w:val="000000"/>
          <w:sz w:val="20"/>
        </w:rPr>
        <w:t>Let me say this. That if this is a leaning into kind of a hanging, not someone hurling himself from the top bunk, but if he were, for example, maybe sitting on the lower bunk, or kneeling by there, and no evidence of his having been on the top bunk and hurling himself off, then there is no velocity, there is no force imparted to that scenario.</w:t>
      </w:r>
    </w:p>
    <w:p w14:paraId="39B7B7C0" w14:textId="77777777" w:rsidR="00054BF0" w:rsidRDefault="00000000">
      <w:pPr>
        <w:spacing w:before="200" w:line="260" w:lineRule="atLeast"/>
        <w:jc w:val="both"/>
      </w:pPr>
      <w:r>
        <w:rPr>
          <w:rFonts w:ascii="Arial" w:eastAsia="Arial" w:hAnsi="Arial" w:cs="Arial"/>
          <w:color w:val="000000"/>
          <w:sz w:val="20"/>
        </w:rPr>
        <w:t>Leaning forward, in my opinion, would not lead to what we are told are, quote, multiple fractures, unquote. We don`t know what was broken exactly. No details have come from the medical examiner`s office. We are told by the "Washington Post," "The New York Post", that the hyoid bone was broken. That`s above the Adam`s apple by a couple of inches in a good size man.</w:t>
      </w:r>
    </w:p>
    <w:p w14:paraId="58110FCC" w14:textId="77777777" w:rsidR="00054BF0" w:rsidRDefault="00000000">
      <w:pPr>
        <w:spacing w:before="200" w:line="260" w:lineRule="atLeast"/>
        <w:jc w:val="both"/>
      </w:pPr>
      <w:r>
        <w:rPr>
          <w:rFonts w:ascii="Arial" w:eastAsia="Arial" w:hAnsi="Arial" w:cs="Arial"/>
          <w:color w:val="000000"/>
          <w:sz w:val="20"/>
        </w:rPr>
        <w:t>And then the other fractures, if they are fractures of the thyroid cartridge, the Adam`s apple, in association with a fracture of the hyoid bone that is highly suspicious, and in my opinion, extremely unlikely to have been caused by leaning into suicidal hanging.</w:t>
      </w:r>
    </w:p>
    <w:p w14:paraId="2197F727" w14:textId="77777777" w:rsidR="00054BF0" w:rsidRDefault="00000000">
      <w:pPr>
        <w:spacing w:before="200" w:line="260" w:lineRule="atLeast"/>
        <w:jc w:val="both"/>
      </w:pPr>
      <w:r>
        <w:rPr>
          <w:rFonts w:ascii="Arial" w:eastAsia="Arial" w:hAnsi="Arial" w:cs="Arial"/>
          <w:color w:val="000000"/>
          <w:sz w:val="20"/>
        </w:rPr>
        <w:t>JARRETT: But, Doctor, just to be clear, if he is on the top bunk with bed sheet around his neck and propels himself off the top bunk, the hyoid fracture and maybe another fracture or two, that would be consistent with that behavior?</w:t>
      </w:r>
    </w:p>
    <w:p w14:paraId="5DF1582D" w14:textId="77777777" w:rsidR="00054BF0" w:rsidRDefault="00000000">
      <w:pPr>
        <w:spacing w:before="200" w:line="260" w:lineRule="atLeast"/>
        <w:jc w:val="both"/>
      </w:pPr>
      <w:r>
        <w:rPr>
          <w:rFonts w:ascii="Arial" w:eastAsia="Arial" w:hAnsi="Arial" w:cs="Arial"/>
          <w:color w:val="000000"/>
          <w:sz w:val="20"/>
        </w:rPr>
        <w:t>WECHT: Yes. If he were on the top bunk and he hurled himself, he jumped off, that is I understand five and a half feet high. And you`ve got his increased height from waist to head. So, you`ve got seven feet or so roughly.</w:t>
      </w:r>
    </w:p>
    <w:p w14:paraId="0ED09B5B" w14:textId="77777777" w:rsidR="00054BF0" w:rsidRDefault="00000000">
      <w:pPr>
        <w:spacing w:before="200" w:line="260" w:lineRule="atLeast"/>
        <w:jc w:val="both"/>
      </w:pPr>
      <w:r>
        <w:rPr>
          <w:rFonts w:ascii="Arial" w:eastAsia="Arial" w:hAnsi="Arial" w:cs="Arial"/>
          <w:color w:val="000000"/>
          <w:sz w:val="20"/>
        </w:rPr>
        <w:t>That drop could lead to those kind of fractures. So, I agree. And I want to make that clear, I cannot express an opinion with reasonable medical certainty. I can only repeat what I have said based upon the cases I have myself examined.</w:t>
      </w:r>
    </w:p>
    <w:p w14:paraId="73E49FD6" w14:textId="77777777" w:rsidR="00054BF0" w:rsidRDefault="00000000">
      <w:pPr>
        <w:spacing w:before="200" w:line="260" w:lineRule="atLeast"/>
        <w:jc w:val="both"/>
      </w:pPr>
      <w:r>
        <w:rPr>
          <w:rFonts w:ascii="Arial" w:eastAsia="Arial" w:hAnsi="Arial" w:cs="Arial"/>
          <w:color w:val="000000"/>
          <w:sz w:val="20"/>
        </w:rPr>
        <w:t>Hundreds of cases over the years in my 20,000-plus autopsies, 40,000 other cases that I have reviewed, supervised or signed off on, that I have not seen multiple fractures in a simple leaning into kind of suicidal hanging where there is no velocity. Velocity is what gives you force.</w:t>
      </w:r>
    </w:p>
    <w:p w14:paraId="24D4D446" w14:textId="77777777" w:rsidR="00054BF0" w:rsidRDefault="00000000">
      <w:pPr>
        <w:spacing w:before="200" w:line="260" w:lineRule="atLeast"/>
        <w:jc w:val="both"/>
      </w:pPr>
      <w:r>
        <w:rPr>
          <w:rFonts w:ascii="Arial" w:eastAsia="Arial" w:hAnsi="Arial" w:cs="Arial"/>
          <w:color w:val="000000"/>
          <w:sz w:val="20"/>
        </w:rPr>
        <w:t>JARRETT: Right.</w:t>
      </w:r>
    </w:p>
    <w:p w14:paraId="13E03AE7" w14:textId="77777777" w:rsidR="00054BF0" w:rsidRDefault="00000000">
      <w:pPr>
        <w:spacing w:before="200" w:line="260" w:lineRule="atLeast"/>
        <w:jc w:val="both"/>
      </w:pPr>
      <w:r>
        <w:rPr>
          <w:rFonts w:ascii="Arial" w:eastAsia="Arial" w:hAnsi="Arial" w:cs="Arial"/>
          <w:color w:val="000000"/>
          <w:sz w:val="20"/>
        </w:rPr>
        <w:lastRenderedPageBreak/>
        <w:t>WECHT: And if you don`t have velocity, you don`t have force. That is what this case is all about. They should have done, maybe they have, an investigation of the cell. First of all, why was there a double bunk cell? And then taking out the cell mate the day before.</w:t>
      </w:r>
    </w:p>
    <w:p w14:paraId="1C406F9C" w14:textId="77777777" w:rsidR="00054BF0" w:rsidRDefault="00000000">
      <w:pPr>
        <w:spacing w:before="200" w:line="260" w:lineRule="atLeast"/>
        <w:jc w:val="both"/>
      </w:pPr>
      <w:r>
        <w:rPr>
          <w:rFonts w:ascii="Arial" w:eastAsia="Arial" w:hAnsi="Arial" w:cs="Arial"/>
          <w:color w:val="000000"/>
          <w:sz w:val="20"/>
        </w:rPr>
        <w:t>If you have someone on suicide watch and he still should have been on suicide watch, don`t you think, gee, maybe he might jump from the higher balcony? Why are there two bunks like that?</w:t>
      </w:r>
    </w:p>
    <w:p w14:paraId="6F067648" w14:textId="77777777" w:rsidR="00054BF0" w:rsidRDefault="00000000">
      <w:pPr>
        <w:spacing w:before="200" w:line="260" w:lineRule="atLeast"/>
        <w:jc w:val="both"/>
      </w:pPr>
      <w:r>
        <w:rPr>
          <w:rFonts w:ascii="Arial" w:eastAsia="Arial" w:hAnsi="Arial" w:cs="Arial"/>
          <w:color w:val="000000"/>
          <w:sz w:val="20"/>
        </w:rPr>
        <w:t>There are a lot of things have to be correlated with the anatomic findings. What was the position of the body? Was he kneeling as if he had just leaned forward? If you hurl yourself off, I heard you say, quoting somebody else, well, me might land like that on your knees. Yes, you can do that. You can do it with people, you don`t have to tie their necks or so on.</w:t>
      </w:r>
    </w:p>
    <w:p w14:paraId="65F4945A" w14:textId="77777777" w:rsidR="00054BF0" w:rsidRDefault="00000000">
      <w:pPr>
        <w:spacing w:before="200" w:line="260" w:lineRule="atLeast"/>
        <w:jc w:val="both"/>
      </w:pPr>
      <w:r>
        <w:rPr>
          <w:rFonts w:ascii="Arial" w:eastAsia="Arial" w:hAnsi="Arial" w:cs="Arial"/>
          <w:color w:val="000000"/>
          <w:sz w:val="20"/>
        </w:rPr>
        <w:t>But guys that do stunt and so on, give them knee padding and let them jump off and see how they land. It`s highly doubtful they`re going to land in kind of a bent over, kneeling position from the waist. It`s highly unlikely hurling yourself --</w:t>
      </w:r>
    </w:p>
    <w:p w14:paraId="72EC259F" w14:textId="77777777" w:rsidR="00054BF0" w:rsidRDefault="00000000">
      <w:pPr>
        <w:spacing w:before="200" w:line="260" w:lineRule="atLeast"/>
        <w:jc w:val="both"/>
      </w:pPr>
      <w:r>
        <w:rPr>
          <w:rFonts w:ascii="Arial" w:eastAsia="Arial" w:hAnsi="Arial" w:cs="Arial"/>
          <w:color w:val="000000"/>
          <w:sz w:val="20"/>
        </w:rPr>
        <w:t>JARRETT: Sure, and you would want --</w:t>
      </w:r>
    </w:p>
    <w:p w14:paraId="686C384D" w14:textId="77777777" w:rsidR="00054BF0" w:rsidRDefault="00000000">
      <w:pPr>
        <w:spacing w:before="200" w:line="260" w:lineRule="atLeast"/>
        <w:jc w:val="both"/>
      </w:pPr>
      <w:r>
        <w:rPr>
          <w:rFonts w:ascii="Arial" w:eastAsia="Arial" w:hAnsi="Arial" w:cs="Arial"/>
          <w:color w:val="000000"/>
          <w:sz w:val="20"/>
        </w:rPr>
        <w:t>WECHT: -- from five and a half feet high</w:t>
      </w:r>
    </w:p>
    <w:p w14:paraId="1AB8BF69" w14:textId="77777777" w:rsidR="00054BF0" w:rsidRDefault="00000000">
      <w:pPr>
        <w:spacing w:before="200" w:line="260" w:lineRule="atLeast"/>
        <w:jc w:val="both"/>
      </w:pPr>
      <w:r>
        <w:rPr>
          <w:rFonts w:ascii="Arial" w:eastAsia="Arial" w:hAnsi="Arial" w:cs="Arial"/>
          <w:color w:val="000000"/>
          <w:sz w:val="20"/>
        </w:rPr>
        <w:t>JARRETT: You want to look for abrasions on the knee and the other evidence of trauma to the body.</w:t>
      </w:r>
    </w:p>
    <w:p w14:paraId="3C93E607" w14:textId="77777777" w:rsidR="00054BF0" w:rsidRDefault="00000000">
      <w:pPr>
        <w:spacing w:before="200" w:line="260" w:lineRule="atLeast"/>
        <w:jc w:val="both"/>
      </w:pPr>
      <w:r>
        <w:rPr>
          <w:rFonts w:ascii="Arial" w:eastAsia="Arial" w:hAnsi="Arial" w:cs="Arial"/>
          <w:color w:val="000000"/>
          <w:sz w:val="20"/>
        </w:rPr>
        <w:t>Dr. Cyril Wecht, many thanks for being with us.</w:t>
      </w:r>
    </w:p>
    <w:p w14:paraId="10EC6DF1" w14:textId="77777777" w:rsidR="00054BF0" w:rsidRDefault="00000000">
      <w:pPr>
        <w:spacing w:before="200" w:line="260" w:lineRule="atLeast"/>
        <w:jc w:val="both"/>
      </w:pPr>
      <w:r>
        <w:rPr>
          <w:rFonts w:ascii="Arial" w:eastAsia="Arial" w:hAnsi="Arial" w:cs="Arial"/>
          <w:color w:val="000000"/>
          <w:sz w:val="20"/>
        </w:rPr>
        <w:t>WECHT: Yes, very good.</w:t>
      </w:r>
    </w:p>
    <w:p w14:paraId="59427065" w14:textId="77777777" w:rsidR="00054BF0" w:rsidRDefault="00000000">
      <w:pPr>
        <w:spacing w:before="200" w:line="260" w:lineRule="atLeast"/>
        <w:jc w:val="both"/>
      </w:pPr>
      <w:r>
        <w:rPr>
          <w:rFonts w:ascii="Arial" w:eastAsia="Arial" w:hAnsi="Arial" w:cs="Arial"/>
          <w:color w:val="000000"/>
          <w:sz w:val="20"/>
        </w:rPr>
        <w:t>JARRETT: Good to see you.</w:t>
      </w:r>
    </w:p>
    <w:p w14:paraId="64DEB538" w14:textId="77777777" w:rsidR="00054BF0" w:rsidRDefault="00000000">
      <w:pPr>
        <w:spacing w:before="200" w:line="260" w:lineRule="atLeast"/>
        <w:jc w:val="both"/>
      </w:pPr>
      <w:r>
        <w:rPr>
          <w:rFonts w:ascii="Arial" w:eastAsia="Arial" w:hAnsi="Arial" w:cs="Arial"/>
          <w:color w:val="000000"/>
          <w:sz w:val="20"/>
        </w:rPr>
        <w:t>WECHT: Thank you.</w:t>
      </w:r>
    </w:p>
    <w:p w14:paraId="4EDB2013" w14:textId="77777777" w:rsidR="00054BF0" w:rsidRDefault="00000000">
      <w:pPr>
        <w:spacing w:before="200" w:line="260" w:lineRule="atLeast"/>
        <w:jc w:val="both"/>
      </w:pPr>
      <w:r>
        <w:rPr>
          <w:rFonts w:ascii="Arial" w:eastAsia="Arial" w:hAnsi="Arial" w:cs="Arial"/>
          <w:color w:val="000000"/>
          <w:sz w:val="20"/>
        </w:rPr>
        <w:t>JARRETT: Without a doubt, irregularity surrounding Epstein`s death are downright shocking. Today, Fox News learned that Attorney General William Barr has dispatched two senior Department of Justice officials to the Metropolitan Corrections Center to gather additional information. Those officials have been there, actually, since Thursday.</w:t>
      </w:r>
    </w:p>
    <w:p w14:paraId="476A66F9" w14:textId="77777777" w:rsidR="00054BF0" w:rsidRDefault="00000000">
      <w:pPr>
        <w:spacing w:before="200" w:line="260" w:lineRule="atLeast"/>
        <w:jc w:val="both"/>
      </w:pPr>
      <w:r>
        <w:rPr>
          <w:rFonts w:ascii="Arial" w:eastAsia="Arial" w:hAnsi="Arial" w:cs="Arial"/>
          <w:color w:val="000000"/>
          <w:sz w:val="20"/>
        </w:rPr>
        <w:t>Joining us now with a full report is Catherine Herridge -- Catherine.</w:t>
      </w:r>
    </w:p>
    <w:p w14:paraId="57FD31C7" w14:textId="77777777" w:rsidR="00054BF0" w:rsidRDefault="00000000">
      <w:pPr>
        <w:spacing w:before="200" w:line="260" w:lineRule="atLeast"/>
        <w:jc w:val="both"/>
      </w:pPr>
      <w:r>
        <w:rPr>
          <w:rFonts w:ascii="Arial" w:eastAsia="Arial" w:hAnsi="Arial" w:cs="Arial"/>
          <w:color w:val="000000"/>
          <w:sz w:val="20"/>
        </w:rPr>
        <w:t>CATHERINE HERRIDGE, FOX NEWS CORRESPONDENT: Thanks, Gregg, and good evening.</w:t>
      </w:r>
    </w:p>
    <w:p w14:paraId="276B7889" w14:textId="77777777" w:rsidR="00054BF0" w:rsidRDefault="00000000">
      <w:pPr>
        <w:spacing w:before="200" w:line="260" w:lineRule="atLeast"/>
        <w:jc w:val="both"/>
      </w:pPr>
      <w:r>
        <w:rPr>
          <w:rFonts w:ascii="Arial" w:eastAsia="Arial" w:hAnsi="Arial" w:cs="Arial"/>
          <w:color w:val="000000"/>
          <w:sz w:val="20"/>
        </w:rPr>
        <w:t>We could get a reading next week of the Justice Department`s preliminary findings into the Epstein case. They are investigating how the Bureau of Prison staffing and overtime may have contributed to the events surrounding his death. The Attorney General William Barr, as you mentioned, dispatching two of his top aids to independently gather information and speak directly with Bureau of Prison staff at the MCC where Epstein was being held. The team has been on site since Thursday.</w:t>
      </w:r>
    </w:p>
    <w:p w14:paraId="60FBE00E" w14:textId="77777777" w:rsidR="00054BF0" w:rsidRDefault="00000000">
      <w:pPr>
        <w:spacing w:before="200" w:line="260" w:lineRule="atLeast"/>
        <w:jc w:val="both"/>
      </w:pPr>
      <w:r>
        <w:rPr>
          <w:rFonts w:ascii="Arial" w:eastAsia="Arial" w:hAnsi="Arial" w:cs="Arial"/>
          <w:color w:val="000000"/>
          <w:sz w:val="20"/>
        </w:rPr>
        <w:t>Separately, the Department of Justice has an after action review team, working through the Bureau of Prisons which falls under Justice Department authority. That team is still on scene at MCC, preparing a high level debrief, analyzing what went wrong. We are nearly a week out from Epstein`s death and the key issues remain staffing, who was working overtime shifts and whether the protocols monitoring Epstein were followed after he came off the suicide watch as well as the removal of the cell mate.</w:t>
      </w:r>
    </w:p>
    <w:p w14:paraId="39CF7372" w14:textId="77777777" w:rsidR="00054BF0" w:rsidRDefault="00000000">
      <w:pPr>
        <w:spacing w:before="200" w:line="260" w:lineRule="atLeast"/>
        <w:jc w:val="both"/>
      </w:pPr>
      <w:r>
        <w:rPr>
          <w:rFonts w:ascii="Arial" w:eastAsia="Arial" w:hAnsi="Arial" w:cs="Arial"/>
          <w:color w:val="000000"/>
          <w:sz w:val="20"/>
        </w:rPr>
        <w:t>FOX News can report tonight that officials have found 94 percent of the overtime hours during that critical period were done voluntarily and also this evening, new information from the producer Bill Mears that there are indications that there was a lack of cooperation among some of the MCC staffers, Gregg.</w:t>
      </w:r>
    </w:p>
    <w:p w14:paraId="668CA7A4" w14:textId="77777777" w:rsidR="00054BF0" w:rsidRDefault="00000000">
      <w:pPr>
        <w:spacing w:before="200" w:line="260" w:lineRule="atLeast"/>
        <w:jc w:val="both"/>
      </w:pPr>
      <w:r>
        <w:rPr>
          <w:rFonts w:ascii="Arial" w:eastAsia="Arial" w:hAnsi="Arial" w:cs="Arial"/>
          <w:color w:val="000000"/>
          <w:sz w:val="20"/>
        </w:rPr>
        <w:t>JARRETT: Catherine Herridge in Washington -- Catherine, thanks very much.</w:t>
      </w:r>
    </w:p>
    <w:p w14:paraId="3D082681" w14:textId="77777777" w:rsidR="00054BF0" w:rsidRDefault="00000000">
      <w:pPr>
        <w:spacing w:before="200" w:line="260" w:lineRule="atLeast"/>
        <w:jc w:val="both"/>
      </w:pPr>
      <w:r>
        <w:rPr>
          <w:rFonts w:ascii="Arial" w:eastAsia="Arial" w:hAnsi="Arial" w:cs="Arial"/>
          <w:color w:val="000000"/>
          <w:sz w:val="20"/>
        </w:rPr>
        <w:lastRenderedPageBreak/>
        <w:t>HERRIDGE: You`re welcome.</w:t>
      </w:r>
    </w:p>
    <w:p w14:paraId="7CB9FA3A" w14:textId="77777777" w:rsidR="00054BF0" w:rsidRDefault="00000000">
      <w:pPr>
        <w:spacing w:before="200" w:line="260" w:lineRule="atLeast"/>
        <w:jc w:val="both"/>
      </w:pPr>
      <w:r>
        <w:rPr>
          <w:rFonts w:ascii="Arial" w:eastAsia="Arial" w:hAnsi="Arial" w:cs="Arial"/>
          <w:color w:val="000000"/>
          <w:sz w:val="20"/>
        </w:rPr>
        <w:t>JARRETT: Joining us now is Fox News contributor and retired LAPD detective Mark Fuhrman, former FBI special agent Manny Gomez, and Fox News contributor Emily Compagno.</w:t>
      </w:r>
    </w:p>
    <w:p w14:paraId="05C17B56" w14:textId="77777777" w:rsidR="00054BF0" w:rsidRDefault="00000000">
      <w:pPr>
        <w:spacing w:before="200" w:line="260" w:lineRule="atLeast"/>
        <w:jc w:val="both"/>
      </w:pPr>
      <w:r>
        <w:rPr>
          <w:rFonts w:ascii="Arial" w:eastAsia="Arial" w:hAnsi="Arial" w:cs="Arial"/>
          <w:color w:val="000000"/>
          <w:sz w:val="20"/>
        </w:rPr>
        <w:t>Good to have you all.</w:t>
      </w:r>
    </w:p>
    <w:p w14:paraId="6AA533E2" w14:textId="77777777" w:rsidR="00054BF0" w:rsidRDefault="00000000">
      <w:pPr>
        <w:spacing w:before="200" w:line="260" w:lineRule="atLeast"/>
        <w:jc w:val="both"/>
      </w:pPr>
      <w:r>
        <w:rPr>
          <w:rFonts w:ascii="Arial" w:eastAsia="Arial" w:hAnsi="Arial" w:cs="Arial"/>
          <w:color w:val="000000"/>
          <w:sz w:val="20"/>
        </w:rPr>
        <w:t>Mark, let me begin with you. It strikes me that a critical component of this are the videotape of the cameras that would have been in the hallway and general area. And you would want to examine the three-hour period of time in which he allegedly killed himself to determine if anyone had access or egress to his jail cell, right?</w:t>
      </w:r>
    </w:p>
    <w:p w14:paraId="5EC4544B" w14:textId="77777777" w:rsidR="00054BF0" w:rsidRDefault="00000000">
      <w:pPr>
        <w:spacing w:before="200" w:line="260" w:lineRule="atLeast"/>
        <w:jc w:val="both"/>
      </w:pPr>
      <w:r>
        <w:rPr>
          <w:rFonts w:ascii="Arial" w:eastAsia="Arial" w:hAnsi="Arial" w:cs="Arial"/>
          <w:color w:val="000000"/>
          <w:sz w:val="20"/>
        </w:rPr>
        <w:t>MARK FUHRMAN, FOX NEWS CONTRIBUTOR: Absolutely. And the interesting part about the pathology report is that we don`t have the summary or the protocols. But we have the cause and the manner of death, as Dr. Wecht stated. And this gives you a finding combined with the detectives` view of the crime scene.</w:t>
      </w:r>
    </w:p>
    <w:p w14:paraId="2CE2B05E" w14:textId="77777777" w:rsidR="00054BF0" w:rsidRDefault="00000000">
      <w:pPr>
        <w:spacing w:before="200" w:line="260" w:lineRule="atLeast"/>
        <w:jc w:val="both"/>
      </w:pPr>
      <w:r>
        <w:rPr>
          <w:rFonts w:ascii="Arial" w:eastAsia="Arial" w:hAnsi="Arial" w:cs="Arial"/>
          <w:color w:val="000000"/>
          <w:sz w:val="20"/>
        </w:rPr>
        <w:t>One of those is the surveillance video that during the estimated time of death, before and after, nobody entered the cell. Nobody approached the door. Nobody exited. So that eliminates the death at the hands of another. And thousand we have to conclude with the evidence that it is suicide.</w:t>
      </w:r>
    </w:p>
    <w:p w14:paraId="0F94C7F0" w14:textId="77777777" w:rsidR="00054BF0" w:rsidRDefault="00000000">
      <w:pPr>
        <w:spacing w:before="200" w:line="260" w:lineRule="atLeast"/>
        <w:jc w:val="both"/>
      </w:pPr>
      <w:r>
        <w:rPr>
          <w:rFonts w:ascii="Arial" w:eastAsia="Arial" w:hAnsi="Arial" w:cs="Arial"/>
          <w:color w:val="000000"/>
          <w:sz w:val="20"/>
        </w:rPr>
        <w:t>JARRETT: Emily, the defense lawyers for Jeffrey Epstein are hinting they don`t buy it. They want to conduct their own investigation, maybe another autopsy. It`s a little bit unclear.</w:t>
      </w:r>
    </w:p>
    <w:p w14:paraId="59C70818" w14:textId="77777777" w:rsidR="00054BF0" w:rsidRDefault="00000000">
      <w:pPr>
        <w:spacing w:before="200" w:line="260" w:lineRule="atLeast"/>
        <w:jc w:val="both"/>
      </w:pPr>
      <w:r>
        <w:rPr>
          <w:rFonts w:ascii="Arial" w:eastAsia="Arial" w:hAnsi="Arial" w:cs="Arial"/>
          <w:color w:val="000000"/>
          <w:sz w:val="20"/>
        </w:rPr>
        <w:t>I suspect they are driven by guilty more than anything else. It was the defense attorney who was urging the Metropolitan Corrections Center to take him off suicide watch. But for that request Epstein might still be alive today.</w:t>
      </w:r>
    </w:p>
    <w:p w14:paraId="438E6C9E" w14:textId="77777777" w:rsidR="00054BF0" w:rsidRDefault="00000000">
      <w:pPr>
        <w:spacing w:before="200" w:line="260" w:lineRule="atLeast"/>
        <w:jc w:val="both"/>
      </w:pPr>
      <w:r>
        <w:rPr>
          <w:rFonts w:ascii="Arial" w:eastAsia="Arial" w:hAnsi="Arial" w:cs="Arial"/>
          <w:color w:val="000000"/>
          <w:sz w:val="20"/>
        </w:rPr>
        <w:t>EMILY COMPAGNO, FOX NEWS CONTRIBUTOR: There`s certainly a measure of responsibility at minimum and culpability at a maximum that those attorneys hold. Yes. I want to point out for viewers as well, though, that the fact that the autopsy ruled this a suicide means that Epstein`s estate can sue for what is essentially wrongful death at the hands of the state.</w:t>
      </w:r>
    </w:p>
    <w:p w14:paraId="49E9B274" w14:textId="77777777" w:rsidR="00054BF0" w:rsidRDefault="00000000">
      <w:pPr>
        <w:spacing w:before="200" w:line="260" w:lineRule="atLeast"/>
        <w:jc w:val="both"/>
      </w:pPr>
      <w:r>
        <w:rPr>
          <w:rFonts w:ascii="Arial" w:eastAsia="Arial" w:hAnsi="Arial" w:cs="Arial"/>
          <w:color w:val="000000"/>
          <w:sz w:val="20"/>
        </w:rPr>
        <w:t>And what is interesting to note is that the standard of review for those kind of the cases, when the inmates commit suicide and the family of the loved ones saying, hey, it was your fault, state. You broke in the protocol or there was negligence that led to the suicide that you knew could have happened, the standard is deliberate indifference. It`s a very tough bar to cross. And of all the cases I reviewed, the vast majority were moved out of court at the summary judgment stage, which meant that the defendant simply even falling asleep, it still didn`t qualify.</w:t>
      </w:r>
    </w:p>
    <w:p w14:paraId="256FE9CE" w14:textId="77777777" w:rsidR="00054BF0" w:rsidRDefault="00000000">
      <w:pPr>
        <w:spacing w:before="200" w:line="260" w:lineRule="atLeast"/>
        <w:jc w:val="both"/>
      </w:pPr>
      <w:r>
        <w:rPr>
          <w:rFonts w:ascii="Arial" w:eastAsia="Arial" w:hAnsi="Arial" w:cs="Arial"/>
          <w:color w:val="000000"/>
          <w:sz w:val="20"/>
        </w:rPr>
        <w:t>JARRETT: You know, Manny, there is a report and this may also be fed by the defense attorneys who harbor guilt of their own by virtue of their actions, that well, he was upbeat. He was optimistic about his chances on a double jeopardy motion that had been filed. Frankly, I always as a defense attorney discount the mindset of a client.</w:t>
      </w:r>
    </w:p>
    <w:p w14:paraId="51693942" w14:textId="77777777" w:rsidR="00054BF0" w:rsidRDefault="00000000">
      <w:pPr>
        <w:spacing w:before="200" w:line="260" w:lineRule="atLeast"/>
        <w:jc w:val="both"/>
      </w:pPr>
      <w:r>
        <w:rPr>
          <w:rFonts w:ascii="Arial" w:eastAsia="Arial" w:hAnsi="Arial" w:cs="Arial"/>
          <w:color w:val="000000"/>
          <w:sz w:val="20"/>
        </w:rPr>
        <w:t>MANNY GOMEZ, FORMER NYPD SERGEANT: Absolutely. The mindset of this individual before he perhaps committed suicide, apparently committed suicide, has no to do with the negligence, the recklessness of how MCC behaved in this matter. In fact, they are acting as psychologist which has nothing to do with the case at hand, which is how is the most highly visible inmate in the United States capable of committing suicide when they went against every protocol that they, themselves have in place to prevent that?</w:t>
      </w:r>
    </w:p>
    <w:p w14:paraId="4CC6865F" w14:textId="77777777" w:rsidR="00054BF0" w:rsidRDefault="00000000">
      <w:pPr>
        <w:spacing w:before="200" w:line="260" w:lineRule="atLeast"/>
        <w:jc w:val="both"/>
      </w:pPr>
      <w:r>
        <w:rPr>
          <w:rFonts w:ascii="Arial" w:eastAsia="Arial" w:hAnsi="Arial" w:cs="Arial"/>
          <w:color w:val="000000"/>
          <w:sz w:val="20"/>
        </w:rPr>
        <w:t>JARRETT: Mark, if it`s not suicide, but rather a homicide, that would require some fairly insurmountable challenges to carry out, wouldn`t it?</w:t>
      </w:r>
    </w:p>
    <w:p w14:paraId="771DCBD7" w14:textId="77777777" w:rsidR="00054BF0" w:rsidRDefault="00000000">
      <w:pPr>
        <w:spacing w:before="200" w:line="260" w:lineRule="atLeast"/>
        <w:jc w:val="both"/>
      </w:pPr>
      <w:r>
        <w:rPr>
          <w:rFonts w:ascii="Arial" w:eastAsia="Arial" w:hAnsi="Arial" w:cs="Arial"/>
          <w:color w:val="000000"/>
          <w:sz w:val="20"/>
        </w:rPr>
        <w:t>FUHRMAN: Well, it would. Dr. Wecht pointed out both sides of the coin in the medical evidence. But there was no filmed or witnessed inside the cell. So, we don`t know if he jumped from the top of the bunk or he merely leaned over in a forceful way. We don`t know that.</w:t>
      </w:r>
    </w:p>
    <w:p w14:paraId="4D21F56F" w14:textId="77777777" w:rsidR="00054BF0" w:rsidRDefault="00000000">
      <w:pPr>
        <w:spacing w:before="200" w:line="260" w:lineRule="atLeast"/>
        <w:jc w:val="both"/>
      </w:pPr>
      <w:r>
        <w:rPr>
          <w:rFonts w:ascii="Arial" w:eastAsia="Arial" w:hAnsi="Arial" w:cs="Arial"/>
          <w:color w:val="000000"/>
          <w:sz w:val="20"/>
        </w:rPr>
        <w:t>So, to change a suicide to a homicide in this respect, you are going to have to have a witness or you`re going to have to have a film of the act or a participant in the act to come forward.</w:t>
      </w:r>
    </w:p>
    <w:p w14:paraId="2AD186C1" w14:textId="77777777" w:rsidR="00054BF0" w:rsidRDefault="00000000">
      <w:pPr>
        <w:spacing w:before="200" w:line="260" w:lineRule="atLeast"/>
        <w:jc w:val="both"/>
      </w:pPr>
      <w:r>
        <w:rPr>
          <w:rFonts w:ascii="Arial" w:eastAsia="Arial" w:hAnsi="Arial" w:cs="Arial"/>
          <w:color w:val="000000"/>
          <w:sz w:val="20"/>
        </w:rPr>
        <w:lastRenderedPageBreak/>
        <w:t>So, we know nobody entered the cell. So, he did not die at the hands of another. We certainly don`t know the toxicology yet. But if they are going to rule it a suicide, I would say that there is no drugs in his suicide that would make him compliant or unconscious so somebody could stage the scene. So, that is a huge bar to change it from a suicide or implicate it was a homicide.</w:t>
      </w:r>
    </w:p>
    <w:p w14:paraId="432B7560" w14:textId="77777777" w:rsidR="00054BF0" w:rsidRDefault="00000000">
      <w:pPr>
        <w:spacing w:before="200" w:line="260" w:lineRule="atLeast"/>
        <w:jc w:val="both"/>
      </w:pPr>
      <w:r>
        <w:rPr>
          <w:rFonts w:ascii="Arial" w:eastAsia="Arial" w:hAnsi="Arial" w:cs="Arial"/>
          <w:color w:val="000000"/>
          <w:sz w:val="20"/>
        </w:rPr>
        <w:t>JARRETT: All right. So, where does the case go now? It`s possible co- conspirators could be charged. In particular, Ghislaine Maxwell has been identified as the madam who arranged the sex trafficking allegedly. She was MIA until somebody spotted her at an In-N-Out Burger in Southern California. There`s a cover of "The New York Post".</w:t>
      </w:r>
    </w:p>
    <w:p w14:paraId="7542C6DA" w14:textId="77777777" w:rsidR="00054BF0" w:rsidRDefault="00000000">
      <w:pPr>
        <w:spacing w:before="200" w:line="260" w:lineRule="atLeast"/>
        <w:jc w:val="both"/>
      </w:pPr>
      <w:r>
        <w:rPr>
          <w:rFonts w:ascii="Arial" w:eastAsia="Arial" w:hAnsi="Arial" w:cs="Arial"/>
          <w:color w:val="000000"/>
          <w:sz w:val="20"/>
        </w:rPr>
        <w:t>Well, she certainly knows where to find a good burger. The question is does she know where to find a good criminal defense lawyer? Because I suspect she`s going to need one, Emily.</w:t>
      </w:r>
    </w:p>
    <w:p w14:paraId="1DD39761" w14:textId="77777777" w:rsidR="00054BF0" w:rsidRDefault="00000000">
      <w:pPr>
        <w:spacing w:before="200" w:line="260" w:lineRule="atLeast"/>
        <w:jc w:val="both"/>
      </w:pPr>
      <w:r>
        <w:rPr>
          <w:rFonts w:ascii="Arial" w:eastAsia="Arial" w:hAnsi="Arial" w:cs="Arial"/>
          <w:color w:val="000000"/>
          <w:sz w:val="20"/>
        </w:rPr>
        <w:t>COMPAGNO: Right. So, as of yet, she has been unindicted, unnamed. But that said, there`s unnamed co-conspirators in those original charging documents. And certainly, she has a lot to answer for.</w:t>
      </w:r>
    </w:p>
    <w:p w14:paraId="59631338" w14:textId="77777777" w:rsidR="00054BF0" w:rsidRDefault="00000000">
      <w:pPr>
        <w:spacing w:before="200" w:line="260" w:lineRule="atLeast"/>
        <w:jc w:val="both"/>
      </w:pPr>
      <w:r>
        <w:rPr>
          <w:rFonts w:ascii="Arial" w:eastAsia="Arial" w:hAnsi="Arial" w:cs="Arial"/>
          <w:color w:val="000000"/>
          <w:sz w:val="20"/>
        </w:rPr>
        <w:t>She`s accused of being not only a co-conspirator in terms of the orchestration of this vast network but also an abuser herself. She is also right now the defendant of civil lawsuits in state of New York in terms of -- as well as the defendant estate of Epstein. Note for the viewers to keep track of this all there is also an FBI and a DOJ investigation in to this correctional institution.</w:t>
      </w:r>
    </w:p>
    <w:p w14:paraId="48E520E9" w14:textId="77777777" w:rsidR="00054BF0" w:rsidRDefault="00000000">
      <w:pPr>
        <w:spacing w:before="200" w:line="260" w:lineRule="atLeast"/>
        <w:jc w:val="both"/>
      </w:pPr>
      <w:r>
        <w:rPr>
          <w:rFonts w:ascii="Arial" w:eastAsia="Arial" w:hAnsi="Arial" w:cs="Arial"/>
          <w:color w:val="000000"/>
          <w:sz w:val="20"/>
        </w:rPr>
        <w:t>There are many threads. But bottom line as well with Maxwell, with Ghislaine Maxwell, is that if she proves a useful source of information, then it would behoove her to --</w:t>
      </w:r>
    </w:p>
    <w:p w14:paraId="192C751F" w14:textId="77777777" w:rsidR="00054BF0" w:rsidRDefault="00000000">
      <w:pPr>
        <w:spacing w:before="200" w:line="260" w:lineRule="atLeast"/>
        <w:jc w:val="both"/>
      </w:pPr>
      <w:r>
        <w:rPr>
          <w:rFonts w:ascii="Arial" w:eastAsia="Arial" w:hAnsi="Arial" w:cs="Arial"/>
          <w:color w:val="000000"/>
          <w:sz w:val="20"/>
        </w:rPr>
        <w:t>JARRETT: To flip.</w:t>
      </w:r>
    </w:p>
    <w:p w14:paraId="5995DE02" w14:textId="77777777" w:rsidR="00054BF0" w:rsidRDefault="00000000">
      <w:pPr>
        <w:spacing w:before="200" w:line="260" w:lineRule="atLeast"/>
        <w:jc w:val="both"/>
      </w:pPr>
      <w:r>
        <w:rPr>
          <w:rFonts w:ascii="Arial" w:eastAsia="Arial" w:hAnsi="Arial" w:cs="Arial"/>
          <w:color w:val="000000"/>
          <w:sz w:val="20"/>
        </w:rPr>
        <w:t>COMPAGNO: -- be as transparent as possible to the government. Yes. She would have to be charged first with something because of now, we don`t know.</w:t>
      </w:r>
    </w:p>
    <w:p w14:paraId="6572D1F5" w14:textId="77777777" w:rsidR="00054BF0" w:rsidRDefault="00000000">
      <w:pPr>
        <w:spacing w:before="200" w:line="260" w:lineRule="atLeast"/>
        <w:jc w:val="both"/>
      </w:pPr>
      <w:r>
        <w:rPr>
          <w:rFonts w:ascii="Arial" w:eastAsia="Arial" w:hAnsi="Arial" w:cs="Arial"/>
          <w:color w:val="000000"/>
          <w:sz w:val="20"/>
        </w:rPr>
        <w:t>JARRETT: We need leverage.</w:t>
      </w:r>
    </w:p>
    <w:p w14:paraId="00ED9F0A" w14:textId="77777777" w:rsidR="00054BF0" w:rsidRDefault="00000000">
      <w:pPr>
        <w:spacing w:before="200" w:line="260" w:lineRule="atLeast"/>
        <w:jc w:val="both"/>
      </w:pPr>
      <w:r>
        <w:rPr>
          <w:rFonts w:ascii="Arial" w:eastAsia="Arial" w:hAnsi="Arial" w:cs="Arial"/>
          <w:color w:val="000000"/>
          <w:sz w:val="20"/>
        </w:rPr>
        <w:t>COMPAGNO: Uh-huh.</w:t>
      </w:r>
    </w:p>
    <w:p w14:paraId="36FAFFDA" w14:textId="77777777" w:rsidR="00054BF0" w:rsidRDefault="00000000">
      <w:pPr>
        <w:spacing w:before="200" w:line="260" w:lineRule="atLeast"/>
        <w:jc w:val="both"/>
      </w:pPr>
      <w:r>
        <w:rPr>
          <w:rFonts w:ascii="Arial" w:eastAsia="Arial" w:hAnsi="Arial" w:cs="Arial"/>
          <w:color w:val="000000"/>
          <w:sz w:val="20"/>
        </w:rPr>
        <w:t>JARRETT: Manny, there was back in the original case in 2007 in which was there a plea deal to two charges, a non-prosecution immunity agreement that apparently affects others. I suspect that is not worth the paper it`s written on for a couple of reasons. First, it doesn`t immunize you for future acts so acts after 2007 are not covered. Second of all, it appears that it violated the Crime Victims Rights Act in which the victims were never notified.</w:t>
      </w:r>
    </w:p>
    <w:p w14:paraId="56361108" w14:textId="77777777" w:rsidR="00054BF0" w:rsidRDefault="00000000">
      <w:pPr>
        <w:spacing w:before="200" w:line="260" w:lineRule="atLeast"/>
        <w:jc w:val="both"/>
      </w:pPr>
      <w:r>
        <w:rPr>
          <w:rFonts w:ascii="Arial" w:eastAsia="Arial" w:hAnsi="Arial" w:cs="Arial"/>
          <w:color w:val="000000"/>
          <w:sz w:val="20"/>
        </w:rPr>
        <w:t>GOMEZ: You`re absolutely right. And he had this hubris that he thought he was falling under double jeopardy and he would not be prosecuted for -- not prosecuted, but be found guilty or this. And it would be thrown out of court.</w:t>
      </w:r>
    </w:p>
    <w:p w14:paraId="7338461B" w14:textId="77777777" w:rsidR="00054BF0" w:rsidRDefault="00000000">
      <w:pPr>
        <w:spacing w:before="200" w:line="260" w:lineRule="atLeast"/>
        <w:jc w:val="both"/>
      </w:pPr>
      <w:r>
        <w:rPr>
          <w:rFonts w:ascii="Arial" w:eastAsia="Arial" w:hAnsi="Arial" w:cs="Arial"/>
          <w:color w:val="000000"/>
          <w:sz w:val="20"/>
        </w:rPr>
        <w:t>Clearly, that was not the case. He obviously was desperate and apparently committed suicide. That being said, it still does not excuse actions of MCC Bureau Prisons, et cetera, and it certainly doesn`t excuse the action of coconspirators as William Barr said. They will still continue to be investigators and prosecuted if needed.</w:t>
      </w:r>
    </w:p>
    <w:p w14:paraId="50E670B8" w14:textId="77777777" w:rsidR="00054BF0" w:rsidRDefault="00000000">
      <w:pPr>
        <w:spacing w:before="200" w:line="260" w:lineRule="atLeast"/>
        <w:jc w:val="both"/>
      </w:pPr>
      <w:r>
        <w:rPr>
          <w:rFonts w:ascii="Arial" w:eastAsia="Arial" w:hAnsi="Arial" w:cs="Arial"/>
          <w:color w:val="000000"/>
          <w:sz w:val="20"/>
        </w:rPr>
        <w:t>JARRETT: Oh, yes, you can tell that Barr is angry.</w:t>
      </w:r>
    </w:p>
    <w:p w14:paraId="337F26E0" w14:textId="77777777" w:rsidR="00054BF0" w:rsidRDefault="00000000">
      <w:pPr>
        <w:spacing w:before="200" w:line="260" w:lineRule="atLeast"/>
        <w:jc w:val="both"/>
      </w:pPr>
      <w:r>
        <w:rPr>
          <w:rFonts w:ascii="Arial" w:eastAsia="Arial" w:hAnsi="Arial" w:cs="Arial"/>
          <w:color w:val="000000"/>
          <w:sz w:val="20"/>
        </w:rPr>
        <w:t>GOMEZ: Absolutely.</w:t>
      </w:r>
    </w:p>
    <w:p w14:paraId="300325A9" w14:textId="77777777" w:rsidR="00054BF0" w:rsidRDefault="00000000">
      <w:pPr>
        <w:spacing w:before="200" w:line="260" w:lineRule="atLeast"/>
        <w:jc w:val="both"/>
      </w:pPr>
      <w:r>
        <w:rPr>
          <w:rFonts w:ascii="Arial" w:eastAsia="Arial" w:hAnsi="Arial" w:cs="Arial"/>
          <w:color w:val="000000"/>
          <w:sz w:val="20"/>
        </w:rPr>
        <w:t>JARRETT: He`s going to get to the bottom of what happened here.</w:t>
      </w:r>
    </w:p>
    <w:p w14:paraId="03C88669" w14:textId="77777777" w:rsidR="00054BF0" w:rsidRDefault="00000000">
      <w:pPr>
        <w:spacing w:before="200" w:line="260" w:lineRule="atLeast"/>
        <w:jc w:val="both"/>
      </w:pPr>
      <w:r>
        <w:rPr>
          <w:rFonts w:ascii="Arial" w:eastAsia="Arial" w:hAnsi="Arial" w:cs="Arial"/>
          <w:color w:val="000000"/>
          <w:sz w:val="20"/>
        </w:rPr>
        <w:t>GOMEZ: Absolutely.</w:t>
      </w:r>
    </w:p>
    <w:p w14:paraId="3ED91E98" w14:textId="77777777" w:rsidR="00054BF0" w:rsidRDefault="00000000">
      <w:pPr>
        <w:spacing w:before="200" w:line="260" w:lineRule="atLeast"/>
        <w:jc w:val="both"/>
      </w:pPr>
      <w:r>
        <w:rPr>
          <w:rFonts w:ascii="Arial" w:eastAsia="Arial" w:hAnsi="Arial" w:cs="Arial"/>
          <w:color w:val="000000"/>
          <w:sz w:val="20"/>
        </w:rPr>
        <w:t>JARRETT: Mark, I want you to have the final word here. As the case moves forward, there have been identified at least half a dozen women who are allegedly aiding and abetting according to some of the victims. Is that where the case goes now?</w:t>
      </w:r>
    </w:p>
    <w:p w14:paraId="2A778CC1" w14:textId="77777777" w:rsidR="00054BF0" w:rsidRDefault="00000000">
      <w:pPr>
        <w:spacing w:before="200" w:line="260" w:lineRule="atLeast"/>
        <w:jc w:val="both"/>
      </w:pPr>
      <w:r>
        <w:rPr>
          <w:rFonts w:ascii="Arial" w:eastAsia="Arial" w:hAnsi="Arial" w:cs="Arial"/>
          <w:color w:val="000000"/>
          <w:sz w:val="20"/>
        </w:rPr>
        <w:lastRenderedPageBreak/>
        <w:t>FUHRMAN: I think it where it has to go. They don`t have Epstein now, so they`re going to go with all the people they might have been able to flip, and have them testify against Epstein. Now, they`re going to have to pursue some of the most important ones and have the minor ones testify against him to prove the case.</w:t>
      </w:r>
    </w:p>
    <w:p w14:paraId="475F924B" w14:textId="77777777" w:rsidR="00054BF0" w:rsidRDefault="00000000">
      <w:pPr>
        <w:spacing w:before="200" w:line="260" w:lineRule="atLeast"/>
        <w:jc w:val="both"/>
      </w:pPr>
      <w:r>
        <w:rPr>
          <w:rFonts w:ascii="Arial" w:eastAsia="Arial" w:hAnsi="Arial" w:cs="Arial"/>
          <w:color w:val="000000"/>
          <w:sz w:val="20"/>
        </w:rPr>
        <w:t>But most of the crimes, if it wasn`t filmed or witnessed and you don`t have a victim, then you have sex trafficking but you really don`t have a strong case. They need someone on the inside.</w:t>
      </w:r>
    </w:p>
    <w:p w14:paraId="387C1A58" w14:textId="77777777" w:rsidR="00054BF0" w:rsidRDefault="00000000">
      <w:pPr>
        <w:spacing w:before="200" w:line="260" w:lineRule="atLeast"/>
        <w:jc w:val="both"/>
      </w:pPr>
      <w:r>
        <w:rPr>
          <w:rFonts w:ascii="Arial" w:eastAsia="Arial" w:hAnsi="Arial" w:cs="Arial"/>
          <w:color w:val="000000"/>
          <w:sz w:val="20"/>
        </w:rPr>
        <w:t>JARRETT: Yes, they need someone on the inside. Of course, they need the alleged accusers to come forward and say this happened to me, it was sexual assault, which is a horrendous, violent crime.</w:t>
      </w:r>
    </w:p>
    <w:p w14:paraId="0C0B664F" w14:textId="77777777" w:rsidR="00054BF0" w:rsidRDefault="00000000">
      <w:pPr>
        <w:spacing w:before="200" w:line="260" w:lineRule="atLeast"/>
        <w:jc w:val="both"/>
      </w:pPr>
      <w:r>
        <w:rPr>
          <w:rFonts w:ascii="Arial" w:eastAsia="Arial" w:hAnsi="Arial" w:cs="Arial"/>
          <w:color w:val="000000"/>
          <w:sz w:val="20"/>
        </w:rPr>
        <w:t>Mark, Manny, Emily, thank you for being with us.</w:t>
      </w:r>
    </w:p>
    <w:p w14:paraId="2C608AFD" w14:textId="77777777" w:rsidR="00054BF0" w:rsidRDefault="00000000">
      <w:pPr>
        <w:spacing w:before="200" w:line="260" w:lineRule="atLeast"/>
        <w:jc w:val="both"/>
      </w:pPr>
      <w:r>
        <w:rPr>
          <w:rFonts w:ascii="Arial" w:eastAsia="Arial" w:hAnsi="Arial" w:cs="Arial"/>
          <w:color w:val="000000"/>
          <w:sz w:val="20"/>
        </w:rPr>
        <w:t xml:space="preserve">Coming </w:t>
      </w:r>
      <w:r>
        <w:rPr>
          <w:rFonts w:ascii="Arial" w:eastAsia="Arial" w:hAnsi="Arial" w:cs="Arial"/>
          <w:b/>
          <w:i/>
          <w:color w:val="000000"/>
          <w:sz w:val="20"/>
          <w:u w:val="single"/>
        </w:rPr>
        <w:t>up</w:t>
      </w:r>
      <w:r>
        <w:rPr>
          <w:rFonts w:ascii="Arial" w:eastAsia="Arial" w:hAnsi="Arial" w:cs="Arial"/>
          <w:color w:val="000000"/>
          <w:sz w:val="20"/>
        </w:rPr>
        <w:t xml:space="preserve"> next, big breaking news our investigation into the investigators. Plus, we will recap Joe Biden`s bad week. Stay with us as this special edition of "Hannity" continues.</w:t>
      </w:r>
    </w:p>
    <w:p w14:paraId="0EC0DEC9" w14:textId="77777777" w:rsidR="00054BF0" w:rsidRDefault="00000000">
      <w:pPr>
        <w:spacing w:before="200" w:line="260" w:lineRule="atLeast"/>
        <w:jc w:val="both"/>
      </w:pPr>
      <w:r>
        <w:rPr>
          <w:rFonts w:ascii="Arial" w:eastAsia="Arial" w:hAnsi="Arial" w:cs="Arial"/>
          <w:color w:val="000000"/>
          <w:sz w:val="20"/>
        </w:rPr>
        <w:t>JARRETT: Welcome back to this "Hannity" special: Issues Facing America.</w:t>
      </w:r>
    </w:p>
    <w:p w14:paraId="182F7474" w14:textId="77777777" w:rsidR="00054BF0" w:rsidRDefault="00000000">
      <w:pPr>
        <w:spacing w:before="200" w:line="260" w:lineRule="atLeast"/>
        <w:jc w:val="both"/>
      </w:pPr>
      <w:r>
        <w:rPr>
          <w:rFonts w:ascii="Arial" w:eastAsia="Arial" w:hAnsi="Arial" w:cs="Arial"/>
          <w:color w:val="000000"/>
          <w:sz w:val="20"/>
        </w:rPr>
        <w:t xml:space="preserve">Big developments tonight in our quest to hold those who abuse power accountable, and to expose the deep state`s effort to undermine a duly elected president. And it all </w:t>
      </w:r>
      <w:r>
        <w:rPr>
          <w:rFonts w:ascii="Arial" w:eastAsia="Arial" w:hAnsi="Arial" w:cs="Arial"/>
          <w:b/>
          <w:i/>
          <w:color w:val="000000"/>
          <w:sz w:val="20"/>
          <w:u w:val="single"/>
        </w:rPr>
        <w:t>starts</w:t>
      </w:r>
      <w:r>
        <w:rPr>
          <w:rFonts w:ascii="Arial" w:eastAsia="Arial" w:hAnsi="Arial" w:cs="Arial"/>
          <w:color w:val="000000"/>
          <w:sz w:val="20"/>
        </w:rPr>
        <w:t xml:space="preserve"> with the rigged investigation into Hillary Clinton where we learned this week that FBI officials, quote, seemed indifferent to a possible hack by China of Hillary Clinton`s server, exposing the deep double standards inside the highest level of our government.</w:t>
      </w:r>
    </w:p>
    <w:p w14:paraId="6F9338CA" w14:textId="77777777" w:rsidR="00054BF0" w:rsidRDefault="00000000">
      <w:pPr>
        <w:spacing w:before="200" w:line="260" w:lineRule="atLeast"/>
        <w:jc w:val="both"/>
      </w:pPr>
      <w:r>
        <w:rPr>
          <w:rFonts w:ascii="Arial" w:eastAsia="Arial" w:hAnsi="Arial" w:cs="Arial"/>
          <w:color w:val="000000"/>
          <w:sz w:val="20"/>
        </w:rPr>
        <w:t>And get this -- according to a new Senate report, the same Clinton I.T. aide who defied a subpoena apparently admitted to the FBI that he created a cryptic Gmail account as a way to copy all of Hillary Clinton`s e-mails, including classified documents. That`s right, on a Google server, for everybody to hack. More on this just ahead.</w:t>
      </w:r>
    </w:p>
    <w:p w14:paraId="7DF6957D" w14:textId="77777777" w:rsidR="00054BF0" w:rsidRDefault="00000000">
      <w:pPr>
        <w:spacing w:before="200" w:line="260" w:lineRule="atLeast"/>
        <w:jc w:val="both"/>
      </w:pPr>
      <w:r>
        <w:rPr>
          <w:rFonts w:ascii="Arial" w:eastAsia="Arial" w:hAnsi="Arial" w:cs="Arial"/>
          <w:color w:val="000000"/>
          <w:sz w:val="20"/>
        </w:rPr>
        <w:t>Plus, we have some of the most convincing evidence yet of the information laundering scheme inside the Department of Justice involving Bruce and Nellie Ohr because new documents obtained by Judicial Watch show that Nellie Ohr, a former contractor for Fusion GPS, remember, being commissioned by the Hillary Clinton campaign was funneling anti-Trump materials through her husband, a top official, at the Department of Justice who had several secret meetings with dossier author Christopher Steele.</w:t>
      </w:r>
    </w:p>
    <w:p w14:paraId="77D1E334" w14:textId="77777777" w:rsidR="00054BF0" w:rsidRDefault="00000000">
      <w:pPr>
        <w:spacing w:before="200" w:line="260" w:lineRule="atLeast"/>
        <w:jc w:val="both"/>
      </w:pPr>
      <w:r>
        <w:rPr>
          <w:rFonts w:ascii="Arial" w:eastAsia="Arial" w:hAnsi="Arial" w:cs="Arial"/>
          <w:color w:val="000000"/>
          <w:sz w:val="20"/>
        </w:rPr>
        <w:t>And in some cases, Nellie Ohr didn`t need her husband to disseminate her seedy op research because other newly discovered documents show that Nellie Ohr was communicating with other top DOJ officials while she`s working with Fusion GPS. It`s really unbelievable.</w:t>
      </w:r>
    </w:p>
    <w:p w14:paraId="4A063967" w14:textId="77777777" w:rsidR="00054BF0" w:rsidRDefault="00000000">
      <w:pPr>
        <w:spacing w:before="200" w:line="260" w:lineRule="atLeast"/>
        <w:jc w:val="both"/>
      </w:pPr>
      <w:r>
        <w:rPr>
          <w:rFonts w:ascii="Arial" w:eastAsia="Arial" w:hAnsi="Arial" w:cs="Arial"/>
          <w:color w:val="000000"/>
          <w:sz w:val="20"/>
        </w:rPr>
        <w:t>Now, of course, this is all just one way that intelligence was weaponized against Team Trump. Don`t forget about the use of spies. Like this guy, alleged FBI in informant Stefan Halper -- I`m going to erase the term "alleged" because it`s pretty damn clear -- who is now claiming immunity affords him coverage in a defamation lawsuit against him, raising even more questions about the mysterious former Cambridge professor.</w:t>
      </w:r>
    </w:p>
    <w:p w14:paraId="6BD4F377" w14:textId="77777777" w:rsidR="00054BF0" w:rsidRDefault="00000000">
      <w:pPr>
        <w:spacing w:before="200" w:line="260" w:lineRule="atLeast"/>
        <w:jc w:val="both"/>
      </w:pPr>
      <w:r>
        <w:rPr>
          <w:rFonts w:ascii="Arial" w:eastAsia="Arial" w:hAnsi="Arial" w:cs="Arial"/>
          <w:color w:val="000000"/>
          <w:sz w:val="20"/>
        </w:rPr>
        <w:t>Joining me for reaction to all of this is the former Acting Attorney General Matt Whitaker.</w:t>
      </w:r>
    </w:p>
    <w:p w14:paraId="638D0E45" w14:textId="77777777" w:rsidR="00054BF0" w:rsidRDefault="00000000">
      <w:pPr>
        <w:spacing w:before="200" w:line="260" w:lineRule="atLeast"/>
        <w:jc w:val="both"/>
      </w:pPr>
      <w:r>
        <w:rPr>
          <w:rFonts w:ascii="Arial" w:eastAsia="Arial" w:hAnsi="Arial" w:cs="Arial"/>
          <w:color w:val="000000"/>
          <w:sz w:val="20"/>
        </w:rPr>
        <w:t>Matt, thanks for being with us.</w:t>
      </w:r>
    </w:p>
    <w:p w14:paraId="35695897" w14:textId="77777777" w:rsidR="00054BF0" w:rsidRDefault="00000000">
      <w:pPr>
        <w:spacing w:before="200" w:line="260" w:lineRule="atLeast"/>
        <w:jc w:val="both"/>
      </w:pPr>
      <w:r>
        <w:rPr>
          <w:rFonts w:ascii="Arial" w:eastAsia="Arial" w:hAnsi="Arial" w:cs="Arial"/>
          <w:color w:val="000000"/>
          <w:sz w:val="20"/>
        </w:rPr>
        <w:t xml:space="preserve">Let`s </w:t>
      </w:r>
      <w:r>
        <w:rPr>
          <w:rFonts w:ascii="Arial" w:eastAsia="Arial" w:hAnsi="Arial" w:cs="Arial"/>
          <w:b/>
          <w:i/>
          <w:color w:val="000000"/>
          <w:sz w:val="20"/>
          <w:u w:val="single"/>
        </w:rPr>
        <w:t>start</w:t>
      </w:r>
      <w:r>
        <w:rPr>
          <w:rFonts w:ascii="Arial" w:eastAsia="Arial" w:hAnsi="Arial" w:cs="Arial"/>
          <w:color w:val="000000"/>
          <w:sz w:val="20"/>
        </w:rPr>
        <w:t xml:space="preserve"> with Bruce and Nellie Ohr. Nellie Ohr told Congress the only person she gave the anti-Trump information to was her husband. Now, it turns out that at least three prosecutors were given the information by Nellie Ohr. There are 339 pages of e-mails showing it. That looks like lying to Congress, which is the last time I check and we can all check with Michael Cohen, that is a crime, isn`t it?</w:t>
      </w:r>
    </w:p>
    <w:p w14:paraId="2578656F" w14:textId="77777777" w:rsidR="00054BF0" w:rsidRDefault="00000000">
      <w:pPr>
        <w:spacing w:before="200" w:line="260" w:lineRule="atLeast"/>
        <w:jc w:val="both"/>
      </w:pPr>
      <w:r>
        <w:rPr>
          <w:rFonts w:ascii="Arial" w:eastAsia="Arial" w:hAnsi="Arial" w:cs="Arial"/>
          <w:color w:val="000000"/>
          <w:sz w:val="20"/>
        </w:rPr>
        <w:t xml:space="preserve">MATT WHITAKER, FORMER ACTING UNITED STATES ATTORNEY GENERAL: It is a crime. And the entire situation surrounding Bruce Ohr and Nellie Ohr was concerning to me when I was at the Department of Justice. This is a key thing that Mr. Durham is looking at, and the whole -- how did this investigation </w:t>
      </w:r>
      <w:r>
        <w:rPr>
          <w:rFonts w:ascii="Arial" w:eastAsia="Arial" w:hAnsi="Arial" w:cs="Arial"/>
          <w:b/>
          <w:i/>
          <w:color w:val="000000"/>
          <w:sz w:val="20"/>
          <w:u w:val="single"/>
        </w:rPr>
        <w:t>start</w:t>
      </w:r>
      <w:r>
        <w:rPr>
          <w:rFonts w:ascii="Arial" w:eastAsia="Arial" w:hAnsi="Arial" w:cs="Arial"/>
          <w:color w:val="000000"/>
          <w:sz w:val="20"/>
        </w:rPr>
        <w:t>. I know that Mr. Huber, U.S. attorney from Utah, is looking at the FISA abuse. I know the inspector general is looking at it.</w:t>
      </w:r>
    </w:p>
    <w:p w14:paraId="16D81F3B" w14:textId="77777777" w:rsidR="00054BF0" w:rsidRDefault="00000000">
      <w:pPr>
        <w:spacing w:before="200" w:line="260" w:lineRule="atLeast"/>
        <w:jc w:val="both"/>
      </w:pPr>
      <w:r>
        <w:rPr>
          <w:rFonts w:ascii="Arial" w:eastAsia="Arial" w:hAnsi="Arial" w:cs="Arial"/>
          <w:color w:val="000000"/>
          <w:sz w:val="20"/>
        </w:rPr>
        <w:lastRenderedPageBreak/>
        <w:t>I hope that we can get full transparency and all the answers to the questions, Gregg, because I know that you and others have been asking the questions and really receiving unsatisfactory answers. There was no doubt that Fusion GPS was trying to get the false dossier and the information it contained to anyone who could launch an investigation or otherwise throw a wrench in the campaign in 2016. We have to make sure it never happens again.</w:t>
      </w:r>
    </w:p>
    <w:p w14:paraId="7C32CDFB" w14:textId="77777777" w:rsidR="00054BF0" w:rsidRDefault="00000000">
      <w:pPr>
        <w:spacing w:before="200" w:line="260" w:lineRule="atLeast"/>
        <w:jc w:val="both"/>
      </w:pPr>
      <w:r>
        <w:rPr>
          <w:rFonts w:ascii="Arial" w:eastAsia="Arial" w:hAnsi="Arial" w:cs="Arial"/>
          <w:color w:val="000000"/>
          <w:sz w:val="20"/>
        </w:rPr>
        <w:t>JARRETT: How is it possible that Bruce Ohr is still employed at the Department of Justice? I mean, this guy is required under federal regulation to disclose financial benefits he was receiving. His wife is paid by fusion through Hillary Clinton`s campaign. It`s going to the Bruce and Nellie Ohr joint bank account. He didn`t disclose it. Nor did he seek recusal in the case. Isn`t that a firing offense?</w:t>
      </w:r>
    </w:p>
    <w:p w14:paraId="44151530" w14:textId="77777777" w:rsidR="00054BF0" w:rsidRDefault="00000000">
      <w:pPr>
        <w:spacing w:before="200" w:line="260" w:lineRule="atLeast"/>
        <w:jc w:val="both"/>
      </w:pPr>
      <w:r>
        <w:rPr>
          <w:rFonts w:ascii="Arial" w:eastAsia="Arial" w:hAnsi="Arial" w:cs="Arial"/>
          <w:color w:val="000000"/>
          <w:sz w:val="20"/>
        </w:rPr>
        <w:t>WHITAKER: Yes, their financial disclosure is very important as to the sources of your income and that is something that each federal employee fills out every year to look at conflicts of interest. And I think the process for employment for career officials, there is, it`s a long process in order to terminate someone.</w:t>
      </w:r>
    </w:p>
    <w:p w14:paraId="77DAA7C7" w14:textId="77777777" w:rsidR="00054BF0" w:rsidRDefault="00000000">
      <w:pPr>
        <w:spacing w:before="200" w:line="260" w:lineRule="atLeast"/>
        <w:jc w:val="both"/>
      </w:pPr>
      <w:r>
        <w:rPr>
          <w:rFonts w:ascii="Arial" w:eastAsia="Arial" w:hAnsi="Arial" w:cs="Arial"/>
          <w:color w:val="000000"/>
          <w:sz w:val="20"/>
        </w:rPr>
        <w:t>There has to be enough evidence and a record. So, the investigations by both the inspector general and the two attorneys I mentioned could be the basis for that. That is what happened in McCabe`s situation, where the inspector general decision drove the decision to terminate him. And I think in this case, once those reports come out, it could be basis for employment investigation.</w:t>
      </w:r>
    </w:p>
    <w:p w14:paraId="1A63793A" w14:textId="77777777" w:rsidR="00054BF0" w:rsidRDefault="00000000">
      <w:pPr>
        <w:spacing w:before="200" w:line="260" w:lineRule="atLeast"/>
        <w:jc w:val="both"/>
      </w:pPr>
      <w:r>
        <w:rPr>
          <w:rFonts w:ascii="Arial" w:eastAsia="Arial" w:hAnsi="Arial" w:cs="Arial"/>
          <w:color w:val="000000"/>
          <w:sz w:val="20"/>
        </w:rPr>
        <w:t>JARRETT: All right. Matt Whitaker, thank you for being with me.</w:t>
      </w:r>
    </w:p>
    <w:p w14:paraId="752E6A54" w14:textId="77777777" w:rsidR="00054BF0" w:rsidRDefault="00000000">
      <w:pPr>
        <w:spacing w:before="200" w:line="260" w:lineRule="atLeast"/>
        <w:jc w:val="both"/>
      </w:pPr>
      <w:r>
        <w:rPr>
          <w:rFonts w:ascii="Arial" w:eastAsia="Arial" w:hAnsi="Arial" w:cs="Arial"/>
          <w:color w:val="000000"/>
          <w:sz w:val="20"/>
        </w:rPr>
        <w:t>WHITAKER: Thank you, Gregg.</w:t>
      </w:r>
    </w:p>
    <w:p w14:paraId="10B20491" w14:textId="77777777" w:rsidR="00054BF0" w:rsidRDefault="00000000">
      <w:pPr>
        <w:spacing w:before="200" w:line="260" w:lineRule="atLeast"/>
        <w:jc w:val="both"/>
      </w:pPr>
      <w:r>
        <w:rPr>
          <w:rFonts w:ascii="Arial" w:eastAsia="Arial" w:hAnsi="Arial" w:cs="Arial"/>
          <w:color w:val="000000"/>
          <w:sz w:val="20"/>
        </w:rPr>
        <w:t>JARRETT: Joining me now for more reaction to all of this, former U.S. attorney Brett Tolman and Florida Congressman Matt Gaetz.</w:t>
      </w:r>
    </w:p>
    <w:p w14:paraId="1865DF75" w14:textId="77777777" w:rsidR="00054BF0" w:rsidRDefault="00000000">
      <w:pPr>
        <w:spacing w:before="200" w:line="260" w:lineRule="atLeast"/>
        <w:jc w:val="both"/>
      </w:pPr>
      <w:r>
        <w:rPr>
          <w:rFonts w:ascii="Arial" w:eastAsia="Arial" w:hAnsi="Arial" w:cs="Arial"/>
          <w:color w:val="000000"/>
          <w:sz w:val="20"/>
        </w:rPr>
        <w:t>I mean, there is already a criminal referral against Nellie Ohr and probably should be one against Bruce Ohr, but we`ll wait to see.</w:t>
      </w:r>
    </w:p>
    <w:p w14:paraId="173A4880" w14:textId="77777777" w:rsidR="00054BF0" w:rsidRDefault="00000000">
      <w:pPr>
        <w:spacing w:before="200" w:line="260" w:lineRule="atLeast"/>
        <w:jc w:val="both"/>
      </w:pPr>
      <w:r>
        <w:rPr>
          <w:rFonts w:ascii="Arial" w:eastAsia="Arial" w:hAnsi="Arial" w:cs="Arial"/>
          <w:color w:val="000000"/>
          <w:sz w:val="20"/>
        </w:rPr>
        <w:t>I want to tackle another suggest with you, Congressman Gaetz. We now learned you can read about in "The Daily Caller" that according to a Senate report, every single Hillary Clinton e-mail was sent secretly to a cryptic Gmail address, including classified documents. So, you`ve got potentially hundreds if not thousands of documents that are sensitive, if not classified, that can easily be hacked on a Google server.</w:t>
      </w:r>
    </w:p>
    <w:p w14:paraId="31FC046F" w14:textId="77777777" w:rsidR="00054BF0" w:rsidRDefault="00000000">
      <w:pPr>
        <w:spacing w:before="200" w:line="260" w:lineRule="atLeast"/>
        <w:jc w:val="both"/>
      </w:pPr>
      <w:r>
        <w:rPr>
          <w:rFonts w:ascii="Arial" w:eastAsia="Arial" w:hAnsi="Arial" w:cs="Arial"/>
          <w:color w:val="000000"/>
          <w:sz w:val="20"/>
        </w:rPr>
        <w:t>And an intelligent agent discovered it, notified Peter Strzok who was disinterested and dismissive. Congressman, how can that be?</w:t>
      </w:r>
    </w:p>
    <w:p w14:paraId="2C42D710" w14:textId="77777777" w:rsidR="00054BF0" w:rsidRDefault="00000000">
      <w:pPr>
        <w:spacing w:before="200" w:line="260" w:lineRule="atLeast"/>
        <w:jc w:val="both"/>
      </w:pPr>
      <w:r>
        <w:rPr>
          <w:rFonts w:ascii="Arial" w:eastAsia="Arial" w:hAnsi="Arial" w:cs="Arial"/>
          <w:color w:val="000000"/>
          <w:sz w:val="20"/>
        </w:rPr>
        <w:t>REP. MATT GAETZ (R-FL): The reason this is the case is because they all thought Hillary Clinton was going to win. Remember, Gregg, the Trump Russia allegations weren`t the crime. They were the cover-</w:t>
      </w:r>
      <w:r>
        <w:rPr>
          <w:rFonts w:ascii="Arial" w:eastAsia="Arial" w:hAnsi="Arial" w:cs="Arial"/>
          <w:b/>
          <w:i/>
          <w:color w:val="000000"/>
          <w:sz w:val="20"/>
          <w:u w:val="single"/>
        </w:rPr>
        <w:t>up</w:t>
      </w:r>
      <w:r>
        <w:rPr>
          <w:rFonts w:ascii="Arial" w:eastAsia="Arial" w:hAnsi="Arial" w:cs="Arial"/>
          <w:color w:val="000000"/>
          <w:sz w:val="20"/>
        </w:rPr>
        <w:t>, because a lot of the folks at the FBI and the Department of Justice thought they would be retaliated against by a future President Hillary Clinton if they aggressively pursued the facts and applied the law when it related to her unlawful conduct with e-mails and a sensitive and classified information.</w:t>
      </w:r>
    </w:p>
    <w:p w14:paraId="1B415842" w14:textId="77777777" w:rsidR="00054BF0" w:rsidRDefault="00000000">
      <w:pPr>
        <w:spacing w:before="200" w:line="260" w:lineRule="atLeast"/>
        <w:jc w:val="both"/>
      </w:pPr>
      <w:r>
        <w:rPr>
          <w:rFonts w:ascii="Arial" w:eastAsia="Arial" w:hAnsi="Arial" w:cs="Arial"/>
          <w:color w:val="000000"/>
          <w:sz w:val="20"/>
        </w:rPr>
        <w:t>So, the reason we`re getting this drip by drip is you because you have people, the FBI and the Department of Justice, who were paving a yellow brick road to exoneration for Hillary Clinton when they should have been doing their job. That is because James Comey curated an environment at the FBI where they weren`t really doing investigations, they were trying to shape public opinion. And when you see the bias that was so evident in the case of the people investigating Hillary Clinton, there is no excuse for the outcome that she wasn`t forced to account for the bad conduct.</w:t>
      </w:r>
    </w:p>
    <w:p w14:paraId="34E38E7B" w14:textId="77777777" w:rsidR="00054BF0" w:rsidRDefault="00000000">
      <w:pPr>
        <w:spacing w:before="200" w:line="260" w:lineRule="atLeast"/>
        <w:jc w:val="both"/>
      </w:pPr>
      <w:r>
        <w:rPr>
          <w:rFonts w:ascii="Arial" w:eastAsia="Arial" w:hAnsi="Arial" w:cs="Arial"/>
          <w:color w:val="000000"/>
          <w:sz w:val="20"/>
        </w:rPr>
        <w:t>JARRETT: You know, if you got classified documents on a Google server, Fred, I mean everybody has got it, including the Russians. And we now also know that the Chinese apparently hacked Hillary Clinton`s classified documents. And once again, the FBI is notified of this, and they didn`t care.</w:t>
      </w:r>
    </w:p>
    <w:p w14:paraId="18DDC87F" w14:textId="77777777" w:rsidR="00054BF0" w:rsidRDefault="00000000">
      <w:pPr>
        <w:spacing w:before="200" w:line="260" w:lineRule="atLeast"/>
        <w:jc w:val="both"/>
      </w:pPr>
      <w:r>
        <w:rPr>
          <w:rFonts w:ascii="Arial" w:eastAsia="Arial" w:hAnsi="Arial" w:cs="Arial"/>
          <w:color w:val="000000"/>
          <w:sz w:val="20"/>
        </w:rPr>
        <w:t>Isn`t that just the quintessential malfeasance of the FBI?</w:t>
      </w:r>
    </w:p>
    <w:p w14:paraId="0F617260" w14:textId="77777777" w:rsidR="00054BF0" w:rsidRDefault="00000000">
      <w:pPr>
        <w:spacing w:before="200" w:line="260" w:lineRule="atLeast"/>
        <w:jc w:val="both"/>
      </w:pPr>
      <w:r>
        <w:rPr>
          <w:rFonts w:ascii="Arial" w:eastAsia="Arial" w:hAnsi="Arial" w:cs="Arial"/>
          <w:color w:val="000000"/>
          <w:sz w:val="20"/>
        </w:rPr>
        <w:lastRenderedPageBreak/>
        <w:t>BRETT TOLMAN, FORMER U.S. ATTORNEY: Well, I know a hundred agents and executives of the FBI that would have reacted differently than Peter Strzok did, and would have placed this at the top of their priority list. The bottom line on classified information, think about this, Gregg -- taking any classified information and mishandling it to summarize what our laws state, mishandling of classified information is a crime in this country. You know perhaps the only one that`s a bit relieved tonight is Hillary Clinton, because the story doesn`t seem to come back to focus on the fact that she has a private server. And these emails are on a private server.</w:t>
      </w:r>
    </w:p>
    <w:p w14:paraId="286D963B" w14:textId="77777777" w:rsidR="00054BF0" w:rsidRDefault="00000000">
      <w:pPr>
        <w:spacing w:before="200" w:line="260" w:lineRule="atLeast"/>
        <w:jc w:val="both"/>
      </w:pPr>
      <w:r>
        <w:rPr>
          <w:rFonts w:ascii="Arial" w:eastAsia="Arial" w:hAnsi="Arial" w:cs="Arial"/>
          <w:color w:val="000000"/>
          <w:sz w:val="20"/>
        </w:rPr>
        <w:t xml:space="preserve">And those emails end </w:t>
      </w:r>
      <w:r>
        <w:rPr>
          <w:rFonts w:ascii="Arial" w:eastAsia="Arial" w:hAnsi="Arial" w:cs="Arial"/>
          <w:b/>
          <w:i/>
          <w:color w:val="000000"/>
          <w:sz w:val="20"/>
          <w:u w:val="single"/>
        </w:rPr>
        <w:t>up</w:t>
      </w:r>
      <w:r>
        <w:rPr>
          <w:rFonts w:ascii="Arial" w:eastAsia="Arial" w:hAnsi="Arial" w:cs="Arial"/>
          <w:color w:val="000000"/>
          <w:sz w:val="20"/>
        </w:rPr>
        <w:t xml:space="preserve"> going to more public place by her instruction, you have to believe, it`s by her instruction. She hired the company and they put it on that to that public place for anyone to potentially see it and let`s face it, right now and back then China is absolutely one of our top threats to this country`s National Security.</w:t>
      </w:r>
    </w:p>
    <w:p w14:paraId="0F29289B" w14:textId="77777777" w:rsidR="00054BF0" w:rsidRDefault="00000000">
      <w:pPr>
        <w:spacing w:before="200" w:line="260" w:lineRule="atLeast"/>
        <w:jc w:val="both"/>
      </w:pPr>
      <w:r>
        <w:rPr>
          <w:rFonts w:ascii="Arial" w:eastAsia="Arial" w:hAnsi="Arial" w:cs="Arial"/>
          <w:color w:val="000000"/>
          <w:sz w:val="20"/>
        </w:rPr>
        <w:t>JARRETT: Paul Kimbata (ph) is the IT guy worked for Hillary Clinton and unbelievably Congressman, he got immunity from the FBI in exchange for nothing which in my almost 40 years as a lawyer, I`ve never heard of that, never seen that before, he gets immunity from prosecution. And now, he is refusing to even cooperate or talk to the DOJ Inspector General.</w:t>
      </w:r>
    </w:p>
    <w:p w14:paraId="39078D9D" w14:textId="77777777" w:rsidR="00054BF0" w:rsidRDefault="00000000">
      <w:pPr>
        <w:spacing w:before="200" w:line="260" w:lineRule="atLeast"/>
        <w:jc w:val="both"/>
      </w:pPr>
      <w:r>
        <w:rPr>
          <w:rFonts w:ascii="Arial" w:eastAsia="Arial" w:hAnsi="Arial" w:cs="Arial"/>
          <w:color w:val="000000"/>
          <w:sz w:val="20"/>
        </w:rPr>
        <w:t>REP. MARK GAETZ (R-FL): Well, when we in the Congress saw the immunity deals that were given not only in this instance but to a variety of other Hillary Clinton Associates, you wonder what was really bargained for, an immunity deal is in exchange for evidence that leads to a more high-profile or high priority target that the government has in a particular case.</w:t>
      </w:r>
    </w:p>
    <w:p w14:paraId="71D08890" w14:textId="77777777" w:rsidR="00054BF0" w:rsidRDefault="00000000">
      <w:pPr>
        <w:spacing w:before="200" w:line="260" w:lineRule="atLeast"/>
        <w:jc w:val="both"/>
      </w:pPr>
      <w:r>
        <w:rPr>
          <w:rFonts w:ascii="Arial" w:eastAsia="Arial" w:hAnsi="Arial" w:cs="Arial"/>
          <w:color w:val="000000"/>
          <w:sz w:val="20"/>
        </w:rPr>
        <w:t>But you saw blanket immunity deals given to people that didn`t create more of an incentive for them to give information, it created less of an incentive as you`re seeing right now and I think that it was really drawn into critique by the Inspector General when he analyzed the bias that existed here and really the extent to which that bias could have impacted the outcome in the case.</w:t>
      </w:r>
    </w:p>
    <w:p w14:paraId="6813F5EB" w14:textId="77777777" w:rsidR="00054BF0" w:rsidRDefault="00000000">
      <w:pPr>
        <w:spacing w:before="200" w:line="260" w:lineRule="atLeast"/>
        <w:jc w:val="both"/>
      </w:pPr>
      <w:r>
        <w:rPr>
          <w:rFonts w:ascii="Arial" w:eastAsia="Arial" w:hAnsi="Arial" w:cs="Arial"/>
          <w:color w:val="000000"/>
          <w:sz w:val="20"/>
        </w:rPr>
        <w:t>JARRETT: And Brett, I`ll let you have the last word, I`ve only got about 30 seconds left. But this is crooked as the days long, isn`t it?</w:t>
      </w:r>
    </w:p>
    <w:p w14:paraId="60CE3114" w14:textId="77777777" w:rsidR="00054BF0" w:rsidRDefault="00000000">
      <w:pPr>
        <w:spacing w:before="200" w:line="260" w:lineRule="atLeast"/>
        <w:jc w:val="both"/>
      </w:pPr>
      <w:r>
        <w:rPr>
          <w:rFonts w:ascii="Arial" w:eastAsia="Arial" w:hAnsi="Arial" w:cs="Arial"/>
          <w:color w:val="000000"/>
          <w:sz w:val="20"/>
        </w:rPr>
        <w:t xml:space="preserve">TOLMAN: Well, it is. In 20 years of practicing Federal Criminal Law. I was never able to get blanket immunity, not for a cooperator that I wanted DOJ to give immunity, not for when I became a defense attorney, not for any of my clients. They`ve got limited immunity and they always had to give something </w:t>
      </w:r>
      <w:r>
        <w:rPr>
          <w:rFonts w:ascii="Arial" w:eastAsia="Arial" w:hAnsi="Arial" w:cs="Arial"/>
          <w:b/>
          <w:i/>
          <w:color w:val="000000"/>
          <w:sz w:val="20"/>
          <w:u w:val="single"/>
        </w:rPr>
        <w:t>up</w:t>
      </w:r>
      <w:r>
        <w:rPr>
          <w:rFonts w:ascii="Arial" w:eastAsia="Arial" w:hAnsi="Arial" w:cs="Arial"/>
          <w:color w:val="000000"/>
          <w:sz w:val="20"/>
        </w:rPr>
        <w:t xml:space="preserve"> that was substantial. What we have here is </w:t>
      </w:r>
      <w:r>
        <w:rPr>
          <w:rFonts w:ascii="Arial" w:eastAsia="Arial" w:hAnsi="Arial" w:cs="Arial"/>
          <w:b/>
          <w:i/>
          <w:color w:val="000000"/>
          <w:sz w:val="20"/>
          <w:u w:val="single"/>
        </w:rPr>
        <w:t>failure</w:t>
      </w:r>
      <w:r>
        <w:rPr>
          <w:rFonts w:ascii="Arial" w:eastAsia="Arial" w:hAnsi="Arial" w:cs="Arial"/>
          <w:color w:val="000000"/>
          <w:sz w:val="20"/>
        </w:rPr>
        <w:t xml:space="preserve"> that </w:t>
      </w:r>
      <w:r>
        <w:rPr>
          <w:rFonts w:ascii="Arial" w:eastAsia="Arial" w:hAnsi="Arial" w:cs="Arial"/>
          <w:b/>
          <w:i/>
          <w:color w:val="000000"/>
          <w:sz w:val="20"/>
          <w:u w:val="single"/>
        </w:rPr>
        <w:t>started</w:t>
      </w:r>
      <w:r>
        <w:rPr>
          <w:rFonts w:ascii="Arial" w:eastAsia="Arial" w:hAnsi="Arial" w:cs="Arial"/>
          <w:color w:val="000000"/>
          <w:sz w:val="20"/>
        </w:rPr>
        <w:t xml:space="preserve"> to percolate </w:t>
      </w:r>
      <w:r>
        <w:rPr>
          <w:rFonts w:ascii="Arial" w:eastAsia="Arial" w:hAnsi="Arial" w:cs="Arial"/>
          <w:b/>
          <w:i/>
          <w:color w:val="000000"/>
          <w:sz w:val="20"/>
          <w:u w:val="single"/>
        </w:rPr>
        <w:t>up</w:t>
      </w:r>
      <w:r>
        <w:rPr>
          <w:rFonts w:ascii="Arial" w:eastAsia="Arial" w:hAnsi="Arial" w:cs="Arial"/>
          <w:color w:val="000000"/>
          <w:sz w:val="20"/>
        </w:rPr>
        <w:t xml:space="preserve"> at multiple levels and it`s just the beginning.</w:t>
      </w:r>
    </w:p>
    <w:p w14:paraId="613DBE01" w14:textId="77777777" w:rsidR="00054BF0" w:rsidRDefault="00000000">
      <w:pPr>
        <w:spacing w:before="200" w:line="260" w:lineRule="atLeast"/>
        <w:jc w:val="both"/>
      </w:pPr>
      <w:r>
        <w:rPr>
          <w:rFonts w:ascii="Arial" w:eastAsia="Arial" w:hAnsi="Arial" w:cs="Arial"/>
          <w:color w:val="000000"/>
          <w:sz w:val="20"/>
        </w:rPr>
        <w:t>JARRETT: Yes. Well, this was James Comey`s FBI, the sanctomy is vainglorious. Former FBI Director. Gentlemen, thank you very much for being with us, Congressman Gaetz, Brett Tolman. Thank you so much.</w:t>
      </w:r>
    </w:p>
    <w:p w14:paraId="18AF223A" w14:textId="77777777" w:rsidR="00054BF0" w:rsidRDefault="00000000">
      <w:pPr>
        <w:spacing w:before="200" w:line="260" w:lineRule="atLeast"/>
        <w:jc w:val="both"/>
      </w:pPr>
      <w:r>
        <w:rPr>
          <w:rFonts w:ascii="Arial" w:eastAsia="Arial" w:hAnsi="Arial" w:cs="Arial"/>
          <w:color w:val="000000"/>
          <w:sz w:val="20"/>
        </w:rPr>
        <w:t>GAETZ: Thank you.</w:t>
      </w:r>
    </w:p>
    <w:p w14:paraId="11C0DA33" w14:textId="77777777" w:rsidR="00054BF0" w:rsidRDefault="00000000">
      <w:pPr>
        <w:spacing w:before="200" w:line="260" w:lineRule="atLeast"/>
        <w:jc w:val="both"/>
      </w:pPr>
      <w:r>
        <w:rPr>
          <w:rFonts w:ascii="Arial" w:eastAsia="Arial" w:hAnsi="Arial" w:cs="Arial"/>
          <w:color w:val="000000"/>
          <w:sz w:val="20"/>
        </w:rPr>
        <w:t xml:space="preserve">JARRETT: Coming </w:t>
      </w:r>
      <w:r>
        <w:rPr>
          <w:rFonts w:ascii="Arial" w:eastAsia="Arial" w:hAnsi="Arial" w:cs="Arial"/>
          <w:b/>
          <w:i/>
          <w:color w:val="000000"/>
          <w:sz w:val="20"/>
          <w:u w:val="single"/>
        </w:rPr>
        <w:t>up</w:t>
      </w:r>
      <w:r>
        <w:rPr>
          <w:rFonts w:ascii="Arial" w:eastAsia="Arial" w:hAnsi="Arial" w:cs="Arial"/>
          <w:color w:val="000000"/>
          <w:sz w:val="20"/>
        </w:rPr>
        <w:t xml:space="preserve"> next, you can run but you can`t hide. The Biden campaign is allegedly considering scaling back his campaign in order to avoid putting his foot in his mouth. Stay with us as this special edition of Hannity continue. Don`t go away.</w:t>
      </w:r>
    </w:p>
    <w:p w14:paraId="2E7F82D0" w14:textId="77777777" w:rsidR="00054BF0" w:rsidRDefault="00000000">
      <w:pPr>
        <w:spacing w:before="200" w:line="260" w:lineRule="atLeast"/>
        <w:jc w:val="both"/>
      </w:pPr>
      <w:r>
        <w:rPr>
          <w:rFonts w:ascii="Arial" w:eastAsia="Arial" w:hAnsi="Arial" w:cs="Arial"/>
          <w:color w:val="000000"/>
          <w:sz w:val="20"/>
        </w:rPr>
        <w:t>JARRETT: Welcome back to the Hannity Special. President Trump at his rally in New Hampshire last night calling out Joe Biden`s campaign over talks that they might dial back his appearances because of the former VP`s incessant gaffes. Watch this.</w:t>
      </w:r>
    </w:p>
    <w:p w14:paraId="6CCA2673" w14:textId="77777777" w:rsidR="00054BF0" w:rsidRDefault="00000000">
      <w:pPr>
        <w:spacing w:before="200" w:line="260" w:lineRule="atLeast"/>
        <w:jc w:val="both"/>
      </w:pPr>
      <w:r>
        <w:rPr>
          <w:rFonts w:ascii="Arial" w:eastAsia="Arial" w:hAnsi="Arial" w:cs="Arial"/>
          <w:color w:val="000000"/>
          <w:sz w:val="20"/>
        </w:rPr>
        <w:t>(BEGIN VIDEO CLIP)</w:t>
      </w:r>
    </w:p>
    <w:p w14:paraId="2231EF28" w14:textId="77777777" w:rsidR="00054BF0" w:rsidRDefault="00000000">
      <w:pPr>
        <w:spacing w:before="200" w:line="260" w:lineRule="atLeast"/>
        <w:jc w:val="both"/>
      </w:pPr>
      <w:r>
        <w:rPr>
          <w:rFonts w:ascii="Arial" w:eastAsia="Arial" w:hAnsi="Arial" w:cs="Arial"/>
          <w:color w:val="000000"/>
          <w:sz w:val="20"/>
        </w:rPr>
        <w:t>DONALD TRUMP, PRESIDENT, UNITED STATES OF AMERICA: But I don`t know, I think Sleepy Joe maybe able to limp across the finish line. But today, they announced that they`re going to cut way back on his appearance because he`s such a disaster, they`re going to have fewer appearances, you`ve heard that, right. This is sure, they`re going to cut way back on his appearances, can you believe it?</w:t>
      </w:r>
    </w:p>
    <w:p w14:paraId="70B0A23A" w14:textId="77777777" w:rsidR="00054BF0" w:rsidRDefault="00000000">
      <w:pPr>
        <w:spacing w:before="200" w:line="260" w:lineRule="atLeast"/>
        <w:jc w:val="both"/>
      </w:pPr>
      <w:r>
        <w:rPr>
          <w:rFonts w:ascii="Arial" w:eastAsia="Arial" w:hAnsi="Arial" w:cs="Arial"/>
          <w:color w:val="000000"/>
          <w:sz w:val="20"/>
        </w:rPr>
        <w:t>If I even did that, it would be over.</w:t>
      </w:r>
    </w:p>
    <w:p w14:paraId="434C7CF6" w14:textId="77777777" w:rsidR="00054BF0" w:rsidRDefault="00000000">
      <w:pPr>
        <w:spacing w:before="200" w:line="260" w:lineRule="atLeast"/>
        <w:jc w:val="both"/>
      </w:pPr>
      <w:r>
        <w:rPr>
          <w:rFonts w:ascii="Arial" w:eastAsia="Arial" w:hAnsi="Arial" w:cs="Arial"/>
          <w:color w:val="000000"/>
          <w:sz w:val="20"/>
        </w:rPr>
        <w:lastRenderedPageBreak/>
        <w:t>(END VIDEO CLIP)</w:t>
      </w:r>
    </w:p>
    <w:p w14:paraId="6862C6CD" w14:textId="77777777" w:rsidR="00054BF0" w:rsidRDefault="00000000">
      <w:pPr>
        <w:spacing w:before="200" w:line="260" w:lineRule="atLeast"/>
        <w:jc w:val="both"/>
      </w:pPr>
      <w:r>
        <w:rPr>
          <w:rFonts w:ascii="Arial" w:eastAsia="Arial" w:hAnsi="Arial" w:cs="Arial"/>
          <w:color w:val="000000"/>
          <w:sz w:val="20"/>
        </w:rPr>
        <w:t>JARRETT: That`s not all. The New York Times is reporting today that in a private conversation earlier this year, Obama even discouraged Biden from running. The report says, Obama told Biden "you don`t have to do this, Joe, you really don`t." But that`s not all, the report goes on to say that Obama told Biden`s adviser back in March that they can`t let Biden "embarrass himself" or "damage his legacy."</w:t>
      </w:r>
    </w:p>
    <w:p w14:paraId="307193B8" w14:textId="77777777" w:rsidR="00054BF0" w:rsidRDefault="00000000">
      <w:pPr>
        <w:spacing w:before="200" w:line="260" w:lineRule="atLeast"/>
        <w:jc w:val="both"/>
      </w:pPr>
      <w:r>
        <w:rPr>
          <w:rFonts w:ascii="Arial" w:eastAsia="Arial" w:hAnsi="Arial" w:cs="Arial"/>
          <w:color w:val="000000"/>
          <w:sz w:val="20"/>
        </w:rPr>
        <w:t>Joining us now for reactions, CEO of The New Voice, Herman Cain. Mr. Cain always good to talk to you. Is hiding from voters a sound campaign strategy?</w:t>
      </w:r>
    </w:p>
    <w:p w14:paraId="103CCD3E" w14:textId="77777777" w:rsidR="00054BF0" w:rsidRDefault="00000000">
      <w:pPr>
        <w:spacing w:before="200" w:line="260" w:lineRule="atLeast"/>
        <w:jc w:val="both"/>
      </w:pPr>
      <w:r>
        <w:rPr>
          <w:rFonts w:ascii="Arial" w:eastAsia="Arial" w:hAnsi="Arial" w:cs="Arial"/>
          <w:color w:val="000000"/>
          <w:sz w:val="20"/>
        </w:rPr>
        <w:t>HERMAN CAIN, THE NEW VOICE CEO: No. As you said earlier, you can run but you can`t hide. You are not going to win an election by the people not being able to hear and see you. So, it might be a good strategy to avoid some future gaffes by Joe Biden, but it`s not a good strategy in order to endear voters to vote for you.</w:t>
      </w:r>
    </w:p>
    <w:p w14:paraId="079A7D5F" w14:textId="77777777" w:rsidR="00054BF0" w:rsidRDefault="00000000">
      <w:pPr>
        <w:spacing w:before="200" w:line="260" w:lineRule="atLeast"/>
        <w:jc w:val="both"/>
      </w:pPr>
      <w:r>
        <w:rPr>
          <w:rFonts w:ascii="Arial" w:eastAsia="Arial" w:hAnsi="Arial" w:cs="Arial"/>
          <w:color w:val="000000"/>
          <w:sz w:val="20"/>
        </w:rPr>
        <w:t>So, no, that is not a good strategy.</w:t>
      </w:r>
    </w:p>
    <w:p w14:paraId="4CC861AE" w14:textId="77777777" w:rsidR="00054BF0" w:rsidRDefault="00000000">
      <w:pPr>
        <w:spacing w:before="200" w:line="260" w:lineRule="atLeast"/>
        <w:jc w:val="both"/>
      </w:pPr>
      <w:r>
        <w:rPr>
          <w:rFonts w:ascii="Arial" w:eastAsia="Arial" w:hAnsi="Arial" w:cs="Arial"/>
          <w:color w:val="000000"/>
          <w:sz w:val="20"/>
        </w:rPr>
        <w:t>JARRETT: Well, I mean there is no getting around the fact that Joe Biden has a reputation of being a gaffe machine.</w:t>
      </w:r>
    </w:p>
    <w:p w14:paraId="3E582495" w14:textId="77777777" w:rsidR="00054BF0" w:rsidRDefault="00000000">
      <w:pPr>
        <w:spacing w:before="200" w:line="260" w:lineRule="atLeast"/>
        <w:jc w:val="both"/>
      </w:pPr>
      <w:r>
        <w:rPr>
          <w:rFonts w:ascii="Arial" w:eastAsia="Arial" w:hAnsi="Arial" w:cs="Arial"/>
          <w:color w:val="000000"/>
          <w:sz w:val="20"/>
        </w:rPr>
        <w:t>CAIN: Right.</w:t>
      </w:r>
    </w:p>
    <w:p w14:paraId="56802FD6" w14:textId="77777777" w:rsidR="00054BF0" w:rsidRDefault="00000000">
      <w:pPr>
        <w:spacing w:before="200" w:line="260" w:lineRule="atLeast"/>
        <w:jc w:val="both"/>
      </w:pPr>
      <w:r>
        <w:rPr>
          <w:rFonts w:ascii="Arial" w:eastAsia="Arial" w:hAnsi="Arial" w:cs="Arial"/>
          <w:color w:val="000000"/>
          <w:sz w:val="20"/>
        </w:rPr>
        <w:t xml:space="preserve">JARRETT: Which may account for why he was inveterate plagiarist until he got caught of course and it`s tempting to say, this is a guy who is not </w:t>
      </w:r>
      <w:r>
        <w:rPr>
          <w:rFonts w:ascii="Arial" w:eastAsia="Arial" w:hAnsi="Arial" w:cs="Arial"/>
          <w:b/>
          <w:i/>
          <w:color w:val="000000"/>
          <w:sz w:val="20"/>
          <w:u w:val="single"/>
        </w:rPr>
        <w:t>up</w:t>
      </w:r>
      <w:r>
        <w:rPr>
          <w:rFonts w:ascii="Arial" w:eastAsia="Arial" w:hAnsi="Arial" w:cs="Arial"/>
          <w:color w:val="000000"/>
          <w:sz w:val="20"/>
        </w:rPr>
        <w:t xml:space="preserve"> for the intellectual challenge of either a campaign or the presidency. What do you think?</w:t>
      </w:r>
    </w:p>
    <w:p w14:paraId="0EB7F811" w14:textId="77777777" w:rsidR="00054BF0" w:rsidRDefault="00000000">
      <w:pPr>
        <w:spacing w:before="200" w:line="260" w:lineRule="atLeast"/>
        <w:jc w:val="both"/>
      </w:pPr>
      <w:r>
        <w:rPr>
          <w:rFonts w:ascii="Arial" w:eastAsia="Arial" w:hAnsi="Arial" w:cs="Arial"/>
          <w:color w:val="000000"/>
          <w:sz w:val="20"/>
        </w:rPr>
        <w:t>CAIN: I happen to agree with you. And if he makes it to the nomination, he will embarrass himself and he will embarrass the Democrat Party. Let`s face it, he is not sharp enough to be in this race.</w:t>
      </w:r>
    </w:p>
    <w:p w14:paraId="42B4570D" w14:textId="77777777" w:rsidR="00054BF0" w:rsidRDefault="00000000">
      <w:pPr>
        <w:spacing w:before="200" w:line="260" w:lineRule="atLeast"/>
        <w:jc w:val="both"/>
      </w:pPr>
      <w:r>
        <w:rPr>
          <w:rFonts w:ascii="Arial" w:eastAsia="Arial" w:hAnsi="Arial" w:cs="Arial"/>
          <w:color w:val="000000"/>
          <w:sz w:val="20"/>
        </w:rPr>
        <w:t>The only reason Joe Biden is leading in the polls amongst the Democratic presidential wannabes is because he`s the lesser of all of the Socialist evils. That`s why.</w:t>
      </w:r>
    </w:p>
    <w:p w14:paraId="1B7C7461" w14:textId="77777777" w:rsidR="00054BF0" w:rsidRDefault="00000000">
      <w:pPr>
        <w:spacing w:before="200" w:line="260" w:lineRule="atLeast"/>
        <w:jc w:val="both"/>
      </w:pPr>
      <w:r>
        <w:rPr>
          <w:rFonts w:ascii="Arial" w:eastAsia="Arial" w:hAnsi="Arial" w:cs="Arial"/>
          <w:color w:val="000000"/>
          <w:sz w:val="20"/>
        </w:rPr>
        <w:t>Most normal Democrats if there are such a thing as normal Democrats, they would rather go with somebody like Joe who is more normal that`s going to lead us back to where we were that one of those socialist that`s out there. Every one of the other candidates, every one of them have basically proposed socialist ideas.</w:t>
      </w:r>
    </w:p>
    <w:p w14:paraId="10895ADF" w14:textId="77777777" w:rsidR="00054BF0" w:rsidRDefault="00000000">
      <w:pPr>
        <w:spacing w:before="200" w:line="260" w:lineRule="atLeast"/>
        <w:jc w:val="both"/>
      </w:pPr>
      <w:r>
        <w:rPr>
          <w:rFonts w:ascii="Arial" w:eastAsia="Arial" w:hAnsi="Arial" w:cs="Arial"/>
          <w:color w:val="000000"/>
          <w:sz w:val="20"/>
        </w:rPr>
        <w:t>So, that`s why he is still leading in the polls. So, they think that if they keep him out of sight, he`s going to continue to leave in the folds.</w:t>
      </w:r>
    </w:p>
    <w:p w14:paraId="006FE83E" w14:textId="77777777" w:rsidR="00054BF0" w:rsidRDefault="00000000">
      <w:pPr>
        <w:spacing w:before="200" w:line="260" w:lineRule="atLeast"/>
        <w:jc w:val="both"/>
      </w:pPr>
      <w:r>
        <w:rPr>
          <w:rFonts w:ascii="Arial" w:eastAsia="Arial" w:hAnsi="Arial" w:cs="Arial"/>
          <w:color w:val="000000"/>
          <w:sz w:val="20"/>
        </w:rPr>
        <w:t>JARRETT: Yes, well I`ve got news for him, he`s not doing so well these days in Iowa, not of course who is the first contest and if Elizabeth Warren wins there as one poll indicates. That`s finito for Joe Biden. Herman Cain, thank you.</w:t>
      </w:r>
    </w:p>
    <w:p w14:paraId="602D5416" w14:textId="77777777" w:rsidR="00054BF0" w:rsidRDefault="00000000">
      <w:pPr>
        <w:spacing w:before="200" w:line="260" w:lineRule="atLeast"/>
        <w:jc w:val="both"/>
      </w:pPr>
      <w:r>
        <w:rPr>
          <w:rFonts w:ascii="Arial" w:eastAsia="Arial" w:hAnsi="Arial" w:cs="Arial"/>
          <w:color w:val="000000"/>
          <w:sz w:val="20"/>
        </w:rPr>
        <w:t>CAIN: Right.</w:t>
      </w:r>
    </w:p>
    <w:p w14:paraId="45FFA75C" w14:textId="77777777" w:rsidR="00054BF0" w:rsidRDefault="00000000">
      <w:pPr>
        <w:spacing w:before="200" w:line="260" w:lineRule="atLeast"/>
        <w:jc w:val="both"/>
      </w:pPr>
      <w:r>
        <w:rPr>
          <w:rFonts w:ascii="Arial" w:eastAsia="Arial" w:hAnsi="Arial" w:cs="Arial"/>
          <w:color w:val="000000"/>
          <w:sz w:val="20"/>
        </w:rPr>
        <w:t>JARRETT: So much for being with us. Good to see you.</w:t>
      </w:r>
    </w:p>
    <w:p w14:paraId="7BC451C7" w14:textId="77777777" w:rsidR="00054BF0" w:rsidRDefault="00000000">
      <w:pPr>
        <w:spacing w:before="200" w:line="260" w:lineRule="atLeast"/>
        <w:jc w:val="both"/>
      </w:pPr>
      <w:r>
        <w:rPr>
          <w:rFonts w:ascii="Arial" w:eastAsia="Arial" w:hAnsi="Arial" w:cs="Arial"/>
          <w:color w:val="000000"/>
          <w:sz w:val="20"/>
        </w:rPr>
        <w:t>CAIN: Thanks, Gregg.</w:t>
      </w:r>
    </w:p>
    <w:p w14:paraId="35824BEF" w14:textId="77777777" w:rsidR="00054BF0" w:rsidRDefault="00000000">
      <w:pPr>
        <w:spacing w:before="200" w:line="260" w:lineRule="atLeast"/>
        <w:jc w:val="both"/>
      </w:pPr>
      <w:r>
        <w:rPr>
          <w:rFonts w:ascii="Arial" w:eastAsia="Arial" w:hAnsi="Arial" w:cs="Arial"/>
          <w:color w:val="000000"/>
          <w:sz w:val="20"/>
        </w:rPr>
        <w:t>JARRETT: Joining us now with more reaction is the author of the book, Still Winning, Fox News Contributor Charlie Hurt. Also, with us is former Clinton Pollster, Fox News Contributor Doug Schoen. Good to see you both.</w:t>
      </w:r>
    </w:p>
    <w:p w14:paraId="62A7E76A" w14:textId="77777777" w:rsidR="00054BF0" w:rsidRDefault="00000000">
      <w:pPr>
        <w:spacing w:before="200" w:line="260" w:lineRule="atLeast"/>
        <w:jc w:val="both"/>
      </w:pPr>
      <w:r>
        <w:rPr>
          <w:rFonts w:ascii="Arial" w:eastAsia="Arial" w:hAnsi="Arial" w:cs="Arial"/>
          <w:color w:val="000000"/>
          <w:sz w:val="20"/>
        </w:rPr>
        <w:t>DOUG SCHOEN, FOX NEWS CONTRIBUTOR: Good to see you.</w:t>
      </w:r>
    </w:p>
    <w:p w14:paraId="5E65B44F" w14:textId="77777777" w:rsidR="00054BF0" w:rsidRDefault="00000000">
      <w:pPr>
        <w:spacing w:before="200" w:line="260" w:lineRule="atLeast"/>
        <w:jc w:val="both"/>
      </w:pPr>
      <w:r>
        <w:rPr>
          <w:rFonts w:ascii="Arial" w:eastAsia="Arial" w:hAnsi="Arial" w:cs="Arial"/>
          <w:color w:val="000000"/>
          <w:sz w:val="20"/>
        </w:rPr>
        <w:t>JARRETT: When the former President of the United States Barack Obama says, you don`t need to do this.</w:t>
      </w:r>
    </w:p>
    <w:p w14:paraId="7EC31CA1" w14:textId="77777777" w:rsidR="00054BF0" w:rsidRDefault="00000000">
      <w:pPr>
        <w:spacing w:before="200" w:line="260" w:lineRule="atLeast"/>
        <w:jc w:val="both"/>
      </w:pPr>
      <w:r>
        <w:rPr>
          <w:rFonts w:ascii="Arial" w:eastAsia="Arial" w:hAnsi="Arial" w:cs="Arial"/>
          <w:color w:val="000000"/>
          <w:sz w:val="20"/>
        </w:rPr>
        <w:t>SCHOEN: Right.</w:t>
      </w:r>
    </w:p>
    <w:p w14:paraId="1E2E35D7" w14:textId="77777777" w:rsidR="00054BF0" w:rsidRDefault="00000000">
      <w:pPr>
        <w:spacing w:before="200" w:line="260" w:lineRule="atLeast"/>
        <w:jc w:val="both"/>
      </w:pPr>
      <w:r>
        <w:rPr>
          <w:rFonts w:ascii="Arial" w:eastAsia="Arial" w:hAnsi="Arial" w:cs="Arial"/>
          <w:color w:val="000000"/>
          <w:sz w:val="20"/>
        </w:rPr>
        <w:lastRenderedPageBreak/>
        <w:t>JARRETT: Joe. Is that a polite way of saying don`t do this Joe.</w:t>
      </w:r>
    </w:p>
    <w:p w14:paraId="6DD43B90" w14:textId="77777777" w:rsidR="00054BF0" w:rsidRDefault="00000000">
      <w:pPr>
        <w:spacing w:before="200" w:line="260" w:lineRule="atLeast"/>
        <w:jc w:val="both"/>
      </w:pPr>
      <w:r>
        <w:rPr>
          <w:rFonts w:ascii="Arial" w:eastAsia="Arial" w:hAnsi="Arial" w:cs="Arial"/>
          <w:color w:val="000000"/>
          <w:sz w:val="20"/>
        </w:rPr>
        <w:t>SCHOEN: Yes, I think so. And to Herman Cain`s point, I think of myself as a normal Democrat, an ideologically I am aligned with Joe Biden, but seeing gaffe after gaffe after gaffe, it`s becoming clear to me from the polls you`ve mentioned in Iowa polls and New Hampshire and the national numbers that Joe Biden is on a skid that I`m not sure he can recover from.</w:t>
      </w:r>
    </w:p>
    <w:p w14:paraId="01FE07F1" w14:textId="77777777" w:rsidR="00054BF0" w:rsidRDefault="00000000">
      <w:pPr>
        <w:spacing w:before="200" w:line="260" w:lineRule="atLeast"/>
        <w:jc w:val="both"/>
      </w:pPr>
      <w:r>
        <w:rPr>
          <w:rFonts w:ascii="Arial" w:eastAsia="Arial" w:hAnsi="Arial" w:cs="Arial"/>
          <w:color w:val="000000"/>
          <w:sz w:val="20"/>
        </w:rPr>
        <w:t>JARRETT: But it`s not something new, is it Charlie. I mean Joe Biden has been putting both feet in his mouth for decades, right?</w:t>
      </w:r>
    </w:p>
    <w:p w14:paraId="09834926" w14:textId="77777777" w:rsidR="00054BF0" w:rsidRDefault="00000000">
      <w:pPr>
        <w:spacing w:before="200" w:line="260" w:lineRule="atLeast"/>
        <w:jc w:val="both"/>
      </w:pPr>
      <w:r>
        <w:rPr>
          <w:rFonts w:ascii="Arial" w:eastAsia="Arial" w:hAnsi="Arial" w:cs="Arial"/>
          <w:color w:val="000000"/>
          <w:sz w:val="20"/>
        </w:rPr>
        <w:t>CHARLES HURT, FOX NEWS CONTRIBUTOR: Yes, this has been his stick for 45 years in Washington, and it`s why he`s never managed to get the nomination for President. And it`s why the closest he`s ever come to the White House was being handpicked by Barack Obama to be his Vice President.</w:t>
      </w:r>
    </w:p>
    <w:p w14:paraId="0C99EAD0" w14:textId="77777777" w:rsidR="00054BF0" w:rsidRDefault="00000000">
      <w:pPr>
        <w:spacing w:before="200" w:line="260" w:lineRule="atLeast"/>
        <w:jc w:val="both"/>
      </w:pPr>
      <w:r>
        <w:rPr>
          <w:rFonts w:ascii="Arial" w:eastAsia="Arial" w:hAnsi="Arial" w:cs="Arial"/>
          <w:color w:val="000000"/>
          <w:sz w:val="20"/>
        </w:rPr>
        <w:t>And think about this for a minute though. Think about how embarrassed Barack Obama must be to have this guy trying to go out there and uphold Obama`s legacy. It`s got to be hugely embarrassing.</w:t>
      </w:r>
    </w:p>
    <w:p w14:paraId="07D1D3EC" w14:textId="77777777" w:rsidR="00054BF0" w:rsidRDefault="00000000">
      <w:pPr>
        <w:spacing w:before="200" w:line="260" w:lineRule="atLeast"/>
        <w:jc w:val="both"/>
      </w:pPr>
      <w:r>
        <w:rPr>
          <w:rFonts w:ascii="Arial" w:eastAsia="Arial" w:hAnsi="Arial" w:cs="Arial"/>
          <w:color w:val="000000"/>
          <w:sz w:val="20"/>
        </w:rPr>
        <w:t>But think about the other thing, which is who leaked all of this stuff, who leaked these conversations to The New York Times. It wasn`t Biden`s campaign. This is hugely embarrassing to Biden`s campaign.</w:t>
      </w:r>
    </w:p>
    <w:p w14:paraId="17BBA8F5" w14:textId="77777777" w:rsidR="00054BF0" w:rsidRDefault="00000000">
      <w:pPr>
        <w:spacing w:before="200" w:line="260" w:lineRule="atLeast"/>
        <w:jc w:val="both"/>
      </w:pPr>
      <w:r>
        <w:rPr>
          <w:rFonts w:ascii="Arial" w:eastAsia="Arial" w:hAnsi="Arial" w:cs="Arial"/>
          <w:color w:val="000000"/>
          <w:sz w:val="20"/>
        </w:rPr>
        <w:t>The only people that could have leaked all this stuff to The New York Times is Barack Obama`s people.</w:t>
      </w:r>
    </w:p>
    <w:p w14:paraId="154D6FA0" w14:textId="77777777" w:rsidR="00054BF0" w:rsidRDefault="00000000">
      <w:pPr>
        <w:spacing w:before="200" w:line="260" w:lineRule="atLeast"/>
        <w:jc w:val="both"/>
      </w:pPr>
      <w:r>
        <w:rPr>
          <w:rFonts w:ascii="Arial" w:eastAsia="Arial" w:hAnsi="Arial" w:cs="Arial"/>
          <w:color w:val="000000"/>
          <w:sz w:val="20"/>
        </w:rPr>
        <w:t>JARRETT: Right.</w:t>
      </w:r>
    </w:p>
    <w:p w14:paraId="56C0134B" w14:textId="77777777" w:rsidR="00054BF0" w:rsidRDefault="00000000">
      <w:pPr>
        <w:spacing w:before="200" w:line="260" w:lineRule="atLeast"/>
        <w:jc w:val="both"/>
      </w:pPr>
      <w:r>
        <w:rPr>
          <w:rFonts w:ascii="Arial" w:eastAsia="Arial" w:hAnsi="Arial" w:cs="Arial"/>
          <w:color w:val="000000"/>
          <w:sz w:val="20"/>
        </w:rPr>
        <w:t>HURT: And I mean what--</w:t>
      </w:r>
    </w:p>
    <w:p w14:paraId="21B1155A" w14:textId="77777777" w:rsidR="00054BF0" w:rsidRDefault="00000000">
      <w:pPr>
        <w:spacing w:before="200" w:line="260" w:lineRule="atLeast"/>
        <w:jc w:val="both"/>
      </w:pPr>
      <w:r>
        <w:rPr>
          <w:rFonts w:ascii="Arial" w:eastAsia="Arial" w:hAnsi="Arial" w:cs="Arial"/>
          <w:color w:val="000000"/>
          <w:sz w:val="20"/>
        </w:rPr>
        <w:t>JARRETT: I agree.</w:t>
      </w:r>
    </w:p>
    <w:p w14:paraId="218CEB79" w14:textId="77777777" w:rsidR="00054BF0" w:rsidRDefault="00000000">
      <w:pPr>
        <w:spacing w:before="200" w:line="260" w:lineRule="atLeast"/>
        <w:jc w:val="both"/>
      </w:pPr>
      <w:r>
        <w:rPr>
          <w:rFonts w:ascii="Arial" w:eastAsia="Arial" w:hAnsi="Arial" w:cs="Arial"/>
          <w:color w:val="000000"/>
          <w:sz w:val="20"/>
        </w:rPr>
        <w:t>HURT: In the back.</w:t>
      </w:r>
    </w:p>
    <w:p w14:paraId="36324944" w14:textId="77777777" w:rsidR="00054BF0" w:rsidRDefault="00000000">
      <w:pPr>
        <w:spacing w:before="200" w:line="260" w:lineRule="atLeast"/>
        <w:jc w:val="both"/>
      </w:pPr>
      <w:r>
        <w:rPr>
          <w:rFonts w:ascii="Arial" w:eastAsia="Arial" w:hAnsi="Arial" w:cs="Arial"/>
          <w:color w:val="000000"/>
          <w:sz w:val="20"/>
        </w:rPr>
        <w:t>JARRETT: I agree. It is a shove in the back, and it had to come from Obama`s people, because they`re watching for example. Doug, the debates and fellow Democrats are attacking Biden over Obama legacy programs like the deportation of illegal immigrants and Obamacare.</w:t>
      </w:r>
    </w:p>
    <w:p w14:paraId="4231740B" w14:textId="77777777" w:rsidR="00054BF0" w:rsidRDefault="00000000">
      <w:pPr>
        <w:spacing w:before="200" w:line="260" w:lineRule="atLeast"/>
        <w:jc w:val="both"/>
      </w:pPr>
      <w:r>
        <w:rPr>
          <w:rFonts w:ascii="Arial" w:eastAsia="Arial" w:hAnsi="Arial" w:cs="Arial"/>
          <w:color w:val="000000"/>
          <w:sz w:val="20"/>
        </w:rPr>
        <w:t>SCHOEN: Right. And Biden has had trouble defending those policies, articulating his own policies, but what`s been really a problem is, he`s been saddled with support for the 94 crime Bill. He hadn`t been able to defend himself which also included an assault weapon ban.</w:t>
      </w:r>
    </w:p>
    <w:p w14:paraId="7E3DA8A1" w14:textId="77777777" w:rsidR="00054BF0" w:rsidRDefault="00000000">
      <w:pPr>
        <w:spacing w:before="200" w:line="260" w:lineRule="atLeast"/>
        <w:jc w:val="both"/>
      </w:pPr>
      <w:r>
        <w:rPr>
          <w:rFonts w:ascii="Arial" w:eastAsia="Arial" w:hAnsi="Arial" w:cs="Arial"/>
          <w:color w:val="000000"/>
          <w:sz w:val="20"/>
        </w:rPr>
        <w:t>And the fact that he has been linked to segregationist in the first debate and it still hasn`t really incredibly answered that. This is a campaign in crisis and indeed I`d say some degree of disarray.</w:t>
      </w:r>
    </w:p>
    <w:p w14:paraId="1E7B1224" w14:textId="77777777" w:rsidR="00054BF0" w:rsidRDefault="00000000">
      <w:pPr>
        <w:spacing w:before="200" w:line="260" w:lineRule="atLeast"/>
        <w:jc w:val="both"/>
      </w:pPr>
      <w:r>
        <w:rPr>
          <w:rFonts w:ascii="Arial" w:eastAsia="Arial" w:hAnsi="Arial" w:cs="Arial"/>
          <w:color w:val="000000"/>
          <w:sz w:val="20"/>
        </w:rPr>
        <w:t xml:space="preserve">JARRETT: And I mentioned a moment ago, Charlie, you look at one of the most recent Iowa polls, and OK, it was an online poll. It may be an outlier, but it does show a trend with the other polls and that is Biden is going down in Iowa, Warren is going </w:t>
      </w:r>
      <w:r>
        <w:rPr>
          <w:rFonts w:ascii="Arial" w:eastAsia="Arial" w:hAnsi="Arial" w:cs="Arial"/>
          <w:b/>
          <w:i/>
          <w:color w:val="000000"/>
          <w:sz w:val="20"/>
          <w:u w:val="single"/>
        </w:rPr>
        <w:t>up</w:t>
      </w:r>
      <w:r>
        <w:rPr>
          <w:rFonts w:ascii="Arial" w:eastAsia="Arial" w:hAnsi="Arial" w:cs="Arial"/>
          <w:color w:val="000000"/>
          <w:sz w:val="20"/>
        </w:rPr>
        <w:t>. If Biden can`t win Iowa, it`s bust (ph), isn`t it?</w:t>
      </w:r>
    </w:p>
    <w:p w14:paraId="7273A70C" w14:textId="77777777" w:rsidR="00054BF0" w:rsidRDefault="00000000">
      <w:pPr>
        <w:spacing w:before="200" w:line="260" w:lineRule="atLeast"/>
        <w:jc w:val="both"/>
      </w:pPr>
      <w:r>
        <w:rPr>
          <w:rFonts w:ascii="Arial" w:eastAsia="Arial" w:hAnsi="Arial" w:cs="Arial"/>
          <w:color w:val="000000"/>
          <w:sz w:val="20"/>
        </w:rPr>
        <w:t>HURT: Yes. No, it`s a real problem for him. And of course, I think that the rest of the field of Democrats running all - as Doug just pointed out. All these Democrats that are running, they`ve gone plum crazy, plum full socialism. And I don`t think that`s where the regular mainstream Democratic voters are and so my question then is, OK, well then, where is Barack Obama. He`s the most popular Democrat in the land.</w:t>
      </w:r>
    </w:p>
    <w:p w14:paraId="59DC6B7F" w14:textId="77777777" w:rsidR="00054BF0" w:rsidRDefault="00000000">
      <w:pPr>
        <w:spacing w:before="200" w:line="260" w:lineRule="atLeast"/>
        <w:jc w:val="both"/>
      </w:pPr>
      <w:r>
        <w:rPr>
          <w:rFonts w:ascii="Arial" w:eastAsia="Arial" w:hAnsi="Arial" w:cs="Arial"/>
          <w:color w:val="000000"/>
          <w:sz w:val="20"/>
        </w:rPr>
        <w:t>If he is the leader of the party, why hasn`t he step out, he steps into this and mediate some of this because his legacy is going to down the toilet with any of these socialists that get picked and Barack Obama is just standing on the sidelines. It`s pathetic leadership.</w:t>
      </w:r>
    </w:p>
    <w:p w14:paraId="7814D5F4" w14:textId="77777777" w:rsidR="00054BF0" w:rsidRDefault="00000000">
      <w:pPr>
        <w:spacing w:before="200" w:line="260" w:lineRule="atLeast"/>
        <w:jc w:val="both"/>
      </w:pPr>
      <w:r>
        <w:rPr>
          <w:rFonts w:ascii="Arial" w:eastAsia="Arial" w:hAnsi="Arial" w:cs="Arial"/>
          <w:color w:val="000000"/>
          <w:sz w:val="20"/>
        </w:rPr>
        <w:t>JARRETT: Why doesn`t Obama jump in.</w:t>
      </w:r>
    </w:p>
    <w:p w14:paraId="5260E448" w14:textId="77777777" w:rsidR="00054BF0" w:rsidRDefault="00000000">
      <w:pPr>
        <w:spacing w:before="200" w:line="260" w:lineRule="atLeast"/>
        <w:jc w:val="both"/>
      </w:pPr>
      <w:r>
        <w:rPr>
          <w:rFonts w:ascii="Arial" w:eastAsia="Arial" w:hAnsi="Arial" w:cs="Arial"/>
          <w:color w:val="000000"/>
          <w:sz w:val="20"/>
        </w:rPr>
        <w:lastRenderedPageBreak/>
        <w:t>SCHOEN: Because the strongest candidate that Barack Obama knows well is named Michelle Obama and she`s made it clear; she`s not going to run. And you know what, this is an insoluble problem, Greg, because the Democrats have moved so far left, people like could not vote for socialist, for President, I`m a capitalist.</w:t>
      </w:r>
    </w:p>
    <w:p w14:paraId="6A2274B2" w14:textId="77777777" w:rsidR="00054BF0" w:rsidRDefault="00000000">
      <w:pPr>
        <w:spacing w:before="200" w:line="260" w:lineRule="atLeast"/>
        <w:jc w:val="both"/>
      </w:pPr>
      <w:r>
        <w:rPr>
          <w:rFonts w:ascii="Arial" w:eastAsia="Arial" w:hAnsi="Arial" w:cs="Arial"/>
          <w:color w:val="000000"/>
          <w:sz w:val="20"/>
        </w:rPr>
        <w:t>JARRETT: Yes. All right. Dough Schoen and Charlie Hurt, good to see you both. Have a great weekend.</w:t>
      </w:r>
    </w:p>
    <w:p w14:paraId="46E3C900" w14:textId="77777777" w:rsidR="00054BF0" w:rsidRDefault="00000000">
      <w:pPr>
        <w:spacing w:before="200" w:line="260" w:lineRule="atLeast"/>
        <w:jc w:val="both"/>
      </w:pPr>
      <w:r>
        <w:rPr>
          <w:rFonts w:ascii="Arial" w:eastAsia="Arial" w:hAnsi="Arial" w:cs="Arial"/>
          <w:color w:val="000000"/>
          <w:sz w:val="20"/>
        </w:rPr>
        <w:t>SCHOEN: Thank you.</w:t>
      </w:r>
    </w:p>
    <w:p w14:paraId="2BA2D3E7" w14:textId="77777777" w:rsidR="00054BF0" w:rsidRDefault="00000000">
      <w:pPr>
        <w:spacing w:before="200" w:line="260" w:lineRule="atLeast"/>
        <w:jc w:val="both"/>
      </w:pPr>
      <w:r>
        <w:rPr>
          <w:rFonts w:ascii="Arial" w:eastAsia="Arial" w:hAnsi="Arial" w:cs="Arial"/>
          <w:color w:val="000000"/>
          <w:sz w:val="20"/>
        </w:rPr>
        <w:t xml:space="preserve">JARRETT: Coming </w:t>
      </w:r>
      <w:r>
        <w:rPr>
          <w:rFonts w:ascii="Arial" w:eastAsia="Arial" w:hAnsi="Arial" w:cs="Arial"/>
          <w:b/>
          <w:i/>
          <w:color w:val="000000"/>
          <w:sz w:val="20"/>
          <w:u w:val="single"/>
        </w:rPr>
        <w:t>up</w:t>
      </w:r>
      <w:r>
        <w:rPr>
          <w:rFonts w:ascii="Arial" w:eastAsia="Arial" w:hAnsi="Arial" w:cs="Arial"/>
          <w:color w:val="000000"/>
          <w:sz w:val="20"/>
        </w:rPr>
        <w:t xml:space="preserve">, Dem, radical Dems are ratcheting </w:t>
      </w:r>
      <w:r>
        <w:rPr>
          <w:rFonts w:ascii="Arial" w:eastAsia="Arial" w:hAnsi="Arial" w:cs="Arial"/>
          <w:b/>
          <w:i/>
          <w:color w:val="000000"/>
          <w:sz w:val="20"/>
          <w:u w:val="single"/>
        </w:rPr>
        <w:t>up</w:t>
      </w:r>
      <w:r>
        <w:rPr>
          <w:rFonts w:ascii="Arial" w:eastAsia="Arial" w:hAnsi="Arial" w:cs="Arial"/>
          <w:color w:val="000000"/>
          <w:sz w:val="20"/>
        </w:rPr>
        <w:t xml:space="preserve"> their rhetoric, Elizabeth Warren, Kamala Harris are spreading dangerous falsehoods. I call them lies and the media is afraid to call them out on it. We`ll explain. Stay with us.</w:t>
      </w:r>
    </w:p>
    <w:p w14:paraId="20A802A9" w14:textId="77777777" w:rsidR="00054BF0" w:rsidRDefault="00000000">
      <w:pPr>
        <w:spacing w:before="200" w:line="260" w:lineRule="atLeast"/>
        <w:jc w:val="both"/>
      </w:pPr>
      <w:r>
        <w:rPr>
          <w:rFonts w:ascii="Arial" w:eastAsia="Arial" w:hAnsi="Arial" w:cs="Arial"/>
          <w:color w:val="000000"/>
          <w:sz w:val="20"/>
        </w:rPr>
        <w:t>JARRETT: Welcome back to this Hannity`s Special. Issues facing America is the more than 20 Democratic Presidential contenders fight for the nomination. Many are competing to see how Far-Left they can go or how crazy they can be.</w:t>
      </w:r>
    </w:p>
    <w:p w14:paraId="687ADAA5" w14:textId="77777777" w:rsidR="00054BF0" w:rsidRDefault="00000000">
      <w:pPr>
        <w:spacing w:before="200" w:line="260" w:lineRule="atLeast"/>
        <w:jc w:val="both"/>
      </w:pPr>
      <w:r>
        <w:rPr>
          <w:rFonts w:ascii="Arial" w:eastAsia="Arial" w:hAnsi="Arial" w:cs="Arial"/>
          <w:color w:val="000000"/>
          <w:sz w:val="20"/>
        </w:rPr>
        <w:t>Yesterday, during a campaign event, Beto O`Rourke made this monist (ph) prediction about President Trump. Take a look.</w:t>
      </w:r>
    </w:p>
    <w:p w14:paraId="4C22D032" w14:textId="77777777" w:rsidR="00054BF0" w:rsidRDefault="00000000">
      <w:pPr>
        <w:spacing w:before="200" w:line="260" w:lineRule="atLeast"/>
        <w:jc w:val="both"/>
      </w:pPr>
      <w:r>
        <w:rPr>
          <w:rFonts w:ascii="Arial" w:eastAsia="Arial" w:hAnsi="Arial" w:cs="Arial"/>
          <w:color w:val="000000"/>
          <w:sz w:val="20"/>
        </w:rPr>
        <w:t>(BEGIN VIDEO CLIP)</w:t>
      </w:r>
    </w:p>
    <w:p w14:paraId="6E99E959" w14:textId="77777777" w:rsidR="00054BF0" w:rsidRDefault="00000000">
      <w:pPr>
        <w:spacing w:before="200" w:line="260" w:lineRule="atLeast"/>
        <w:jc w:val="both"/>
      </w:pPr>
      <w:r>
        <w:rPr>
          <w:rFonts w:ascii="Arial" w:eastAsia="Arial" w:hAnsi="Arial" w:cs="Arial"/>
          <w:color w:val="000000"/>
          <w:sz w:val="20"/>
        </w:rPr>
        <w:t xml:space="preserve">BETO O`ROURKE (D) PRESIDENTIAL CANDIDATE: When we allow this country to be defined along the lines of race and ethnicity, and religion. We allow a Commander-in-Chief to not only welcome that but the violence that follows to defy our laws, our institutions and any ethical or moral boundaries that if at this moment, we do not wake </w:t>
      </w:r>
      <w:r>
        <w:rPr>
          <w:rFonts w:ascii="Arial" w:eastAsia="Arial" w:hAnsi="Arial" w:cs="Arial"/>
          <w:b/>
          <w:i/>
          <w:color w:val="000000"/>
          <w:sz w:val="20"/>
          <w:u w:val="single"/>
        </w:rPr>
        <w:t>up</w:t>
      </w:r>
      <w:r>
        <w:rPr>
          <w:rFonts w:ascii="Arial" w:eastAsia="Arial" w:hAnsi="Arial" w:cs="Arial"/>
          <w:color w:val="000000"/>
          <w:sz w:val="20"/>
        </w:rPr>
        <w:t xml:space="preserve"> to this threat then we as a country will die in our sleep.</w:t>
      </w:r>
    </w:p>
    <w:p w14:paraId="2199FDB6" w14:textId="77777777" w:rsidR="00054BF0" w:rsidRDefault="00000000">
      <w:pPr>
        <w:spacing w:before="200" w:line="260" w:lineRule="atLeast"/>
        <w:jc w:val="both"/>
      </w:pPr>
      <w:r>
        <w:rPr>
          <w:rFonts w:ascii="Arial" w:eastAsia="Arial" w:hAnsi="Arial" w:cs="Arial"/>
          <w:color w:val="000000"/>
          <w:sz w:val="20"/>
        </w:rPr>
        <w:t>(END VIDEO CLIP)</w:t>
      </w:r>
    </w:p>
    <w:p w14:paraId="2BA6E4B1" w14:textId="77777777" w:rsidR="00054BF0" w:rsidRDefault="00000000">
      <w:pPr>
        <w:spacing w:before="200" w:line="260" w:lineRule="atLeast"/>
        <w:jc w:val="both"/>
      </w:pPr>
      <w:r>
        <w:rPr>
          <w:rFonts w:ascii="Arial" w:eastAsia="Arial" w:hAnsi="Arial" w:cs="Arial"/>
          <w:color w:val="000000"/>
          <w:sz w:val="20"/>
        </w:rPr>
        <w:t>JARRETT: We will die in our sleep. Also, this week, Senator Elizabeth Warren defended her claim that Michael Brown was "murdered" by white police officer in Ferguson, the liberal fact-checking website, PolitiFact failed to call out Warren and fellow candidate Kamala Harris for calling the shooting murder even though the officer was never indicted.</w:t>
      </w:r>
    </w:p>
    <w:p w14:paraId="3CA02F45" w14:textId="77777777" w:rsidR="00054BF0" w:rsidRDefault="00000000">
      <w:pPr>
        <w:spacing w:before="200" w:line="260" w:lineRule="atLeast"/>
        <w:jc w:val="both"/>
      </w:pPr>
      <w:r>
        <w:rPr>
          <w:rFonts w:ascii="Arial" w:eastAsia="Arial" w:hAnsi="Arial" w:cs="Arial"/>
          <w:color w:val="000000"/>
          <w:sz w:val="20"/>
        </w:rPr>
        <w:t>And in fact, Obama`s DOJ declared that the officer "did not act with a requisite criminal intent to be charged with a federal offense."</w:t>
      </w:r>
    </w:p>
    <w:p w14:paraId="68424327" w14:textId="77777777" w:rsidR="00054BF0" w:rsidRDefault="00000000">
      <w:pPr>
        <w:spacing w:before="200" w:line="260" w:lineRule="atLeast"/>
        <w:jc w:val="both"/>
      </w:pPr>
      <w:r>
        <w:rPr>
          <w:rFonts w:ascii="Arial" w:eastAsia="Arial" w:hAnsi="Arial" w:cs="Arial"/>
          <w:color w:val="000000"/>
          <w:sz w:val="20"/>
        </w:rPr>
        <w:t>Joining us now with reaction, Sirius XM Radio Host, Fox News Contributor, David Webb, and the Hill Media Reporter Joe Concha. Good to see you guys.</w:t>
      </w:r>
    </w:p>
    <w:p w14:paraId="51172E3F" w14:textId="77777777" w:rsidR="00054BF0" w:rsidRDefault="00000000">
      <w:pPr>
        <w:spacing w:before="200" w:line="260" w:lineRule="atLeast"/>
        <w:jc w:val="both"/>
      </w:pPr>
      <w:r>
        <w:rPr>
          <w:rFonts w:ascii="Arial" w:eastAsia="Arial" w:hAnsi="Arial" w:cs="Arial"/>
          <w:color w:val="000000"/>
          <w:sz w:val="20"/>
        </w:rPr>
        <w:t>So, David, we`re going to die in our sleep, when a candidate says something really profoundly stupid, one can reasonably conclude that the speaker is stupid. Has he forfeited his right to be taken seriously as a candidate?</w:t>
      </w:r>
    </w:p>
    <w:p w14:paraId="01560321" w14:textId="77777777" w:rsidR="00054BF0" w:rsidRDefault="00000000">
      <w:pPr>
        <w:spacing w:before="200" w:line="260" w:lineRule="atLeast"/>
        <w:jc w:val="both"/>
      </w:pPr>
      <w:r>
        <w:rPr>
          <w:rFonts w:ascii="Arial" w:eastAsia="Arial" w:hAnsi="Arial" w:cs="Arial"/>
          <w:color w:val="000000"/>
          <w:sz w:val="20"/>
        </w:rPr>
        <w:t>DAVID WEBB, FOX NEWS CONTRIBUTOR: He forfeited that a long time ago. When you look at the things he said on the campaign trail, off the campaign trail, this is I believe the fourth, maybe fifth restart of his campaign in some form, it`s fail and he has fallen to the bottom tier and he needs this outrage just like Castro needs his outrage in order to get any attention.</w:t>
      </w:r>
    </w:p>
    <w:p w14:paraId="5BC2AD1A" w14:textId="77777777" w:rsidR="00054BF0" w:rsidRDefault="00000000">
      <w:pPr>
        <w:spacing w:before="200" w:line="260" w:lineRule="atLeast"/>
        <w:jc w:val="both"/>
      </w:pPr>
      <w:r>
        <w:rPr>
          <w:rFonts w:ascii="Arial" w:eastAsia="Arial" w:hAnsi="Arial" w:cs="Arial"/>
          <w:color w:val="000000"/>
          <w:sz w:val="20"/>
        </w:rPr>
        <w:t>JARRETT: Yes, you know initially Joe his campaign, Beto`s campaign took off like a rocket, since then it`s gone down like the Hindenburg (ph) fasten Bernie. Is that the risk you run when you suddenly become a media darling at the hands of Vanity Fair?</w:t>
      </w:r>
    </w:p>
    <w:p w14:paraId="5677AD6A" w14:textId="77777777" w:rsidR="00054BF0" w:rsidRDefault="00000000">
      <w:pPr>
        <w:spacing w:before="200" w:line="260" w:lineRule="atLeast"/>
        <w:jc w:val="both"/>
      </w:pPr>
      <w:r>
        <w:rPr>
          <w:rFonts w:ascii="Arial" w:eastAsia="Arial" w:hAnsi="Arial" w:cs="Arial"/>
          <w:color w:val="000000"/>
          <w:sz w:val="20"/>
        </w:rPr>
        <w:t xml:space="preserve">JOE CONCHA, THE HILL REPORTER: Yes, I mean there is the It girl, right Gregg. And then he was the It guy, and then he didn`t live </w:t>
      </w:r>
      <w:r>
        <w:rPr>
          <w:rFonts w:ascii="Arial" w:eastAsia="Arial" w:hAnsi="Arial" w:cs="Arial"/>
          <w:b/>
          <w:i/>
          <w:color w:val="000000"/>
          <w:sz w:val="20"/>
          <w:u w:val="single"/>
        </w:rPr>
        <w:t>up</w:t>
      </w:r>
      <w:r>
        <w:rPr>
          <w:rFonts w:ascii="Arial" w:eastAsia="Arial" w:hAnsi="Arial" w:cs="Arial"/>
          <w:color w:val="000000"/>
          <w:sz w:val="20"/>
        </w:rPr>
        <w:t xml:space="preserve"> to those expectations. People thought that well, because he ran within a couple points of Ted Cruz in Texas, therefore he must be a viable presidential candidate.</w:t>
      </w:r>
    </w:p>
    <w:p w14:paraId="4844A12F" w14:textId="77777777" w:rsidR="00054BF0" w:rsidRDefault="00000000">
      <w:pPr>
        <w:spacing w:before="200" w:line="260" w:lineRule="atLeast"/>
        <w:jc w:val="both"/>
      </w:pPr>
      <w:r>
        <w:rPr>
          <w:rFonts w:ascii="Arial" w:eastAsia="Arial" w:hAnsi="Arial" w:cs="Arial"/>
          <w:color w:val="000000"/>
          <w:sz w:val="20"/>
        </w:rPr>
        <w:lastRenderedPageBreak/>
        <w:t>But look, at this point, if you look at the polling with Beto O`Rourke in terms of his gravitas which he doesn`t had any, he doesn`t have presidency, he doesn`t fill the screen. He is running for Vice President at this point.</w:t>
      </w:r>
    </w:p>
    <w:p w14:paraId="0BE87493" w14:textId="77777777" w:rsidR="00054BF0" w:rsidRDefault="00000000">
      <w:pPr>
        <w:spacing w:before="200" w:line="260" w:lineRule="atLeast"/>
        <w:jc w:val="both"/>
      </w:pPr>
      <w:r>
        <w:rPr>
          <w:rFonts w:ascii="Arial" w:eastAsia="Arial" w:hAnsi="Arial" w:cs="Arial"/>
          <w:color w:val="000000"/>
          <w:sz w:val="20"/>
        </w:rPr>
        <w:t>If Elizabeth Warren gets the nomination, he is positioning himself as a Vice Presidential candidate or possibility instead of actually winning the Presidency, because he has no short of doing that.</w:t>
      </w:r>
    </w:p>
    <w:p w14:paraId="6FCCDF7A" w14:textId="77777777" w:rsidR="00054BF0" w:rsidRDefault="00000000">
      <w:pPr>
        <w:spacing w:before="200" w:line="260" w:lineRule="atLeast"/>
        <w:jc w:val="both"/>
      </w:pPr>
      <w:r>
        <w:rPr>
          <w:rFonts w:ascii="Arial" w:eastAsia="Arial" w:hAnsi="Arial" w:cs="Arial"/>
          <w:color w:val="000000"/>
          <w:sz w:val="20"/>
        </w:rPr>
        <w:t>He pulled out everything after El Paso in terms of calling the President a White Supremacist, a racist, it didn`t get him anywhere in terms of jumping the polls and now at this point, he is planning for second place, not first Gregg.</w:t>
      </w:r>
    </w:p>
    <w:p w14:paraId="21A62E61" w14:textId="77777777" w:rsidR="00054BF0" w:rsidRDefault="00000000">
      <w:pPr>
        <w:spacing w:before="200" w:line="260" w:lineRule="atLeast"/>
        <w:jc w:val="both"/>
      </w:pPr>
      <w:r>
        <w:rPr>
          <w:rFonts w:ascii="Arial" w:eastAsia="Arial" w:hAnsi="Arial" w:cs="Arial"/>
          <w:color w:val="000000"/>
          <w:sz w:val="20"/>
        </w:rPr>
        <w:t>JARRETT: So--</w:t>
      </w:r>
    </w:p>
    <w:p w14:paraId="7F4DF7CE" w14:textId="77777777" w:rsidR="00054BF0" w:rsidRDefault="00000000">
      <w:pPr>
        <w:spacing w:before="200" w:line="260" w:lineRule="atLeast"/>
        <w:jc w:val="both"/>
      </w:pPr>
      <w:r>
        <w:rPr>
          <w:rFonts w:ascii="Arial" w:eastAsia="Arial" w:hAnsi="Arial" w:cs="Arial"/>
          <w:color w:val="000000"/>
          <w:sz w:val="20"/>
        </w:rPr>
        <w:t>WEBB: But if I could just interject Joe and I agree with you, he is trying to play for second place. The second place, the second part of the ticket usually is a compliment, he`s not a compliment to Elizabeth Warren, he`s not a compliment to any of them, he advocates for open borders, for socialist policies. So, I don`t think he is even qualified for that.</w:t>
      </w:r>
    </w:p>
    <w:p w14:paraId="6D289F5B" w14:textId="77777777" w:rsidR="00054BF0" w:rsidRDefault="00000000">
      <w:pPr>
        <w:spacing w:before="200" w:line="260" w:lineRule="atLeast"/>
        <w:jc w:val="both"/>
      </w:pPr>
      <w:r>
        <w:rPr>
          <w:rFonts w:ascii="Arial" w:eastAsia="Arial" w:hAnsi="Arial" w:cs="Arial"/>
          <w:color w:val="000000"/>
          <w:sz w:val="20"/>
        </w:rPr>
        <w:t>JARRETT: I want to switch--</w:t>
      </w:r>
    </w:p>
    <w:p w14:paraId="4A765A46" w14:textId="77777777" w:rsidR="00054BF0" w:rsidRDefault="00000000">
      <w:pPr>
        <w:spacing w:before="200" w:line="260" w:lineRule="atLeast"/>
        <w:jc w:val="both"/>
      </w:pPr>
      <w:r>
        <w:rPr>
          <w:rFonts w:ascii="Arial" w:eastAsia="Arial" w:hAnsi="Arial" w:cs="Arial"/>
          <w:color w:val="000000"/>
          <w:sz w:val="20"/>
        </w:rPr>
        <w:t>CONCHA: David, not even open borders. He actually told Chris Hayes of MSNBC during an interview, a couple of months ago, that he would tear down the borders around El Paso, not even open, he wants to take down walls altogether. That`s even beyond open borders, but again that seems to be the way the Democratic Party is going on that issue in terms of not just allowing people to come in illegally, but also knocking down walls that are keeping them from coming in legally.</w:t>
      </w:r>
    </w:p>
    <w:p w14:paraId="3971FEC8" w14:textId="77777777" w:rsidR="00054BF0" w:rsidRDefault="00000000">
      <w:pPr>
        <w:spacing w:before="200" w:line="260" w:lineRule="atLeast"/>
        <w:jc w:val="both"/>
      </w:pPr>
      <w:r>
        <w:rPr>
          <w:rFonts w:ascii="Arial" w:eastAsia="Arial" w:hAnsi="Arial" w:cs="Arial"/>
          <w:color w:val="000000"/>
          <w:sz w:val="20"/>
        </w:rPr>
        <w:t>JARRETT: All right. Well, we`ve run out of time for me to trash Elizabeth Warren and Kamala Harris. For accusing the police officer in the shooting death of Michael Brown of murder when in fact, they`re both lawyers. I mean come on; they know the definition of murder. Go ahead.</w:t>
      </w:r>
    </w:p>
    <w:p w14:paraId="6547FFD8" w14:textId="77777777" w:rsidR="00054BF0" w:rsidRDefault="00000000">
      <w:pPr>
        <w:spacing w:before="200" w:line="260" w:lineRule="atLeast"/>
        <w:jc w:val="both"/>
      </w:pPr>
      <w:r>
        <w:rPr>
          <w:rFonts w:ascii="Arial" w:eastAsia="Arial" w:hAnsi="Arial" w:cs="Arial"/>
          <w:color w:val="000000"/>
          <w:sz w:val="20"/>
        </w:rPr>
        <w:t>CONCHA: Gregg one point. PolitiFact never fact-checked Elizabeth Warren`s claim that she is part Cherokee Indian. Now, if you`re a fact-checking agency, I would think that would be at the top of the list in terms of things you fact-check and don`t fact-check. That`s all you need to know about PolitiFact and Elizabeth Warren in terms of their decision here and their treatment of her in general.</w:t>
      </w:r>
    </w:p>
    <w:p w14:paraId="162EDC5C" w14:textId="77777777" w:rsidR="00054BF0" w:rsidRDefault="00000000">
      <w:pPr>
        <w:spacing w:before="200" w:line="260" w:lineRule="atLeast"/>
        <w:jc w:val="both"/>
      </w:pPr>
      <w:r>
        <w:rPr>
          <w:rFonts w:ascii="Arial" w:eastAsia="Arial" w:hAnsi="Arial" w:cs="Arial"/>
          <w:color w:val="000000"/>
          <w:sz w:val="20"/>
        </w:rPr>
        <w:t>JARRETT: Well, I have my own beef with PolitiFact, they criticize my book, by only reading the preface and not book. Way to go, guys.</w:t>
      </w:r>
    </w:p>
    <w:p w14:paraId="1EC87590" w14:textId="77777777" w:rsidR="00054BF0" w:rsidRDefault="00000000">
      <w:pPr>
        <w:spacing w:before="200" w:line="260" w:lineRule="atLeast"/>
        <w:jc w:val="both"/>
      </w:pPr>
      <w:r>
        <w:rPr>
          <w:rFonts w:ascii="Arial" w:eastAsia="Arial" w:hAnsi="Arial" w:cs="Arial"/>
          <w:color w:val="000000"/>
          <w:sz w:val="20"/>
        </w:rPr>
        <w:t>WEBB: Not new news.</w:t>
      </w:r>
    </w:p>
    <w:p w14:paraId="0B52DB60" w14:textId="77777777" w:rsidR="00054BF0" w:rsidRDefault="00000000">
      <w:pPr>
        <w:spacing w:before="200" w:line="260" w:lineRule="atLeast"/>
        <w:jc w:val="both"/>
      </w:pPr>
      <w:r>
        <w:rPr>
          <w:rFonts w:ascii="Arial" w:eastAsia="Arial" w:hAnsi="Arial" w:cs="Arial"/>
          <w:color w:val="000000"/>
          <w:sz w:val="20"/>
        </w:rPr>
        <w:t>JARRETT: Yes, we`ll be right back. Don`t go away.</w:t>
      </w:r>
    </w:p>
    <w:p w14:paraId="04B69EFC" w14:textId="77777777" w:rsidR="00054BF0" w:rsidRDefault="00000000">
      <w:pPr>
        <w:spacing w:before="200" w:line="260" w:lineRule="atLeast"/>
        <w:jc w:val="both"/>
      </w:pPr>
      <w:r>
        <w:rPr>
          <w:rFonts w:ascii="Arial" w:eastAsia="Arial" w:hAnsi="Arial" w:cs="Arial"/>
          <w:color w:val="000000"/>
          <w:sz w:val="20"/>
        </w:rPr>
        <w:t>JARRETT: And welcome back to the special edition Hannity. Intrigued surrounding the Jeffrey Epstein case continues to mount following his death with so many unanswered questions still looming.</w:t>
      </w:r>
    </w:p>
    <w:p w14:paraId="6CFDEA5C" w14:textId="77777777" w:rsidR="00054BF0" w:rsidRDefault="00000000">
      <w:pPr>
        <w:spacing w:before="200" w:line="260" w:lineRule="atLeast"/>
        <w:jc w:val="both"/>
      </w:pPr>
      <w:r>
        <w:rPr>
          <w:rFonts w:ascii="Arial" w:eastAsia="Arial" w:hAnsi="Arial" w:cs="Arial"/>
          <w:color w:val="000000"/>
          <w:sz w:val="20"/>
        </w:rPr>
        <w:t>Fox News Chief Breaking News Correspondent, Trace Gallagher with more. Trace.</w:t>
      </w:r>
    </w:p>
    <w:p w14:paraId="6414A9D4" w14:textId="77777777" w:rsidR="00054BF0" w:rsidRDefault="00000000">
      <w:pPr>
        <w:spacing w:before="200" w:line="260" w:lineRule="atLeast"/>
        <w:jc w:val="both"/>
      </w:pPr>
      <w:r>
        <w:rPr>
          <w:rFonts w:ascii="Arial" w:eastAsia="Arial" w:hAnsi="Arial" w:cs="Arial"/>
          <w:color w:val="000000"/>
          <w:sz w:val="20"/>
        </w:rPr>
        <w:t>TRACE GALLAGHER, FOX NEWS CORRESPONDENT: And Gregg while the investigations into Jeffrey Epstein move forward, a big focus will now be on the women in his life, including alleged victims and potential accomplices like his former girlfriend, Ghislaine Maxwell who has some accused of helping orchestrate Epstein`s teenage sex ring.</w:t>
      </w:r>
    </w:p>
    <w:p w14:paraId="07C42520" w14:textId="77777777" w:rsidR="00054BF0" w:rsidRDefault="00000000">
      <w:pPr>
        <w:spacing w:before="200" w:line="260" w:lineRule="atLeast"/>
        <w:jc w:val="both"/>
      </w:pPr>
      <w:r>
        <w:rPr>
          <w:rFonts w:ascii="Arial" w:eastAsia="Arial" w:hAnsi="Arial" w:cs="Arial"/>
          <w:color w:val="000000"/>
          <w:sz w:val="20"/>
        </w:rPr>
        <w:t>And despite, reports that Maxwell was living on the East Coast, yesterday she was spotted on the West Coast in a Southern California in-and-out burger reading a novel about the CIA. Actually, a non-fiction book about the CIA.</w:t>
      </w:r>
    </w:p>
    <w:p w14:paraId="0AD100D0" w14:textId="77777777" w:rsidR="00054BF0" w:rsidRDefault="00000000">
      <w:pPr>
        <w:spacing w:before="200" w:line="260" w:lineRule="atLeast"/>
        <w:jc w:val="both"/>
      </w:pPr>
      <w:r>
        <w:rPr>
          <w:rFonts w:ascii="Arial" w:eastAsia="Arial" w:hAnsi="Arial" w:cs="Arial"/>
          <w:color w:val="000000"/>
          <w:sz w:val="20"/>
        </w:rPr>
        <w:t xml:space="preserve">Maxwell has not yet spoken about Epstein`s death or the accusations against her. Meantime, one day, after he was taken off of suicide watch, Epstein reportedly spent two hours with a mystery woman, possibly from his legal team. </w:t>
      </w:r>
      <w:r>
        <w:rPr>
          <w:rFonts w:ascii="Arial" w:eastAsia="Arial" w:hAnsi="Arial" w:cs="Arial"/>
          <w:color w:val="000000"/>
          <w:sz w:val="20"/>
        </w:rPr>
        <w:lastRenderedPageBreak/>
        <w:t>A different attorney visiting the jail told NBC news, the "optics were startling because the woman was young and pretty." And on it goes. Gregg.</w:t>
      </w:r>
    </w:p>
    <w:p w14:paraId="0F18EA48" w14:textId="77777777" w:rsidR="00054BF0" w:rsidRDefault="00000000">
      <w:pPr>
        <w:spacing w:before="200" w:line="260" w:lineRule="atLeast"/>
        <w:jc w:val="both"/>
      </w:pPr>
      <w:r>
        <w:rPr>
          <w:rFonts w:ascii="Arial" w:eastAsia="Arial" w:hAnsi="Arial" w:cs="Arial"/>
          <w:color w:val="000000"/>
          <w:sz w:val="20"/>
        </w:rPr>
        <w:t>JARRETT: Trace Gallagher. Trace, thanks. Unfortunately, that`s all the time we have for this evening. As always, thanks for being with us. And by the way, if you haven`t already, make sure to order a copy of my new book, Witch Hunt, the story of a greatest mass delusion in American political history. You can order it online and all the usual places.</w:t>
      </w:r>
    </w:p>
    <w:p w14:paraId="49E080E8" w14:textId="77777777" w:rsidR="00054BF0" w:rsidRDefault="00000000">
      <w:pPr>
        <w:spacing w:before="200" w:line="260" w:lineRule="atLeast"/>
        <w:jc w:val="both"/>
      </w:pPr>
      <w:r>
        <w:rPr>
          <w:rFonts w:ascii="Arial" w:eastAsia="Arial" w:hAnsi="Arial" w:cs="Arial"/>
          <w:color w:val="000000"/>
          <w:sz w:val="20"/>
        </w:rPr>
        <w:t>Sean will be back Monday. Have a great weekend.</w:t>
      </w:r>
    </w:p>
    <w:p w14:paraId="44BE1953"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17, 2019</w:t>
      </w:r>
    </w:p>
    <w:p w14:paraId="4BDE6536" w14:textId="77777777" w:rsidR="00054BF0" w:rsidRDefault="00054BF0"/>
    <w:p w14:paraId="2DDD9D36" w14:textId="77777777" w:rsidR="00054BF0" w:rsidRDefault="00000000">
      <w:pPr>
        <w:ind w:left="200"/>
        <w:sectPr w:rsidR="00054BF0">
          <w:type w:val="continuous"/>
          <w:pgSz w:w="12240" w:h="15840"/>
          <w:pgMar w:top="840" w:right="1000" w:bottom="840" w:left="1000" w:header="400" w:footer="400" w:gutter="0"/>
          <w:cols w:space="720"/>
        </w:sectPr>
      </w:pPr>
      <w:r>
        <w:br/>
      </w:r>
      <w:r>
        <w:pict w14:anchorId="189D1F16">
          <v:line id="_x0000_s2125" style="position:absolute;left:0;text-align:left;z-index:251705344;mso-position-horizontal-relative:text;mso-position-vertical-relative:text" from="0,10pt" to="512pt,10pt" strokeweight="1pt"/>
        </w:pict>
      </w:r>
      <w:r>
        <w:rPr>
          <w:rFonts w:ascii="Arial" w:eastAsia="Arial" w:hAnsi="Arial" w:cs="Arial"/>
          <w:b/>
          <w:color w:val="767676"/>
          <w:sz w:val="16"/>
        </w:rPr>
        <w:t>End of Document</w:t>
      </w:r>
    </w:p>
    <w:p w14:paraId="29E4FD3B" w14:textId="77777777" w:rsidR="00054BF0" w:rsidRDefault="00054BF0">
      <w:pPr>
        <w:sectPr w:rsidR="00054BF0">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gutter="0"/>
          <w:cols w:space="720"/>
          <w:titlePg/>
        </w:sectPr>
      </w:pPr>
    </w:p>
    <w:p w14:paraId="50D38764" w14:textId="77777777" w:rsidR="00054BF0" w:rsidRDefault="00054BF0">
      <w:bookmarkStart w:id="46" w:name="Bookmark_24"/>
      <w:bookmarkEnd w:id="46"/>
    </w:p>
    <w:p w14:paraId="5DFDE1B1" w14:textId="77777777" w:rsidR="00054BF0" w:rsidRDefault="00BE2275">
      <w:r>
        <w:pict w14:anchorId="5EBE50B4">
          <v:shape id="_x0000_i1056" type="#_x0000_t75" alt="LexisNexis®" style="width:148pt;height:30pt">
            <v:imagedata r:id="rId6" o:title=""/>
          </v:shape>
        </w:pict>
      </w:r>
      <w:r w:rsidR="00A540D1">
        <w:cr/>
      </w:r>
    </w:p>
    <w:p w14:paraId="6FC81F63" w14:textId="77777777" w:rsidR="00054BF0" w:rsidRDefault="00000000">
      <w:pPr>
        <w:spacing w:before="240" w:after="200" w:line="340" w:lineRule="atLeast"/>
        <w:jc w:val="center"/>
        <w:outlineLvl w:val="0"/>
        <w:rPr>
          <w:rFonts w:ascii="Arial" w:hAnsi="Arial" w:cs="Arial"/>
          <w:b/>
          <w:bCs/>
          <w:kern w:val="32"/>
          <w:sz w:val="32"/>
          <w:szCs w:val="32"/>
        </w:rPr>
      </w:pPr>
      <w:hyperlink r:id="rId426" w:history="1">
        <w:r>
          <w:rPr>
            <w:rFonts w:ascii="Arial" w:eastAsia="Arial" w:hAnsi="Arial" w:cs="Arial"/>
            <w:b/>
            <w:bCs/>
            <w:i/>
            <w:color w:val="0077CC"/>
            <w:kern w:val="32"/>
            <w:sz w:val="28"/>
            <w:szCs w:val="32"/>
            <w:u w:val="single"/>
            <w:shd w:val="clear" w:color="auto" w:fill="FFFFFF"/>
          </w:rPr>
          <w:t>A Gentleman Who Defied Age Boundaries- Ayush Mauryavanshi</w:t>
        </w:r>
      </w:hyperlink>
    </w:p>
    <w:p w14:paraId="6B68FBDE" w14:textId="77777777" w:rsidR="00054BF0" w:rsidRDefault="00000000">
      <w:pPr>
        <w:spacing w:before="120" w:line="260" w:lineRule="atLeast"/>
        <w:jc w:val="center"/>
      </w:pPr>
      <w:r>
        <w:rPr>
          <w:rFonts w:ascii="Arial" w:eastAsia="Arial" w:hAnsi="Arial" w:cs="Arial"/>
          <w:color w:val="000000"/>
          <w:sz w:val="20"/>
        </w:rPr>
        <w:t>MENAFN - Press Releases (English)</w:t>
      </w:r>
    </w:p>
    <w:p w14:paraId="35936ADC" w14:textId="77777777" w:rsidR="00054BF0" w:rsidRDefault="00000000">
      <w:pPr>
        <w:spacing w:before="120" w:line="260" w:lineRule="atLeast"/>
        <w:jc w:val="center"/>
      </w:pPr>
      <w:r>
        <w:rPr>
          <w:rFonts w:ascii="Arial" w:eastAsia="Arial" w:hAnsi="Arial" w:cs="Arial"/>
          <w:color w:val="000000"/>
          <w:sz w:val="20"/>
        </w:rPr>
        <w:t>July 19, 2021 Monday</w:t>
      </w:r>
    </w:p>
    <w:p w14:paraId="73775375" w14:textId="77777777" w:rsidR="00054BF0" w:rsidRDefault="00054BF0">
      <w:pPr>
        <w:spacing w:line="240" w:lineRule="atLeast"/>
        <w:jc w:val="both"/>
      </w:pPr>
    </w:p>
    <w:p w14:paraId="43C9B207" w14:textId="77777777" w:rsidR="00054BF0" w:rsidRDefault="00000000">
      <w:pPr>
        <w:spacing w:before="120" w:line="220" w:lineRule="atLeast"/>
      </w:pPr>
      <w:r>
        <w:br/>
      </w:r>
      <w:r>
        <w:rPr>
          <w:rFonts w:ascii="Arial" w:eastAsia="Arial" w:hAnsi="Arial" w:cs="Arial"/>
          <w:color w:val="000000"/>
          <w:sz w:val="16"/>
        </w:rPr>
        <w:t>Copyright 2021 MENAFN.COM All Rights Reserved</w:t>
      </w:r>
    </w:p>
    <w:p w14:paraId="2BBFA091" w14:textId="77777777" w:rsidR="00054BF0" w:rsidRDefault="00000000">
      <w:pPr>
        <w:spacing w:before="120" w:line="220" w:lineRule="atLeast"/>
      </w:pPr>
      <w:r>
        <w:br/>
      </w:r>
      <w:r w:rsidR="00BE2275">
        <w:pict w14:anchorId="462AEEB2">
          <v:shape id="_x0000_i1057" type="#_x0000_t75" style="width:475pt;height:115pt">
            <v:imagedata r:id="rId427" o:title=""/>
          </v:shape>
        </w:pict>
      </w:r>
    </w:p>
    <w:p w14:paraId="717FB556"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434 words</w:t>
      </w:r>
    </w:p>
    <w:p w14:paraId="4B5C9C34" w14:textId="77777777" w:rsidR="00054BF0" w:rsidRDefault="00000000">
      <w:pPr>
        <w:keepNext/>
        <w:spacing w:before="240" w:line="340" w:lineRule="atLeast"/>
      </w:pPr>
      <w:bookmarkStart w:id="47" w:name="Body_22"/>
      <w:bookmarkEnd w:id="47"/>
      <w:r>
        <w:rPr>
          <w:rFonts w:ascii="Arial" w:eastAsia="Arial" w:hAnsi="Arial" w:cs="Arial"/>
          <w:b/>
          <w:color w:val="000000"/>
          <w:sz w:val="28"/>
        </w:rPr>
        <w:t>Body</w:t>
      </w:r>
    </w:p>
    <w:p w14:paraId="3AE14963" w14:textId="77777777" w:rsidR="00054BF0" w:rsidRDefault="00000000">
      <w:pPr>
        <w:spacing w:line="60" w:lineRule="exact"/>
      </w:pPr>
      <w:r>
        <w:pict w14:anchorId="7813EC51">
          <v:line id="_x0000_s2128" style="position:absolute;z-index:251706368" from="0,2pt" to="512pt,2pt" strokecolor="#009ddb" strokeweight="2pt">
            <w10:wrap type="topAndBottom"/>
          </v:line>
        </w:pict>
      </w:r>
    </w:p>
    <w:p w14:paraId="6FC93447" w14:textId="77777777" w:rsidR="00054BF0" w:rsidRDefault="00054BF0"/>
    <w:p w14:paraId="14E7756B" w14:textId="77777777" w:rsidR="00054BF0" w:rsidRDefault="00000000">
      <w:pPr>
        <w:spacing w:before="240" w:line="260" w:lineRule="atLeast"/>
        <w:jc w:val="both"/>
      </w:pPr>
      <w:hyperlink r:id="rId428" w:history="1">
        <w:r>
          <w:rPr>
            <w:rFonts w:ascii="Arial" w:eastAsia="Arial" w:hAnsi="Arial" w:cs="Arial"/>
            <w:i/>
            <w:color w:val="0077CC"/>
            <w:sz w:val="20"/>
            <w:u w:val="single"/>
            <w:shd w:val="clear" w:color="auto" w:fill="FFFFFF"/>
          </w:rPr>
          <w:t>Link to Image</w:t>
        </w:r>
      </w:hyperlink>
    </w:p>
    <w:p w14:paraId="0E903376" w14:textId="77777777" w:rsidR="00054BF0" w:rsidRDefault="00000000">
      <w:pPr>
        <w:spacing w:before="240" w:line="260" w:lineRule="atLeast"/>
        <w:jc w:val="both"/>
      </w:pPr>
      <w:hyperlink r:id="rId429" w:history="1">
        <w:r>
          <w:rPr>
            <w:rFonts w:ascii="Arial" w:eastAsia="Arial" w:hAnsi="Arial" w:cs="Arial"/>
            <w:i/>
            <w:color w:val="0077CC"/>
            <w:sz w:val="20"/>
            <w:u w:val="single"/>
            <w:shd w:val="clear" w:color="auto" w:fill="FFFFFF"/>
          </w:rPr>
          <w:t>Link to Story</w:t>
        </w:r>
      </w:hyperlink>
    </w:p>
    <w:p w14:paraId="4D12E213" w14:textId="77777777" w:rsidR="00054BF0" w:rsidRDefault="00000000">
      <w:pPr>
        <w:spacing w:before="200" w:line="260" w:lineRule="atLeast"/>
        <w:jc w:val="both"/>
      </w:pPr>
      <w:r>
        <w:rPr>
          <w:rFonts w:ascii="Arial" w:eastAsia="Arial" w:hAnsi="Arial" w:cs="Arial"/>
          <w:color w:val="000000"/>
          <w:sz w:val="20"/>
        </w:rPr>
        <w:t>Ayush Mauryavanshi has become a household name in the digital marketing industry. Almost everyone knows the young entrepreneur who made it big in the digital marketing industry at the tender age of 19.</w:t>
      </w:r>
    </w:p>
    <w:p w14:paraId="6877D32F" w14:textId="77777777" w:rsidR="00054BF0" w:rsidRDefault="00054BF0"/>
    <w:p w14:paraId="57ED9B92" w14:textId="77777777" w:rsidR="00054BF0" w:rsidRDefault="00000000">
      <w:pPr>
        <w:spacing w:before="200" w:line="260" w:lineRule="atLeast"/>
        <w:jc w:val="both"/>
      </w:pPr>
      <w:r>
        <w:rPr>
          <w:rFonts w:ascii="Arial" w:eastAsia="Arial" w:hAnsi="Arial" w:cs="Arial"/>
          <w:color w:val="000000"/>
          <w:sz w:val="20"/>
        </w:rPr>
        <w:t xml:space="preserve">While normal teenagers are busy dreaming, sleeping, lazing around, Ayush Mauryavanshi </w:t>
      </w:r>
      <w:r>
        <w:rPr>
          <w:rFonts w:ascii="Arial" w:eastAsia="Arial" w:hAnsi="Arial" w:cs="Arial"/>
          <w:b/>
          <w:i/>
          <w:color w:val="000000"/>
          <w:sz w:val="20"/>
          <w:u w:val="single"/>
        </w:rPr>
        <w:t>started</w:t>
      </w:r>
      <w:r>
        <w:rPr>
          <w:rFonts w:ascii="Arial" w:eastAsia="Arial" w:hAnsi="Arial" w:cs="Arial"/>
          <w:color w:val="000000"/>
          <w:sz w:val="20"/>
        </w:rPr>
        <w:t xml:space="preserve"> working as a blogger at just fifteen years. He always wanted to learn something out of the box, carve his way through the top. Since childhood he was never interested in school textbooks, always wanting to do something that will make base for his future endeavours.</w:t>
      </w:r>
    </w:p>
    <w:p w14:paraId="517626A6" w14:textId="77777777" w:rsidR="00054BF0" w:rsidRDefault="00054BF0"/>
    <w:p w14:paraId="3CB59CC0" w14:textId="77777777" w:rsidR="00054BF0" w:rsidRDefault="00000000">
      <w:pPr>
        <w:spacing w:line="260" w:lineRule="atLeast"/>
        <w:jc w:val="both"/>
      </w:pPr>
      <w:r>
        <w:rPr>
          <w:rFonts w:ascii="Arial" w:eastAsia="Arial" w:hAnsi="Arial" w:cs="Arial"/>
          <w:color w:val="000000"/>
          <w:sz w:val="20"/>
        </w:rPr>
        <w:t>This amazing Gentleman was born in Varanasi, Uttar Pradesh And even as a small child his mind was filled with curiosity about the digital world. He always wanted to become something different and strived as a child to learn something out of the school books.</w:t>
      </w:r>
    </w:p>
    <w:p w14:paraId="1E4B418D" w14:textId="77777777" w:rsidR="00054BF0" w:rsidRDefault="00054BF0"/>
    <w:p w14:paraId="481E82DB" w14:textId="77777777" w:rsidR="00054BF0" w:rsidRDefault="00000000">
      <w:pPr>
        <w:spacing w:before="200" w:line="260" w:lineRule="atLeast"/>
        <w:jc w:val="both"/>
      </w:pPr>
      <w:r>
        <w:rPr>
          <w:rFonts w:ascii="Arial" w:eastAsia="Arial" w:hAnsi="Arial" w:cs="Arial"/>
          <w:color w:val="000000"/>
          <w:sz w:val="20"/>
        </w:rPr>
        <w:t xml:space="preserve">Ayush Mauryavanshi learnt JavaScript, HTML, CSS and also learnt to code. He </w:t>
      </w:r>
      <w:r>
        <w:rPr>
          <w:rFonts w:ascii="Arial" w:eastAsia="Arial" w:hAnsi="Arial" w:cs="Arial"/>
          <w:b/>
          <w:i/>
          <w:color w:val="000000"/>
          <w:sz w:val="20"/>
          <w:u w:val="single"/>
        </w:rPr>
        <w:t>started</w:t>
      </w:r>
      <w:r>
        <w:rPr>
          <w:rFonts w:ascii="Arial" w:eastAsia="Arial" w:hAnsi="Arial" w:cs="Arial"/>
          <w:color w:val="000000"/>
          <w:sz w:val="20"/>
        </w:rPr>
        <w:t xml:space="preserve"> his career as a web developer but gradually became an entrepreneur. He has worked hard despite facing difficulties and obstacles in his life. His passions have shaped well and he has become this successful, his </w:t>
      </w:r>
      <w:r>
        <w:rPr>
          <w:rFonts w:ascii="Arial" w:eastAsia="Arial" w:hAnsi="Arial" w:cs="Arial"/>
          <w:b/>
          <w:i/>
          <w:color w:val="000000"/>
          <w:sz w:val="20"/>
          <w:u w:val="single"/>
        </w:rPr>
        <w:t>startups</w:t>
      </w:r>
      <w:r>
        <w:rPr>
          <w:rFonts w:ascii="Arial" w:eastAsia="Arial" w:hAnsi="Arial" w:cs="Arial"/>
          <w:color w:val="000000"/>
          <w:sz w:val="20"/>
        </w:rPr>
        <w:t xml:space="preserve"> have a turnover of almost a million and the outcome of his hardwork and determination is this success.</w:t>
      </w:r>
    </w:p>
    <w:p w14:paraId="558EF415" w14:textId="77777777" w:rsidR="00054BF0" w:rsidRDefault="00054BF0"/>
    <w:p w14:paraId="6836B260" w14:textId="77777777" w:rsidR="00054BF0" w:rsidRDefault="00000000">
      <w:pPr>
        <w:spacing w:before="200" w:line="260" w:lineRule="atLeast"/>
        <w:jc w:val="both"/>
      </w:pPr>
      <w:r>
        <w:rPr>
          <w:rFonts w:ascii="Arial" w:eastAsia="Arial" w:hAnsi="Arial" w:cs="Arial"/>
          <w:color w:val="000000"/>
          <w:sz w:val="20"/>
        </w:rPr>
        <w:lastRenderedPageBreak/>
        <w:t xml:space="preserve">He currently an Author Of Crypto:The Future Of Digital Economy And the founder of two Companies Asia Times Now, which is a news website that delivers the latest headlines in all genres. His other </w:t>
      </w:r>
      <w:r>
        <w:rPr>
          <w:rFonts w:ascii="Arial" w:eastAsia="Arial" w:hAnsi="Arial" w:cs="Arial"/>
          <w:b/>
          <w:i/>
          <w:color w:val="000000"/>
          <w:sz w:val="20"/>
          <w:u w:val="single"/>
        </w:rPr>
        <w:t>startup</w:t>
      </w:r>
      <w:r>
        <w:rPr>
          <w:rFonts w:ascii="Arial" w:eastAsia="Arial" w:hAnsi="Arial" w:cs="Arial"/>
          <w:color w:val="000000"/>
          <w:sz w:val="20"/>
        </w:rPr>
        <w:t xml:space="preserve"> is "TheGrowwers" which is his first </w:t>
      </w:r>
      <w:r>
        <w:rPr>
          <w:rFonts w:ascii="Arial" w:eastAsia="Arial" w:hAnsi="Arial" w:cs="Arial"/>
          <w:b/>
          <w:i/>
          <w:color w:val="000000"/>
          <w:sz w:val="20"/>
          <w:u w:val="single"/>
        </w:rPr>
        <w:t>startup</w:t>
      </w:r>
      <w:r>
        <w:rPr>
          <w:rFonts w:ascii="Arial" w:eastAsia="Arial" w:hAnsi="Arial" w:cs="Arial"/>
          <w:color w:val="000000"/>
          <w:sz w:val="20"/>
        </w:rPr>
        <w:t xml:space="preserve">, and it has blossomed after many </w:t>
      </w:r>
      <w:r>
        <w:rPr>
          <w:rFonts w:ascii="Arial" w:eastAsia="Arial" w:hAnsi="Arial" w:cs="Arial"/>
          <w:b/>
          <w:i/>
          <w:color w:val="000000"/>
          <w:sz w:val="20"/>
          <w:u w:val="single"/>
        </w:rPr>
        <w:t>failures</w:t>
      </w:r>
      <w:r>
        <w:rPr>
          <w:rFonts w:ascii="Arial" w:eastAsia="Arial" w:hAnsi="Arial" w:cs="Arial"/>
          <w:color w:val="000000"/>
          <w:sz w:val="20"/>
        </w:rPr>
        <w:t xml:space="preserve">. He </w:t>
      </w:r>
      <w:r>
        <w:rPr>
          <w:rFonts w:ascii="Arial" w:eastAsia="Arial" w:hAnsi="Arial" w:cs="Arial"/>
          <w:b/>
          <w:i/>
          <w:color w:val="000000"/>
          <w:sz w:val="20"/>
          <w:u w:val="single"/>
        </w:rPr>
        <w:t>started</w:t>
      </w:r>
      <w:r>
        <w:rPr>
          <w:rFonts w:ascii="Arial" w:eastAsia="Arial" w:hAnsi="Arial" w:cs="Arial"/>
          <w:color w:val="000000"/>
          <w:sz w:val="20"/>
        </w:rPr>
        <w:t xml:space="preserve"> this </w:t>
      </w:r>
      <w:r>
        <w:rPr>
          <w:rFonts w:ascii="Arial" w:eastAsia="Arial" w:hAnsi="Arial" w:cs="Arial"/>
          <w:b/>
          <w:i/>
          <w:color w:val="000000"/>
          <w:sz w:val="20"/>
          <w:u w:val="single"/>
        </w:rPr>
        <w:t>startup</w:t>
      </w:r>
      <w:r>
        <w:rPr>
          <w:rFonts w:ascii="Arial" w:eastAsia="Arial" w:hAnsi="Arial" w:cs="Arial"/>
          <w:color w:val="000000"/>
          <w:sz w:val="20"/>
        </w:rPr>
        <w:t xml:space="preserve"> two years ago and he has since then provided his customers with both online and offline services.</w:t>
      </w:r>
    </w:p>
    <w:p w14:paraId="15660A88" w14:textId="77777777" w:rsidR="00054BF0" w:rsidRDefault="00054BF0"/>
    <w:p w14:paraId="06AECE57" w14:textId="77777777" w:rsidR="00054BF0" w:rsidRDefault="00000000">
      <w:pPr>
        <w:spacing w:before="200" w:line="260" w:lineRule="atLeast"/>
        <w:jc w:val="both"/>
      </w:pPr>
      <w:r>
        <w:rPr>
          <w:rFonts w:ascii="Arial" w:eastAsia="Arial" w:hAnsi="Arial" w:cs="Arial"/>
          <w:color w:val="000000"/>
          <w:sz w:val="20"/>
        </w:rPr>
        <w:t xml:space="preserve">Ayush provides his users with services like social media handling, SEO, press publication, website handling, and also his </w:t>
      </w:r>
      <w:r>
        <w:rPr>
          <w:rFonts w:ascii="Arial" w:eastAsia="Arial" w:hAnsi="Arial" w:cs="Arial"/>
          <w:b/>
          <w:i/>
          <w:color w:val="000000"/>
          <w:sz w:val="20"/>
          <w:u w:val="single"/>
        </w:rPr>
        <w:t>startup</w:t>
      </w:r>
      <w:r>
        <w:rPr>
          <w:rFonts w:ascii="Arial" w:eastAsia="Arial" w:hAnsi="Arial" w:cs="Arial"/>
          <w:color w:val="000000"/>
          <w:sz w:val="20"/>
        </w:rPr>
        <w:t xml:space="preserve"> has helped in the growth of online and offline business of </w:t>
      </w:r>
      <w:r>
        <w:rPr>
          <w:rFonts w:ascii="Arial" w:eastAsia="Arial" w:hAnsi="Arial" w:cs="Arial"/>
          <w:b/>
          <w:i/>
          <w:color w:val="000000"/>
          <w:sz w:val="20"/>
          <w:u w:val="single"/>
        </w:rPr>
        <w:t>startups</w:t>
      </w:r>
      <w:r>
        <w:rPr>
          <w:rFonts w:ascii="Arial" w:eastAsia="Arial" w:hAnsi="Arial" w:cs="Arial"/>
          <w:color w:val="000000"/>
          <w:sz w:val="20"/>
        </w:rPr>
        <w:t>.</w:t>
      </w:r>
    </w:p>
    <w:p w14:paraId="7B2E854B" w14:textId="77777777" w:rsidR="00054BF0" w:rsidRDefault="00054BF0"/>
    <w:p w14:paraId="42BC7619" w14:textId="77777777" w:rsidR="00054BF0" w:rsidRDefault="00000000">
      <w:pPr>
        <w:spacing w:before="200" w:line="260" w:lineRule="atLeast"/>
        <w:jc w:val="both"/>
      </w:pPr>
      <w:r>
        <w:rPr>
          <w:rFonts w:ascii="Arial" w:eastAsia="Arial" w:hAnsi="Arial" w:cs="Arial"/>
          <w:color w:val="000000"/>
          <w:sz w:val="20"/>
        </w:rPr>
        <w:t xml:space="preserve">His </w:t>
      </w:r>
      <w:r>
        <w:rPr>
          <w:rFonts w:ascii="Arial" w:eastAsia="Arial" w:hAnsi="Arial" w:cs="Arial"/>
          <w:b/>
          <w:i/>
          <w:color w:val="000000"/>
          <w:sz w:val="20"/>
          <w:u w:val="single"/>
        </w:rPr>
        <w:t>startups</w:t>
      </w:r>
      <w:r>
        <w:rPr>
          <w:rFonts w:ascii="Arial" w:eastAsia="Arial" w:hAnsi="Arial" w:cs="Arial"/>
          <w:color w:val="000000"/>
          <w:sz w:val="20"/>
        </w:rPr>
        <w:t xml:space="preserve"> house thousands of clients that come from both domestic and international sides. He has shown that determination can take you to the top. Although he has always been an average student at school, he has shown extraordinary qualities in the digital marketing sector.</w:t>
      </w:r>
    </w:p>
    <w:p w14:paraId="530B6DA1" w14:textId="77777777" w:rsidR="00054BF0" w:rsidRDefault="00054BF0"/>
    <w:p w14:paraId="78799D71" w14:textId="77777777" w:rsidR="00054BF0" w:rsidRDefault="00000000">
      <w:pPr>
        <w:spacing w:before="200" w:line="260" w:lineRule="atLeast"/>
        <w:jc w:val="both"/>
      </w:pPr>
      <w:r>
        <w:rPr>
          <w:rFonts w:ascii="Arial" w:eastAsia="Arial" w:hAnsi="Arial" w:cs="Arial"/>
          <w:color w:val="000000"/>
          <w:sz w:val="20"/>
        </w:rPr>
        <w:t xml:space="preserve">Apart from investing time as a blogger, he has also invested in Crypto, MF, Stocks. He has poised as a perfect example to youth of Gen Z His </w:t>
      </w:r>
      <w:r>
        <w:rPr>
          <w:rFonts w:ascii="Arial" w:eastAsia="Arial" w:hAnsi="Arial" w:cs="Arial"/>
          <w:b/>
          <w:i/>
          <w:color w:val="000000"/>
          <w:sz w:val="20"/>
          <w:u w:val="single"/>
        </w:rPr>
        <w:t>startups</w:t>
      </w:r>
      <w:r>
        <w:rPr>
          <w:rFonts w:ascii="Arial" w:eastAsia="Arial" w:hAnsi="Arial" w:cs="Arial"/>
          <w:color w:val="000000"/>
          <w:sz w:val="20"/>
        </w:rPr>
        <w:t xml:space="preserve"> are already on the top and they still have potential to prosper and grow.</w:t>
      </w:r>
    </w:p>
    <w:p w14:paraId="6C99DDBA" w14:textId="77777777" w:rsidR="00054BF0" w:rsidRDefault="00054BF0"/>
    <w:p w14:paraId="65DC1524" w14:textId="77777777" w:rsidR="00054BF0" w:rsidRDefault="00000000">
      <w:pPr>
        <w:spacing w:line="260" w:lineRule="atLeast"/>
        <w:jc w:val="both"/>
      </w:pPr>
      <w:r>
        <w:rPr>
          <w:rFonts w:ascii="Arial" w:eastAsia="Arial" w:hAnsi="Arial" w:cs="Arial"/>
          <w:color w:val="000000"/>
          <w:sz w:val="20"/>
        </w:rPr>
        <w:t>Ayush is one of the many Entrepreneurs who were born out of the advancement in the digital market, but not many succeeded. He is one of those who never looked back despite the harsh difficulties that he faced.</w:t>
      </w:r>
    </w:p>
    <w:p w14:paraId="4723E78F" w14:textId="77777777" w:rsidR="00054BF0" w:rsidRDefault="00054BF0"/>
    <w:p w14:paraId="47773EDA" w14:textId="77777777" w:rsidR="00054BF0" w:rsidRDefault="00000000">
      <w:pPr>
        <w:spacing w:line="260" w:lineRule="atLeast"/>
        <w:jc w:val="both"/>
      </w:pPr>
      <w:r>
        <w:rPr>
          <w:rFonts w:ascii="Arial" w:eastAsia="Arial" w:hAnsi="Arial" w:cs="Arial"/>
          <w:color w:val="000000"/>
          <w:sz w:val="20"/>
        </w:rPr>
        <w:t>MENAFN19072021005886012879ID1102475953</w:t>
      </w:r>
    </w:p>
    <w:p w14:paraId="44B30C3C"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19, 2021</w:t>
      </w:r>
    </w:p>
    <w:p w14:paraId="23E927E0" w14:textId="77777777" w:rsidR="00054BF0" w:rsidRDefault="00054BF0"/>
    <w:p w14:paraId="42AB7A31" w14:textId="77777777" w:rsidR="00054BF0" w:rsidRDefault="00000000">
      <w:pPr>
        <w:ind w:left="200"/>
        <w:sectPr w:rsidR="00054BF0">
          <w:type w:val="continuous"/>
          <w:pgSz w:w="12240" w:h="15840"/>
          <w:pgMar w:top="840" w:right="1000" w:bottom="840" w:left="1000" w:header="400" w:footer="400" w:gutter="0"/>
          <w:cols w:space="720"/>
        </w:sectPr>
      </w:pPr>
      <w:r>
        <w:br/>
      </w:r>
      <w:r>
        <w:pict w14:anchorId="2F5DCE79">
          <v:line id="_x0000_s2129" style="position:absolute;left:0;text-align:left;z-index:251707392;mso-position-horizontal-relative:text;mso-position-vertical-relative:text" from="0,10pt" to="512pt,10pt" strokeweight="1pt"/>
        </w:pict>
      </w:r>
      <w:r>
        <w:rPr>
          <w:rFonts w:ascii="Arial" w:eastAsia="Arial" w:hAnsi="Arial" w:cs="Arial"/>
          <w:b/>
          <w:color w:val="767676"/>
          <w:sz w:val="16"/>
        </w:rPr>
        <w:t>End of Document</w:t>
      </w:r>
    </w:p>
    <w:p w14:paraId="477B7E05" w14:textId="77777777" w:rsidR="00054BF0" w:rsidRDefault="00054BF0">
      <w:pPr>
        <w:sectPr w:rsidR="00054BF0">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gutter="0"/>
          <w:cols w:space="720"/>
          <w:titlePg/>
        </w:sectPr>
      </w:pPr>
    </w:p>
    <w:p w14:paraId="679E65F3" w14:textId="77777777" w:rsidR="00054BF0" w:rsidRDefault="00054BF0">
      <w:bookmarkStart w:id="48" w:name="Bookmark_25"/>
      <w:bookmarkEnd w:id="48"/>
    </w:p>
    <w:p w14:paraId="42B9F6D7" w14:textId="77777777" w:rsidR="00054BF0" w:rsidRDefault="00BE2275">
      <w:r>
        <w:pict w14:anchorId="3CC6B2ED">
          <v:shape id="_x0000_i1058" type="#_x0000_t75" alt="LexisNexis®" style="width:148pt;height:30pt">
            <v:imagedata r:id="rId6" o:title=""/>
          </v:shape>
        </w:pict>
      </w:r>
      <w:r w:rsidR="00A540D1">
        <w:cr/>
      </w:r>
    </w:p>
    <w:p w14:paraId="733F6E98" w14:textId="77777777" w:rsidR="00054BF0" w:rsidRDefault="00000000">
      <w:pPr>
        <w:spacing w:before="240" w:after="200" w:line="340" w:lineRule="atLeast"/>
        <w:jc w:val="center"/>
        <w:outlineLvl w:val="0"/>
        <w:rPr>
          <w:rFonts w:ascii="Arial" w:hAnsi="Arial" w:cs="Arial"/>
          <w:b/>
          <w:bCs/>
          <w:kern w:val="32"/>
          <w:sz w:val="32"/>
          <w:szCs w:val="32"/>
        </w:rPr>
      </w:pPr>
      <w:hyperlink r:id="rId436" w:history="1">
        <w:r>
          <w:rPr>
            <w:rFonts w:ascii="Arial" w:eastAsia="Arial" w:hAnsi="Arial" w:cs="Arial"/>
            <w:b/>
            <w:bCs/>
            <w:i/>
            <w:color w:val="0077CC"/>
            <w:kern w:val="32"/>
            <w:sz w:val="28"/>
            <w:szCs w:val="32"/>
            <w:u w:val="single"/>
            <w:shd w:val="clear" w:color="auto" w:fill="FFFFFF"/>
          </w:rPr>
          <w:t>A Gentleman Who Defied Age Boundaries- Ayush Mauryavanshi</w:t>
        </w:r>
      </w:hyperlink>
    </w:p>
    <w:p w14:paraId="6382AAE9" w14:textId="77777777" w:rsidR="00054BF0" w:rsidRDefault="00000000">
      <w:pPr>
        <w:spacing w:before="120" w:line="260" w:lineRule="atLeast"/>
        <w:jc w:val="center"/>
      </w:pPr>
      <w:r>
        <w:rPr>
          <w:rFonts w:ascii="Arial" w:eastAsia="Arial" w:hAnsi="Arial" w:cs="Arial"/>
          <w:color w:val="000000"/>
          <w:sz w:val="20"/>
        </w:rPr>
        <w:t>MENAFN -Press Releases (English)</w:t>
      </w:r>
    </w:p>
    <w:p w14:paraId="26E3A9DA" w14:textId="77777777" w:rsidR="00054BF0" w:rsidRDefault="00000000">
      <w:pPr>
        <w:spacing w:before="120" w:line="260" w:lineRule="atLeast"/>
        <w:jc w:val="center"/>
      </w:pPr>
      <w:r>
        <w:rPr>
          <w:rFonts w:ascii="Arial" w:eastAsia="Arial" w:hAnsi="Arial" w:cs="Arial"/>
          <w:color w:val="000000"/>
          <w:sz w:val="20"/>
        </w:rPr>
        <w:t>July 18, 2021 Sunday</w:t>
      </w:r>
    </w:p>
    <w:p w14:paraId="06F7D7AE" w14:textId="77777777" w:rsidR="00054BF0" w:rsidRDefault="00054BF0">
      <w:pPr>
        <w:spacing w:line="240" w:lineRule="atLeast"/>
        <w:jc w:val="both"/>
      </w:pPr>
    </w:p>
    <w:p w14:paraId="6D19ECA0" w14:textId="77777777" w:rsidR="00054BF0" w:rsidRDefault="00000000">
      <w:pPr>
        <w:spacing w:before="120" w:line="220" w:lineRule="atLeast"/>
      </w:pPr>
      <w:r>
        <w:br/>
      </w:r>
      <w:r>
        <w:rPr>
          <w:rFonts w:ascii="Arial" w:eastAsia="Arial" w:hAnsi="Arial" w:cs="Arial"/>
          <w:color w:val="000000"/>
          <w:sz w:val="16"/>
        </w:rPr>
        <w:t>Copyright 2021 MENAFN.COM All Rights Reserved</w:t>
      </w:r>
    </w:p>
    <w:p w14:paraId="16979BBB" w14:textId="77777777" w:rsidR="00054BF0" w:rsidRDefault="00000000">
      <w:pPr>
        <w:spacing w:before="120" w:line="220" w:lineRule="atLeast"/>
      </w:pPr>
      <w:r>
        <w:br/>
      </w:r>
      <w:r w:rsidR="00BE2275">
        <w:pict w14:anchorId="2DCB0611">
          <v:shape id="_x0000_i1059" type="#_x0000_t75" style="width:475pt;height:115pt">
            <v:imagedata r:id="rId427" o:title=""/>
          </v:shape>
        </w:pict>
      </w:r>
    </w:p>
    <w:p w14:paraId="513E1419"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434 words</w:t>
      </w:r>
    </w:p>
    <w:p w14:paraId="5595E1A4" w14:textId="77777777" w:rsidR="00054BF0" w:rsidRDefault="00000000">
      <w:pPr>
        <w:keepNext/>
        <w:spacing w:before="240" w:line="340" w:lineRule="atLeast"/>
      </w:pPr>
      <w:bookmarkStart w:id="49" w:name="Body_23"/>
      <w:bookmarkEnd w:id="49"/>
      <w:r>
        <w:rPr>
          <w:rFonts w:ascii="Arial" w:eastAsia="Arial" w:hAnsi="Arial" w:cs="Arial"/>
          <w:b/>
          <w:color w:val="000000"/>
          <w:sz w:val="28"/>
        </w:rPr>
        <w:t>Body</w:t>
      </w:r>
    </w:p>
    <w:p w14:paraId="71FE3342" w14:textId="77777777" w:rsidR="00054BF0" w:rsidRDefault="00000000">
      <w:pPr>
        <w:spacing w:line="60" w:lineRule="exact"/>
      </w:pPr>
      <w:r>
        <w:pict w14:anchorId="60B47717">
          <v:line id="_x0000_s2132" style="position:absolute;z-index:251708416" from="0,2pt" to="512pt,2pt" strokecolor="#009ddb" strokeweight="2pt">
            <w10:wrap type="topAndBottom"/>
          </v:line>
        </w:pict>
      </w:r>
    </w:p>
    <w:p w14:paraId="40014D48" w14:textId="77777777" w:rsidR="00054BF0" w:rsidRDefault="00054BF0"/>
    <w:p w14:paraId="0CFEA8FD" w14:textId="77777777" w:rsidR="00054BF0" w:rsidRDefault="00000000">
      <w:pPr>
        <w:spacing w:before="240" w:line="260" w:lineRule="atLeast"/>
        <w:jc w:val="both"/>
      </w:pPr>
      <w:hyperlink r:id="rId437" w:history="1">
        <w:r>
          <w:rPr>
            <w:rFonts w:ascii="Arial" w:eastAsia="Arial" w:hAnsi="Arial" w:cs="Arial"/>
            <w:i/>
            <w:color w:val="0077CC"/>
            <w:sz w:val="20"/>
            <w:u w:val="single"/>
            <w:shd w:val="clear" w:color="auto" w:fill="FFFFFF"/>
          </w:rPr>
          <w:t>Link to Image</w:t>
        </w:r>
      </w:hyperlink>
    </w:p>
    <w:p w14:paraId="20A59F9E" w14:textId="77777777" w:rsidR="00054BF0" w:rsidRDefault="00000000">
      <w:pPr>
        <w:spacing w:before="240" w:line="260" w:lineRule="atLeast"/>
        <w:jc w:val="both"/>
      </w:pPr>
      <w:hyperlink r:id="rId438" w:history="1">
        <w:r>
          <w:rPr>
            <w:rFonts w:ascii="Arial" w:eastAsia="Arial" w:hAnsi="Arial" w:cs="Arial"/>
            <w:i/>
            <w:color w:val="0077CC"/>
            <w:sz w:val="20"/>
            <w:u w:val="single"/>
            <w:shd w:val="clear" w:color="auto" w:fill="FFFFFF"/>
          </w:rPr>
          <w:t>Link to Story</w:t>
        </w:r>
      </w:hyperlink>
    </w:p>
    <w:p w14:paraId="0CE94299" w14:textId="77777777" w:rsidR="00054BF0" w:rsidRDefault="00000000">
      <w:pPr>
        <w:spacing w:before="200" w:line="260" w:lineRule="atLeast"/>
        <w:jc w:val="both"/>
      </w:pPr>
      <w:r>
        <w:rPr>
          <w:rFonts w:ascii="Arial" w:eastAsia="Arial" w:hAnsi="Arial" w:cs="Arial"/>
          <w:color w:val="000000"/>
          <w:sz w:val="20"/>
        </w:rPr>
        <w:t>Ayush Mauryavanshi has become a household name in the digital marketing industry. Almost everyone knows the young entrepreneur who made it big in the digital marketing industry at the tender age of 19.</w:t>
      </w:r>
    </w:p>
    <w:p w14:paraId="6BACA505" w14:textId="77777777" w:rsidR="00054BF0" w:rsidRDefault="00054BF0"/>
    <w:p w14:paraId="5943AEEB" w14:textId="77777777" w:rsidR="00054BF0" w:rsidRDefault="00000000">
      <w:pPr>
        <w:spacing w:before="200" w:line="260" w:lineRule="atLeast"/>
        <w:jc w:val="both"/>
      </w:pPr>
      <w:r>
        <w:rPr>
          <w:rFonts w:ascii="Arial" w:eastAsia="Arial" w:hAnsi="Arial" w:cs="Arial"/>
          <w:color w:val="000000"/>
          <w:sz w:val="20"/>
        </w:rPr>
        <w:t xml:space="preserve">While normal teenagers are busy dreaming, sleeping, lazing around, Ayush Mauryavanshi </w:t>
      </w:r>
      <w:r>
        <w:rPr>
          <w:rFonts w:ascii="Arial" w:eastAsia="Arial" w:hAnsi="Arial" w:cs="Arial"/>
          <w:b/>
          <w:i/>
          <w:color w:val="000000"/>
          <w:sz w:val="20"/>
          <w:u w:val="single"/>
        </w:rPr>
        <w:t>started</w:t>
      </w:r>
      <w:r>
        <w:rPr>
          <w:rFonts w:ascii="Arial" w:eastAsia="Arial" w:hAnsi="Arial" w:cs="Arial"/>
          <w:color w:val="000000"/>
          <w:sz w:val="20"/>
        </w:rPr>
        <w:t xml:space="preserve"> working as a blogger at just fifteen years. He always wanted to learn something out of the box, carve his way through the top. Since childhood he was never interested in school textbooks, always wanting to do something that will make base for his future endeavours.</w:t>
      </w:r>
    </w:p>
    <w:p w14:paraId="149A6230" w14:textId="77777777" w:rsidR="00054BF0" w:rsidRDefault="00054BF0"/>
    <w:p w14:paraId="01B585BC" w14:textId="77777777" w:rsidR="00054BF0" w:rsidRDefault="00000000">
      <w:pPr>
        <w:spacing w:line="260" w:lineRule="atLeast"/>
        <w:jc w:val="both"/>
      </w:pPr>
      <w:r>
        <w:rPr>
          <w:rFonts w:ascii="Arial" w:eastAsia="Arial" w:hAnsi="Arial" w:cs="Arial"/>
          <w:color w:val="000000"/>
          <w:sz w:val="20"/>
        </w:rPr>
        <w:t>This amazing Gentleman was born in Varanasi, Uttar Pradesh And even as a small child his mind was filled with curiosity about the digital world. He always wanted to become something different and strived as a child to learn something out of the school books.</w:t>
      </w:r>
    </w:p>
    <w:p w14:paraId="2BD83CEA" w14:textId="77777777" w:rsidR="00054BF0" w:rsidRDefault="00054BF0"/>
    <w:p w14:paraId="21A598A8" w14:textId="77777777" w:rsidR="00054BF0" w:rsidRDefault="00000000">
      <w:pPr>
        <w:spacing w:before="200" w:line="260" w:lineRule="atLeast"/>
        <w:jc w:val="both"/>
      </w:pPr>
      <w:r>
        <w:rPr>
          <w:rFonts w:ascii="Arial" w:eastAsia="Arial" w:hAnsi="Arial" w:cs="Arial"/>
          <w:color w:val="000000"/>
          <w:sz w:val="20"/>
        </w:rPr>
        <w:t xml:space="preserve">Ayush Mauryavanshi learnt JavaScript, HTML, CSS and also learnt to code. He </w:t>
      </w:r>
      <w:r>
        <w:rPr>
          <w:rFonts w:ascii="Arial" w:eastAsia="Arial" w:hAnsi="Arial" w:cs="Arial"/>
          <w:b/>
          <w:i/>
          <w:color w:val="000000"/>
          <w:sz w:val="20"/>
          <w:u w:val="single"/>
        </w:rPr>
        <w:t>started</w:t>
      </w:r>
      <w:r>
        <w:rPr>
          <w:rFonts w:ascii="Arial" w:eastAsia="Arial" w:hAnsi="Arial" w:cs="Arial"/>
          <w:color w:val="000000"/>
          <w:sz w:val="20"/>
        </w:rPr>
        <w:t xml:space="preserve"> his career as a web developer but gradually became an entrepreneur. He has worked hard despite facing difficulties and obstacles in his life. His passions have shaped well and he has become this successful, his </w:t>
      </w:r>
      <w:r>
        <w:rPr>
          <w:rFonts w:ascii="Arial" w:eastAsia="Arial" w:hAnsi="Arial" w:cs="Arial"/>
          <w:b/>
          <w:i/>
          <w:color w:val="000000"/>
          <w:sz w:val="20"/>
          <w:u w:val="single"/>
        </w:rPr>
        <w:t>startups</w:t>
      </w:r>
      <w:r>
        <w:rPr>
          <w:rFonts w:ascii="Arial" w:eastAsia="Arial" w:hAnsi="Arial" w:cs="Arial"/>
          <w:color w:val="000000"/>
          <w:sz w:val="20"/>
        </w:rPr>
        <w:t xml:space="preserve"> have a turnover of almost a million and the outcome of his hardwork and determination is this success.</w:t>
      </w:r>
    </w:p>
    <w:p w14:paraId="68DE1F9F" w14:textId="77777777" w:rsidR="00054BF0" w:rsidRDefault="00054BF0"/>
    <w:p w14:paraId="2C70189D" w14:textId="77777777" w:rsidR="00054BF0" w:rsidRDefault="00000000">
      <w:pPr>
        <w:spacing w:before="200" w:line="260" w:lineRule="atLeast"/>
        <w:jc w:val="both"/>
      </w:pPr>
      <w:r>
        <w:rPr>
          <w:rFonts w:ascii="Arial" w:eastAsia="Arial" w:hAnsi="Arial" w:cs="Arial"/>
          <w:color w:val="000000"/>
          <w:sz w:val="20"/>
        </w:rPr>
        <w:lastRenderedPageBreak/>
        <w:t xml:space="preserve">He currently an Author Of Crypto:The Future Of Digital Economy And the founder of two Companies Asia Times Now, which is a news website that delivers the latest headlines in all genres. His other </w:t>
      </w:r>
      <w:r>
        <w:rPr>
          <w:rFonts w:ascii="Arial" w:eastAsia="Arial" w:hAnsi="Arial" w:cs="Arial"/>
          <w:b/>
          <w:i/>
          <w:color w:val="000000"/>
          <w:sz w:val="20"/>
          <w:u w:val="single"/>
        </w:rPr>
        <w:t>startup</w:t>
      </w:r>
      <w:r>
        <w:rPr>
          <w:rFonts w:ascii="Arial" w:eastAsia="Arial" w:hAnsi="Arial" w:cs="Arial"/>
          <w:color w:val="000000"/>
          <w:sz w:val="20"/>
        </w:rPr>
        <w:t xml:space="preserve"> is "TheGrowwers" which is his first </w:t>
      </w:r>
      <w:r>
        <w:rPr>
          <w:rFonts w:ascii="Arial" w:eastAsia="Arial" w:hAnsi="Arial" w:cs="Arial"/>
          <w:b/>
          <w:i/>
          <w:color w:val="000000"/>
          <w:sz w:val="20"/>
          <w:u w:val="single"/>
        </w:rPr>
        <w:t>startup</w:t>
      </w:r>
      <w:r>
        <w:rPr>
          <w:rFonts w:ascii="Arial" w:eastAsia="Arial" w:hAnsi="Arial" w:cs="Arial"/>
          <w:color w:val="000000"/>
          <w:sz w:val="20"/>
        </w:rPr>
        <w:t xml:space="preserve">, and it has blossomed after many </w:t>
      </w:r>
      <w:r>
        <w:rPr>
          <w:rFonts w:ascii="Arial" w:eastAsia="Arial" w:hAnsi="Arial" w:cs="Arial"/>
          <w:b/>
          <w:i/>
          <w:color w:val="000000"/>
          <w:sz w:val="20"/>
          <w:u w:val="single"/>
        </w:rPr>
        <w:t>failures</w:t>
      </w:r>
      <w:r>
        <w:rPr>
          <w:rFonts w:ascii="Arial" w:eastAsia="Arial" w:hAnsi="Arial" w:cs="Arial"/>
          <w:color w:val="000000"/>
          <w:sz w:val="20"/>
        </w:rPr>
        <w:t xml:space="preserve">. He </w:t>
      </w:r>
      <w:r>
        <w:rPr>
          <w:rFonts w:ascii="Arial" w:eastAsia="Arial" w:hAnsi="Arial" w:cs="Arial"/>
          <w:b/>
          <w:i/>
          <w:color w:val="000000"/>
          <w:sz w:val="20"/>
          <w:u w:val="single"/>
        </w:rPr>
        <w:t>started</w:t>
      </w:r>
      <w:r>
        <w:rPr>
          <w:rFonts w:ascii="Arial" w:eastAsia="Arial" w:hAnsi="Arial" w:cs="Arial"/>
          <w:color w:val="000000"/>
          <w:sz w:val="20"/>
        </w:rPr>
        <w:t xml:space="preserve"> this </w:t>
      </w:r>
      <w:r>
        <w:rPr>
          <w:rFonts w:ascii="Arial" w:eastAsia="Arial" w:hAnsi="Arial" w:cs="Arial"/>
          <w:b/>
          <w:i/>
          <w:color w:val="000000"/>
          <w:sz w:val="20"/>
          <w:u w:val="single"/>
        </w:rPr>
        <w:t>startup</w:t>
      </w:r>
      <w:r>
        <w:rPr>
          <w:rFonts w:ascii="Arial" w:eastAsia="Arial" w:hAnsi="Arial" w:cs="Arial"/>
          <w:color w:val="000000"/>
          <w:sz w:val="20"/>
        </w:rPr>
        <w:t xml:space="preserve"> two years ago and he has since then provided his customers with both online and offline services.</w:t>
      </w:r>
    </w:p>
    <w:p w14:paraId="636D108E" w14:textId="77777777" w:rsidR="00054BF0" w:rsidRDefault="00054BF0"/>
    <w:p w14:paraId="6A210966" w14:textId="77777777" w:rsidR="00054BF0" w:rsidRDefault="00000000">
      <w:pPr>
        <w:spacing w:before="200" w:line="260" w:lineRule="atLeast"/>
        <w:jc w:val="both"/>
      </w:pPr>
      <w:r>
        <w:rPr>
          <w:rFonts w:ascii="Arial" w:eastAsia="Arial" w:hAnsi="Arial" w:cs="Arial"/>
          <w:color w:val="000000"/>
          <w:sz w:val="20"/>
        </w:rPr>
        <w:t xml:space="preserve">Ayush provides his users with services like social media handling, SEO, press publication, website handling, and also his </w:t>
      </w:r>
      <w:r>
        <w:rPr>
          <w:rFonts w:ascii="Arial" w:eastAsia="Arial" w:hAnsi="Arial" w:cs="Arial"/>
          <w:b/>
          <w:i/>
          <w:color w:val="000000"/>
          <w:sz w:val="20"/>
          <w:u w:val="single"/>
        </w:rPr>
        <w:t>startup</w:t>
      </w:r>
      <w:r>
        <w:rPr>
          <w:rFonts w:ascii="Arial" w:eastAsia="Arial" w:hAnsi="Arial" w:cs="Arial"/>
          <w:color w:val="000000"/>
          <w:sz w:val="20"/>
        </w:rPr>
        <w:t xml:space="preserve"> has helped in the growth of online and offline business of </w:t>
      </w:r>
      <w:r>
        <w:rPr>
          <w:rFonts w:ascii="Arial" w:eastAsia="Arial" w:hAnsi="Arial" w:cs="Arial"/>
          <w:b/>
          <w:i/>
          <w:color w:val="000000"/>
          <w:sz w:val="20"/>
          <w:u w:val="single"/>
        </w:rPr>
        <w:t>startups</w:t>
      </w:r>
      <w:r>
        <w:rPr>
          <w:rFonts w:ascii="Arial" w:eastAsia="Arial" w:hAnsi="Arial" w:cs="Arial"/>
          <w:color w:val="000000"/>
          <w:sz w:val="20"/>
        </w:rPr>
        <w:t>.</w:t>
      </w:r>
    </w:p>
    <w:p w14:paraId="10728AE3" w14:textId="77777777" w:rsidR="00054BF0" w:rsidRDefault="00054BF0"/>
    <w:p w14:paraId="1546F179" w14:textId="77777777" w:rsidR="00054BF0" w:rsidRDefault="00000000">
      <w:pPr>
        <w:spacing w:before="200" w:line="260" w:lineRule="atLeast"/>
        <w:jc w:val="both"/>
      </w:pPr>
      <w:r>
        <w:rPr>
          <w:rFonts w:ascii="Arial" w:eastAsia="Arial" w:hAnsi="Arial" w:cs="Arial"/>
          <w:color w:val="000000"/>
          <w:sz w:val="20"/>
        </w:rPr>
        <w:t xml:space="preserve">His </w:t>
      </w:r>
      <w:r>
        <w:rPr>
          <w:rFonts w:ascii="Arial" w:eastAsia="Arial" w:hAnsi="Arial" w:cs="Arial"/>
          <w:b/>
          <w:i/>
          <w:color w:val="000000"/>
          <w:sz w:val="20"/>
          <w:u w:val="single"/>
        </w:rPr>
        <w:t>startups</w:t>
      </w:r>
      <w:r>
        <w:rPr>
          <w:rFonts w:ascii="Arial" w:eastAsia="Arial" w:hAnsi="Arial" w:cs="Arial"/>
          <w:color w:val="000000"/>
          <w:sz w:val="20"/>
        </w:rPr>
        <w:t xml:space="preserve"> house thousands of clients that come from both domestic and international sides. He has shown that determination can take you to the top. Although he has always been an average student at school, he has shown extraordinary qualities in the digital marketing sector.</w:t>
      </w:r>
    </w:p>
    <w:p w14:paraId="5DAA5B9D" w14:textId="77777777" w:rsidR="00054BF0" w:rsidRDefault="00054BF0"/>
    <w:p w14:paraId="6B8979C3" w14:textId="77777777" w:rsidR="00054BF0" w:rsidRDefault="00000000">
      <w:pPr>
        <w:spacing w:before="200" w:line="260" w:lineRule="atLeast"/>
        <w:jc w:val="both"/>
      </w:pPr>
      <w:r>
        <w:rPr>
          <w:rFonts w:ascii="Arial" w:eastAsia="Arial" w:hAnsi="Arial" w:cs="Arial"/>
          <w:color w:val="000000"/>
          <w:sz w:val="20"/>
        </w:rPr>
        <w:t xml:space="preserve">Apart from investing time as a blogger, he has also invested in Crypto, MF, Stocks. He has poised as a perfect example to youth of Gen Z His </w:t>
      </w:r>
      <w:r>
        <w:rPr>
          <w:rFonts w:ascii="Arial" w:eastAsia="Arial" w:hAnsi="Arial" w:cs="Arial"/>
          <w:b/>
          <w:i/>
          <w:color w:val="000000"/>
          <w:sz w:val="20"/>
          <w:u w:val="single"/>
        </w:rPr>
        <w:t>startups</w:t>
      </w:r>
      <w:r>
        <w:rPr>
          <w:rFonts w:ascii="Arial" w:eastAsia="Arial" w:hAnsi="Arial" w:cs="Arial"/>
          <w:color w:val="000000"/>
          <w:sz w:val="20"/>
        </w:rPr>
        <w:t xml:space="preserve"> are already on the top and they still have potential to prosper and grow.</w:t>
      </w:r>
    </w:p>
    <w:p w14:paraId="141124FB" w14:textId="77777777" w:rsidR="00054BF0" w:rsidRDefault="00054BF0"/>
    <w:p w14:paraId="70C45D77" w14:textId="77777777" w:rsidR="00054BF0" w:rsidRDefault="00000000">
      <w:pPr>
        <w:spacing w:line="260" w:lineRule="atLeast"/>
        <w:jc w:val="both"/>
      </w:pPr>
      <w:r>
        <w:rPr>
          <w:rFonts w:ascii="Arial" w:eastAsia="Arial" w:hAnsi="Arial" w:cs="Arial"/>
          <w:color w:val="000000"/>
          <w:sz w:val="20"/>
        </w:rPr>
        <w:t>Ayush is one of the many Entrepreneurs who were born out of the advancement in the digital market, but not many succeeded. He is one of those who never looked back despite the harsh difficulties that he faced.</w:t>
      </w:r>
    </w:p>
    <w:p w14:paraId="3842857C" w14:textId="77777777" w:rsidR="00054BF0" w:rsidRDefault="00054BF0"/>
    <w:p w14:paraId="6B07A536" w14:textId="77777777" w:rsidR="00054BF0" w:rsidRDefault="00000000">
      <w:pPr>
        <w:spacing w:line="260" w:lineRule="atLeast"/>
        <w:jc w:val="both"/>
      </w:pPr>
      <w:r>
        <w:rPr>
          <w:rFonts w:ascii="Arial" w:eastAsia="Arial" w:hAnsi="Arial" w:cs="Arial"/>
          <w:color w:val="000000"/>
          <w:sz w:val="20"/>
        </w:rPr>
        <w:t>MENAFN19072021005886012879ID1102475953</w:t>
      </w:r>
    </w:p>
    <w:p w14:paraId="1F59E72E"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15, 2021</w:t>
      </w:r>
    </w:p>
    <w:p w14:paraId="57068C2D" w14:textId="77777777" w:rsidR="00054BF0" w:rsidRDefault="00054BF0"/>
    <w:p w14:paraId="313C8A97" w14:textId="77777777" w:rsidR="00054BF0" w:rsidRDefault="00000000">
      <w:pPr>
        <w:ind w:left="200"/>
        <w:sectPr w:rsidR="00054BF0">
          <w:type w:val="continuous"/>
          <w:pgSz w:w="12240" w:h="15840"/>
          <w:pgMar w:top="840" w:right="1000" w:bottom="840" w:left="1000" w:header="400" w:footer="400" w:gutter="0"/>
          <w:cols w:space="720"/>
        </w:sectPr>
      </w:pPr>
      <w:r>
        <w:br/>
      </w:r>
      <w:r>
        <w:pict w14:anchorId="0649A10C">
          <v:line id="_x0000_s2133" style="position:absolute;left:0;text-align:left;z-index:251709440;mso-position-horizontal-relative:text;mso-position-vertical-relative:text" from="0,10pt" to="512pt,10pt" strokeweight="1pt"/>
        </w:pict>
      </w:r>
      <w:r>
        <w:rPr>
          <w:rFonts w:ascii="Arial" w:eastAsia="Arial" w:hAnsi="Arial" w:cs="Arial"/>
          <w:b/>
          <w:color w:val="767676"/>
          <w:sz w:val="16"/>
        </w:rPr>
        <w:t>End of Document</w:t>
      </w:r>
    </w:p>
    <w:p w14:paraId="7A9DA070" w14:textId="77777777" w:rsidR="00054BF0" w:rsidRDefault="00054BF0">
      <w:pPr>
        <w:sectPr w:rsidR="00054BF0">
          <w:headerReference w:type="even" r:id="rId439"/>
          <w:headerReference w:type="default" r:id="rId440"/>
          <w:footerReference w:type="even" r:id="rId441"/>
          <w:footerReference w:type="default" r:id="rId442"/>
          <w:headerReference w:type="first" r:id="rId443"/>
          <w:footerReference w:type="first" r:id="rId444"/>
          <w:pgSz w:w="12240" w:h="15840"/>
          <w:pgMar w:top="840" w:right="1000" w:bottom="840" w:left="1000" w:header="400" w:footer="400" w:gutter="0"/>
          <w:cols w:space="720"/>
          <w:titlePg/>
        </w:sectPr>
      </w:pPr>
    </w:p>
    <w:p w14:paraId="0C20E3E0" w14:textId="77777777" w:rsidR="00054BF0" w:rsidRDefault="00054BF0">
      <w:bookmarkStart w:id="50" w:name="Bookmark_26"/>
      <w:bookmarkEnd w:id="50"/>
    </w:p>
    <w:p w14:paraId="64D2AD2A" w14:textId="77777777" w:rsidR="00054BF0" w:rsidRDefault="00BE2275">
      <w:r>
        <w:pict w14:anchorId="51B40E38">
          <v:shape id="_x0000_i1060" type="#_x0000_t75" alt="LexisNexis®" style="width:148pt;height:30pt">
            <v:imagedata r:id="rId6" o:title=""/>
          </v:shape>
        </w:pict>
      </w:r>
      <w:r w:rsidR="00A540D1">
        <w:cr/>
      </w:r>
    </w:p>
    <w:p w14:paraId="014A0538" w14:textId="77777777" w:rsidR="00054BF0" w:rsidRDefault="00000000">
      <w:pPr>
        <w:spacing w:before="240" w:after="200" w:line="340" w:lineRule="atLeast"/>
        <w:jc w:val="center"/>
        <w:outlineLvl w:val="0"/>
        <w:rPr>
          <w:rFonts w:ascii="Arial" w:hAnsi="Arial" w:cs="Arial"/>
          <w:b/>
          <w:bCs/>
          <w:kern w:val="32"/>
          <w:sz w:val="32"/>
          <w:szCs w:val="32"/>
        </w:rPr>
      </w:pPr>
      <w:hyperlink r:id="rId445" w:history="1">
        <w:r>
          <w:rPr>
            <w:rFonts w:ascii="Arial" w:eastAsia="Arial" w:hAnsi="Arial" w:cs="Arial"/>
            <w:b/>
            <w:bCs/>
            <w:i/>
            <w:color w:val="0077CC"/>
            <w:kern w:val="32"/>
            <w:sz w:val="28"/>
            <w:szCs w:val="32"/>
            <w:u w:val="single"/>
            <w:shd w:val="clear" w:color="auto" w:fill="FFFFFF"/>
          </w:rPr>
          <w:t>National Emission Standards for Hazardous Air Pollutants: Plywood and Composite Wood Products Residual Risk and Technology Review</w:t>
        </w:r>
      </w:hyperlink>
    </w:p>
    <w:p w14:paraId="0FB6EA79" w14:textId="77777777" w:rsidR="00054BF0" w:rsidRDefault="00000000">
      <w:pPr>
        <w:spacing w:before="120" w:line="260" w:lineRule="atLeast"/>
        <w:jc w:val="center"/>
      </w:pPr>
      <w:r>
        <w:rPr>
          <w:rFonts w:ascii="Arial" w:eastAsia="Arial" w:hAnsi="Arial" w:cs="Arial"/>
          <w:color w:val="000000"/>
          <w:sz w:val="20"/>
        </w:rPr>
        <w:t>Impact News Service</w:t>
      </w:r>
    </w:p>
    <w:p w14:paraId="774DCF1D" w14:textId="77777777" w:rsidR="00054BF0" w:rsidRDefault="00000000">
      <w:pPr>
        <w:spacing w:before="120" w:line="260" w:lineRule="atLeast"/>
        <w:jc w:val="center"/>
      </w:pPr>
      <w:r>
        <w:rPr>
          <w:rFonts w:ascii="Arial" w:eastAsia="Arial" w:hAnsi="Arial" w:cs="Arial"/>
          <w:color w:val="000000"/>
          <w:sz w:val="20"/>
        </w:rPr>
        <w:t>September 7, 2019 Saturday</w:t>
      </w:r>
    </w:p>
    <w:p w14:paraId="7F0F88D9" w14:textId="77777777" w:rsidR="00054BF0" w:rsidRDefault="00054BF0">
      <w:pPr>
        <w:spacing w:line="240" w:lineRule="atLeast"/>
        <w:jc w:val="both"/>
      </w:pPr>
    </w:p>
    <w:p w14:paraId="1201F86D" w14:textId="77777777" w:rsidR="00054BF0" w:rsidRDefault="00000000">
      <w:pPr>
        <w:spacing w:before="120" w:line="220" w:lineRule="atLeast"/>
      </w:pPr>
      <w:r>
        <w:br/>
      </w:r>
      <w:r>
        <w:rPr>
          <w:rFonts w:ascii="Arial" w:eastAsia="Arial" w:hAnsi="Arial" w:cs="Arial"/>
          <w:color w:val="000000"/>
          <w:sz w:val="16"/>
        </w:rPr>
        <w:t>Copyright 2019 Impact Media Limited All Rights Reserved</w:t>
      </w:r>
    </w:p>
    <w:p w14:paraId="70A4305B" w14:textId="77777777" w:rsidR="00054BF0" w:rsidRDefault="00000000">
      <w:pPr>
        <w:spacing w:before="120" w:line="220" w:lineRule="atLeast"/>
      </w:pPr>
      <w:r>
        <w:br/>
      </w:r>
      <w:r>
        <w:pict w14:anchorId="0392516A">
          <v:shape id="_x0000_i1061" type="#_x0000_t75" style="width:162pt;height:81pt">
            <v:imagedata r:id="rId379" o:title=""/>
          </v:shape>
        </w:pict>
      </w:r>
    </w:p>
    <w:p w14:paraId="65E00D31"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42103 words</w:t>
      </w:r>
    </w:p>
    <w:p w14:paraId="5F66EDA3" w14:textId="77777777" w:rsidR="00054BF0" w:rsidRDefault="00000000">
      <w:pPr>
        <w:keepNext/>
        <w:spacing w:before="240" w:line="340" w:lineRule="atLeast"/>
      </w:pPr>
      <w:bookmarkStart w:id="51" w:name="Body_24"/>
      <w:bookmarkEnd w:id="51"/>
      <w:r>
        <w:rPr>
          <w:rFonts w:ascii="Arial" w:eastAsia="Arial" w:hAnsi="Arial" w:cs="Arial"/>
          <w:b/>
          <w:color w:val="000000"/>
          <w:sz w:val="28"/>
        </w:rPr>
        <w:t>Body</w:t>
      </w:r>
    </w:p>
    <w:p w14:paraId="0AB76215" w14:textId="77777777" w:rsidR="00054BF0" w:rsidRDefault="00000000">
      <w:pPr>
        <w:spacing w:line="60" w:lineRule="exact"/>
      </w:pPr>
      <w:r>
        <w:pict w14:anchorId="1F4A0589">
          <v:line id="_x0000_s2136" style="position:absolute;z-index:251710464" from="0,2pt" to="512pt,2pt" strokecolor="#009ddb" strokeweight="2pt">
            <w10:wrap type="topAndBottom"/>
          </v:line>
        </w:pict>
      </w:r>
    </w:p>
    <w:p w14:paraId="383A6744" w14:textId="77777777" w:rsidR="00054BF0" w:rsidRDefault="00054BF0"/>
    <w:p w14:paraId="339878EA" w14:textId="77777777" w:rsidR="00054BF0" w:rsidRDefault="00000000">
      <w:pPr>
        <w:spacing w:before="200" w:line="260" w:lineRule="atLeast"/>
        <w:jc w:val="both"/>
      </w:pPr>
      <w:r>
        <w:rPr>
          <w:rFonts w:ascii="Arial" w:eastAsia="Arial" w:hAnsi="Arial" w:cs="Arial"/>
          <w:color w:val="000000"/>
          <w:sz w:val="20"/>
        </w:rPr>
        <w:t>Washington, DC: This Proposed Rule document was issued by the Environmental Protection Agency (EPA)</w:t>
      </w:r>
    </w:p>
    <w:p w14:paraId="7B638158" w14:textId="77777777" w:rsidR="00054BF0" w:rsidRDefault="00000000">
      <w:pPr>
        <w:spacing w:before="200" w:line="260" w:lineRule="atLeast"/>
        <w:jc w:val="both"/>
      </w:pPr>
      <w:r>
        <w:rPr>
          <w:rFonts w:ascii="Arial" w:eastAsia="Arial" w:hAnsi="Arial" w:cs="Arial"/>
          <w:color w:val="000000"/>
          <w:sz w:val="20"/>
        </w:rPr>
        <w:t>Action</w:t>
      </w:r>
    </w:p>
    <w:p w14:paraId="33661317" w14:textId="77777777" w:rsidR="00054BF0" w:rsidRDefault="00000000">
      <w:pPr>
        <w:spacing w:before="200" w:line="260" w:lineRule="atLeast"/>
        <w:jc w:val="both"/>
      </w:pPr>
      <w:r>
        <w:rPr>
          <w:rFonts w:ascii="Arial" w:eastAsia="Arial" w:hAnsi="Arial" w:cs="Arial"/>
          <w:color w:val="000000"/>
          <w:sz w:val="20"/>
        </w:rPr>
        <w:t>Proposed rule.Summary</w:t>
      </w:r>
    </w:p>
    <w:p w14:paraId="6DF73896" w14:textId="77777777" w:rsidR="00054BF0" w:rsidRDefault="00000000">
      <w:pPr>
        <w:spacing w:before="200" w:line="260" w:lineRule="atLeast"/>
        <w:jc w:val="both"/>
      </w:pPr>
      <w:r>
        <w:rPr>
          <w:rFonts w:ascii="Arial" w:eastAsia="Arial" w:hAnsi="Arial" w:cs="Arial"/>
          <w:color w:val="000000"/>
          <w:sz w:val="20"/>
        </w:rPr>
        <w:t xml:space="preserve">The U.S Environmental Protection Agency (EPA) is proposing amendments to the National Emissions Standards for Hazardous Air Pollutants (NESHAP) for Plywood and Composite Wood Products (PCWP) to address the results of the residual risk and technology review (RTR) that the EPA is required to conduct under the Clean Air Act (CAA). The EPA is proposing to amend provisions addressing periods of </w:t>
      </w:r>
      <w:r>
        <w:rPr>
          <w:rFonts w:ascii="Arial" w:eastAsia="Arial" w:hAnsi="Arial" w:cs="Arial"/>
          <w:b/>
          <w:i/>
          <w:color w:val="000000"/>
          <w:sz w:val="20"/>
          <w:u w:val="single"/>
        </w:rPr>
        <w:t>startup</w:t>
      </w:r>
      <w:r>
        <w:rPr>
          <w:rFonts w:ascii="Arial" w:eastAsia="Arial" w:hAnsi="Arial" w:cs="Arial"/>
          <w:color w:val="000000"/>
          <w:sz w:val="20"/>
        </w:rPr>
        <w:t>, shutdown and malfunction (SSM); add provisions regarding electronic reporting; add repeat emissions testing requirements; and make technical and editorial changes. The EPA is proposing these amendments to improve the effectiveness of the NESHAP. While the proposed amendments would not result in reductions in emissions of hazardous air pollutants (HAP), this action, if finalized, would result in improved monitoring, compliance, and implementation of the rule.Dates</w:t>
      </w:r>
    </w:p>
    <w:p w14:paraId="4042CD86" w14:textId="77777777" w:rsidR="00054BF0" w:rsidRDefault="00000000">
      <w:pPr>
        <w:spacing w:before="200" w:line="260" w:lineRule="atLeast"/>
        <w:jc w:val="both"/>
      </w:pPr>
      <w:r>
        <w:rPr>
          <w:rFonts w:ascii="Arial" w:eastAsia="Arial" w:hAnsi="Arial" w:cs="Arial"/>
          <w:color w:val="000000"/>
          <w:sz w:val="20"/>
        </w:rPr>
        <w:t>Comments. Comments must be received on or before October 21, 2019. Under the Paperwork Reduction Act (PRA), comments on the information collection provisions are best assured of consideration if the Office of Management and Budget (OMB) receives a copy of your comments on or before October 7, 2019.</w:t>
      </w:r>
    </w:p>
    <w:p w14:paraId="5DD37168" w14:textId="77777777" w:rsidR="00054BF0" w:rsidRDefault="00000000">
      <w:pPr>
        <w:spacing w:before="240" w:line="260" w:lineRule="atLeast"/>
        <w:jc w:val="both"/>
      </w:pPr>
      <w:r>
        <w:rPr>
          <w:rFonts w:ascii="Arial" w:eastAsia="Arial" w:hAnsi="Arial" w:cs="Arial"/>
          <w:color w:val="000000"/>
          <w:sz w:val="20"/>
        </w:rPr>
        <w:t xml:space="preserve">Public hearing. If anyone contacts us requesting a public hearing on or before September 11, 2019, the EPA will hold a hearing. Additional information about the hearing, if requested, will be published in a subsequent Federal Register document and posted at </w:t>
      </w:r>
      <w:hyperlink r:id="rId446" w:history="1">
        <w:r>
          <w:rPr>
            <w:rFonts w:ascii="Arial" w:eastAsia="Arial" w:hAnsi="Arial" w:cs="Arial"/>
            <w:i/>
            <w:color w:val="0077CC"/>
            <w:sz w:val="20"/>
            <w:u w:val="single"/>
            <w:shd w:val="clear" w:color="auto" w:fill="FFFFFF"/>
          </w:rPr>
          <w:t>https://www.epa.gov/stationary-sources-air-pollution/plywood-and-composite-wood-products-manufacture-national-emission</w:t>
        </w:r>
      </w:hyperlink>
      <w:r>
        <w:rPr>
          <w:rFonts w:ascii="Arial" w:eastAsia="Arial" w:hAnsi="Arial" w:cs="Arial"/>
          <w:color w:val="000000"/>
          <w:sz w:val="20"/>
        </w:rPr>
        <w:t>. See SUPPLEMENTARY INFORMATION for information on requesting and registering for a public hearing.Addresses</w:t>
      </w:r>
    </w:p>
    <w:p w14:paraId="13B299EC" w14:textId="77777777" w:rsidR="00054BF0" w:rsidRDefault="00000000">
      <w:pPr>
        <w:spacing w:before="200" w:line="260" w:lineRule="atLeast"/>
        <w:jc w:val="both"/>
      </w:pPr>
      <w:r>
        <w:rPr>
          <w:rFonts w:ascii="Arial" w:eastAsia="Arial" w:hAnsi="Arial" w:cs="Arial"/>
          <w:color w:val="000000"/>
          <w:sz w:val="20"/>
        </w:rPr>
        <w:t>You may send comments, identified by Docket ID No. EPA-HQ-OAR-2016-0243, by any of the following methods:</w:t>
      </w:r>
    </w:p>
    <w:p w14:paraId="45C79EDE" w14:textId="77777777" w:rsidR="00054BF0" w:rsidRDefault="00000000">
      <w:pPr>
        <w:spacing w:before="240" w:line="260" w:lineRule="atLeast"/>
        <w:jc w:val="both"/>
      </w:pPr>
      <w:r>
        <w:rPr>
          <w:rFonts w:ascii="Arial" w:eastAsia="Arial" w:hAnsi="Arial" w:cs="Arial"/>
          <w:color w:val="000000"/>
          <w:sz w:val="20"/>
        </w:rPr>
        <w:lastRenderedPageBreak/>
        <w:t xml:space="preserve">Federal eRulemaking Portal: </w:t>
      </w:r>
      <w:hyperlink r:id="rId447"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xml:space="preserve">/ (our preferred method). Follow the online instructions for submitting comments. Email: </w:t>
      </w:r>
      <w:hyperlink r:id="rId448" w:history="1">
        <w:r>
          <w:rPr>
            <w:rFonts w:ascii="Arial" w:eastAsia="Arial" w:hAnsi="Arial" w:cs="Arial"/>
            <w:i/>
            <w:color w:val="0077CC"/>
            <w:sz w:val="20"/>
            <w:u w:val="single"/>
            <w:shd w:val="clear" w:color="auto" w:fill="FFFFFF"/>
          </w:rPr>
          <w:t>a-and-r-docket@epa.gov</w:t>
        </w:r>
      </w:hyperlink>
      <w:r>
        <w:rPr>
          <w:rFonts w:ascii="Arial" w:eastAsia="Arial" w:hAnsi="Arial" w:cs="Arial"/>
          <w:color w:val="000000"/>
          <w:sz w:val="20"/>
        </w:rPr>
        <w:t xml:space="preserve"> Include Docket ID No. EPA-HQ-OAR-2016-0243 in the subject line of the message. Fax: (202) 566-9744. Attention Docket ID No. EPA-HQ-OAR-2016-0243. Mail: U.S Environmental Protection Agency, EPA Docket Center, Environmental Protection Agency Docket ID No. EPA-HQ-OAR-2016-0243, Mail Code 28221T, 1200 Pennsylvania Avenue NW, Washington, DC 20460. Hand/Courier Delivery: EPA Docket Center, WJC West Building, Room 3334, 1301 Constitution Avenue NW, Washington, DC 20004. The Docket Center's hours of operation are 8:30 a.m -4:30 p.m , Monday—Friday (except federal holidays).</w:t>
      </w:r>
    </w:p>
    <w:p w14:paraId="162683F7" w14:textId="77777777" w:rsidR="00054BF0" w:rsidRDefault="00000000">
      <w:pPr>
        <w:spacing w:before="240" w:line="260" w:lineRule="atLeast"/>
        <w:jc w:val="both"/>
      </w:pPr>
      <w:r>
        <w:rPr>
          <w:rFonts w:ascii="Arial" w:eastAsia="Arial" w:hAnsi="Arial" w:cs="Arial"/>
          <w:color w:val="000000"/>
          <w:sz w:val="20"/>
        </w:rPr>
        <w:t xml:space="preserve">Instructions: All submissions received must include the Docket ID No. for this rulemaking. Comments received may be posted without change to </w:t>
      </w:r>
      <w:hyperlink r:id="rId449"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including any personal information provided. For detailed instructions on sending comments and additional information on the rulemaking process, see the SUPPLEMENTARY INFORMATION section of this document.For Further Information Contact</w:t>
      </w:r>
    </w:p>
    <w:p w14:paraId="5EA161FC" w14:textId="77777777" w:rsidR="00054BF0" w:rsidRDefault="00000000">
      <w:pPr>
        <w:spacing w:before="240" w:line="260" w:lineRule="atLeast"/>
        <w:jc w:val="both"/>
      </w:pPr>
      <w:r>
        <w:rPr>
          <w:rFonts w:ascii="Arial" w:eastAsia="Arial" w:hAnsi="Arial" w:cs="Arial"/>
          <w:color w:val="000000"/>
          <w:sz w:val="20"/>
        </w:rPr>
        <w:t xml:space="preserve">For questions about this proposed action, contact Ms. Katie Hanks, Sector Policies and Programs Division (E143-03), Office of Air Quality Planning and Standards, U.S Environmental Protection Agency, Research Triangle Park, North Carolina 27711; telephone number: (919) 541-2159; fax number: (919) 541-0516; and email address: </w:t>
      </w:r>
      <w:hyperlink r:id="rId450" w:history="1">
        <w:r>
          <w:rPr>
            <w:rFonts w:ascii="Arial" w:eastAsia="Arial" w:hAnsi="Arial" w:cs="Arial"/>
            <w:i/>
            <w:color w:val="0077CC"/>
            <w:sz w:val="20"/>
            <w:u w:val="single"/>
            <w:shd w:val="clear" w:color="auto" w:fill="FFFFFF"/>
          </w:rPr>
          <w:t>hanks.katie@epa.gov</w:t>
        </w:r>
      </w:hyperlink>
      <w:r>
        <w:rPr>
          <w:rFonts w:ascii="Arial" w:eastAsia="Arial" w:hAnsi="Arial" w:cs="Arial"/>
          <w:color w:val="000000"/>
          <w:sz w:val="20"/>
        </w:rPr>
        <w:t xml:space="preserve"> For specific information regarding the risk modeling methodology, contact Mr. James Hirtz, Health and Environmental Impacts Division (C539-02), Office of Air Quality Planning and Standards, U.S Environmental Protection Agency, Research Triangle Park, North Carolina 27711; telephone number: (919) 541-0881; fax number: (919) 541-0840; and email address: </w:t>
      </w:r>
      <w:hyperlink r:id="rId451" w:history="1">
        <w:r>
          <w:rPr>
            <w:rFonts w:ascii="Arial" w:eastAsia="Arial" w:hAnsi="Arial" w:cs="Arial"/>
            <w:i/>
            <w:color w:val="0077CC"/>
            <w:sz w:val="20"/>
            <w:u w:val="single"/>
            <w:shd w:val="clear" w:color="auto" w:fill="FFFFFF"/>
          </w:rPr>
          <w:t>hirtz.james@epa.gov</w:t>
        </w:r>
      </w:hyperlink>
      <w:r>
        <w:rPr>
          <w:rFonts w:ascii="Arial" w:eastAsia="Arial" w:hAnsi="Arial" w:cs="Arial"/>
          <w:color w:val="000000"/>
          <w:sz w:val="20"/>
        </w:rPr>
        <w:t xml:space="preserve"> For questions about monitoring and testing requirements, contact Mr. Kevin McGinn, Sector Policies and Programs Division (D230-02), Office of Air Quality Planning and Standards, U.S Environmental Protection Agency, Research Triangle Park, North Carolina 27711; telephone number: (919) 541-3796; fax number: (919) 541-4991; and email address: </w:t>
      </w:r>
      <w:hyperlink r:id="rId452" w:history="1">
        <w:r>
          <w:rPr>
            <w:rFonts w:ascii="Arial" w:eastAsia="Arial" w:hAnsi="Arial" w:cs="Arial"/>
            <w:i/>
            <w:color w:val="0077CC"/>
            <w:sz w:val="20"/>
            <w:u w:val="single"/>
            <w:shd w:val="clear" w:color="auto" w:fill="FFFFFF"/>
          </w:rPr>
          <w:t>mcginn.kevin@epa.gov</w:t>
        </w:r>
      </w:hyperlink>
      <w:r>
        <w:rPr>
          <w:rFonts w:ascii="Arial" w:eastAsia="Arial" w:hAnsi="Arial" w:cs="Arial"/>
          <w:color w:val="000000"/>
          <w:sz w:val="20"/>
        </w:rPr>
        <w:t xml:space="preserve"> For information about the applicability of the NESHAP to a particular entity, contact Mr. John Cox, Office of Enforcement and Compliance Assurance, U.S Environmental Protection Agency, WJC South Building (Mail Code 2221A), 1200 Pennsylvania Avenue NW, Washington, DC 20460; telephone number: (202) 564-1395; and email address: </w:t>
      </w:r>
      <w:hyperlink r:id="rId453" w:history="1">
        <w:r>
          <w:rPr>
            <w:rFonts w:ascii="Arial" w:eastAsia="Arial" w:hAnsi="Arial" w:cs="Arial"/>
            <w:i/>
            <w:color w:val="0077CC"/>
            <w:sz w:val="20"/>
            <w:u w:val="single"/>
            <w:shd w:val="clear" w:color="auto" w:fill="FFFFFF"/>
          </w:rPr>
          <w:t>cox.john@epa.gov</w:t>
        </w:r>
      </w:hyperlink>
      <w:r>
        <w:rPr>
          <w:rFonts w:ascii="Arial" w:eastAsia="Arial" w:hAnsi="Arial" w:cs="Arial"/>
          <w:color w:val="000000"/>
          <w:sz w:val="20"/>
        </w:rPr>
        <w:t xml:space="preserve"> Supplementary Information</w:t>
      </w:r>
    </w:p>
    <w:p w14:paraId="7038F6C8" w14:textId="77777777" w:rsidR="00054BF0" w:rsidRDefault="00000000">
      <w:pPr>
        <w:spacing w:before="240" w:line="260" w:lineRule="atLeast"/>
        <w:jc w:val="both"/>
      </w:pPr>
      <w:r>
        <w:rPr>
          <w:rFonts w:ascii="Arial" w:eastAsia="Arial" w:hAnsi="Arial" w:cs="Arial"/>
          <w:color w:val="000000"/>
          <w:sz w:val="20"/>
        </w:rPr>
        <w:t xml:space="preserve">Public hearing. Please contact Ms. Virginia Hunt at (919) 541-0832 or by email at </w:t>
      </w:r>
      <w:hyperlink r:id="rId454" w:history="1">
        <w:r>
          <w:rPr>
            <w:rFonts w:ascii="Arial" w:eastAsia="Arial" w:hAnsi="Arial" w:cs="Arial"/>
            <w:i/>
            <w:color w:val="0077CC"/>
            <w:sz w:val="20"/>
            <w:u w:val="single"/>
            <w:shd w:val="clear" w:color="auto" w:fill="FFFFFF"/>
          </w:rPr>
          <w:t>hunt.virginia@epa.gov</w:t>
        </w:r>
      </w:hyperlink>
      <w:r>
        <w:rPr>
          <w:rFonts w:ascii="Arial" w:eastAsia="Arial" w:hAnsi="Arial" w:cs="Arial"/>
          <w:color w:val="000000"/>
          <w:sz w:val="20"/>
        </w:rPr>
        <w:t xml:space="preserve"> to request a public hearing, to register to speak at the public hearing, or to inquire as to whether a public hearing will be held.</w:t>
      </w:r>
    </w:p>
    <w:p w14:paraId="5460489F" w14:textId="77777777" w:rsidR="00054BF0" w:rsidRDefault="00000000">
      <w:pPr>
        <w:spacing w:before="200" w:line="260" w:lineRule="atLeast"/>
        <w:jc w:val="both"/>
      </w:pPr>
      <w:r>
        <w:rPr>
          <w:rFonts w:ascii="Arial" w:eastAsia="Arial" w:hAnsi="Arial" w:cs="Arial"/>
          <w:color w:val="000000"/>
          <w:sz w:val="20"/>
        </w:rPr>
        <w:t>Docket. The EPA has established a docket for this rulemaking under Docket ID No. EPA-HQ-OAR-2016-0243. All documents in the docket are listed in Regulations.gov Although listed, some information is not publicly available, e.g , Confidential Business Information (CBI) or other information whose disclosure is restricted by statute. Certain other material, such as copyrighted material, is not placed on the internet and will be publicly available only in hard copy. Publicly available docket materials are available either electronically in Regulations.gov or in hard copy at the EPA Docket Center, Room 3334, WJC West Building, 1301 Constitution Avenue NW, Washington, DC. The Public Reading Room is open from 8:30 a.m to 4:30 p.m , Monday through Friday, excluding legal holidays. The telephone number for the Public Reading Room is (202) 566-1744, and the telephone number for the EPA Docket Center is (202) 566-1742.</w:t>
      </w:r>
    </w:p>
    <w:p w14:paraId="0CCEE03E" w14:textId="77777777" w:rsidR="00054BF0" w:rsidRDefault="00000000">
      <w:pPr>
        <w:spacing w:before="240" w:line="260" w:lineRule="atLeast"/>
        <w:jc w:val="both"/>
      </w:pPr>
      <w:r>
        <w:rPr>
          <w:rFonts w:ascii="Arial" w:eastAsia="Arial" w:hAnsi="Arial" w:cs="Arial"/>
          <w:color w:val="000000"/>
          <w:sz w:val="20"/>
        </w:rPr>
        <w:t xml:space="preserve">Instructions. Direct your comments to Docket ID No. EPA-HQ-OAR-2016-0243. The EPA's policy is that all comments received will be included in the public docket without change and may be made available online at </w:t>
      </w:r>
      <w:hyperlink r:id="rId455"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xml:space="preserve">, including any personal information provided, unless the comment includes information claimed to be CBI or other information whose disclosure is restricted by statute. Do not submit information that you consider to be CBI or otherwise protected through            </w:t>
      </w:r>
      <w:hyperlink r:id="rId456"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or email. This type of information should be submitted by mail as discussed below.</w:t>
      </w:r>
    </w:p>
    <w:p w14:paraId="777D7440" w14:textId="77777777" w:rsidR="00054BF0" w:rsidRDefault="00000000">
      <w:pPr>
        <w:spacing w:before="240" w:line="260" w:lineRule="atLeast"/>
        <w:jc w:val="both"/>
      </w:pPr>
      <w:r>
        <w:rPr>
          <w:rFonts w:ascii="Arial" w:eastAsia="Arial" w:hAnsi="Arial" w:cs="Arial"/>
          <w:color w:val="000000"/>
          <w:sz w:val="20"/>
        </w:rPr>
        <w:t xml:space="preserve">The EPA may publish any comment received to its public docket. Multimedia submissions (audio, video, etc.) must be accompanied by a written comment. The written comment is considered the official comment and should include discussion of all points you wish to make. The EPA will generally not consider comments or comment contents located outside of the primary submission (i.e , on the Web, cloud, or other file sharing system). For additional </w:t>
      </w:r>
      <w:r>
        <w:rPr>
          <w:rFonts w:ascii="Arial" w:eastAsia="Arial" w:hAnsi="Arial" w:cs="Arial"/>
          <w:color w:val="000000"/>
          <w:sz w:val="20"/>
        </w:rPr>
        <w:lastRenderedPageBreak/>
        <w:t xml:space="preserve">submission methods, the full EPA public comment policy, information about CBI or multimedia submissions, and general guidance on making effective comments, please visit </w:t>
      </w:r>
      <w:hyperlink r:id="rId457" w:history="1">
        <w:r>
          <w:rPr>
            <w:rFonts w:ascii="Arial" w:eastAsia="Arial" w:hAnsi="Arial" w:cs="Arial"/>
            <w:i/>
            <w:color w:val="0077CC"/>
            <w:sz w:val="20"/>
            <w:u w:val="single"/>
            <w:shd w:val="clear" w:color="auto" w:fill="FFFFFF"/>
          </w:rPr>
          <w:t>https://www.epa.gov/dockets/commenting-epa-dockets</w:t>
        </w:r>
      </w:hyperlink>
      <w:r>
        <w:rPr>
          <w:rFonts w:ascii="Arial" w:eastAsia="Arial" w:hAnsi="Arial" w:cs="Arial"/>
          <w:color w:val="000000"/>
          <w:sz w:val="20"/>
        </w:rPr>
        <w:t>.</w:t>
      </w:r>
    </w:p>
    <w:p w14:paraId="22E1B144" w14:textId="77777777" w:rsidR="00054BF0" w:rsidRDefault="00000000">
      <w:pPr>
        <w:spacing w:before="240" w:line="260" w:lineRule="atLeast"/>
        <w:jc w:val="both"/>
      </w:pPr>
      <w:r>
        <w:rPr>
          <w:rFonts w:ascii="Arial" w:eastAsia="Arial" w:hAnsi="Arial" w:cs="Arial"/>
          <w:color w:val="000000"/>
          <w:sz w:val="20"/>
        </w:rPr>
        <w:t xml:space="preserve">The </w:t>
      </w:r>
      <w:hyperlink r:id="rId458"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xml:space="preserve">/ website allows you to submit your comment anonymously, which means the EPA will not know your identity or contact information unless you provide it in the body of your comment. If you send an email comment directly to the EPA without going through            </w:t>
      </w:r>
      <w:hyperlink r:id="rId459"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xml:space="preserve">, your email address will be automatically captured and included as part of the comment that is placed in the public docket and made available on the internet. If you submit an electronic comment, the EPA recommends that you include your name and other contact information in the body of your comment and with any digital storage media you submit. If the EPA cannot read your comment due to technical difficulties and cannot contact you for clarification, the EPA may not be able to consider your comment. Electronic files should not include special characters or any form of encryption and be free of any defects or viruses. For additional information about the EPA's public docket, visit the EPA Docket Center homepage at            </w:t>
      </w:r>
      <w:hyperlink r:id="rId460" w:history="1">
        <w:r>
          <w:rPr>
            <w:rFonts w:ascii="Arial" w:eastAsia="Arial" w:hAnsi="Arial" w:cs="Arial"/>
            <w:i/>
            <w:color w:val="0077CC"/>
            <w:sz w:val="20"/>
            <w:u w:val="single"/>
            <w:shd w:val="clear" w:color="auto" w:fill="FFFFFF"/>
          </w:rPr>
          <w:t>https://www.epa.gov/dockets</w:t>
        </w:r>
      </w:hyperlink>
      <w:r>
        <w:rPr>
          <w:rFonts w:ascii="Arial" w:eastAsia="Arial" w:hAnsi="Arial" w:cs="Arial"/>
          <w:color w:val="000000"/>
          <w:sz w:val="20"/>
        </w:rPr>
        <w:t>.</w:t>
      </w:r>
    </w:p>
    <w:p w14:paraId="475A347A" w14:textId="77777777" w:rsidR="00054BF0" w:rsidRDefault="00000000">
      <w:pPr>
        <w:spacing w:before="240" w:line="260" w:lineRule="atLeast"/>
        <w:jc w:val="both"/>
      </w:pPr>
      <w:r>
        <w:rPr>
          <w:rFonts w:ascii="Arial" w:eastAsia="Arial" w:hAnsi="Arial" w:cs="Arial"/>
          <w:color w:val="000000"/>
          <w:sz w:val="20"/>
        </w:rPr>
        <w:t xml:space="preserve">Submitting CBI. Do not submit information containing CBI to the EPA through </w:t>
      </w:r>
      <w:hyperlink r:id="rId461" w:history="1">
        <w:r>
          <w:rPr>
            <w:rFonts w:ascii="Arial" w:eastAsia="Arial" w:hAnsi="Arial" w:cs="Arial"/>
            <w:i/>
            <w:color w:val="0077CC"/>
            <w:sz w:val="20"/>
            <w:u w:val="single"/>
            <w:shd w:val="clear" w:color="auto" w:fill="FFFFFF"/>
          </w:rPr>
          <w:t>https://www.regulations.gov</w:t>
        </w:r>
      </w:hyperlink>
      <w:r>
        <w:rPr>
          <w:rFonts w:ascii="Arial" w:eastAsia="Arial" w:hAnsi="Arial" w:cs="Arial"/>
          <w:color w:val="000000"/>
          <w:sz w:val="20"/>
        </w:rPr>
        <w:t>/ or email. Clearly mark the part or all of the information that you claim to be CBI. For CBI information on any digital storage media that you mail to the EPA, mark the outside of the digital storage media as CBI and then identify electronically within the digital storage media the specific information that is claimed as CBI. In addition to one complete version of the comments that includes information claimed as CBI, you must submit a copy of the comments that does not contain the information claimed as CBI directly to the public docket through the procedures outlined in Instructions above. If you submit any digital storage media that does not contain CBI, mark the outside of the digital storage media clearly that it does not contain CBI. Information not marked as CBI will be included in the public docket and the EPA's electronic public docket without prior notice. Information marked as CBI will not be disclosed except in accordance with procedures set forth in 40 Code of Federal Regulations (CFR) part 2. Send or deliver information identified as CBI only to the following address: OAQPS Document Control Officer (C404-02), OAQPS, U.S Environmental Protection Agency, Research Triangle Park, North Carolina 27711, Attention Docket ID No. EPA-HQ-OAR-2016-0243.</w:t>
      </w:r>
    </w:p>
    <w:p w14:paraId="6A9BFDB1" w14:textId="77777777" w:rsidR="00054BF0" w:rsidRDefault="00000000">
      <w:pPr>
        <w:spacing w:before="200" w:line="260" w:lineRule="atLeast"/>
        <w:jc w:val="both"/>
      </w:pPr>
      <w:r>
        <w:rPr>
          <w:rFonts w:ascii="Arial" w:eastAsia="Arial" w:hAnsi="Arial" w:cs="Arial"/>
          <w:color w:val="000000"/>
          <w:sz w:val="20"/>
        </w:rPr>
        <w:t>Preamble acronyms and abbreviations. The EPA uses multiple acronyms and terms in this preamble. While this list may not be exhaustive, to ease the reading of this preamble and for reference purposes, the EPA defines the following terms and acronyms here:</w:t>
      </w:r>
    </w:p>
    <w:p w14:paraId="7D60532D" w14:textId="77777777" w:rsidR="00054BF0" w:rsidRDefault="00000000">
      <w:pPr>
        <w:spacing w:before="200" w:line="260" w:lineRule="atLeast"/>
        <w:jc w:val="both"/>
      </w:pPr>
      <w:r>
        <w:rPr>
          <w:rFonts w:ascii="Arial" w:eastAsia="Arial" w:hAnsi="Arial" w:cs="Arial"/>
          <w:color w:val="000000"/>
          <w:sz w:val="20"/>
        </w:rPr>
        <w:t>AEGL acute exposure guideline level</w:t>
      </w:r>
    </w:p>
    <w:p w14:paraId="7363EA6B" w14:textId="77777777" w:rsidR="00054BF0" w:rsidRDefault="00000000">
      <w:pPr>
        <w:spacing w:before="200" w:line="260" w:lineRule="atLeast"/>
        <w:jc w:val="both"/>
      </w:pPr>
      <w:r>
        <w:rPr>
          <w:rFonts w:ascii="Arial" w:eastAsia="Arial" w:hAnsi="Arial" w:cs="Arial"/>
          <w:color w:val="000000"/>
          <w:sz w:val="20"/>
        </w:rPr>
        <w:t>AERMOD air dispersion model used by the HEM-3 model</w:t>
      </w:r>
    </w:p>
    <w:p w14:paraId="5B24FB7D" w14:textId="77777777" w:rsidR="00054BF0" w:rsidRDefault="00000000">
      <w:pPr>
        <w:spacing w:before="200" w:line="260" w:lineRule="atLeast"/>
        <w:jc w:val="both"/>
      </w:pPr>
      <w:r>
        <w:rPr>
          <w:rFonts w:ascii="Arial" w:eastAsia="Arial" w:hAnsi="Arial" w:cs="Arial"/>
          <w:color w:val="000000"/>
          <w:sz w:val="20"/>
        </w:rPr>
        <w:t>ATCM Airborne Toxic Control Measure</w:t>
      </w:r>
    </w:p>
    <w:p w14:paraId="34D0C48D" w14:textId="77777777" w:rsidR="00054BF0" w:rsidRDefault="00000000">
      <w:pPr>
        <w:spacing w:before="200" w:line="260" w:lineRule="atLeast"/>
        <w:jc w:val="both"/>
      </w:pPr>
      <w:r>
        <w:rPr>
          <w:rFonts w:ascii="Arial" w:eastAsia="Arial" w:hAnsi="Arial" w:cs="Arial"/>
          <w:color w:val="000000"/>
          <w:sz w:val="20"/>
        </w:rPr>
        <w:t>ATSDR Agency for Toxic Substances and Disease Registry</w:t>
      </w:r>
    </w:p>
    <w:p w14:paraId="48111C68" w14:textId="77777777" w:rsidR="00054BF0" w:rsidRDefault="00000000">
      <w:pPr>
        <w:spacing w:before="200" w:line="260" w:lineRule="atLeast"/>
        <w:jc w:val="both"/>
      </w:pPr>
      <w:r>
        <w:rPr>
          <w:rFonts w:ascii="Arial" w:eastAsia="Arial" w:hAnsi="Arial" w:cs="Arial"/>
          <w:color w:val="000000"/>
          <w:sz w:val="20"/>
        </w:rPr>
        <w:t>CAA Clean Air Act</w:t>
      </w:r>
    </w:p>
    <w:p w14:paraId="537B8AB0" w14:textId="77777777" w:rsidR="00054BF0" w:rsidRDefault="00000000">
      <w:pPr>
        <w:spacing w:before="200" w:line="260" w:lineRule="atLeast"/>
        <w:jc w:val="both"/>
      </w:pPr>
      <w:r>
        <w:rPr>
          <w:rFonts w:ascii="Arial" w:eastAsia="Arial" w:hAnsi="Arial" w:cs="Arial"/>
          <w:color w:val="000000"/>
          <w:sz w:val="20"/>
        </w:rPr>
        <w:t>CalEPA California EPA</w:t>
      </w:r>
    </w:p>
    <w:p w14:paraId="458451A9" w14:textId="77777777" w:rsidR="00054BF0" w:rsidRDefault="00000000">
      <w:pPr>
        <w:spacing w:before="200" w:line="260" w:lineRule="atLeast"/>
        <w:jc w:val="both"/>
      </w:pPr>
      <w:r>
        <w:rPr>
          <w:rFonts w:ascii="Arial" w:eastAsia="Arial" w:hAnsi="Arial" w:cs="Arial"/>
          <w:color w:val="000000"/>
          <w:sz w:val="20"/>
        </w:rPr>
        <w:t>CARB California Air Resources Board</w:t>
      </w:r>
    </w:p>
    <w:p w14:paraId="003DA46E" w14:textId="77777777" w:rsidR="00054BF0" w:rsidRDefault="00000000">
      <w:pPr>
        <w:spacing w:before="200" w:line="260" w:lineRule="atLeast"/>
        <w:jc w:val="both"/>
      </w:pPr>
      <w:r>
        <w:rPr>
          <w:rFonts w:ascii="Arial" w:eastAsia="Arial" w:hAnsi="Arial" w:cs="Arial"/>
          <w:color w:val="000000"/>
          <w:sz w:val="20"/>
        </w:rPr>
        <w:t>CBI Confidential Business Information</w:t>
      </w:r>
    </w:p>
    <w:p w14:paraId="57D9AFE1" w14:textId="77777777" w:rsidR="00054BF0" w:rsidRDefault="00000000">
      <w:pPr>
        <w:spacing w:before="200" w:line="260" w:lineRule="atLeast"/>
        <w:jc w:val="both"/>
      </w:pPr>
      <w:r>
        <w:rPr>
          <w:rFonts w:ascii="Arial" w:eastAsia="Arial" w:hAnsi="Arial" w:cs="Arial"/>
          <w:color w:val="000000"/>
          <w:sz w:val="20"/>
        </w:rPr>
        <w:t>CDX Central Data Exchange</w:t>
      </w:r>
    </w:p>
    <w:p w14:paraId="553D331D" w14:textId="77777777" w:rsidR="00054BF0" w:rsidRDefault="00000000">
      <w:pPr>
        <w:spacing w:before="200" w:line="260" w:lineRule="atLeast"/>
        <w:jc w:val="both"/>
      </w:pPr>
      <w:r>
        <w:rPr>
          <w:rFonts w:ascii="Arial" w:eastAsia="Arial" w:hAnsi="Arial" w:cs="Arial"/>
          <w:color w:val="000000"/>
          <w:sz w:val="20"/>
        </w:rPr>
        <w:t>CEDRI Compliance and Emissions Data Reporting Interface</w:t>
      </w:r>
    </w:p>
    <w:p w14:paraId="27DEC8BC" w14:textId="77777777" w:rsidR="00054BF0" w:rsidRDefault="00000000">
      <w:pPr>
        <w:spacing w:before="200" w:line="260" w:lineRule="atLeast"/>
        <w:jc w:val="both"/>
      </w:pPr>
      <w:r>
        <w:rPr>
          <w:rFonts w:ascii="Arial" w:eastAsia="Arial" w:hAnsi="Arial" w:cs="Arial"/>
          <w:color w:val="000000"/>
          <w:sz w:val="20"/>
        </w:rPr>
        <w:t>CFR Code of Federal Regulations</w:t>
      </w:r>
    </w:p>
    <w:p w14:paraId="28C7AF09" w14:textId="77777777" w:rsidR="00054BF0" w:rsidRDefault="00000000">
      <w:pPr>
        <w:spacing w:before="200" w:line="260" w:lineRule="atLeast"/>
        <w:jc w:val="both"/>
      </w:pPr>
      <w:r>
        <w:rPr>
          <w:rFonts w:ascii="Arial" w:eastAsia="Arial" w:hAnsi="Arial" w:cs="Arial"/>
          <w:color w:val="000000"/>
          <w:sz w:val="20"/>
        </w:rPr>
        <w:lastRenderedPageBreak/>
        <w:t>CMS continuous monitoring systems</w:t>
      </w:r>
    </w:p>
    <w:p w14:paraId="0F92C4D7" w14:textId="77777777" w:rsidR="00054BF0" w:rsidRDefault="00000000">
      <w:pPr>
        <w:spacing w:before="200" w:line="260" w:lineRule="atLeast"/>
        <w:jc w:val="both"/>
      </w:pPr>
      <w:r>
        <w:rPr>
          <w:rFonts w:ascii="Arial" w:eastAsia="Arial" w:hAnsi="Arial" w:cs="Arial"/>
          <w:color w:val="000000"/>
          <w:sz w:val="20"/>
        </w:rPr>
        <w:t>EAV equivalent annualized value</w:t>
      </w:r>
    </w:p>
    <w:p w14:paraId="0C96140C" w14:textId="77777777" w:rsidR="00054BF0" w:rsidRDefault="00000000">
      <w:pPr>
        <w:spacing w:before="200" w:line="260" w:lineRule="atLeast"/>
        <w:jc w:val="both"/>
      </w:pPr>
      <w:r>
        <w:rPr>
          <w:rFonts w:ascii="Arial" w:eastAsia="Arial" w:hAnsi="Arial" w:cs="Arial"/>
          <w:color w:val="000000"/>
          <w:sz w:val="20"/>
        </w:rPr>
        <w:t>EPA Environmental Protection Agency</w:t>
      </w:r>
    </w:p>
    <w:p w14:paraId="748BBCB7" w14:textId="77777777" w:rsidR="00054BF0" w:rsidRDefault="00000000">
      <w:pPr>
        <w:spacing w:before="200" w:line="260" w:lineRule="atLeast"/>
        <w:jc w:val="both"/>
      </w:pPr>
      <w:r>
        <w:rPr>
          <w:rFonts w:ascii="Arial" w:eastAsia="Arial" w:hAnsi="Arial" w:cs="Arial"/>
          <w:color w:val="000000"/>
          <w:sz w:val="20"/>
        </w:rPr>
        <w:t>ERPG Emergency Response Planning Guideline</w:t>
      </w:r>
    </w:p>
    <w:p w14:paraId="2FD3A6B4" w14:textId="77777777" w:rsidR="00054BF0" w:rsidRDefault="00000000">
      <w:pPr>
        <w:spacing w:before="200" w:line="260" w:lineRule="atLeast"/>
        <w:jc w:val="both"/>
      </w:pPr>
      <w:r>
        <w:rPr>
          <w:rFonts w:ascii="Arial" w:eastAsia="Arial" w:hAnsi="Arial" w:cs="Arial"/>
          <w:color w:val="000000"/>
          <w:sz w:val="20"/>
        </w:rPr>
        <w:t>ERT Electronic Reporting Tool</w:t>
      </w:r>
    </w:p>
    <w:p w14:paraId="65AF025B" w14:textId="77777777" w:rsidR="00054BF0" w:rsidRDefault="00000000">
      <w:pPr>
        <w:spacing w:before="200" w:line="260" w:lineRule="atLeast"/>
        <w:jc w:val="both"/>
      </w:pPr>
      <w:r>
        <w:rPr>
          <w:rFonts w:ascii="Arial" w:eastAsia="Arial" w:hAnsi="Arial" w:cs="Arial"/>
          <w:color w:val="000000"/>
          <w:sz w:val="20"/>
        </w:rPr>
        <w:t>GACT generally available control technology</w:t>
      </w:r>
    </w:p>
    <w:p w14:paraId="05FA5B64" w14:textId="77777777" w:rsidR="00054BF0" w:rsidRDefault="00000000">
      <w:pPr>
        <w:spacing w:before="200" w:line="260" w:lineRule="atLeast"/>
        <w:jc w:val="both"/>
      </w:pPr>
      <w:r>
        <w:rPr>
          <w:rFonts w:ascii="Arial" w:eastAsia="Arial" w:hAnsi="Arial" w:cs="Arial"/>
          <w:color w:val="000000"/>
          <w:sz w:val="20"/>
        </w:rPr>
        <w:t>HAP hazardous air pollutant(s)</w:t>
      </w:r>
    </w:p>
    <w:p w14:paraId="7090C83E" w14:textId="77777777" w:rsidR="00054BF0" w:rsidRDefault="00000000">
      <w:pPr>
        <w:spacing w:before="200" w:line="260" w:lineRule="atLeast"/>
        <w:jc w:val="both"/>
      </w:pPr>
      <w:r>
        <w:rPr>
          <w:rFonts w:ascii="Arial" w:eastAsia="Arial" w:hAnsi="Arial" w:cs="Arial"/>
          <w:color w:val="000000"/>
          <w:sz w:val="20"/>
        </w:rPr>
        <w:t>HCl hydrochloric acid</w:t>
      </w:r>
    </w:p>
    <w:p w14:paraId="7D5EE636" w14:textId="77777777" w:rsidR="00054BF0" w:rsidRDefault="00000000">
      <w:pPr>
        <w:spacing w:before="200" w:line="260" w:lineRule="atLeast"/>
        <w:jc w:val="both"/>
      </w:pPr>
      <w:r>
        <w:rPr>
          <w:rFonts w:ascii="Arial" w:eastAsia="Arial" w:hAnsi="Arial" w:cs="Arial"/>
          <w:color w:val="000000"/>
          <w:sz w:val="20"/>
        </w:rPr>
        <w:t>HEM-3 Human Exposure Model-3</w:t>
      </w:r>
    </w:p>
    <w:p w14:paraId="3CB290D7" w14:textId="77777777" w:rsidR="00054BF0" w:rsidRDefault="00000000">
      <w:pPr>
        <w:spacing w:before="200" w:line="260" w:lineRule="atLeast"/>
        <w:jc w:val="both"/>
      </w:pPr>
      <w:r>
        <w:rPr>
          <w:rFonts w:ascii="Arial" w:eastAsia="Arial" w:hAnsi="Arial" w:cs="Arial"/>
          <w:color w:val="000000"/>
          <w:sz w:val="20"/>
        </w:rPr>
        <w:t>HF hydrogen fluoride</w:t>
      </w:r>
    </w:p>
    <w:p w14:paraId="296B5F40" w14:textId="77777777" w:rsidR="00054BF0" w:rsidRDefault="00000000">
      <w:pPr>
        <w:spacing w:before="200" w:line="260" w:lineRule="atLeast"/>
        <w:jc w:val="both"/>
      </w:pPr>
      <w:r>
        <w:rPr>
          <w:rFonts w:ascii="Arial" w:eastAsia="Arial" w:hAnsi="Arial" w:cs="Arial"/>
          <w:color w:val="000000"/>
          <w:sz w:val="20"/>
        </w:rPr>
        <w:t>HI hazard index</w:t>
      </w:r>
    </w:p>
    <w:p w14:paraId="1731D73F" w14:textId="77777777" w:rsidR="00054BF0" w:rsidRDefault="00000000">
      <w:pPr>
        <w:spacing w:before="200" w:line="260" w:lineRule="atLeast"/>
        <w:jc w:val="both"/>
      </w:pPr>
      <w:r>
        <w:rPr>
          <w:rFonts w:ascii="Arial" w:eastAsia="Arial" w:hAnsi="Arial" w:cs="Arial"/>
          <w:color w:val="000000"/>
          <w:sz w:val="20"/>
        </w:rPr>
        <w:t>HQ hazard quotient</w:t>
      </w:r>
    </w:p>
    <w:p w14:paraId="6E1B39D1" w14:textId="77777777" w:rsidR="00054BF0" w:rsidRDefault="00000000">
      <w:pPr>
        <w:spacing w:before="200" w:line="260" w:lineRule="atLeast"/>
        <w:jc w:val="both"/>
      </w:pPr>
      <w:r>
        <w:rPr>
          <w:rFonts w:ascii="Arial" w:eastAsia="Arial" w:hAnsi="Arial" w:cs="Arial"/>
          <w:color w:val="000000"/>
          <w:sz w:val="20"/>
        </w:rPr>
        <w:t>ICR information collection request</w:t>
      </w:r>
    </w:p>
    <w:p w14:paraId="2585EE07" w14:textId="77777777" w:rsidR="00054BF0" w:rsidRDefault="00000000">
      <w:pPr>
        <w:spacing w:before="200" w:line="260" w:lineRule="atLeast"/>
        <w:jc w:val="both"/>
      </w:pPr>
      <w:r>
        <w:rPr>
          <w:rFonts w:ascii="Arial" w:eastAsia="Arial" w:hAnsi="Arial" w:cs="Arial"/>
          <w:color w:val="000000"/>
          <w:sz w:val="20"/>
        </w:rPr>
        <w:t>IRIS Integrated Risk Information System</w:t>
      </w:r>
    </w:p>
    <w:p w14:paraId="1E0959FD" w14:textId="77777777" w:rsidR="00054BF0" w:rsidRDefault="00000000">
      <w:pPr>
        <w:spacing w:before="200" w:line="260" w:lineRule="atLeast"/>
        <w:jc w:val="both"/>
      </w:pPr>
      <w:r>
        <w:rPr>
          <w:rFonts w:ascii="Arial" w:eastAsia="Arial" w:hAnsi="Arial" w:cs="Arial"/>
          <w:color w:val="000000"/>
          <w:sz w:val="20"/>
        </w:rPr>
        <w:t>km kilometer</w:t>
      </w:r>
    </w:p>
    <w:p w14:paraId="67CDF169" w14:textId="77777777" w:rsidR="00054BF0" w:rsidRDefault="00000000">
      <w:pPr>
        <w:spacing w:before="200" w:line="260" w:lineRule="atLeast"/>
        <w:jc w:val="both"/>
      </w:pPr>
      <w:r>
        <w:rPr>
          <w:rFonts w:ascii="Arial" w:eastAsia="Arial" w:hAnsi="Arial" w:cs="Arial"/>
          <w:color w:val="000000"/>
          <w:sz w:val="20"/>
        </w:rPr>
        <w:t>MACT maximum achievable control technology</w:t>
      </w:r>
    </w:p>
    <w:p w14:paraId="62B33351" w14:textId="77777777" w:rsidR="00054BF0" w:rsidRDefault="00000000">
      <w:pPr>
        <w:spacing w:before="200" w:line="260" w:lineRule="atLeast"/>
        <w:jc w:val="both"/>
      </w:pPr>
      <w:r>
        <w:rPr>
          <w:rFonts w:ascii="Arial" w:eastAsia="Arial" w:hAnsi="Arial" w:cs="Arial"/>
          <w:color w:val="000000"/>
          <w:sz w:val="20"/>
        </w:rPr>
        <w:t>MDF medium density fiberboard</w:t>
      </w:r>
    </w:p>
    <w:p w14:paraId="0FC49307" w14:textId="77777777" w:rsidR="00054BF0" w:rsidRDefault="00000000">
      <w:pPr>
        <w:spacing w:before="200" w:line="260" w:lineRule="atLeast"/>
        <w:jc w:val="both"/>
      </w:pPr>
      <w:r>
        <w:rPr>
          <w:rFonts w:ascii="Arial" w:eastAsia="Arial" w:hAnsi="Arial" w:cs="Arial"/>
          <w:color w:val="000000"/>
          <w:sz w:val="20"/>
        </w:rPr>
        <w:t>mg/m 3 milligrams per cubic meter</w:t>
      </w:r>
    </w:p>
    <w:p w14:paraId="03493CE7" w14:textId="77777777" w:rsidR="00054BF0" w:rsidRDefault="00000000">
      <w:pPr>
        <w:spacing w:before="200" w:line="260" w:lineRule="atLeast"/>
        <w:jc w:val="both"/>
      </w:pPr>
      <w:r>
        <w:rPr>
          <w:rFonts w:ascii="Arial" w:eastAsia="Arial" w:hAnsi="Arial" w:cs="Arial"/>
          <w:color w:val="000000"/>
          <w:sz w:val="20"/>
        </w:rPr>
        <w:t>MIR maximum individual risk</w:t>
      </w:r>
    </w:p>
    <w:p w14:paraId="2BB216BA" w14:textId="77777777" w:rsidR="00054BF0" w:rsidRDefault="00000000">
      <w:pPr>
        <w:spacing w:before="200" w:line="260" w:lineRule="atLeast"/>
        <w:jc w:val="both"/>
      </w:pPr>
      <w:r>
        <w:rPr>
          <w:rFonts w:ascii="Arial" w:eastAsia="Arial" w:hAnsi="Arial" w:cs="Arial"/>
          <w:color w:val="000000"/>
          <w:sz w:val="20"/>
        </w:rPr>
        <w:t>NAAQS National Ambient Air Quality Standards</w:t>
      </w:r>
    </w:p>
    <w:p w14:paraId="6A1EA8E0" w14:textId="77777777" w:rsidR="00054BF0" w:rsidRDefault="00000000">
      <w:pPr>
        <w:spacing w:before="200" w:line="260" w:lineRule="atLeast"/>
        <w:jc w:val="both"/>
      </w:pPr>
      <w:r>
        <w:rPr>
          <w:rFonts w:ascii="Arial" w:eastAsia="Arial" w:hAnsi="Arial" w:cs="Arial"/>
          <w:color w:val="000000"/>
          <w:sz w:val="20"/>
        </w:rPr>
        <w:t>NAICS North American Industry Classification System</w:t>
      </w:r>
    </w:p>
    <w:p w14:paraId="354178E9" w14:textId="77777777" w:rsidR="00054BF0" w:rsidRDefault="00000000">
      <w:pPr>
        <w:spacing w:before="200" w:line="260" w:lineRule="atLeast"/>
        <w:jc w:val="both"/>
      </w:pPr>
      <w:r>
        <w:rPr>
          <w:rFonts w:ascii="Arial" w:eastAsia="Arial" w:hAnsi="Arial" w:cs="Arial"/>
          <w:color w:val="000000"/>
          <w:sz w:val="20"/>
        </w:rPr>
        <w:t>NEI National Emissions Inventory</w:t>
      </w:r>
    </w:p>
    <w:p w14:paraId="2BC84CD3" w14:textId="77777777" w:rsidR="00054BF0" w:rsidRDefault="00000000">
      <w:pPr>
        <w:spacing w:before="200" w:line="260" w:lineRule="atLeast"/>
        <w:jc w:val="both"/>
      </w:pPr>
      <w:r>
        <w:rPr>
          <w:rFonts w:ascii="Arial" w:eastAsia="Arial" w:hAnsi="Arial" w:cs="Arial"/>
          <w:color w:val="000000"/>
          <w:sz w:val="20"/>
        </w:rPr>
        <w:t>NESHAP national emission standards for hazardous air pollutants</w:t>
      </w:r>
    </w:p>
    <w:p w14:paraId="3E380DC0" w14:textId="77777777" w:rsidR="00054BF0" w:rsidRDefault="00000000">
      <w:pPr>
        <w:spacing w:before="200" w:line="260" w:lineRule="atLeast"/>
        <w:jc w:val="both"/>
      </w:pPr>
      <w:r>
        <w:rPr>
          <w:rFonts w:ascii="Arial" w:eastAsia="Arial" w:hAnsi="Arial" w:cs="Arial"/>
          <w:color w:val="000000"/>
          <w:sz w:val="20"/>
        </w:rPr>
        <w:t>NIST National Institute of Standards and Technology</w:t>
      </w:r>
    </w:p>
    <w:p w14:paraId="07744317" w14:textId="77777777" w:rsidR="00054BF0" w:rsidRDefault="00000000">
      <w:pPr>
        <w:spacing w:before="200" w:line="260" w:lineRule="atLeast"/>
        <w:jc w:val="both"/>
      </w:pPr>
      <w:r>
        <w:rPr>
          <w:rFonts w:ascii="Arial" w:eastAsia="Arial" w:hAnsi="Arial" w:cs="Arial"/>
          <w:color w:val="000000"/>
          <w:sz w:val="20"/>
        </w:rPr>
        <w:t>NRDC Natural Resources Defense Council</w:t>
      </w:r>
    </w:p>
    <w:p w14:paraId="123E6FA6" w14:textId="77777777" w:rsidR="00054BF0" w:rsidRDefault="00000000">
      <w:pPr>
        <w:spacing w:before="200" w:line="260" w:lineRule="atLeast"/>
        <w:jc w:val="both"/>
      </w:pPr>
      <w:r>
        <w:rPr>
          <w:rFonts w:ascii="Arial" w:eastAsia="Arial" w:hAnsi="Arial" w:cs="Arial"/>
          <w:color w:val="000000"/>
          <w:sz w:val="20"/>
        </w:rPr>
        <w:t>NSPS new source performance standards</w:t>
      </w:r>
    </w:p>
    <w:p w14:paraId="004DDFD1" w14:textId="77777777" w:rsidR="00054BF0" w:rsidRDefault="00000000">
      <w:pPr>
        <w:spacing w:before="200" w:line="260" w:lineRule="atLeast"/>
        <w:jc w:val="both"/>
      </w:pPr>
      <w:r>
        <w:rPr>
          <w:rFonts w:ascii="Arial" w:eastAsia="Arial" w:hAnsi="Arial" w:cs="Arial"/>
          <w:color w:val="000000"/>
          <w:sz w:val="20"/>
        </w:rPr>
        <w:t>NTTAA National Technology Transfer and Advancement Act</w:t>
      </w:r>
    </w:p>
    <w:p w14:paraId="4690045B" w14:textId="77777777" w:rsidR="00054BF0" w:rsidRDefault="00000000">
      <w:pPr>
        <w:spacing w:before="200" w:line="260" w:lineRule="atLeast"/>
        <w:jc w:val="both"/>
      </w:pPr>
      <w:r>
        <w:rPr>
          <w:rFonts w:ascii="Arial" w:eastAsia="Arial" w:hAnsi="Arial" w:cs="Arial"/>
          <w:color w:val="000000"/>
          <w:sz w:val="20"/>
        </w:rPr>
        <w:t>OAQPS Office of Air Quality Planning and Standards</w:t>
      </w:r>
    </w:p>
    <w:p w14:paraId="1E03F014" w14:textId="77777777" w:rsidR="00054BF0" w:rsidRDefault="00000000">
      <w:pPr>
        <w:spacing w:before="200" w:line="260" w:lineRule="atLeast"/>
        <w:jc w:val="both"/>
      </w:pPr>
      <w:r>
        <w:rPr>
          <w:rFonts w:ascii="Arial" w:eastAsia="Arial" w:hAnsi="Arial" w:cs="Arial"/>
          <w:color w:val="000000"/>
          <w:sz w:val="20"/>
        </w:rPr>
        <w:t>OMB Office of Management and Budget</w:t>
      </w:r>
    </w:p>
    <w:p w14:paraId="181DE90A" w14:textId="77777777" w:rsidR="00054BF0" w:rsidRDefault="00000000">
      <w:pPr>
        <w:spacing w:before="200" w:line="260" w:lineRule="atLeast"/>
        <w:jc w:val="both"/>
      </w:pPr>
      <w:r>
        <w:rPr>
          <w:rFonts w:ascii="Arial" w:eastAsia="Arial" w:hAnsi="Arial" w:cs="Arial"/>
          <w:color w:val="000000"/>
          <w:sz w:val="20"/>
        </w:rPr>
        <w:t>OSB oriented Strandboard</w:t>
      </w:r>
    </w:p>
    <w:p w14:paraId="4E81D9D5" w14:textId="77777777" w:rsidR="00054BF0" w:rsidRDefault="00000000">
      <w:pPr>
        <w:spacing w:before="200" w:line="260" w:lineRule="atLeast"/>
        <w:jc w:val="both"/>
      </w:pPr>
      <w:r>
        <w:rPr>
          <w:rFonts w:ascii="Arial" w:eastAsia="Arial" w:hAnsi="Arial" w:cs="Arial"/>
          <w:color w:val="000000"/>
          <w:sz w:val="20"/>
        </w:rPr>
        <w:lastRenderedPageBreak/>
        <w:t>OSHA Occupational Safety and Health Administration</w:t>
      </w:r>
    </w:p>
    <w:p w14:paraId="668E98DE" w14:textId="77777777" w:rsidR="00054BF0" w:rsidRDefault="00000000">
      <w:pPr>
        <w:spacing w:before="200" w:line="260" w:lineRule="atLeast"/>
        <w:jc w:val="both"/>
      </w:pPr>
      <w:r>
        <w:rPr>
          <w:rFonts w:ascii="Arial" w:eastAsia="Arial" w:hAnsi="Arial" w:cs="Arial"/>
          <w:color w:val="000000"/>
          <w:sz w:val="20"/>
        </w:rPr>
        <w:t>PBCO production-based compliance option</w:t>
      </w:r>
    </w:p>
    <w:p w14:paraId="078B6A59" w14:textId="77777777" w:rsidR="00054BF0" w:rsidRDefault="00000000">
      <w:pPr>
        <w:spacing w:before="200" w:line="260" w:lineRule="atLeast"/>
        <w:jc w:val="both"/>
      </w:pPr>
      <w:r>
        <w:rPr>
          <w:rFonts w:ascii="Arial" w:eastAsia="Arial" w:hAnsi="Arial" w:cs="Arial"/>
          <w:color w:val="000000"/>
          <w:sz w:val="20"/>
        </w:rPr>
        <w:t>PB-HAP hazardous air pollutants known to be persistent and bio-accumulative in the environment</w:t>
      </w:r>
    </w:p>
    <w:p w14:paraId="0A7B88D0" w14:textId="77777777" w:rsidR="00054BF0" w:rsidRDefault="00000000">
      <w:pPr>
        <w:spacing w:before="200" w:line="260" w:lineRule="atLeast"/>
        <w:jc w:val="both"/>
      </w:pPr>
      <w:r>
        <w:rPr>
          <w:rFonts w:ascii="Arial" w:eastAsia="Arial" w:hAnsi="Arial" w:cs="Arial"/>
          <w:color w:val="000000"/>
          <w:sz w:val="20"/>
        </w:rPr>
        <w:t>PCWP plywood and composite wood products</w:t>
      </w:r>
    </w:p>
    <w:p w14:paraId="403C5B0B" w14:textId="77777777" w:rsidR="00054BF0" w:rsidRDefault="00000000">
      <w:pPr>
        <w:spacing w:before="200" w:line="260" w:lineRule="atLeast"/>
        <w:jc w:val="both"/>
      </w:pPr>
      <w:r>
        <w:rPr>
          <w:rFonts w:ascii="Arial" w:eastAsia="Arial" w:hAnsi="Arial" w:cs="Arial"/>
          <w:color w:val="000000"/>
          <w:sz w:val="20"/>
        </w:rPr>
        <w:t>PDF portable document format</w:t>
      </w:r>
    </w:p>
    <w:p w14:paraId="667D99C6" w14:textId="77777777" w:rsidR="00054BF0" w:rsidRDefault="00000000">
      <w:pPr>
        <w:spacing w:before="200" w:line="260" w:lineRule="atLeast"/>
        <w:jc w:val="both"/>
      </w:pPr>
      <w:r>
        <w:rPr>
          <w:rFonts w:ascii="Arial" w:eastAsia="Arial" w:hAnsi="Arial" w:cs="Arial"/>
          <w:color w:val="000000"/>
          <w:sz w:val="20"/>
        </w:rPr>
        <w:t>POM polycyclic organic matter</w:t>
      </w:r>
    </w:p>
    <w:p w14:paraId="7B812687" w14:textId="77777777" w:rsidR="00054BF0" w:rsidRDefault="00000000">
      <w:pPr>
        <w:spacing w:before="200" w:line="260" w:lineRule="atLeast"/>
        <w:jc w:val="both"/>
      </w:pPr>
      <w:r>
        <w:rPr>
          <w:rFonts w:ascii="Arial" w:eastAsia="Arial" w:hAnsi="Arial" w:cs="Arial"/>
          <w:color w:val="000000"/>
          <w:sz w:val="20"/>
        </w:rPr>
        <w:t>ppm parts per million</w:t>
      </w:r>
    </w:p>
    <w:p w14:paraId="24B014F0" w14:textId="77777777" w:rsidR="00054BF0" w:rsidRDefault="00000000">
      <w:pPr>
        <w:spacing w:before="200" w:line="260" w:lineRule="atLeast"/>
        <w:jc w:val="both"/>
      </w:pPr>
      <w:r>
        <w:rPr>
          <w:rFonts w:ascii="Arial" w:eastAsia="Arial" w:hAnsi="Arial" w:cs="Arial"/>
          <w:color w:val="000000"/>
          <w:sz w:val="20"/>
        </w:rPr>
        <w:t>PRA Paperwork Reduction Act</w:t>
      </w:r>
    </w:p>
    <w:p w14:paraId="121FF376" w14:textId="77777777" w:rsidR="00054BF0" w:rsidRDefault="00000000">
      <w:pPr>
        <w:spacing w:before="200" w:line="260" w:lineRule="atLeast"/>
        <w:jc w:val="both"/>
      </w:pPr>
      <w:r>
        <w:rPr>
          <w:rFonts w:ascii="Arial" w:eastAsia="Arial" w:hAnsi="Arial" w:cs="Arial"/>
          <w:color w:val="000000"/>
          <w:sz w:val="20"/>
        </w:rPr>
        <w:t>PV present value</w:t>
      </w:r>
    </w:p>
    <w:p w14:paraId="6ECBB926" w14:textId="77777777" w:rsidR="00054BF0" w:rsidRDefault="00000000">
      <w:pPr>
        <w:spacing w:before="200" w:line="260" w:lineRule="atLeast"/>
        <w:jc w:val="both"/>
      </w:pPr>
      <w:r>
        <w:rPr>
          <w:rFonts w:ascii="Arial" w:eastAsia="Arial" w:hAnsi="Arial" w:cs="Arial"/>
          <w:color w:val="000000"/>
          <w:sz w:val="20"/>
        </w:rPr>
        <w:t>RATA relative accuracy test audit</w:t>
      </w:r>
    </w:p>
    <w:p w14:paraId="188AEB5B" w14:textId="77777777" w:rsidR="00054BF0" w:rsidRDefault="00000000">
      <w:pPr>
        <w:spacing w:before="200" w:line="260" w:lineRule="atLeast"/>
        <w:jc w:val="both"/>
      </w:pPr>
      <w:r>
        <w:rPr>
          <w:rFonts w:ascii="Arial" w:eastAsia="Arial" w:hAnsi="Arial" w:cs="Arial"/>
          <w:color w:val="000000"/>
          <w:sz w:val="20"/>
        </w:rPr>
        <w:t>RCO regenerative catalytic oxidizer</w:t>
      </w:r>
    </w:p>
    <w:p w14:paraId="2473C1F9" w14:textId="77777777" w:rsidR="00054BF0" w:rsidRDefault="00000000">
      <w:pPr>
        <w:spacing w:before="200" w:line="260" w:lineRule="atLeast"/>
        <w:jc w:val="both"/>
      </w:pPr>
      <w:r>
        <w:rPr>
          <w:rFonts w:ascii="Arial" w:eastAsia="Arial" w:hAnsi="Arial" w:cs="Arial"/>
          <w:color w:val="000000"/>
          <w:sz w:val="20"/>
        </w:rPr>
        <w:t>REL reference exposure level</w:t>
      </w:r>
    </w:p>
    <w:p w14:paraId="07E544FA" w14:textId="77777777" w:rsidR="00054BF0" w:rsidRDefault="00000000">
      <w:pPr>
        <w:spacing w:before="200" w:line="260" w:lineRule="atLeast"/>
        <w:jc w:val="both"/>
      </w:pPr>
      <w:r>
        <w:rPr>
          <w:rFonts w:ascii="Arial" w:eastAsia="Arial" w:hAnsi="Arial" w:cs="Arial"/>
          <w:color w:val="000000"/>
          <w:sz w:val="20"/>
        </w:rPr>
        <w:t>RFA Regulatory Flexibility Act</w:t>
      </w:r>
    </w:p>
    <w:p w14:paraId="0193E44B" w14:textId="77777777" w:rsidR="00054BF0" w:rsidRDefault="00000000">
      <w:pPr>
        <w:spacing w:before="200" w:line="260" w:lineRule="atLeast"/>
        <w:jc w:val="both"/>
      </w:pPr>
      <w:r>
        <w:rPr>
          <w:rFonts w:ascii="Arial" w:eastAsia="Arial" w:hAnsi="Arial" w:cs="Arial"/>
          <w:color w:val="000000"/>
          <w:sz w:val="20"/>
        </w:rPr>
        <w:t>RfC reference concentration</w:t>
      </w:r>
    </w:p>
    <w:p w14:paraId="21A9D0F0" w14:textId="77777777" w:rsidR="00054BF0" w:rsidRDefault="00000000">
      <w:pPr>
        <w:spacing w:before="200" w:line="260" w:lineRule="atLeast"/>
        <w:jc w:val="both"/>
      </w:pPr>
      <w:r>
        <w:rPr>
          <w:rFonts w:ascii="Arial" w:eastAsia="Arial" w:hAnsi="Arial" w:cs="Arial"/>
          <w:color w:val="000000"/>
          <w:sz w:val="20"/>
        </w:rPr>
        <w:t>RfD reference dose</w:t>
      </w:r>
    </w:p>
    <w:p w14:paraId="0AC149CE" w14:textId="77777777" w:rsidR="00054BF0" w:rsidRDefault="00000000">
      <w:pPr>
        <w:spacing w:before="200" w:line="260" w:lineRule="atLeast"/>
        <w:jc w:val="both"/>
      </w:pPr>
      <w:r>
        <w:rPr>
          <w:rFonts w:ascii="Arial" w:eastAsia="Arial" w:hAnsi="Arial" w:cs="Arial"/>
          <w:color w:val="000000"/>
          <w:sz w:val="20"/>
        </w:rPr>
        <w:t>RTO regenerative thermal oxidizer</w:t>
      </w:r>
    </w:p>
    <w:p w14:paraId="34390ECF" w14:textId="77777777" w:rsidR="00054BF0" w:rsidRDefault="00000000">
      <w:pPr>
        <w:spacing w:before="200" w:line="260" w:lineRule="atLeast"/>
        <w:jc w:val="both"/>
      </w:pPr>
      <w:r>
        <w:rPr>
          <w:rFonts w:ascii="Arial" w:eastAsia="Arial" w:hAnsi="Arial" w:cs="Arial"/>
          <w:color w:val="000000"/>
          <w:sz w:val="20"/>
        </w:rPr>
        <w:t>RTR residual risk and technology review</w:t>
      </w:r>
    </w:p>
    <w:p w14:paraId="0BF9E86B" w14:textId="77777777" w:rsidR="00054BF0" w:rsidRDefault="00000000">
      <w:pPr>
        <w:spacing w:before="200" w:line="260" w:lineRule="atLeast"/>
        <w:jc w:val="both"/>
      </w:pPr>
      <w:r>
        <w:rPr>
          <w:rFonts w:ascii="Arial" w:eastAsia="Arial" w:hAnsi="Arial" w:cs="Arial"/>
          <w:color w:val="000000"/>
          <w:sz w:val="20"/>
        </w:rPr>
        <w:t>SAB Science Advisory Board</w:t>
      </w:r>
    </w:p>
    <w:p w14:paraId="0D55F819" w14:textId="77777777" w:rsidR="00054BF0" w:rsidRDefault="00000000">
      <w:pPr>
        <w:spacing w:before="200" w:line="260" w:lineRule="atLeast"/>
        <w:jc w:val="both"/>
      </w:pPr>
      <w:r>
        <w:rPr>
          <w:rFonts w:ascii="Arial" w:eastAsia="Arial" w:hAnsi="Arial" w:cs="Arial"/>
          <w:color w:val="000000"/>
          <w:sz w:val="20"/>
        </w:rPr>
        <w:t xml:space="preserve">SSM </w:t>
      </w:r>
      <w:r>
        <w:rPr>
          <w:rFonts w:ascii="Arial" w:eastAsia="Arial" w:hAnsi="Arial" w:cs="Arial"/>
          <w:b/>
          <w:i/>
          <w:color w:val="000000"/>
          <w:sz w:val="20"/>
          <w:u w:val="single"/>
        </w:rPr>
        <w:t>startup</w:t>
      </w:r>
      <w:r>
        <w:rPr>
          <w:rFonts w:ascii="Arial" w:eastAsia="Arial" w:hAnsi="Arial" w:cs="Arial"/>
          <w:color w:val="000000"/>
          <w:sz w:val="20"/>
        </w:rPr>
        <w:t>, shutdown, and malfunction</w:t>
      </w:r>
    </w:p>
    <w:p w14:paraId="361BA126" w14:textId="77777777" w:rsidR="00054BF0" w:rsidRDefault="00000000">
      <w:pPr>
        <w:spacing w:before="200" w:line="260" w:lineRule="atLeast"/>
        <w:jc w:val="both"/>
      </w:pPr>
      <w:r>
        <w:rPr>
          <w:rFonts w:ascii="Arial" w:eastAsia="Arial" w:hAnsi="Arial" w:cs="Arial"/>
          <w:color w:val="000000"/>
          <w:sz w:val="20"/>
        </w:rPr>
        <w:t>TOSHI target organ-specific hazard index</w:t>
      </w:r>
    </w:p>
    <w:p w14:paraId="5D020AA1" w14:textId="77777777" w:rsidR="00054BF0" w:rsidRDefault="00000000">
      <w:pPr>
        <w:spacing w:before="200" w:line="260" w:lineRule="atLeast"/>
        <w:jc w:val="both"/>
      </w:pPr>
      <w:r>
        <w:rPr>
          <w:rFonts w:ascii="Arial" w:eastAsia="Arial" w:hAnsi="Arial" w:cs="Arial"/>
          <w:color w:val="000000"/>
          <w:sz w:val="20"/>
        </w:rPr>
        <w:t>tpy tons per year</w:t>
      </w:r>
    </w:p>
    <w:p w14:paraId="325EA026" w14:textId="77777777" w:rsidR="00054BF0" w:rsidRDefault="00000000">
      <w:pPr>
        <w:spacing w:before="200" w:line="260" w:lineRule="atLeast"/>
        <w:jc w:val="both"/>
      </w:pPr>
      <w:r>
        <w:rPr>
          <w:rFonts w:ascii="Arial" w:eastAsia="Arial" w:hAnsi="Arial" w:cs="Arial"/>
          <w:color w:val="000000"/>
          <w:sz w:val="20"/>
        </w:rPr>
        <w:t>TRIM.FaTE Total Risk Integrated Methodology. Fate, Transport, and Ecological Exposure model</w:t>
      </w:r>
    </w:p>
    <w:p w14:paraId="7332AD97" w14:textId="77777777" w:rsidR="00054BF0" w:rsidRDefault="00000000">
      <w:pPr>
        <w:spacing w:before="200" w:line="260" w:lineRule="atLeast"/>
        <w:jc w:val="both"/>
      </w:pPr>
      <w:r>
        <w:rPr>
          <w:rFonts w:ascii="Arial" w:eastAsia="Arial" w:hAnsi="Arial" w:cs="Arial"/>
          <w:color w:val="000000"/>
          <w:sz w:val="20"/>
        </w:rPr>
        <w:t>TSCA Toxic Substances Control Act</w:t>
      </w:r>
    </w:p>
    <w:p w14:paraId="7A3A673F" w14:textId="77777777" w:rsidR="00054BF0" w:rsidRDefault="00000000">
      <w:pPr>
        <w:spacing w:before="200" w:line="260" w:lineRule="atLeast"/>
        <w:jc w:val="both"/>
      </w:pPr>
      <w:r>
        <w:rPr>
          <w:rFonts w:ascii="Arial" w:eastAsia="Arial" w:hAnsi="Arial" w:cs="Arial"/>
          <w:color w:val="000000"/>
          <w:sz w:val="20"/>
        </w:rPr>
        <w:t>UF uncertainty factor</w:t>
      </w:r>
    </w:p>
    <w:p w14:paraId="2D97E395" w14:textId="77777777" w:rsidR="00054BF0" w:rsidRDefault="00000000">
      <w:pPr>
        <w:spacing w:before="200" w:line="260" w:lineRule="atLeast"/>
        <w:jc w:val="both"/>
      </w:pPr>
      <w:r>
        <w:rPr>
          <w:rFonts w:ascii="Arial" w:eastAsia="Arial" w:hAnsi="Arial" w:cs="Arial"/>
          <w:color w:val="000000"/>
          <w:sz w:val="20"/>
        </w:rPr>
        <w:t>μg/m 3 microgram per cubic meter</w:t>
      </w:r>
    </w:p>
    <w:p w14:paraId="3702A32C" w14:textId="77777777" w:rsidR="00054BF0" w:rsidRDefault="00000000">
      <w:pPr>
        <w:spacing w:before="200" w:line="260" w:lineRule="atLeast"/>
        <w:jc w:val="both"/>
      </w:pPr>
      <w:r>
        <w:rPr>
          <w:rFonts w:ascii="Arial" w:eastAsia="Arial" w:hAnsi="Arial" w:cs="Arial"/>
          <w:color w:val="000000"/>
          <w:sz w:val="20"/>
        </w:rPr>
        <w:t>UMRA Unfunded Mandates Reform Act</w:t>
      </w:r>
    </w:p>
    <w:p w14:paraId="7B3A92DE" w14:textId="77777777" w:rsidR="00054BF0" w:rsidRDefault="00000000">
      <w:pPr>
        <w:spacing w:before="200" w:line="260" w:lineRule="atLeast"/>
        <w:jc w:val="both"/>
      </w:pPr>
      <w:r>
        <w:rPr>
          <w:rFonts w:ascii="Arial" w:eastAsia="Arial" w:hAnsi="Arial" w:cs="Arial"/>
          <w:color w:val="000000"/>
          <w:sz w:val="20"/>
        </w:rPr>
        <w:t>URE unit risk estimate</w:t>
      </w:r>
    </w:p>
    <w:p w14:paraId="11213E38" w14:textId="77777777" w:rsidR="00054BF0" w:rsidRDefault="00000000">
      <w:pPr>
        <w:spacing w:before="200" w:line="260" w:lineRule="atLeast"/>
        <w:jc w:val="both"/>
      </w:pPr>
      <w:r>
        <w:rPr>
          <w:rFonts w:ascii="Arial" w:eastAsia="Arial" w:hAnsi="Arial" w:cs="Arial"/>
          <w:color w:val="000000"/>
          <w:sz w:val="20"/>
        </w:rPr>
        <w:t>USGS U.S Geological Survey</w:t>
      </w:r>
    </w:p>
    <w:p w14:paraId="435CAFA7" w14:textId="77777777" w:rsidR="00054BF0" w:rsidRDefault="00000000">
      <w:pPr>
        <w:spacing w:before="200" w:line="260" w:lineRule="atLeast"/>
        <w:jc w:val="both"/>
      </w:pPr>
      <w:r>
        <w:rPr>
          <w:rFonts w:ascii="Arial" w:eastAsia="Arial" w:hAnsi="Arial" w:cs="Arial"/>
          <w:color w:val="000000"/>
          <w:sz w:val="20"/>
        </w:rPr>
        <w:t>VCS voluntary consensus standards</w:t>
      </w:r>
    </w:p>
    <w:p w14:paraId="55CB742E" w14:textId="77777777" w:rsidR="00054BF0" w:rsidRDefault="00000000">
      <w:pPr>
        <w:spacing w:before="200" w:line="260" w:lineRule="atLeast"/>
        <w:jc w:val="both"/>
      </w:pPr>
      <w:r>
        <w:rPr>
          <w:rFonts w:ascii="Arial" w:eastAsia="Arial" w:hAnsi="Arial" w:cs="Arial"/>
          <w:color w:val="000000"/>
          <w:sz w:val="20"/>
        </w:rPr>
        <w:t>Organization of this document. The information in this preamble is organized as follows:</w:t>
      </w:r>
    </w:p>
    <w:p w14:paraId="7934F2BB" w14:textId="77777777" w:rsidR="00054BF0" w:rsidRDefault="00000000">
      <w:pPr>
        <w:spacing w:before="200" w:line="260" w:lineRule="atLeast"/>
        <w:jc w:val="both"/>
      </w:pPr>
      <w:r>
        <w:rPr>
          <w:rFonts w:ascii="Arial" w:eastAsia="Arial" w:hAnsi="Arial" w:cs="Arial"/>
          <w:color w:val="000000"/>
          <w:sz w:val="20"/>
        </w:rPr>
        <w:lastRenderedPageBreak/>
        <w:t>I. General Information</w:t>
      </w:r>
    </w:p>
    <w:p w14:paraId="7F50F0F5" w14:textId="77777777" w:rsidR="00054BF0" w:rsidRDefault="00000000">
      <w:pPr>
        <w:spacing w:before="200" w:line="260" w:lineRule="atLeast"/>
        <w:jc w:val="both"/>
      </w:pPr>
      <w:r>
        <w:rPr>
          <w:rFonts w:ascii="Arial" w:eastAsia="Arial" w:hAnsi="Arial" w:cs="Arial"/>
          <w:color w:val="000000"/>
          <w:sz w:val="20"/>
        </w:rPr>
        <w:t>A. Does this action apply to me?</w:t>
      </w:r>
    </w:p>
    <w:p w14:paraId="5F38DF1D" w14:textId="77777777" w:rsidR="00054BF0" w:rsidRDefault="00000000">
      <w:pPr>
        <w:spacing w:before="200" w:line="260" w:lineRule="atLeast"/>
        <w:jc w:val="both"/>
      </w:pPr>
      <w:r>
        <w:rPr>
          <w:rFonts w:ascii="Arial" w:eastAsia="Arial" w:hAnsi="Arial" w:cs="Arial"/>
          <w:color w:val="000000"/>
          <w:sz w:val="20"/>
        </w:rPr>
        <w:t>B. Where can I get a copy of this document and other related information?</w:t>
      </w:r>
    </w:p>
    <w:p w14:paraId="23D43BF8" w14:textId="77777777" w:rsidR="00054BF0" w:rsidRDefault="00000000">
      <w:pPr>
        <w:spacing w:before="200" w:line="260" w:lineRule="atLeast"/>
        <w:jc w:val="both"/>
      </w:pPr>
      <w:r>
        <w:rPr>
          <w:rFonts w:ascii="Arial" w:eastAsia="Arial" w:hAnsi="Arial" w:cs="Arial"/>
          <w:color w:val="000000"/>
          <w:sz w:val="20"/>
        </w:rPr>
        <w:t>II. Background</w:t>
      </w:r>
    </w:p>
    <w:p w14:paraId="200D6A2B" w14:textId="77777777" w:rsidR="00054BF0" w:rsidRDefault="00000000">
      <w:pPr>
        <w:spacing w:before="200" w:line="260" w:lineRule="atLeast"/>
        <w:jc w:val="both"/>
      </w:pPr>
      <w:r>
        <w:rPr>
          <w:rFonts w:ascii="Arial" w:eastAsia="Arial" w:hAnsi="Arial" w:cs="Arial"/>
          <w:color w:val="000000"/>
          <w:sz w:val="20"/>
        </w:rPr>
        <w:t>A. What is the statutory authority for this action?</w:t>
      </w:r>
    </w:p>
    <w:p w14:paraId="3DAEBBA1" w14:textId="77777777" w:rsidR="00054BF0" w:rsidRDefault="00000000">
      <w:pPr>
        <w:spacing w:before="200" w:line="260" w:lineRule="atLeast"/>
        <w:jc w:val="both"/>
      </w:pPr>
      <w:r>
        <w:rPr>
          <w:rFonts w:ascii="Arial" w:eastAsia="Arial" w:hAnsi="Arial" w:cs="Arial"/>
          <w:color w:val="000000"/>
          <w:sz w:val="20"/>
        </w:rPr>
        <w:t>B. What is this source category and how does the current NESHAP regulate its HAP emissions?</w:t>
      </w:r>
    </w:p>
    <w:p w14:paraId="7360D851" w14:textId="77777777" w:rsidR="00054BF0" w:rsidRDefault="00000000">
      <w:pPr>
        <w:spacing w:before="200" w:line="260" w:lineRule="atLeast"/>
        <w:jc w:val="both"/>
      </w:pPr>
      <w:r>
        <w:rPr>
          <w:rFonts w:ascii="Arial" w:eastAsia="Arial" w:hAnsi="Arial" w:cs="Arial"/>
          <w:color w:val="000000"/>
          <w:sz w:val="20"/>
        </w:rPr>
        <w:t>C. What data collection activities were conducted to support this action?</w:t>
      </w:r>
    </w:p>
    <w:p w14:paraId="65578A8B" w14:textId="77777777" w:rsidR="00054BF0" w:rsidRDefault="00000000">
      <w:pPr>
        <w:spacing w:before="200" w:line="260" w:lineRule="atLeast"/>
        <w:jc w:val="both"/>
      </w:pPr>
      <w:r>
        <w:rPr>
          <w:rFonts w:ascii="Arial" w:eastAsia="Arial" w:hAnsi="Arial" w:cs="Arial"/>
          <w:color w:val="000000"/>
          <w:sz w:val="20"/>
        </w:rPr>
        <w:t>D. What other relevant background information and data are available?</w:t>
      </w:r>
    </w:p>
    <w:p w14:paraId="6A6ADEB8" w14:textId="77777777" w:rsidR="00054BF0" w:rsidRDefault="00000000">
      <w:pPr>
        <w:spacing w:before="200" w:line="260" w:lineRule="atLeast"/>
        <w:jc w:val="both"/>
      </w:pPr>
      <w:r>
        <w:rPr>
          <w:rFonts w:ascii="Arial" w:eastAsia="Arial" w:hAnsi="Arial" w:cs="Arial"/>
          <w:color w:val="000000"/>
          <w:sz w:val="20"/>
        </w:rPr>
        <w:t>III. Analytical Procedures and Decision-Making</w:t>
      </w:r>
    </w:p>
    <w:p w14:paraId="20EF2C16" w14:textId="77777777" w:rsidR="00054BF0" w:rsidRDefault="00000000">
      <w:pPr>
        <w:spacing w:before="200" w:line="260" w:lineRule="atLeast"/>
        <w:jc w:val="both"/>
      </w:pPr>
      <w:r>
        <w:rPr>
          <w:rFonts w:ascii="Arial" w:eastAsia="Arial" w:hAnsi="Arial" w:cs="Arial"/>
          <w:color w:val="000000"/>
          <w:sz w:val="20"/>
        </w:rPr>
        <w:t>A. How do we consider risk in our decision-making?</w:t>
      </w:r>
    </w:p>
    <w:p w14:paraId="127B0968" w14:textId="77777777" w:rsidR="00054BF0" w:rsidRDefault="00000000">
      <w:pPr>
        <w:spacing w:before="200" w:line="260" w:lineRule="atLeast"/>
        <w:jc w:val="both"/>
      </w:pPr>
      <w:r>
        <w:rPr>
          <w:rFonts w:ascii="Arial" w:eastAsia="Arial" w:hAnsi="Arial" w:cs="Arial"/>
          <w:color w:val="000000"/>
          <w:sz w:val="20"/>
        </w:rPr>
        <w:t>B. How do we perform the technology review?</w:t>
      </w:r>
    </w:p>
    <w:p w14:paraId="1524A437" w14:textId="77777777" w:rsidR="00054BF0" w:rsidRDefault="00000000">
      <w:pPr>
        <w:spacing w:before="200" w:line="260" w:lineRule="atLeast"/>
        <w:jc w:val="both"/>
      </w:pPr>
      <w:r>
        <w:rPr>
          <w:rFonts w:ascii="Arial" w:eastAsia="Arial" w:hAnsi="Arial" w:cs="Arial"/>
          <w:color w:val="000000"/>
          <w:sz w:val="20"/>
        </w:rPr>
        <w:t>C. How do we estimate post-MACT risk posed by the source category?</w:t>
      </w:r>
    </w:p>
    <w:p w14:paraId="39BC85C2" w14:textId="77777777" w:rsidR="00054BF0" w:rsidRDefault="00000000">
      <w:pPr>
        <w:spacing w:before="200" w:line="260" w:lineRule="atLeast"/>
        <w:jc w:val="both"/>
      </w:pPr>
      <w:r>
        <w:rPr>
          <w:rFonts w:ascii="Arial" w:eastAsia="Arial" w:hAnsi="Arial" w:cs="Arial"/>
          <w:color w:val="000000"/>
          <w:sz w:val="20"/>
        </w:rPr>
        <w:t>IV. Analytical Results and Proposed Decisions</w:t>
      </w:r>
    </w:p>
    <w:p w14:paraId="10642AA9" w14:textId="77777777" w:rsidR="00054BF0" w:rsidRDefault="00000000">
      <w:pPr>
        <w:spacing w:before="200" w:line="260" w:lineRule="atLeast"/>
        <w:jc w:val="both"/>
      </w:pPr>
      <w:r>
        <w:rPr>
          <w:rFonts w:ascii="Arial" w:eastAsia="Arial" w:hAnsi="Arial" w:cs="Arial"/>
          <w:color w:val="000000"/>
          <w:sz w:val="20"/>
        </w:rPr>
        <w:t>A. What are the results of the risk assessment and analyses?</w:t>
      </w:r>
    </w:p>
    <w:p w14:paraId="6DC55E4C" w14:textId="77777777" w:rsidR="00054BF0" w:rsidRDefault="00000000">
      <w:pPr>
        <w:spacing w:before="200" w:line="260" w:lineRule="atLeast"/>
        <w:jc w:val="both"/>
      </w:pPr>
      <w:r>
        <w:rPr>
          <w:rFonts w:ascii="Arial" w:eastAsia="Arial" w:hAnsi="Arial" w:cs="Arial"/>
          <w:color w:val="000000"/>
          <w:sz w:val="20"/>
        </w:rPr>
        <w:t>B. What are our proposed decisions regarding risk acceptability, ample margin of safety, and adverse environmental effect?</w:t>
      </w:r>
    </w:p>
    <w:p w14:paraId="47BF7FB2" w14:textId="77777777" w:rsidR="00054BF0" w:rsidRDefault="00000000">
      <w:pPr>
        <w:spacing w:before="200" w:line="260" w:lineRule="atLeast"/>
        <w:jc w:val="both"/>
      </w:pPr>
      <w:r>
        <w:rPr>
          <w:rFonts w:ascii="Arial" w:eastAsia="Arial" w:hAnsi="Arial" w:cs="Arial"/>
          <w:color w:val="000000"/>
          <w:sz w:val="20"/>
        </w:rPr>
        <w:t>C. What are the results and proposed decisions based on our technology review?</w:t>
      </w:r>
    </w:p>
    <w:p w14:paraId="1892B3B2" w14:textId="77777777" w:rsidR="00054BF0" w:rsidRDefault="00000000">
      <w:pPr>
        <w:spacing w:before="200" w:line="260" w:lineRule="atLeast"/>
        <w:jc w:val="both"/>
      </w:pPr>
      <w:r>
        <w:rPr>
          <w:rFonts w:ascii="Arial" w:eastAsia="Arial" w:hAnsi="Arial" w:cs="Arial"/>
          <w:color w:val="000000"/>
          <w:sz w:val="20"/>
        </w:rPr>
        <w:t>D. What other actions are we proposing?</w:t>
      </w:r>
    </w:p>
    <w:p w14:paraId="4F0479F2" w14:textId="77777777" w:rsidR="00054BF0" w:rsidRDefault="00000000">
      <w:pPr>
        <w:spacing w:before="200" w:line="260" w:lineRule="atLeast"/>
        <w:jc w:val="both"/>
      </w:pPr>
      <w:r>
        <w:rPr>
          <w:rFonts w:ascii="Arial" w:eastAsia="Arial" w:hAnsi="Arial" w:cs="Arial"/>
          <w:color w:val="000000"/>
          <w:sz w:val="20"/>
        </w:rPr>
        <w:t>E. What compliance dates are we proposing?</w:t>
      </w:r>
    </w:p>
    <w:p w14:paraId="79C72149" w14:textId="77777777" w:rsidR="00054BF0" w:rsidRDefault="00000000">
      <w:pPr>
        <w:spacing w:before="200" w:line="260" w:lineRule="atLeast"/>
        <w:jc w:val="both"/>
      </w:pPr>
      <w:r>
        <w:rPr>
          <w:rFonts w:ascii="Arial" w:eastAsia="Arial" w:hAnsi="Arial" w:cs="Arial"/>
          <w:color w:val="000000"/>
          <w:sz w:val="20"/>
        </w:rPr>
        <w:t>V. Summary of Cost, Environmental, and Economic Impacts</w:t>
      </w:r>
    </w:p>
    <w:p w14:paraId="6754EEB2" w14:textId="77777777" w:rsidR="00054BF0" w:rsidRDefault="00000000">
      <w:pPr>
        <w:spacing w:before="200" w:line="260" w:lineRule="atLeast"/>
        <w:jc w:val="both"/>
      </w:pPr>
      <w:r>
        <w:rPr>
          <w:rFonts w:ascii="Arial" w:eastAsia="Arial" w:hAnsi="Arial" w:cs="Arial"/>
          <w:color w:val="000000"/>
          <w:sz w:val="20"/>
        </w:rPr>
        <w:t>A. What are the affected sources?</w:t>
      </w:r>
    </w:p>
    <w:p w14:paraId="40560233" w14:textId="77777777" w:rsidR="00054BF0" w:rsidRDefault="00000000">
      <w:pPr>
        <w:spacing w:before="200" w:line="260" w:lineRule="atLeast"/>
        <w:jc w:val="both"/>
      </w:pPr>
      <w:r>
        <w:rPr>
          <w:rFonts w:ascii="Arial" w:eastAsia="Arial" w:hAnsi="Arial" w:cs="Arial"/>
          <w:color w:val="000000"/>
          <w:sz w:val="20"/>
        </w:rPr>
        <w:t>B. What are the air quality impacts?</w:t>
      </w:r>
    </w:p>
    <w:p w14:paraId="3E9F28B5" w14:textId="77777777" w:rsidR="00054BF0" w:rsidRDefault="00000000">
      <w:pPr>
        <w:spacing w:before="200" w:line="260" w:lineRule="atLeast"/>
        <w:jc w:val="both"/>
      </w:pPr>
      <w:r>
        <w:rPr>
          <w:rFonts w:ascii="Arial" w:eastAsia="Arial" w:hAnsi="Arial" w:cs="Arial"/>
          <w:color w:val="000000"/>
          <w:sz w:val="20"/>
        </w:rPr>
        <w:t>C. What are the cost impacts?</w:t>
      </w:r>
    </w:p>
    <w:p w14:paraId="7AE97AD9" w14:textId="77777777" w:rsidR="00054BF0" w:rsidRDefault="00000000">
      <w:pPr>
        <w:spacing w:before="200" w:line="260" w:lineRule="atLeast"/>
        <w:jc w:val="both"/>
      </w:pPr>
      <w:r>
        <w:rPr>
          <w:rFonts w:ascii="Arial" w:eastAsia="Arial" w:hAnsi="Arial" w:cs="Arial"/>
          <w:color w:val="000000"/>
          <w:sz w:val="20"/>
        </w:rPr>
        <w:t>D. What are the economic impacts?</w:t>
      </w:r>
    </w:p>
    <w:p w14:paraId="6A1AC187" w14:textId="77777777" w:rsidR="00054BF0" w:rsidRDefault="00000000">
      <w:pPr>
        <w:spacing w:before="200" w:line="260" w:lineRule="atLeast"/>
        <w:jc w:val="both"/>
      </w:pPr>
      <w:r>
        <w:rPr>
          <w:rFonts w:ascii="Arial" w:eastAsia="Arial" w:hAnsi="Arial" w:cs="Arial"/>
          <w:color w:val="000000"/>
          <w:sz w:val="20"/>
        </w:rPr>
        <w:t>E. What are the benefits?</w:t>
      </w:r>
    </w:p>
    <w:p w14:paraId="1F7F4B0F" w14:textId="77777777" w:rsidR="00054BF0" w:rsidRDefault="00000000">
      <w:pPr>
        <w:spacing w:before="200" w:line="260" w:lineRule="atLeast"/>
        <w:jc w:val="both"/>
      </w:pPr>
      <w:r>
        <w:rPr>
          <w:rFonts w:ascii="Arial" w:eastAsia="Arial" w:hAnsi="Arial" w:cs="Arial"/>
          <w:color w:val="000000"/>
          <w:sz w:val="20"/>
        </w:rPr>
        <w:t>VI. Request for Comments</w:t>
      </w:r>
    </w:p>
    <w:p w14:paraId="716F5151" w14:textId="77777777" w:rsidR="00054BF0" w:rsidRDefault="00000000">
      <w:pPr>
        <w:spacing w:before="200" w:line="260" w:lineRule="atLeast"/>
        <w:jc w:val="both"/>
      </w:pPr>
      <w:r>
        <w:rPr>
          <w:rFonts w:ascii="Arial" w:eastAsia="Arial" w:hAnsi="Arial" w:cs="Arial"/>
          <w:color w:val="000000"/>
          <w:sz w:val="20"/>
        </w:rPr>
        <w:t>VII. Submitting Data Corrections</w:t>
      </w:r>
    </w:p>
    <w:p w14:paraId="568F8C95" w14:textId="77777777" w:rsidR="00054BF0" w:rsidRDefault="00000000">
      <w:pPr>
        <w:spacing w:before="200" w:line="260" w:lineRule="atLeast"/>
        <w:jc w:val="both"/>
      </w:pPr>
      <w:r>
        <w:rPr>
          <w:rFonts w:ascii="Arial" w:eastAsia="Arial" w:hAnsi="Arial" w:cs="Arial"/>
          <w:color w:val="000000"/>
          <w:sz w:val="20"/>
        </w:rPr>
        <w:t>VIII. Statutory and Executive Order Reviews</w:t>
      </w:r>
    </w:p>
    <w:p w14:paraId="5C110938" w14:textId="77777777" w:rsidR="00054BF0" w:rsidRDefault="00000000">
      <w:pPr>
        <w:spacing w:before="200" w:line="260" w:lineRule="atLeast"/>
        <w:jc w:val="both"/>
      </w:pPr>
      <w:r>
        <w:rPr>
          <w:rFonts w:ascii="Arial" w:eastAsia="Arial" w:hAnsi="Arial" w:cs="Arial"/>
          <w:color w:val="000000"/>
          <w:sz w:val="20"/>
        </w:rPr>
        <w:t>A. Executive Order 12866: Regulatory Planning and Review and Executive Order 13563: Improving Regulation and Regulatory Review</w:t>
      </w:r>
    </w:p>
    <w:p w14:paraId="149B8210" w14:textId="77777777" w:rsidR="00054BF0" w:rsidRDefault="00000000">
      <w:pPr>
        <w:spacing w:before="200" w:line="260" w:lineRule="atLeast"/>
        <w:jc w:val="both"/>
      </w:pPr>
      <w:r>
        <w:rPr>
          <w:rFonts w:ascii="Arial" w:eastAsia="Arial" w:hAnsi="Arial" w:cs="Arial"/>
          <w:color w:val="000000"/>
          <w:sz w:val="20"/>
        </w:rPr>
        <w:lastRenderedPageBreak/>
        <w:t>B. Executive Order 13771: Reducing Regulation and Controlling Regulatory Costs</w:t>
      </w:r>
    </w:p>
    <w:p w14:paraId="2CD955B0" w14:textId="77777777" w:rsidR="00054BF0" w:rsidRDefault="00000000">
      <w:pPr>
        <w:spacing w:before="200" w:line="260" w:lineRule="atLeast"/>
        <w:jc w:val="both"/>
      </w:pPr>
      <w:r>
        <w:rPr>
          <w:rFonts w:ascii="Arial" w:eastAsia="Arial" w:hAnsi="Arial" w:cs="Arial"/>
          <w:color w:val="000000"/>
          <w:sz w:val="20"/>
        </w:rPr>
        <w:t>C. Paperwork Reduction Act (PRA)</w:t>
      </w:r>
    </w:p>
    <w:p w14:paraId="28B90B6B" w14:textId="77777777" w:rsidR="00054BF0" w:rsidRDefault="00000000">
      <w:pPr>
        <w:spacing w:before="200" w:line="260" w:lineRule="atLeast"/>
        <w:jc w:val="both"/>
      </w:pPr>
      <w:r>
        <w:rPr>
          <w:rFonts w:ascii="Arial" w:eastAsia="Arial" w:hAnsi="Arial" w:cs="Arial"/>
          <w:color w:val="000000"/>
          <w:sz w:val="20"/>
        </w:rPr>
        <w:t>D. Regulatory Flexibility Act (RFA)</w:t>
      </w:r>
    </w:p>
    <w:p w14:paraId="5DF7D07A" w14:textId="77777777" w:rsidR="00054BF0" w:rsidRDefault="00000000">
      <w:pPr>
        <w:spacing w:before="200" w:line="260" w:lineRule="atLeast"/>
        <w:jc w:val="both"/>
      </w:pPr>
      <w:r>
        <w:rPr>
          <w:rFonts w:ascii="Arial" w:eastAsia="Arial" w:hAnsi="Arial" w:cs="Arial"/>
          <w:color w:val="000000"/>
          <w:sz w:val="20"/>
        </w:rPr>
        <w:t>E. Unfunded Mandates Reform Act (UMRA)</w:t>
      </w:r>
    </w:p>
    <w:p w14:paraId="0705B28A" w14:textId="77777777" w:rsidR="00054BF0" w:rsidRDefault="00000000">
      <w:pPr>
        <w:spacing w:before="200" w:line="260" w:lineRule="atLeast"/>
        <w:jc w:val="both"/>
      </w:pPr>
      <w:r>
        <w:rPr>
          <w:rFonts w:ascii="Arial" w:eastAsia="Arial" w:hAnsi="Arial" w:cs="Arial"/>
          <w:color w:val="000000"/>
          <w:sz w:val="20"/>
        </w:rPr>
        <w:t>F. Executive Order 13132: Federalism</w:t>
      </w:r>
    </w:p>
    <w:p w14:paraId="009EFFED" w14:textId="77777777" w:rsidR="00054BF0" w:rsidRDefault="00000000">
      <w:pPr>
        <w:spacing w:before="200" w:line="260" w:lineRule="atLeast"/>
        <w:jc w:val="both"/>
      </w:pPr>
      <w:r>
        <w:rPr>
          <w:rFonts w:ascii="Arial" w:eastAsia="Arial" w:hAnsi="Arial" w:cs="Arial"/>
          <w:color w:val="000000"/>
          <w:sz w:val="20"/>
        </w:rPr>
        <w:t>G. Executive Order 13175: Consultation and Coordination with Indian Tribal Governments</w:t>
      </w:r>
    </w:p>
    <w:p w14:paraId="6ECCC584" w14:textId="77777777" w:rsidR="00054BF0" w:rsidRDefault="00000000">
      <w:pPr>
        <w:spacing w:before="200" w:line="260" w:lineRule="atLeast"/>
        <w:jc w:val="both"/>
      </w:pPr>
      <w:r>
        <w:rPr>
          <w:rFonts w:ascii="Arial" w:eastAsia="Arial" w:hAnsi="Arial" w:cs="Arial"/>
          <w:color w:val="000000"/>
          <w:sz w:val="20"/>
        </w:rPr>
        <w:t>H. Executive Order 13045: Protection of Children from Environmental Health Risks and Safety Risks</w:t>
      </w:r>
    </w:p>
    <w:p w14:paraId="40C24F6B" w14:textId="77777777" w:rsidR="00054BF0" w:rsidRDefault="00000000">
      <w:pPr>
        <w:spacing w:before="200" w:line="260" w:lineRule="atLeast"/>
        <w:jc w:val="both"/>
      </w:pPr>
      <w:r>
        <w:rPr>
          <w:rFonts w:ascii="Arial" w:eastAsia="Arial" w:hAnsi="Arial" w:cs="Arial"/>
          <w:color w:val="000000"/>
          <w:sz w:val="20"/>
        </w:rPr>
        <w:t>I. Executive Order 13211: Actions Concerning Regulations That Significantly Affect Energy Supply, Distribution, or Use</w:t>
      </w:r>
    </w:p>
    <w:p w14:paraId="796D81A0" w14:textId="77777777" w:rsidR="00054BF0" w:rsidRDefault="00000000">
      <w:pPr>
        <w:spacing w:before="200" w:line="260" w:lineRule="atLeast"/>
        <w:jc w:val="both"/>
      </w:pPr>
      <w:r>
        <w:rPr>
          <w:rFonts w:ascii="Arial" w:eastAsia="Arial" w:hAnsi="Arial" w:cs="Arial"/>
          <w:color w:val="000000"/>
          <w:sz w:val="20"/>
        </w:rPr>
        <w:t>J. National Technology Transfer and Advancement Act (NTTAA)</w:t>
      </w:r>
    </w:p>
    <w:p w14:paraId="7912DB72" w14:textId="77777777" w:rsidR="00054BF0" w:rsidRDefault="00000000">
      <w:pPr>
        <w:spacing w:before="200" w:line="260" w:lineRule="atLeast"/>
        <w:jc w:val="both"/>
      </w:pPr>
      <w:r>
        <w:rPr>
          <w:rFonts w:ascii="Arial" w:eastAsia="Arial" w:hAnsi="Arial" w:cs="Arial"/>
          <w:color w:val="000000"/>
          <w:sz w:val="20"/>
        </w:rPr>
        <w:t>K. Executive Order 12898: Federal Actions to Address Environmental Justice in Minority Populations and Low-Income PopulationsI. General InformationA. Does this action apply to me?</w:t>
      </w:r>
    </w:p>
    <w:p w14:paraId="63799C39" w14:textId="77777777" w:rsidR="00054BF0" w:rsidRDefault="00000000">
      <w:pPr>
        <w:spacing w:before="200" w:line="260" w:lineRule="atLeast"/>
        <w:jc w:val="both"/>
      </w:pPr>
      <w:r>
        <w:rPr>
          <w:rFonts w:ascii="Arial" w:eastAsia="Arial" w:hAnsi="Arial" w:cs="Arial"/>
          <w:color w:val="000000"/>
          <w:sz w:val="20"/>
        </w:rPr>
        <w:t>Table 1 of this preamble lists the NESHAP and associated regulated industrial source category that is the subject of this proposal. Table 1 is not intended to be exhaustive, but rather provides a guide for readers regarding the entities that this proposed action is likely to affect. The proposed standards, once promulgated, will be directly applicable to the affected sources. Federal, state, local, and tribal government entities would not be affected by this proposed action. As defined in the Initial List of Categories of Sources Under Section 112(c)(1) of the Clean Air Act Amendments of 1990 (see 57 FR 31576, July 16, 1992) and Documentation for Developing the Initial Source Category List, Final Report (see EPA-450/3-91-030, July 1992), the Plywood and Particleboard source category is any facility engaged in the manufacturing of plywood and/or particle boards. This category includes, but is not limited to, manufacturing of chip waferboard, strandboard, waferboard, hardboard/cellulosic fiber board, oriented strandboard (OSB), hardboard plywood, medium density fiberboard (MDF), particleboard, softwood plywood, or other processes using wood and binder systems. The name of the source category was changed to Plywood and Composite Wood Products (PCWP) on November 18, 1999 (64 FR 63025), to more accurately reflect the types of manufacturing facilities covered by the source category. In addition, when the EPA proposed the PCWP rule on January 9, 2003 (68 FR 1276), the scope of the source category was broadened to include lumber kilns located at stand-alone kiln-dried lumber manufacturing facilities or at any other type of facility.Table 1—NESHAP and Industrial Source Categories Affected by This Proposed Action Source category NESHAP NAICS code 1Plywood and Composite Wood Products National Emission Standards for Hazardous Air Pollutants: Plywood and Composite Wood Products 321999, 321211, 321212, 321219, 321213.B. Where can I get a copy of this document and other related information?</w:t>
      </w:r>
    </w:p>
    <w:p w14:paraId="4B6B21A1" w14:textId="77777777" w:rsidR="00054BF0" w:rsidRDefault="00000000">
      <w:pPr>
        <w:spacing w:before="240" w:line="260" w:lineRule="atLeast"/>
        <w:jc w:val="both"/>
      </w:pPr>
      <w:r>
        <w:rPr>
          <w:rFonts w:ascii="Arial" w:eastAsia="Arial" w:hAnsi="Arial" w:cs="Arial"/>
          <w:color w:val="000000"/>
          <w:sz w:val="20"/>
        </w:rPr>
        <w:t xml:space="preserve">In addition to being available in the docket, an electronic copy of this action is available on the internet. Following signature by the EPA Administrator, the EPA will post a copy of this proposed action at </w:t>
      </w:r>
      <w:hyperlink r:id="rId462" w:history="1">
        <w:r>
          <w:rPr>
            <w:rFonts w:ascii="Arial" w:eastAsia="Arial" w:hAnsi="Arial" w:cs="Arial"/>
            <w:i/>
            <w:color w:val="0077CC"/>
            <w:sz w:val="20"/>
            <w:u w:val="single"/>
            <w:shd w:val="clear" w:color="auto" w:fill="FFFFFF"/>
          </w:rPr>
          <w:t>https://www.epa.gov/plywood-and-composite-wood-products-manufacture-national-emission</w:t>
        </w:r>
      </w:hyperlink>
      <w:r>
        <w:rPr>
          <w:rFonts w:ascii="Arial" w:eastAsia="Arial" w:hAnsi="Arial" w:cs="Arial"/>
          <w:color w:val="000000"/>
          <w:sz w:val="20"/>
        </w:rPr>
        <w:t xml:space="preserve">. Following publication in the Federal Register, the EPA will post the Federal Register version of the proposal and key technical documents at this same website. Information on the overall RTR program is available at            </w:t>
      </w:r>
      <w:hyperlink r:id="rId463" w:history="1">
        <w:r>
          <w:rPr>
            <w:rFonts w:ascii="Arial" w:eastAsia="Arial" w:hAnsi="Arial" w:cs="Arial"/>
            <w:i/>
            <w:color w:val="0077CC"/>
            <w:sz w:val="20"/>
            <w:u w:val="single"/>
            <w:shd w:val="clear" w:color="auto" w:fill="FFFFFF"/>
          </w:rPr>
          <w:t>https://www3.epa.gov/ttn/atw/rrisk/rtrpg.html</w:t>
        </w:r>
      </w:hyperlink>
    </w:p>
    <w:p w14:paraId="67F5FF0B" w14:textId="77777777" w:rsidR="00054BF0" w:rsidRDefault="00000000">
      <w:pPr>
        <w:spacing w:before="200" w:line="260" w:lineRule="atLeast"/>
        <w:jc w:val="both"/>
      </w:pPr>
      <w:r>
        <w:rPr>
          <w:rFonts w:ascii="Arial" w:eastAsia="Arial" w:hAnsi="Arial" w:cs="Arial"/>
          <w:color w:val="000000"/>
          <w:sz w:val="20"/>
        </w:rPr>
        <w:t>A redline version of the regulatory language that incorporates the proposed changes in this action is available in the docket for this action (Docket ID No. EPA-HQ-OAR-2016-0243).II. BackgroundA. What is the statutory authority for this action?</w:t>
      </w:r>
    </w:p>
    <w:p w14:paraId="634635DD" w14:textId="77777777" w:rsidR="00054BF0" w:rsidRDefault="00000000">
      <w:pPr>
        <w:spacing w:before="200" w:line="260" w:lineRule="atLeast"/>
        <w:jc w:val="both"/>
      </w:pPr>
      <w:r>
        <w:rPr>
          <w:rFonts w:ascii="Arial" w:eastAsia="Arial" w:hAnsi="Arial" w:cs="Arial"/>
          <w:color w:val="000000"/>
          <w:sz w:val="20"/>
        </w:rPr>
        <w:t xml:space="preserve">The statutory authority for this action is provided by sections 112 and 301 of the CAA, as amended (42 U.S.C 7401 et seq.). Section 112 of the CAA establishes a two-stage regulatory process to develop standards for emissions of </w:t>
      </w:r>
      <w:r>
        <w:rPr>
          <w:rFonts w:ascii="Arial" w:eastAsia="Arial" w:hAnsi="Arial" w:cs="Arial"/>
          <w:color w:val="000000"/>
          <w:sz w:val="20"/>
        </w:rPr>
        <w:lastRenderedPageBreak/>
        <w:t>HAP from stationary sources. Generally, the first stage involves establishing technology-based standards and the second stage involves evaluating those standards that are based on maximum achievable control technology (MACT) to determine whether additional standards are needed to address any remaining risk associated with HAP emissions. This second stage is commonly referred to as the “residual risk review.” In addition to the residual risk review, the CAA also requires the EPA to review standards set under CAA section 112 every 8 years to determine if there are “developments in practices, processes, or control technologies” that may be appropriate to incorporate into the standards. This review is commonly referred to as the “technology review.” When the two reviews are combined into a single rulemaking, it is commonly referred to as the “risk and technology review.” The discussion that follows identifies the most relevant statutory sections and briefly explains the contours of the methodology used to implement these statutory requirements. A more comprehensive discussion appears in the document titled CAA Section 112 Risk and Technology Reviews: Statutory Authority and Methodology, in the docket for this rulemaking.</w:t>
      </w:r>
    </w:p>
    <w:p w14:paraId="178D5C91" w14:textId="77777777" w:rsidR="00054BF0" w:rsidRDefault="00000000">
      <w:pPr>
        <w:spacing w:before="200" w:line="260" w:lineRule="atLeast"/>
        <w:jc w:val="both"/>
      </w:pPr>
      <w:r>
        <w:rPr>
          <w:rFonts w:ascii="Arial" w:eastAsia="Arial" w:hAnsi="Arial" w:cs="Arial"/>
          <w:color w:val="000000"/>
          <w:sz w:val="20"/>
        </w:rPr>
        <w:t>In the first stage of the CAA section 112 standard setting process, the EPA promulgates technology-based standards under CAA section 112(d) for categories of sources identified as emitting one or more of the HAP listed in CAA section 112(b). Sources of HAP emissions are either major sources or area sources, and CAA section 112 establishes different requirements for major source standards and area source standards. “Major sources” are those that emit or have the potential to emit 10 tons per year (tpy) or more of a single HAP or 25 tpy or more of any combination of HAP. All other sources are “area sources.” For major sources, CAA section 112(d)(2) provides that the technology-based NESHAP must reflect the maximum degree of emission reductions of HAP achievable (after considering cost, energy requirements, and non-air quality health and environmental impacts). These standards are commonly referred to as MACT standards. CAA section 112(d)(3) also establishes a minimum control level for MACT standards, known as the MACT “floor.” The EPA must also consider control options that are more stringent than the floor. Standards more stringent than the floor are commonly referred to as beyond-the-floor standards. In certain instances, as provided in CAA section 112(h), the EPA may set work practice standards where it is not feasible to prescribe or enforce a numerical emission standard. For area sources, CAA section 112(d)(5) gives the EPA discretion to set standards based on generally available control technologies or management practices (GACT standards) in lieu of MACT standards.</w:t>
      </w:r>
    </w:p>
    <w:p w14:paraId="2524F521" w14:textId="77777777" w:rsidR="00054BF0" w:rsidRDefault="00000000">
      <w:pPr>
        <w:spacing w:before="200" w:line="260" w:lineRule="atLeast"/>
        <w:jc w:val="both"/>
      </w:pPr>
      <w:r>
        <w:rPr>
          <w:rFonts w:ascii="Arial" w:eastAsia="Arial" w:hAnsi="Arial" w:cs="Arial"/>
          <w:color w:val="000000"/>
          <w:sz w:val="20"/>
        </w:rPr>
        <w:t>The second stage in standard-setting focuses on identifying and addressing any remaining (i.e , “residual”) risk according to CAA section 112(f). For source categories subject to MACT standards, section 112(f)(2) of the CAA requires the EPA to determine whether promulgation of additional standards is needed to provide an ample margin of safety to protect public health or to prevent an adverse environmental effect. Section 112(d)(5) of the CAA provides that this residual risk review is not required for categories of area sources subject to GACT standards. Section 112(f)(2)(B) of the CAA further expressly preserves the EPA's use of the two-step approach for developing standards to address any residual risk and the Agency's interpretation of “ample margin of safety” developed in the National Emissions Standards for Hazardous Air Pollutants: Benzene Emissions from Maleic Anhydride Plants, Ethylbenzene/Styrene Plants, Benzene Storage Vessels, Benzene Equipment Leaks, and Coke By-Product Recovery Plants (Benzene NESHAP) (54 FR 38044, September 14, 1989). The EPA notified Congress in the Risk Report that the Agency intended to use the Benzene NESHAP approach in making CAA section 112(f) residual risk determinations (EPA-453/R-99-001, p. ES-11). The EPA subsequently adopted this approach in its residual risk determinations and the United States Court of Appeals for the District of Columbia Circuit (the Court) upheld the EPA's interpretation that CAA section 112(f)(2) incorporates the approach established in the Benzene NESHAP. See NRDC v. EPA, 529 F.3d 1077, 1083 (D.C Cir. 2008).</w:t>
      </w:r>
    </w:p>
    <w:p w14:paraId="15DCAD49" w14:textId="77777777" w:rsidR="00054BF0" w:rsidRDefault="00000000">
      <w:pPr>
        <w:spacing w:before="200" w:line="260" w:lineRule="atLeast"/>
        <w:jc w:val="both"/>
      </w:pPr>
      <w:r>
        <w:rPr>
          <w:rFonts w:ascii="Arial" w:eastAsia="Arial" w:hAnsi="Arial" w:cs="Arial"/>
          <w:color w:val="000000"/>
          <w:sz w:val="20"/>
        </w:rPr>
        <w:t xml:space="preserve">The approach incorporated into the CAA and used by the EPA to evaluate residual risk and to develop standards under CAA section 112(f)(2) is a two-step approach. In the first step, the EPA determines whether risks are acceptable. This determination “considers all health information, including risk estimation uncertainty, and includes a presumptive limit on maximum individual lifetime [cancer] risk (MIR) (1) of approximately 1 in 10 thousand.” 54 FR 38045, September 14, 1989. If risks are unacceptable, the EPA must determine the emissions standards necessary to reduce risk to an acceptable level without considering costs. In the second step of the approach, the EPA considers whether the emissions standards provide an ample margin of safety to protect public health “in consideration of all health information, including the number of persons at risk levels higher than approximately 1 in 1 million, as well as other relevant factors, including costs and economic impacts, technological feasibility, and other </w:t>
      </w:r>
      <w:r>
        <w:rPr>
          <w:rFonts w:ascii="Arial" w:eastAsia="Arial" w:hAnsi="Arial" w:cs="Arial"/>
          <w:color w:val="000000"/>
          <w:sz w:val="20"/>
        </w:rPr>
        <w:lastRenderedPageBreak/>
        <w:t>factors relevant to each particular decision.” Id. The EPA must promulgate emission standards necessary to provide an ample margin of safety to protect public health or determine that the standards being reviewed provide an ample margin of safety without any revisions. After conducting the ample margin of safety analysis, the EPA considers whether a more stringent standard is necessary to prevent, taking into consideration costs, energy, safety, and other relevant factors, an adverse environmental effect.</w:t>
      </w:r>
    </w:p>
    <w:p w14:paraId="4DF08922" w14:textId="77777777" w:rsidR="00054BF0" w:rsidRDefault="00000000">
      <w:pPr>
        <w:spacing w:before="200" w:line="260" w:lineRule="atLeast"/>
        <w:jc w:val="both"/>
      </w:pPr>
      <w:r>
        <w:rPr>
          <w:rFonts w:ascii="Arial" w:eastAsia="Arial" w:hAnsi="Arial" w:cs="Arial"/>
          <w:color w:val="000000"/>
          <w:sz w:val="20"/>
        </w:rPr>
        <w:t>CAA section 112(d)(6) separately requires the EPA to review standards promulgated under CAA section 112 and revise them “as necessary (taking into account developments in practices, processes, and control technologies)” no less often than every 8 years. In conducting this review, which the EPA calls the “technology review,” the EPA is not required to recalculate the MACT floor. Natural Resources Defense Council (NRDC) v. EPA, 529 F.3d 1077, 1084 (D.C Cir. 2008). Association of Battery Recyclers, Inc. v. EPA, 716 F.3d 667 (D.C Cir. 2013). The EPA may consider cost in deciding whether to revise the standards pursuant to CAA section 112(d)(6).B. What is this source category and how does the current NESHAP regulate its HAP emissions?</w:t>
      </w:r>
    </w:p>
    <w:p w14:paraId="1FC9BF5C" w14:textId="77777777" w:rsidR="00054BF0" w:rsidRDefault="00000000">
      <w:pPr>
        <w:spacing w:before="200" w:line="260" w:lineRule="atLeast"/>
        <w:jc w:val="both"/>
      </w:pPr>
      <w:r>
        <w:rPr>
          <w:rFonts w:ascii="Arial" w:eastAsia="Arial" w:hAnsi="Arial" w:cs="Arial"/>
          <w:color w:val="000000"/>
          <w:sz w:val="20"/>
        </w:rPr>
        <w:t>Plywood and composite wood products are manufactured by bonding wood material (fibers, particles, strands, etc.) or agricultural fiber, generally with resin under heat and pressure, to form a structural panel or engineered wood product. Plywood and composite wood products manufacturing facilities also include facilities that manufacture dry veneer and lumber kilns located at any facility. Plywood and composite wood products include (but are not limited to) plywood, veneer, particleboard, OSB, hardboard, fiberboard, medium density fiberboard, laminated strand lumber, laminated veneer lumber, wood I-joists, kiln-dried lumber, and glue-laminated beams.</w:t>
      </w:r>
    </w:p>
    <w:p w14:paraId="19BEF661" w14:textId="77777777" w:rsidR="00054BF0" w:rsidRDefault="00000000">
      <w:pPr>
        <w:spacing w:before="200" w:line="260" w:lineRule="atLeast"/>
        <w:jc w:val="both"/>
      </w:pPr>
      <w:r>
        <w:rPr>
          <w:rFonts w:ascii="Arial" w:eastAsia="Arial" w:hAnsi="Arial" w:cs="Arial"/>
          <w:color w:val="000000"/>
          <w:sz w:val="20"/>
        </w:rPr>
        <w:t>This proposal includes both a residual risk assessment and a technology review of the standards applicable to emission sources subject to the PCWP NESHAP. The NESHAP contains several compliance options for process units subject to the standards: (1) Installation and use of emissions control systems with an efficiency of at least 90 percent; (2) production-based limits that restrict HAP emissions per unit of product produced; and (3) emissions averaging that allows control of emissions from a group of sources collectively (at existing affected sources). These compliance options apply for the following process units: Fiberboard mat dryer heated zones (at new affected sources); green rotary dryers; hardboard ovens; press predryers (at new affected sources); pressurized refiners; primary tube dryers; secondary tube dryers; reconstituted wood product board coolers (at new affected sources); reconstituted wood product presses; softwood veneer dryer heated zones; rotary strand dryers; and conveyor strand dryers (zone one at existing affected sources, and zones one and two at new affected sources). In addition, the PCWP NESHAP includes work practice standards for dry rotary dryers, hardwood veneer dryers, softwood veneer dryers, veneer redryers, and group 1 miscellaneous coating operations (defined in 40 CFR 63.2292).</w:t>
      </w:r>
    </w:p>
    <w:p w14:paraId="4DFEA56E" w14:textId="77777777" w:rsidR="00054BF0" w:rsidRDefault="00000000">
      <w:pPr>
        <w:spacing w:before="200" w:line="260" w:lineRule="atLeast"/>
        <w:jc w:val="both"/>
      </w:pPr>
      <w:r>
        <w:rPr>
          <w:rFonts w:ascii="Arial" w:eastAsia="Arial" w:hAnsi="Arial" w:cs="Arial"/>
          <w:color w:val="000000"/>
          <w:sz w:val="20"/>
        </w:rPr>
        <w:t>In 2007, the D.C Circuit remanded and vacated portions of the 2004 NESHAP promulgated by the EPA to establish MACT standards for the PCWP source category. NRDC v. EPA, 489 F.3d 1364 (D.C Cir. 2007). The EPA will address the partial remand and vacatur of the 2004 rule in a future action. The EPA is not addressing the partial remand and vacatur in this RTR. The Court vacated and remanded portions of the 2004 rule based on certain aspects of the MACT determinations made by the EPA. In the 2004 rule, the EPA had concluded that the MACT standards for several process units were represented by no emission reduction (or “no control” emission floors). The “no control” MACT conclusions were rejected because, as the Court clarified, in a related decision, the EPA must establish emission standards for listed HAP. 489 F.3d 1364, 1371, citing Sierra v. EPA, 479 F.3d 875 (D.C Cir. 2007).</w:t>
      </w:r>
    </w:p>
    <w:p w14:paraId="3D1D3DA9" w14:textId="77777777" w:rsidR="00054BF0" w:rsidRDefault="00000000">
      <w:pPr>
        <w:spacing w:before="200" w:line="260" w:lineRule="atLeast"/>
        <w:jc w:val="both"/>
      </w:pPr>
      <w:r>
        <w:rPr>
          <w:rFonts w:ascii="Arial" w:eastAsia="Arial" w:hAnsi="Arial" w:cs="Arial"/>
          <w:color w:val="000000"/>
          <w:sz w:val="20"/>
        </w:rPr>
        <w:t>To address the remand, the EPA plans to develop emission standards for the relevant process units in a separate action subsequent to this proposed RTR action for the source category. As noted below, the EPA conducted an information collection prior to beginning the RTR process which supplemented the available HAP emission inventory for the category. The EPA will evaluate the data collected and any additional information submitted before initiating the rulemaking to address the remand.C. What data collection activities were conducted to support this action?</w:t>
      </w:r>
    </w:p>
    <w:p w14:paraId="25D347ED" w14:textId="77777777" w:rsidR="00054BF0" w:rsidRDefault="00000000">
      <w:pPr>
        <w:spacing w:before="200" w:line="260" w:lineRule="atLeast"/>
        <w:jc w:val="both"/>
      </w:pPr>
      <w:r>
        <w:rPr>
          <w:rFonts w:ascii="Arial" w:eastAsia="Arial" w:hAnsi="Arial" w:cs="Arial"/>
          <w:color w:val="000000"/>
          <w:sz w:val="20"/>
        </w:rPr>
        <w:t xml:space="preserve">On October 5, 2017, the EPA issued an Information Collection Request (ICR) to gather information from PCWP manufacturers to support conducting the PCWP NESHAP RTR. The ICR gathered detailed process data, emission </w:t>
      </w:r>
      <w:r>
        <w:rPr>
          <w:rFonts w:ascii="Arial" w:eastAsia="Arial" w:hAnsi="Arial" w:cs="Arial"/>
          <w:color w:val="000000"/>
          <w:sz w:val="20"/>
        </w:rPr>
        <w:lastRenderedPageBreak/>
        <w:t>release point characteristics, and HAP emissions data for PCWP process units located at major sources. The response rate for the ICR was over 99 percent. For more details on the data collection conducted to prepare inputs for the residual risk assessment, see the memorandum titled Preparation of the Residual Risk Modeling Inputs File for the PCWP NESHAP in the docket for this rulemaking. For more details on the data collection conducted for the technology review, see the memoranda titled Technology Review for the Plywood and Composite Wood Products NESHAP and Compilation of the Plywood and Composite Wood Products (PCWP) Information Collection Request (ICR) Responses into an ICR-Response Data Base, also available in the docket.D. What other relevant background information and data are available?</w:t>
      </w:r>
    </w:p>
    <w:p w14:paraId="357B062C" w14:textId="77777777" w:rsidR="00054BF0" w:rsidRDefault="00000000">
      <w:pPr>
        <w:spacing w:before="200" w:line="260" w:lineRule="atLeast"/>
        <w:jc w:val="both"/>
      </w:pPr>
      <w:r>
        <w:rPr>
          <w:rFonts w:ascii="Arial" w:eastAsia="Arial" w:hAnsi="Arial" w:cs="Arial"/>
          <w:color w:val="000000"/>
          <w:sz w:val="20"/>
        </w:rPr>
        <w:t>In addition to ICR data spreadsheets provided by respondents, the EPA reviewed other information sources to determine if there have been developments in practices, processes, or control technologies by PCWP facilities to support the technology review of the NESHAP. These information sources include:</w:t>
      </w:r>
    </w:p>
    <w:p w14:paraId="4BA88CDE" w14:textId="77777777" w:rsidR="00054BF0" w:rsidRDefault="00000000">
      <w:pPr>
        <w:spacing w:before="200" w:line="260" w:lineRule="atLeast"/>
        <w:jc w:val="both"/>
      </w:pPr>
      <w:r>
        <w:rPr>
          <w:rFonts w:ascii="Arial" w:eastAsia="Arial" w:hAnsi="Arial" w:cs="Arial"/>
          <w:color w:val="000000"/>
          <w:sz w:val="20"/>
        </w:rPr>
        <w:t>Emissions data (e.g , stack test reports, emissions calculations) submitted with survey responses; Facility operating permits submitted with survey responses or obtained from state agencies; Semiannual compliance reports submitted with survey responses; Other documentation submitted with survey responses (e.g , compliance calculations; process flow diagrams); Information and data analyses submitted by industry organizations; Information obtained during site visits and meetings with stakeholders; Information on air pollution control options in the PCWP industry from the EPA's Reasonably Available Control Technology/Best Available Control Technology/Lowest Achievable Emission Rate Clearinghouse; Information on applicability and compliance issues from the EPA's Applicability Determination Index; and Literature review of recent information on PCWP practices, processes, and control technologies.</w:t>
      </w:r>
    </w:p>
    <w:p w14:paraId="1C30F40C" w14:textId="77777777" w:rsidR="00054BF0" w:rsidRDefault="00000000">
      <w:pPr>
        <w:spacing w:before="200" w:line="260" w:lineRule="atLeast"/>
        <w:jc w:val="both"/>
      </w:pPr>
      <w:r>
        <w:rPr>
          <w:rFonts w:ascii="Arial" w:eastAsia="Arial" w:hAnsi="Arial" w:cs="Arial"/>
          <w:color w:val="000000"/>
          <w:sz w:val="20"/>
        </w:rPr>
        <w:t>III. Analytical Procedures and Decision-Making</w:t>
      </w:r>
    </w:p>
    <w:p w14:paraId="1D0F2A35" w14:textId="77777777" w:rsidR="00054BF0" w:rsidRDefault="00000000">
      <w:pPr>
        <w:spacing w:before="200" w:line="260" w:lineRule="atLeast"/>
        <w:jc w:val="both"/>
      </w:pPr>
      <w:r>
        <w:rPr>
          <w:rFonts w:ascii="Arial" w:eastAsia="Arial" w:hAnsi="Arial" w:cs="Arial"/>
          <w:color w:val="000000"/>
          <w:sz w:val="20"/>
        </w:rPr>
        <w:t>In this section, the EPA describes the analyses performed to support the proposed decisions for the RTR and other issues addressed in this proposal.A. How do we consider risk in our decision-making?</w:t>
      </w:r>
    </w:p>
    <w:p w14:paraId="69D2EF6B" w14:textId="77777777" w:rsidR="00054BF0" w:rsidRDefault="00000000">
      <w:pPr>
        <w:spacing w:before="200" w:line="260" w:lineRule="atLeast"/>
        <w:jc w:val="both"/>
      </w:pPr>
      <w:r>
        <w:rPr>
          <w:rFonts w:ascii="Arial" w:eastAsia="Arial" w:hAnsi="Arial" w:cs="Arial"/>
          <w:color w:val="000000"/>
          <w:sz w:val="20"/>
        </w:rPr>
        <w:t>As discussed in section II.A of this preamble and in the Benzene NESHAP, in evaluating and developing standards under CAA section 112(f)(2), the EPA applies a two-step approach to determine whether or not risks are acceptable and to determine if the standards provide an ample margin of safety to protect public health. As explained in the Benzene NESHAP, “the first step judgment on acceptability cannot be reduced to any single factor” and, thus, “[t]he Administrator believes that the acceptability of risk under section 112 is best judged on the basis of a broad set of health risk measures and information.” 54 FR 38046, September 14, 1989. Similarly, with regard to the ample margin of safety determination, “the Agency again considers all of the health risk and other health information considered in the first step. Beyond that information, additional factors relating to the appropriate level of control will also be considered, including cost and economic impacts of controls, technological feasibility, uncertainties, and any other relevant factors.” Id.</w:t>
      </w:r>
    </w:p>
    <w:p w14:paraId="5C37D69A" w14:textId="77777777" w:rsidR="00054BF0" w:rsidRDefault="00000000">
      <w:pPr>
        <w:spacing w:before="200" w:line="260" w:lineRule="atLeast"/>
        <w:jc w:val="both"/>
      </w:pPr>
      <w:r>
        <w:rPr>
          <w:rFonts w:ascii="Arial" w:eastAsia="Arial" w:hAnsi="Arial" w:cs="Arial"/>
          <w:color w:val="000000"/>
          <w:sz w:val="20"/>
        </w:rPr>
        <w:t>The Benzene NESHAP approach provides flexibility regarding factors the EPA may consider in making determinations and how the EPA may weigh those factors for each source category. The EPA conducts a risk assessment that provides estimates of the MIR posed by the HAP emissions from each source in the source category, the hazard index (HI) for chronic exposures to HAP with the potential to cause noncancer health effects, and the hazard quotient (HQ) for acute exposures to HAP with the potential to cause noncancer health effects. (2) The assessment also provides estimates of the distribution of cancer risk within the exposed populations, cancer incidence, and an evaluation of the potential for an adverse environmental effect. The scope of the EPA's risk analysis is consistent with the EPA's response to comments on our policy under the Benzene NESHAP where the EPA explained that:</w:t>
      </w:r>
    </w:p>
    <w:p w14:paraId="6530C003" w14:textId="77777777" w:rsidR="00054BF0" w:rsidRDefault="00000000">
      <w:pPr>
        <w:spacing w:before="200" w:line="260" w:lineRule="atLeast"/>
        <w:jc w:val="both"/>
      </w:pPr>
      <w:r>
        <w:rPr>
          <w:rFonts w:ascii="Arial" w:eastAsia="Arial" w:hAnsi="Arial" w:cs="Arial"/>
          <w:color w:val="000000"/>
          <w:sz w:val="20"/>
        </w:rPr>
        <w:t xml:space="preserve">[t]he policy chosen by the Administrator permits consideration of multiple measures of health risk. Not only can the MIR figure be considered, but also incidence, the presence of non-cancer health effects, and the uncertainties of the risk estimates. In this way, the effect on the most exposed individuals can be reviewed as well as the impact on the general public. These factors can then be weighed in each individual case. This approach complies with the </w:t>
      </w:r>
      <w:r>
        <w:rPr>
          <w:rFonts w:ascii="Arial" w:eastAsia="Arial" w:hAnsi="Arial" w:cs="Arial"/>
          <w:color w:val="000000"/>
          <w:sz w:val="20"/>
        </w:rPr>
        <w:lastRenderedPageBreak/>
        <w:t>Vinyl Chloride mandate that the Administrator ascertain an acceptable level of risk to the public by employing his expertise to assess available data. It also complies with the Congressional intent behind the CAA, which did not exclude the use of any particular measure of public health risk from the EPA's consideration with respect to CAA section 112 regulations, and thereby implicitly permits consideration of any and all measures of health risk which the Administrator, in his judgment, believes are appropriate to determining what will `protect the public health'.</w:t>
      </w:r>
    </w:p>
    <w:p w14:paraId="1A432CC7" w14:textId="77777777" w:rsidR="00054BF0" w:rsidRDefault="00000000">
      <w:pPr>
        <w:spacing w:before="200" w:line="260" w:lineRule="atLeast"/>
        <w:jc w:val="both"/>
      </w:pPr>
      <w:r>
        <w:rPr>
          <w:rFonts w:ascii="Arial" w:eastAsia="Arial" w:hAnsi="Arial" w:cs="Arial"/>
          <w:color w:val="000000"/>
          <w:sz w:val="20"/>
        </w:rPr>
        <w:t>See 54 FR 38057, September 14, 1989. Thus, the level of the MIR is only one factor to be weighed in determining acceptability of risk. The Benzene NESHAP explained that “an MIR of approximately one in 10 thousand should ordinarily be the upper end of the range of acceptability. As risks increase above this benchmark, they become presumptively less acceptable under CAA section 112, and would be weighed with the other health risk measures and information in making an overall judgment on acceptability. Or, the Agency may find, in a particular case, that a risk that includes an MIR less than the presumptively acceptable level is unacceptable in the light of other health risk factors.” Id. at 38045. In other words, risks that include an MIR where 100-in-1 million may be determined to be acceptable and risks with an MIR below that level may be determined to be unacceptable, depending on all of the available information. Similarly, with regard to the ample margin of safety analysis, the EPA stated in the Benzene NESHAP that: “EPA believes the relative weight of the many factors that can be considered in selecting an ample margin of safety can only be determined for each specific source category. This occurs mainly because technological and economic factors (along with the health-related factors) vary from source category to source category.” Id. at 38061. The EPA also considers the uncertainties associated with the various risk analyses, as discussed earlier in this preamble, in our determinations of acceptability and ample margin of safety.</w:t>
      </w:r>
    </w:p>
    <w:p w14:paraId="1E19812C" w14:textId="77777777" w:rsidR="00054BF0" w:rsidRDefault="00000000">
      <w:pPr>
        <w:spacing w:before="200" w:line="260" w:lineRule="atLeast"/>
        <w:jc w:val="both"/>
      </w:pPr>
      <w:r>
        <w:rPr>
          <w:rFonts w:ascii="Arial" w:eastAsia="Arial" w:hAnsi="Arial" w:cs="Arial"/>
          <w:color w:val="000000"/>
          <w:sz w:val="20"/>
        </w:rPr>
        <w:t>The EPA notes that we have not considered certain health information to date in making residual risk determinations. At this time, the EPA does not attempt to quantify the HAP risk that may be associated with emissions from other facilities that do not include the source category under review, mobile source emissions, natural source emissions, persistent environmental pollution, or atmospheric transformation in the vicinity of the sources in the category.</w:t>
      </w:r>
    </w:p>
    <w:p w14:paraId="537D3546" w14:textId="77777777" w:rsidR="00054BF0" w:rsidRDefault="00000000">
      <w:pPr>
        <w:spacing w:before="200" w:line="260" w:lineRule="atLeast"/>
        <w:jc w:val="both"/>
      </w:pPr>
      <w:r>
        <w:rPr>
          <w:rFonts w:ascii="Arial" w:eastAsia="Arial" w:hAnsi="Arial" w:cs="Arial"/>
          <w:color w:val="000000"/>
          <w:sz w:val="20"/>
        </w:rPr>
        <w:t>The EPA understands the potential importance of considering an individual's total exposure to HAP in addition to considering exposure to HAP emissions from the source category and facility. The EPA recognizes that such consideration may be particularly important when assessing noncancer risk, where pollutant-specific exposure health reference levels (e.g , reference concentrations (RfCs)) are based on the assumption that thresholds exist for adverse health effects. For example, the EPA recognizes that, although exposures attributable to emissions from a source category or facility alone may not indicate the potential for increased risk of adverse noncancer health effects in a population, the exposures resulting from emissions from the facility in combination with emissions from all of the other sources (e.g , other facilities) to which an individual is exposed may be sufficient to result in an increased risk of adverse noncancer health effects. In May 2010, the Science Advisory Board (SAB) advised the EPA “that RTR assessments will be most useful to decision makers and communities if results are presented in the broader context of aggregate and cumulative risks, including background concentrations and contributions from other sources in the area.” (3)</w:t>
      </w:r>
    </w:p>
    <w:p w14:paraId="0571926E" w14:textId="77777777" w:rsidR="00054BF0" w:rsidRDefault="00000000">
      <w:pPr>
        <w:spacing w:before="200" w:line="260" w:lineRule="atLeast"/>
        <w:jc w:val="both"/>
      </w:pPr>
      <w:r>
        <w:rPr>
          <w:rFonts w:ascii="Arial" w:eastAsia="Arial" w:hAnsi="Arial" w:cs="Arial"/>
          <w:color w:val="000000"/>
          <w:sz w:val="20"/>
        </w:rPr>
        <w:t>In response to the SAB recommendations, the EPA incorporates cumulative risk analyses into its RTR risk assessments, including those reflected in this proposal. The Agency (1) conducts facility-wide assessments, which include source category emission points, as well as other emission points within the facilities; (2) combines exposures from multiple sources in the same category that could affect the same individuals; and (3) for some persistent and bioaccumulative pollutants, analyzes the ingestion route of exposure. In addition, the RTR risk assessments consider aggregate cancer risk from all carcinogens and aggregated noncancer HQs for all noncarcinogens affecting the same target organ or target organ system.</w:t>
      </w:r>
    </w:p>
    <w:p w14:paraId="710B2AD3" w14:textId="77777777" w:rsidR="00054BF0" w:rsidRDefault="00000000">
      <w:pPr>
        <w:spacing w:before="200" w:line="260" w:lineRule="atLeast"/>
        <w:jc w:val="both"/>
      </w:pPr>
      <w:r>
        <w:rPr>
          <w:rFonts w:ascii="Arial" w:eastAsia="Arial" w:hAnsi="Arial" w:cs="Arial"/>
          <w:color w:val="000000"/>
          <w:sz w:val="20"/>
        </w:rPr>
        <w:t xml:space="preserve">Although the EPA is interested in placing source category and facility-wide HAP risk in the context of total HAP risk from all sources combined in the vicinity of each source, we are concerned about the uncertainties of doing so. Estimates of total HAP risk from emission sources other than those that the EPA has studied in depth during this RTR review would have significantly greater associated uncertainties than the source category or facility-wide </w:t>
      </w:r>
      <w:r>
        <w:rPr>
          <w:rFonts w:ascii="Arial" w:eastAsia="Arial" w:hAnsi="Arial" w:cs="Arial"/>
          <w:color w:val="000000"/>
          <w:sz w:val="20"/>
        </w:rPr>
        <w:lastRenderedPageBreak/>
        <w:t>estimates. Such aggregate or cumulative assessments would compound those uncertainties, making the assessments too unreliable.B. How do we perform the technology review?</w:t>
      </w:r>
    </w:p>
    <w:p w14:paraId="5476C894" w14:textId="77777777" w:rsidR="00054BF0" w:rsidRDefault="00000000">
      <w:pPr>
        <w:spacing w:before="200" w:line="260" w:lineRule="atLeast"/>
        <w:jc w:val="both"/>
      </w:pPr>
      <w:r>
        <w:rPr>
          <w:rFonts w:ascii="Arial" w:eastAsia="Arial" w:hAnsi="Arial" w:cs="Arial"/>
          <w:color w:val="000000"/>
          <w:sz w:val="20"/>
        </w:rPr>
        <w:t>Our technology review focuses on the identification and evaluation of developments in practices, processes, and control technologies that have occurred since the MACT standards were promulgated. Where the EPA identifies such developments, we analyze their technical feasibility, estimated costs, energy implications, and non-air environmental impacts. The EPA also considers the emission reductions associated with applying each development. This analysis informs our decision of whether it is “necessary” to revise the emissions standards. In addition, the EPA considers the appropriateness of applying controls to new sources versus retrofitting existing sources. For this exercise, we consider any of the following to be a “development”:</w:t>
      </w:r>
    </w:p>
    <w:p w14:paraId="6BF9AD34" w14:textId="77777777" w:rsidR="00054BF0" w:rsidRDefault="00000000">
      <w:pPr>
        <w:spacing w:before="200" w:line="260" w:lineRule="atLeast"/>
        <w:jc w:val="both"/>
      </w:pPr>
      <w:r>
        <w:rPr>
          <w:rFonts w:ascii="Arial" w:eastAsia="Arial" w:hAnsi="Arial" w:cs="Arial"/>
          <w:color w:val="000000"/>
          <w:sz w:val="20"/>
        </w:rPr>
        <w:t>Any add-on control technology or other equipment that was not identified and considered during development of the original MACT standards; Any improvements in add-on control technology or other equipment (that were identified and considered during development of the original MACT standards) that could result in additional emissions reduction; Any work practice or operational procedure that was not identified or considered during development of the original MACT standards; Any process change or pollution prevention alternative that could be broadly applied to the industry and that was not identified or considered during development of the original MACT standards; and Any significant changes in the cost (including cost effectiveness) of applying controls (including controls the EPA considered during the development of the original MACT standards).</w:t>
      </w:r>
    </w:p>
    <w:p w14:paraId="6476A31E" w14:textId="77777777" w:rsidR="00054BF0" w:rsidRDefault="00000000">
      <w:pPr>
        <w:spacing w:before="200" w:line="260" w:lineRule="atLeast"/>
        <w:jc w:val="both"/>
      </w:pPr>
      <w:r>
        <w:rPr>
          <w:rFonts w:ascii="Arial" w:eastAsia="Arial" w:hAnsi="Arial" w:cs="Arial"/>
          <w:color w:val="000000"/>
          <w:sz w:val="20"/>
        </w:rPr>
        <w:t>In addition to reviewing the practices, processes, and control technologies that were considered at the time the EPA originally developed the NESHAP, we review a variety of data sources in our investigation of potential practices, processes, or controls to consider. See sections II.C and II.D of this preamble for information on the specific data sources that were reviewed as part of the technology review.C. How do we estimate post-MACT risk posed by the source category?</w:t>
      </w:r>
    </w:p>
    <w:p w14:paraId="365CA039" w14:textId="77777777" w:rsidR="00054BF0" w:rsidRDefault="00000000">
      <w:pPr>
        <w:spacing w:before="200" w:line="260" w:lineRule="atLeast"/>
        <w:jc w:val="both"/>
      </w:pPr>
      <w:r>
        <w:rPr>
          <w:rFonts w:ascii="Arial" w:eastAsia="Arial" w:hAnsi="Arial" w:cs="Arial"/>
          <w:color w:val="000000"/>
          <w:sz w:val="20"/>
        </w:rPr>
        <w:t>In this section, we provide a complete description of the types of analyses that the EPA generally performs during the risk assessment process. In some cases, the EPA does not perform a specific analysis because it is not relevant. For example, in the absence of emissions of HAP known to be persistent and bioaccumulative in the environment (PB-HAP), the EPA would not perform a multipathway exposure assessment. Where the EPA does not perform an analysis, we state that we do not and provide the reason. While we present all of our risk assessment methods, we only present risk assessment results for the analyses actually conducted (see section IV.A of this preamble).</w:t>
      </w:r>
    </w:p>
    <w:p w14:paraId="1A7B7AE2" w14:textId="77777777" w:rsidR="00054BF0" w:rsidRDefault="00000000">
      <w:pPr>
        <w:spacing w:before="200" w:line="260" w:lineRule="atLeast"/>
        <w:jc w:val="both"/>
      </w:pPr>
      <w:r>
        <w:rPr>
          <w:rFonts w:ascii="Arial" w:eastAsia="Arial" w:hAnsi="Arial" w:cs="Arial"/>
          <w:color w:val="000000"/>
          <w:sz w:val="20"/>
        </w:rPr>
        <w:t>The EPA conducts a risk assessment that provides estimates of the MIR for cancer posed by the HAP emissions from each source in the source category, the HI for chronic exposures to HAP with the potential to cause noncancer health effects, and the HQ for acute exposures to HAP with the potential to cause noncancer health effects. The assessment also provides estimates of the distribution of cancer risk within the exposed populations, cancer incidence, and an evaluation of the potential for an adverse environmental effect. The seven sections that follow this paragraph describe how the EPA estimated emissions and conducted the risk assessment. The docket for this rulemaking contains the following document which provides more information on the risk assessment inputs and models: Residual Risk Assessment for the Plywood and Composite Wood Products Source Category in Support of the 2019 Risk and Technology Review Proposed Rule. The methods used to assess risk (as described in the seven primary steps below) are consistent with those described by the EPA in the document reviewed by a panel of the EPA's SAB in 2009; (4) and described in the SAB review report issued in 2010. They are also consistent with the key recommendations contained in that report.1. How did we estimate actual emissions and identify the emissions release characteristics?</w:t>
      </w:r>
    </w:p>
    <w:p w14:paraId="0E25F138" w14:textId="77777777" w:rsidR="00054BF0" w:rsidRDefault="00000000">
      <w:pPr>
        <w:spacing w:before="200" w:line="260" w:lineRule="atLeast"/>
        <w:jc w:val="both"/>
      </w:pPr>
      <w:r>
        <w:rPr>
          <w:rFonts w:ascii="Arial" w:eastAsia="Arial" w:hAnsi="Arial" w:cs="Arial"/>
          <w:color w:val="000000"/>
          <w:sz w:val="20"/>
        </w:rPr>
        <w:t xml:space="preserve">In October 2017, the EPA initiated an ICR to gather information from U.S PCWP manufacturers to support conducting the PCWP RTR. The ICR response period ended in February 2018. The ICR gathered process data, emission release point characteristics, coordinates, and HAP emissions data for PCWP process units located at major sources of HAP. Assembly and quality assurance of the ICR data needed to construct the residual risk modeling file for the PCWP source category is discussed in Preparation of Residual Risk Modeling Inputs File for </w:t>
      </w:r>
      <w:r>
        <w:rPr>
          <w:rFonts w:ascii="Arial" w:eastAsia="Arial" w:hAnsi="Arial" w:cs="Arial"/>
          <w:color w:val="000000"/>
          <w:sz w:val="20"/>
        </w:rPr>
        <w:lastRenderedPageBreak/>
        <w:t>the PCWP NESHAP, which is available in the docket for this action.2. How did we estimate MACT-allowable emissions?</w:t>
      </w:r>
    </w:p>
    <w:p w14:paraId="60A39EE6" w14:textId="77777777" w:rsidR="00054BF0" w:rsidRDefault="00000000">
      <w:pPr>
        <w:spacing w:before="200" w:line="260" w:lineRule="atLeast"/>
        <w:jc w:val="both"/>
      </w:pPr>
      <w:r>
        <w:rPr>
          <w:rFonts w:ascii="Arial" w:eastAsia="Arial" w:hAnsi="Arial" w:cs="Arial"/>
          <w:color w:val="000000"/>
          <w:sz w:val="20"/>
        </w:rPr>
        <w:t>The available emissions data in the RTR emissions dataset include estimates of the mass of HAP emitted during a specified annual time period. These “actual” emission levels are often lower than the emission levels allowed under the requirements of the current MACT standards. The emissions allowed under the MACT standards are referred to as the “MACT-allowable” emissions. The EPA discussed the consideration of both MACT-allowable and actual emissions in the final Coke Oven Batteries RTR (70 FR 19998-19999, April 15, 2005) and in the proposed and final Hazardous Organic NESHAP RTR (71 FR 34428, June 14, 2006, and 71 FR 76609, December 21, 2006, respectively). In those actions, the EPA noted that assessing the risk at the MACT-allowable level is inherently reasonable since that risk reflects the maximum level facilities could emit and still comply with national emission standards. The EPA also explained that it is reasonable to consider actual emissions, where such data are available, in both steps of the risk analysis, in accordance with the Benzene NESHAP approach. (54 FR 38044, September 14, 1989.)</w:t>
      </w:r>
    </w:p>
    <w:p w14:paraId="0013C82F" w14:textId="77777777" w:rsidR="00054BF0" w:rsidRDefault="00000000">
      <w:pPr>
        <w:spacing w:before="200" w:line="260" w:lineRule="atLeast"/>
        <w:jc w:val="both"/>
      </w:pPr>
      <w:r>
        <w:rPr>
          <w:rFonts w:ascii="Arial" w:eastAsia="Arial" w:hAnsi="Arial" w:cs="Arial"/>
          <w:color w:val="000000"/>
          <w:sz w:val="20"/>
        </w:rPr>
        <w:t>The PCWP ICR requested that respondents provide estimates of allowable emissions based on their site-specific circumstances (e.g , control measures in place). Therefore, unlike other RTR projects that develop a multiplier to estimate allowable emissions from actual emissions reported in the National Emissions Inventory (NEI), the directly reported ICR data for allowable emissions were used for the PCWP category. (5)</w:t>
      </w:r>
    </w:p>
    <w:p w14:paraId="11F35266" w14:textId="77777777" w:rsidR="00054BF0" w:rsidRDefault="00000000">
      <w:pPr>
        <w:spacing w:before="200" w:line="260" w:lineRule="atLeast"/>
        <w:jc w:val="both"/>
      </w:pPr>
      <w:r>
        <w:rPr>
          <w:rFonts w:ascii="Arial" w:eastAsia="Arial" w:hAnsi="Arial" w:cs="Arial"/>
          <w:color w:val="000000"/>
          <w:sz w:val="20"/>
        </w:rPr>
        <w:t>The allowable emissions estimates provided by the ICR respondents were reviewed for completeness and to ensure they made sense relative to actual emissions. Approximately 95 percent of the allowable emissions estimates provided by respondents were reasonable and were used without revision. The remaining allowable emission estimates were either missing, provided as zero, or otherwise suspect compared to actual emissions. Because nearly all the allowable emissions estimates in need of gap-filling were for process units without PCWP MACT standards requiring use of add-on controls, the gaps and adjustments were completed by setting the MACT-allowable emission rates equal to the actual emission rates. (6)3. How do we conduct dispersion modeling, determine inhalation exposures, and estimate individual and population inhalation risk?</w:t>
      </w:r>
    </w:p>
    <w:p w14:paraId="3EACC3AF" w14:textId="77777777" w:rsidR="00054BF0" w:rsidRDefault="00000000">
      <w:pPr>
        <w:spacing w:before="200" w:line="260" w:lineRule="atLeast"/>
        <w:jc w:val="both"/>
      </w:pPr>
      <w:r>
        <w:rPr>
          <w:rFonts w:ascii="Arial" w:eastAsia="Arial" w:hAnsi="Arial" w:cs="Arial"/>
          <w:color w:val="000000"/>
          <w:sz w:val="20"/>
        </w:rPr>
        <w:t>Both long-term and short-term inhalation exposure concentrations and health risk from the source category addressed in this proposal were estimated using the Human Exposure Model (HEM-3). (7) The HEM-3 performs three primary risk assessment activities: (1) Conducting dispersion modeling to estimate the concentrations of HAP in ambient air, (2) estimating long-term and short-term inhalation exposures to individuals residing within 50 kilometers (km) of the modeled sources, and (3) estimating individual and population-level inhalation risk using the exposure estimates and quantitative dose-response information.a. Dispersion Modeling</w:t>
      </w:r>
    </w:p>
    <w:p w14:paraId="04DBF3A7" w14:textId="77777777" w:rsidR="00054BF0" w:rsidRDefault="00000000">
      <w:pPr>
        <w:spacing w:before="200" w:line="260" w:lineRule="atLeast"/>
        <w:jc w:val="both"/>
      </w:pPr>
      <w:r>
        <w:rPr>
          <w:rFonts w:ascii="Arial" w:eastAsia="Arial" w:hAnsi="Arial" w:cs="Arial"/>
          <w:color w:val="000000"/>
          <w:sz w:val="20"/>
        </w:rPr>
        <w:t>The air dispersion model AERMOD, used by the HEM-3 model, is one of the EPA's preferred models for assessing air pollutant concentrations from industrial facilities. (8) To perform the dispersion modeling and to develop the preliminary risk estimates, HEM-3 draws on three data libraries. The first is a library of meteorological data, which is used for dispersion calculations. This library includes 1 year (2016) of hourly surface and upper air observations from 824 meteorological stations, selected to provide coverage of the United States and Puerto Rico. A second library of United States Census Bureau census block (9) internal point locations and populations provides the basis of human exposure calculations (U.S Census, 2010). In addition, for each census block, the census library includes the elevation and controlling hill height, which are also used in dispersion calculations. A third library of pollutant-specific dose-response values is used to estimate health risk. These are discussed below.b. Risk From Chronic Exposure to HAP</w:t>
      </w:r>
    </w:p>
    <w:p w14:paraId="051EFE3A" w14:textId="77777777" w:rsidR="00054BF0" w:rsidRDefault="00000000">
      <w:pPr>
        <w:spacing w:before="200" w:line="260" w:lineRule="atLeast"/>
        <w:jc w:val="both"/>
      </w:pPr>
      <w:r>
        <w:rPr>
          <w:rFonts w:ascii="Arial" w:eastAsia="Arial" w:hAnsi="Arial" w:cs="Arial"/>
          <w:color w:val="000000"/>
          <w:sz w:val="20"/>
        </w:rPr>
        <w:t>In developing the risk assessment for chronic exposures, the EPA uses the estimated annual average ambient air concentrations of each HAP emitted by each source in the source category. The HAP air concentrations at each nearby census block centroid located within 50 km of the facility are a surrogate for the chronic inhalation exposure concentration for all the people who reside in that census block. A distance of 50 km is consistent with both the analysis supporting the 1989 Benzene NESHAP (54 FR 38044, September 14, 1989) and the limitations of Gaussian dispersion models, including AERMOD.</w:t>
      </w:r>
    </w:p>
    <w:p w14:paraId="110B9F29" w14:textId="77777777" w:rsidR="00054BF0" w:rsidRDefault="00000000">
      <w:pPr>
        <w:spacing w:before="240" w:line="260" w:lineRule="atLeast"/>
        <w:jc w:val="both"/>
      </w:pPr>
      <w:r>
        <w:rPr>
          <w:rFonts w:ascii="Arial" w:eastAsia="Arial" w:hAnsi="Arial" w:cs="Arial"/>
          <w:color w:val="000000"/>
          <w:sz w:val="20"/>
        </w:rPr>
        <w:lastRenderedPageBreak/>
        <w:t xml:space="preserve">For each facility, the EPA calculates the MIR as the cancer risk associated with a continuous lifetime (24 hours per day, 7 days per week, 52 weeks per year, 70 years) exposure to the maximum concentration at the centroid of each inhabited census block. The EPA calculates individual cancer risk by multiplying the estimated lifetime exposure to the ambient concentration of each HAP (in micrograms per cubic meter (μg/m 3)) by its unit risk estimate (URE). The URE is an upper-bound estimate of an individual's incremental risk of contracting cancer over a lifetime of exposure to a concentration of 1 microgram of the pollutant per cubic meter of air. For residual risk assessments, the EPA generally uses UREs from the EPA's Integrated Risk Information System (IRIS). For carcinogenic pollutants without IRIS values, the EPA looks to other reputable sources of cancer dose-response values, often using California EPA (CalEPA) UREs, where available. In cases where new, scientifically credible dose-response values have been developed in a manner consistent with EPA guidelines and have undergone a peer review process similar to that used by the EPA, the EPA may use such dose-response values in place of, or in addition to, other values, if appropriate. The pollutant-specific dose-response values used to estimate health risk are available at </w:t>
      </w:r>
      <w:hyperlink r:id="rId464" w:history="1">
        <w:r>
          <w:rPr>
            <w:rFonts w:ascii="Arial" w:eastAsia="Arial" w:hAnsi="Arial" w:cs="Arial"/>
            <w:i/>
            <w:color w:val="0077CC"/>
            <w:sz w:val="20"/>
            <w:u w:val="single"/>
            <w:shd w:val="clear" w:color="auto" w:fill="FFFFFF"/>
          </w:rPr>
          <w:t>https://www.epa.gov/fera/dose-response-assessment-assessing-health-risks-associated-exposure-hazardous-air-pollutants</w:t>
        </w:r>
      </w:hyperlink>
      <w:r>
        <w:rPr>
          <w:rFonts w:ascii="Arial" w:eastAsia="Arial" w:hAnsi="Arial" w:cs="Arial"/>
          <w:color w:val="000000"/>
          <w:sz w:val="20"/>
        </w:rPr>
        <w:t>.</w:t>
      </w:r>
    </w:p>
    <w:p w14:paraId="05E5A231" w14:textId="77777777" w:rsidR="00054BF0" w:rsidRDefault="00000000">
      <w:pPr>
        <w:spacing w:before="200" w:line="260" w:lineRule="atLeast"/>
        <w:jc w:val="both"/>
      </w:pPr>
      <w:r>
        <w:rPr>
          <w:rFonts w:ascii="Arial" w:eastAsia="Arial" w:hAnsi="Arial" w:cs="Arial"/>
          <w:color w:val="000000"/>
          <w:sz w:val="20"/>
        </w:rPr>
        <w:t>To estimate individual lifetime cancer risks associated with exposure to HAP emissions from each facility in the source category, the EPA sums the risks for each of the carcinogenic HAP (10) emitted by the modeled facility. The EPA estimates cancer risk at every census block within 50 km of every facility in the source category. The MIR is the highest individual lifetime cancer risk estimated for any of those census blocks. In addition to calculating the MIR, the EPA estimates the distribution of individual cancer risks for the source category by summing the number of individuals within 50 km of the sources whose estimated risk falls within a specified risk range. The EPA also estimates annual cancer incidence by multiplying the estimated lifetime cancer risk at each census block by the number of people residing in that block, summing results for all of the census blocks, and then dividing this result by a 70-year lifetime.</w:t>
      </w:r>
    </w:p>
    <w:p w14:paraId="558BF16A" w14:textId="77777777" w:rsidR="00054BF0" w:rsidRDefault="00000000">
      <w:pPr>
        <w:spacing w:before="240" w:line="260" w:lineRule="atLeast"/>
        <w:jc w:val="both"/>
      </w:pPr>
      <w:r>
        <w:rPr>
          <w:rFonts w:ascii="Arial" w:eastAsia="Arial" w:hAnsi="Arial" w:cs="Arial"/>
          <w:color w:val="000000"/>
          <w:sz w:val="20"/>
        </w:rPr>
        <w:t>To assess the risk of noncancer health effects from chronic exposure to HAP, the EPA calculates either an HQ or a target organ-specific hazard index (TOSHI). The EPA calculates an HQ when a single noncancer HAP is emitted. Where more than one noncancer HAP is emitted, the EPA sums the HQ for each of the HAP that affects a common target organ or target organ system to obtain a TOSHI. The HQ is the estimated exposure divided by the chronic noncancer dose-response value, which is a value selected from one of several sources. The preferred chronic noncancer dose-response value is the EPA RfC, defined as “an estimate (with uncertainty spanning perhaps an order of magnitude) of a continuous inhalation exposure to the human population (including sensitive subgroups) that is likely to be without an appreciable risk of deleterious effects during a lifetime” (</w:t>
      </w:r>
      <w:hyperlink r:id="rId465" w:history="1">
        <w:r>
          <w:rPr>
            <w:rFonts w:ascii="Arial" w:eastAsia="Arial" w:hAnsi="Arial" w:cs="Arial"/>
            <w:i/>
            <w:color w:val="0077CC"/>
            <w:sz w:val="20"/>
            <w:u w:val="single"/>
            <w:shd w:val="clear" w:color="auto" w:fill="FFFFFF"/>
          </w:rPr>
          <w:t>https://iaspub.epa.gov/sor_internet/registry/termreg/searchandretrieve/glossariesandkeywordlists/search.do?details=&amp;vocabName=IRIS%20Glossary</w:t>
        </w:r>
      </w:hyperlink>
      <w:r>
        <w:rPr>
          <w:rFonts w:ascii="Arial" w:eastAsia="Arial" w:hAnsi="Arial" w:cs="Arial"/>
          <w:color w:val="000000"/>
          <w:sz w:val="20"/>
        </w:rPr>
        <w:t xml:space="preserve">). In cases where an RfC from the EPA's IRIS is not available or where the EPA determines that using a value other than the RfC is appropriate, the chronic noncancer dose-response value can be a value from the following prioritized sources, which define their dose-response values similarly to the EPA: (1) The Agency for Toxic Substances and Disease Registry (ATSDR) Minimum Risk Level (           </w:t>
      </w:r>
      <w:hyperlink r:id="rId466" w:history="1">
        <w:r>
          <w:rPr>
            <w:rFonts w:ascii="Arial" w:eastAsia="Arial" w:hAnsi="Arial" w:cs="Arial"/>
            <w:i/>
            <w:color w:val="0077CC"/>
            <w:sz w:val="20"/>
            <w:u w:val="single"/>
            <w:shd w:val="clear" w:color="auto" w:fill="FFFFFF"/>
          </w:rPr>
          <w:t>https://www.atsdr.cdc.gov/mrls/index.asp);</w:t>
        </w:r>
      </w:hyperlink>
      <w:r>
        <w:rPr>
          <w:rFonts w:ascii="Arial" w:eastAsia="Arial" w:hAnsi="Arial" w:cs="Arial"/>
          <w:color w:val="000000"/>
          <w:sz w:val="20"/>
        </w:rPr>
        <w:t xml:space="preserve"> (2) the CalEPA Chronic Reference Exposure Level (REL) (           </w:t>
      </w:r>
      <w:hyperlink r:id="rId467" w:history="1">
        <w:r>
          <w:rPr>
            <w:rFonts w:ascii="Arial" w:eastAsia="Arial" w:hAnsi="Arial" w:cs="Arial"/>
            <w:i/>
            <w:color w:val="0077CC"/>
            <w:sz w:val="20"/>
            <w:u w:val="single"/>
            <w:shd w:val="clear" w:color="auto" w:fill="FFFFFF"/>
          </w:rPr>
          <w:t>https://oehha.ca.gov/air/crnr/notice-adoption-air-toxics-hot-spots-program-guidance-manual-preparation-health-risk-0);</w:t>
        </w:r>
      </w:hyperlink>
      <w:r>
        <w:rPr>
          <w:rFonts w:ascii="Arial" w:eastAsia="Arial" w:hAnsi="Arial" w:cs="Arial"/>
          <w:color w:val="000000"/>
          <w:sz w:val="20"/>
        </w:rPr>
        <w:t xml:space="preserve"> or (3) as noted above, a scientifically credible dose-response value that has been developed in a manner consistent with the EPA guidelines and has undergone a peer review process similar to that used by the EPA. The pollutant-specific dose-response values used to estimate health risks are available at            </w:t>
      </w:r>
      <w:hyperlink r:id="rId468" w:history="1">
        <w:r>
          <w:rPr>
            <w:rFonts w:ascii="Arial" w:eastAsia="Arial" w:hAnsi="Arial" w:cs="Arial"/>
            <w:i/>
            <w:color w:val="0077CC"/>
            <w:sz w:val="20"/>
            <w:u w:val="single"/>
            <w:shd w:val="clear" w:color="auto" w:fill="FFFFFF"/>
          </w:rPr>
          <w:t>https://www.epa.gov/fera/dose-response-assessment-assessing-health-risks-associated-exposure-hazardous-air-pollutants.c</w:t>
        </w:r>
      </w:hyperlink>
      <w:r>
        <w:rPr>
          <w:rFonts w:ascii="Arial" w:eastAsia="Arial" w:hAnsi="Arial" w:cs="Arial"/>
          <w:color w:val="000000"/>
          <w:sz w:val="20"/>
        </w:rPr>
        <w:t>. Risk From Acute Exposure to HAP That May Cause Health Effects Other Than Cancer</w:t>
      </w:r>
    </w:p>
    <w:p w14:paraId="74B95183" w14:textId="77777777" w:rsidR="00054BF0" w:rsidRDefault="00000000">
      <w:pPr>
        <w:spacing w:before="200" w:line="260" w:lineRule="atLeast"/>
        <w:jc w:val="both"/>
      </w:pPr>
      <w:r>
        <w:rPr>
          <w:rFonts w:ascii="Arial" w:eastAsia="Arial" w:hAnsi="Arial" w:cs="Arial"/>
          <w:color w:val="000000"/>
          <w:sz w:val="20"/>
        </w:rPr>
        <w:t xml:space="preserve">For each HAP for which appropriate acute inhalation dose-response values are available, the EPA also assesses the potential health risks due to acute exposure. For these assessments, the EPA makes conservative assumptions about emission rates, meteorology, and exposure location. In this proposed rulemaking, as part of the EPA's efforts to continually improve our methodologies to evaluate the risks that HAP emitted from categories of industrial sources pose to human health and the environment, (11) we are revising our treatment of meteorological data to use reasonable worst-case air dispersion conditions in our acute risk screening assessments instead of worst-case </w:t>
      </w:r>
      <w:r>
        <w:rPr>
          <w:rFonts w:ascii="Arial" w:eastAsia="Arial" w:hAnsi="Arial" w:cs="Arial"/>
          <w:color w:val="000000"/>
          <w:sz w:val="20"/>
        </w:rPr>
        <w:lastRenderedPageBreak/>
        <w:t>air dispersion conditions. This revised treatment of meteorological data and the supporting rationale are described in more detail in Residual Risk Assessment for the Plywood and Composite Wood Products Source Category in Support of the 2019 Risk and Technology Review Proposed Rule and in Appendix 5 of the report: Technical Support Document for Acute Risk Screening Assessment. The EPA will be applying this revision in RTR rulemakings proposed on or after June 3, 2019.</w:t>
      </w:r>
    </w:p>
    <w:p w14:paraId="0478FEE9" w14:textId="77777777" w:rsidR="00054BF0" w:rsidRDefault="00000000">
      <w:pPr>
        <w:spacing w:before="200" w:line="260" w:lineRule="atLeast"/>
        <w:jc w:val="both"/>
      </w:pPr>
      <w:r>
        <w:rPr>
          <w:rFonts w:ascii="Arial" w:eastAsia="Arial" w:hAnsi="Arial" w:cs="Arial"/>
          <w:color w:val="000000"/>
          <w:sz w:val="20"/>
        </w:rPr>
        <w:t>To assess the potential acute risk to the maximally exposed individual, the EPA uses the peak hourly emission rate for each emission point, (12) reasonable worst-case air dispersion conditions (i.e , 99th percentile), and the point of highest off-site exposure. Specifically, the EPA assumes that peak emissions from the source category and reasonable worst-case air dispersion conditions co-occur and that a person is present at the point of maximum exposure.</w:t>
      </w:r>
    </w:p>
    <w:p w14:paraId="30D7EEE9" w14:textId="77777777" w:rsidR="00054BF0" w:rsidRDefault="00000000">
      <w:pPr>
        <w:spacing w:before="200" w:line="260" w:lineRule="atLeast"/>
        <w:jc w:val="both"/>
      </w:pPr>
      <w:r>
        <w:rPr>
          <w:rFonts w:ascii="Arial" w:eastAsia="Arial" w:hAnsi="Arial" w:cs="Arial"/>
          <w:color w:val="000000"/>
          <w:sz w:val="20"/>
        </w:rPr>
        <w:t>To characterize the potential health risks associated with estimated acute inhalation exposures to a HAP, the EPA generally uses multiple acute dose-response values, including acute RELs, acute exposure guideline levels (AEGLs), and emergency response planning guidelines (ERPG) for 1-hour exposure durations, if available, to calculate acute HQs. The acute HQ is calculated by dividing the estimated acute exposure concentration by the acute dose-response value. For each HAP for which acute dose-response values are available, the EPA calculates acute HQs.</w:t>
      </w:r>
    </w:p>
    <w:p w14:paraId="66F5384F" w14:textId="77777777" w:rsidR="00054BF0" w:rsidRDefault="00000000">
      <w:pPr>
        <w:spacing w:before="200" w:line="260" w:lineRule="atLeast"/>
        <w:jc w:val="both"/>
      </w:pPr>
      <w:r>
        <w:rPr>
          <w:rFonts w:ascii="Arial" w:eastAsia="Arial" w:hAnsi="Arial" w:cs="Arial"/>
          <w:color w:val="000000"/>
          <w:sz w:val="20"/>
        </w:rPr>
        <w:t>An acute REL is defined as “the concentration level at or below which no adverse health effects are anticipated for a specified exposure duration.” (13) Acute RELs are based on the most sensitive, relevant, adverse health effect reported in the peer-reviewed medical and toxicological literature. They are designed to protect the most sensitive individuals in the population through the inclusion of margins of safety. Because margins of safety are incorporated to address data gaps and uncertainties, exceeding the REL does not automatically indicate an adverse health impact. AEGLs represent threshold exposure limits for the general public and are applicable to emergency exposures ranging from 10 minutes to 8 hours. (14) They are guideline levels for “once-in-a-lifetime, short-term exposures to airborne concentrations of acutely toxic, high-priority chemicals.” Id. at 21. The AEGL-1 is specifically defined as “the airborne concentration (expressed as ppm (parts per million) or mg/m 3 (milligrams per cubic meter)) of a substance above which it is predicted that the general population, including susceptible individuals, could experience notable discomfort, irritation, or certain asymptomatic nonsensory effects. However, the effects are not disabling and are transient and reversible upon cessation of exposure.” The document also notes that “Airborne concentrations below AEGL-1 represent exposure levels that can produce mild and progressively increasing but transient and nondisabling odor, taste, and sensory irritation or certain asymptomatic, nonsensory effects.” Id. AEGL-2 are defined as “the airborne concentration (expressed as parts per million or milligrams per cubic meter) of a substance above which it is predicted that the general population, including susceptible individuals, could experience irreversible or other serious, long-lasting adverse health effects or an impaired ability to escape.” Id.</w:t>
      </w:r>
    </w:p>
    <w:p w14:paraId="687E1C78" w14:textId="77777777" w:rsidR="00054BF0" w:rsidRDefault="00000000">
      <w:pPr>
        <w:spacing w:before="200" w:line="260" w:lineRule="atLeast"/>
        <w:jc w:val="both"/>
      </w:pPr>
      <w:r>
        <w:rPr>
          <w:rFonts w:ascii="Arial" w:eastAsia="Arial" w:hAnsi="Arial" w:cs="Arial"/>
          <w:color w:val="000000"/>
          <w:sz w:val="20"/>
        </w:rPr>
        <w:t xml:space="preserve">ERPGs are “developed for emergency planning and are intended as health-based guideline concentrations for single exposures to chemicals.” (15) Id. at 1. The ERPG-1 is defined as “the maximum airborne concentration below which it is believed that nearly all individuals could be exposed for </w:t>
      </w:r>
      <w:r>
        <w:rPr>
          <w:rFonts w:ascii="Arial" w:eastAsia="Arial" w:hAnsi="Arial" w:cs="Arial"/>
          <w:b/>
          <w:i/>
          <w:color w:val="000000"/>
          <w:sz w:val="20"/>
          <w:u w:val="single"/>
        </w:rPr>
        <w:t>up</w:t>
      </w:r>
      <w:r>
        <w:rPr>
          <w:rFonts w:ascii="Arial" w:eastAsia="Arial" w:hAnsi="Arial" w:cs="Arial"/>
          <w:color w:val="000000"/>
          <w:sz w:val="20"/>
        </w:rPr>
        <w:t xml:space="preserve"> to 1 hour without experiencing other than mild transient adverse health effects or without perceiving a clearly defined, objectionable odor.” Id. at 2. Similarly, the ERPG-2 is defined as “the maximum airborne concentration below which it is believed that nearly all individuals could be exposed for </w:t>
      </w:r>
      <w:r>
        <w:rPr>
          <w:rFonts w:ascii="Arial" w:eastAsia="Arial" w:hAnsi="Arial" w:cs="Arial"/>
          <w:b/>
          <w:i/>
          <w:color w:val="000000"/>
          <w:sz w:val="20"/>
          <w:u w:val="single"/>
        </w:rPr>
        <w:t>up</w:t>
      </w:r>
      <w:r>
        <w:rPr>
          <w:rFonts w:ascii="Arial" w:eastAsia="Arial" w:hAnsi="Arial" w:cs="Arial"/>
          <w:color w:val="000000"/>
          <w:sz w:val="20"/>
        </w:rPr>
        <w:t xml:space="preserve"> to one hour without experiencing or developing irreversible or other serious health effects or symptoms which could impair an individual's ability to take protective action.” Id. at 1.</w:t>
      </w:r>
    </w:p>
    <w:p w14:paraId="49170567" w14:textId="77777777" w:rsidR="00054BF0" w:rsidRDefault="00000000">
      <w:pPr>
        <w:spacing w:before="200" w:line="260" w:lineRule="atLeast"/>
        <w:jc w:val="both"/>
      </w:pPr>
      <w:r>
        <w:rPr>
          <w:rFonts w:ascii="Arial" w:eastAsia="Arial" w:hAnsi="Arial" w:cs="Arial"/>
          <w:color w:val="000000"/>
          <w:sz w:val="20"/>
        </w:rPr>
        <w:t>An acute REL for 1-hour exposure durations is typically lower than its corresponding AEGL-1 and ERPG-1. Even though their definitions are slightly different, AEGL-1s are often the same as the corresponding ERPG-1s, and AEGL-2s are often equal to ERPG-2s. The maximum HQs from the EPA's acute inhalation screening risk assessment typically result when we use the acute REL for a HAP. In cases where the maximum acute HQ exceeds 1, the EPA also reports the HQ based on the next highest acute dose-response value (usually the AEGL-1 and/or the ERPG-1).</w:t>
      </w:r>
    </w:p>
    <w:p w14:paraId="13372A25" w14:textId="77777777" w:rsidR="00054BF0" w:rsidRDefault="00000000">
      <w:pPr>
        <w:spacing w:before="200" w:line="260" w:lineRule="atLeast"/>
        <w:jc w:val="both"/>
      </w:pPr>
      <w:r>
        <w:rPr>
          <w:rFonts w:ascii="Arial" w:eastAsia="Arial" w:hAnsi="Arial" w:cs="Arial"/>
          <w:color w:val="000000"/>
          <w:sz w:val="20"/>
        </w:rPr>
        <w:lastRenderedPageBreak/>
        <w:t>For this source category, estimates of short-term (maximum hourly) emissions were submitted by PCWP ICR respondents. In our review of the ICR data, the EPA compared the short-term emission estimates to annual emissions estimates to ensure the short-term emission estimates were reasonable. The EPA gap-filled short-term emission estimates that were missing or found to be invalid with short-term emission estimates calculated using a PCWP emission process-specific acute multiplier. The acute multiplier, which is a factor multiplied by annual emissions to estimate maximum hourly emissions, was derived from the ICR data for each emissions process group. The acute factors used to gap-fill missing or invalid short-term emission estimates in the PCWP ICR inventory ranged from 1.2 to 10. Further discussion of the process-specific factors chosen to fill gaps in the ICR data can be found in the memorandum, Preparation of Residual Risk Modeling Inputs File for the PCWP NESHAP, available in the docket for this rulemaking.</w:t>
      </w:r>
    </w:p>
    <w:p w14:paraId="46588C3B" w14:textId="77777777" w:rsidR="00054BF0" w:rsidRDefault="00000000">
      <w:pPr>
        <w:spacing w:before="200" w:line="260" w:lineRule="atLeast"/>
        <w:jc w:val="both"/>
      </w:pPr>
      <w:r>
        <w:rPr>
          <w:rFonts w:ascii="Arial" w:eastAsia="Arial" w:hAnsi="Arial" w:cs="Arial"/>
          <w:color w:val="000000"/>
          <w:sz w:val="20"/>
        </w:rPr>
        <w:t>In the EPA's acute inhalation screening risk assessment, acute impacts are deemed negligible for HAP for which acute HQs are less than or equal to 1, and no further analysis is performed for these HAP. In cases where an acute HQ from the screening step is greater than 1, the EPA assesses the site-specific data to ensure that the acute HQ is at an off-site location. For this source category, the data refinements employed consisted of evaluating residential properties outside the facility boundaries to estimate acute impacts that exceeded an HQ screen of 1. These refinements are discussed more fully in the Residual Risk Assessment for the Plywood and Composite Wood Products Source Category in Support of the 2019 Risk and Technology Review Proposed Rule, which is available in the docket for this source category.4. How do we conduct the multipathway exposure and risk screening assessment?</w:t>
      </w:r>
    </w:p>
    <w:p w14:paraId="4E089584" w14:textId="77777777" w:rsidR="00054BF0" w:rsidRDefault="00000000">
      <w:pPr>
        <w:spacing w:before="240" w:line="260" w:lineRule="atLeast"/>
        <w:jc w:val="both"/>
      </w:pPr>
      <w:r>
        <w:rPr>
          <w:rFonts w:ascii="Arial" w:eastAsia="Arial" w:hAnsi="Arial" w:cs="Arial"/>
          <w:color w:val="000000"/>
          <w:sz w:val="20"/>
        </w:rPr>
        <w:t xml:space="preserve">The EPA conducts a tiered screening assessment examining the potential for significant human health risks due to exposures via routes other than inhalation (i.e , ingestion). We first determine whether any sources in the source category emit any HAP known to be persistent and bioaccumulative in the environment, as identified in the EPA's Air Toxics Risk Assessment Library (See Volume 1, Appendix D, at </w:t>
      </w:r>
      <w:hyperlink r:id="rId469" w:history="1">
        <w:r>
          <w:rPr>
            <w:rFonts w:ascii="Arial" w:eastAsia="Arial" w:hAnsi="Arial" w:cs="Arial"/>
            <w:i/>
            <w:color w:val="0077CC"/>
            <w:sz w:val="20"/>
            <w:u w:val="single"/>
            <w:shd w:val="clear" w:color="auto" w:fill="FFFFFF"/>
          </w:rPr>
          <w:t>https://www.epa.gov/fera/risk-assessment-and-modeling-air-toxics-risk-assessment-reference-library</w:t>
        </w:r>
      </w:hyperlink>
      <w:r>
        <w:rPr>
          <w:rFonts w:ascii="Arial" w:eastAsia="Arial" w:hAnsi="Arial" w:cs="Arial"/>
          <w:color w:val="000000"/>
          <w:sz w:val="20"/>
        </w:rPr>
        <w:t>).</w:t>
      </w:r>
    </w:p>
    <w:p w14:paraId="3A5CB9E0" w14:textId="77777777" w:rsidR="00054BF0" w:rsidRDefault="00000000">
      <w:pPr>
        <w:spacing w:before="240" w:line="260" w:lineRule="atLeast"/>
        <w:jc w:val="both"/>
      </w:pPr>
      <w:r>
        <w:rPr>
          <w:rFonts w:ascii="Arial" w:eastAsia="Arial" w:hAnsi="Arial" w:cs="Arial"/>
          <w:color w:val="000000"/>
          <w:sz w:val="20"/>
        </w:rPr>
        <w:t xml:space="preserve">For the PCWP source category, we identified PB-HAP emissions of arsenic, polychlorinated dibenzodioxins and furans (dioxins/furans), polycyclic organic matter (POM), cadmium, mercury, and lead, so we proceeded to the next step of the evaluation. Except for lead, the human health risk screening assessment for PB-HAP consists of three progressive tiers. In a Tier 1 screening assessment, we determine whether the magnitude of the facility-specific emissions of PB-HAP warrants further evaluation to characterize human health risk through ingestion exposure. To facilitate this step, we evaluate emissions against previously developed screening threshold emission rates for several PB-HAP that are based on a hypothetical upper-end screening exposure scenario developed for use in conjunction with the EPA's Total Risk Integrated Methodology.Fate, Transport, and Ecological Exposure (TRIM.FaTE) model. The PB-HAP with screening threshold emission rates are arsenic compounds, cadmium compounds, dioxins/furans, mercury compounds, and POM. Based on the EPA estimates of toxicity and bioaccumulation potential, these pollutants represent a conservative list for inclusion in multipathway risk assessments for RTR rules. (See Volume 1, Appendix D at </w:t>
      </w:r>
      <w:hyperlink r:id="rId470" w:history="1">
        <w:r>
          <w:rPr>
            <w:rFonts w:ascii="Arial" w:eastAsia="Arial" w:hAnsi="Arial" w:cs="Arial"/>
            <w:i/>
            <w:color w:val="0077CC"/>
            <w:sz w:val="20"/>
            <w:u w:val="single"/>
            <w:shd w:val="clear" w:color="auto" w:fill="FFFFFF"/>
          </w:rPr>
          <w:t>https://www.epa.gov/sites/production/files/2013-08/documents/volume_1_reflibrary.pdf</w:t>
        </w:r>
      </w:hyperlink>
      <w:r>
        <w:rPr>
          <w:rFonts w:ascii="Arial" w:eastAsia="Arial" w:hAnsi="Arial" w:cs="Arial"/>
          <w:color w:val="000000"/>
          <w:sz w:val="20"/>
        </w:rPr>
        <w:t>). In this assessment, we compare the facility-specific emission rates of these PB-HAP to the screening threshold emission rates for each PB-HAP to assess the potential for significant human health risks via the ingestion pathway. We call this application of the TRIM.FaTE model the Tier 1 screening assessment. The ratio of a facility's actual emission rate to the Tier 1 screening threshold emission rate is a “screening value.”</w:t>
      </w:r>
    </w:p>
    <w:p w14:paraId="1253A6D0" w14:textId="77777777" w:rsidR="00054BF0" w:rsidRDefault="00000000">
      <w:pPr>
        <w:spacing w:before="200" w:line="260" w:lineRule="atLeast"/>
        <w:jc w:val="both"/>
      </w:pPr>
      <w:r>
        <w:rPr>
          <w:rFonts w:ascii="Arial" w:eastAsia="Arial" w:hAnsi="Arial" w:cs="Arial"/>
          <w:color w:val="000000"/>
          <w:sz w:val="20"/>
        </w:rPr>
        <w:t xml:space="preserve">We derive the Tier 1 screening threshold emission rates for these PB-HAP (other than lead compounds) to correspond to a maximum excess lifetime cancer risk of 1-in-1 million (i.e , for arsenic compounds, dioxins/furans, and POM) or, for HAP that cause noncancer health effects (i.e , cadmium compounds and mercury compounds), a maximum HQ of 1. If the emission rate of any one PB-HAP or combination of carcinogenic PB-HAP in the Tier 1 screening assessment exceeds the Tier 1 screening threshold emission rate for any facility (i.e , the screening value is greater than 1), we conduct a second screening assessment, which we call the Tier 2 screening </w:t>
      </w:r>
      <w:r>
        <w:rPr>
          <w:rFonts w:ascii="Arial" w:eastAsia="Arial" w:hAnsi="Arial" w:cs="Arial"/>
          <w:color w:val="000000"/>
          <w:sz w:val="20"/>
        </w:rPr>
        <w:lastRenderedPageBreak/>
        <w:t>assessment. The Tier 2 screening assessment separates the Tier 1 combined fisher and farmer exposure scenario into fisher, farmer, and gardener scenarios that retain upper-bound ingestion rates.</w:t>
      </w:r>
    </w:p>
    <w:p w14:paraId="2E332446" w14:textId="77777777" w:rsidR="00054BF0" w:rsidRDefault="00000000">
      <w:pPr>
        <w:spacing w:before="200" w:line="260" w:lineRule="atLeast"/>
        <w:jc w:val="both"/>
      </w:pPr>
      <w:r>
        <w:rPr>
          <w:rFonts w:ascii="Arial" w:eastAsia="Arial" w:hAnsi="Arial" w:cs="Arial"/>
          <w:color w:val="000000"/>
          <w:sz w:val="20"/>
        </w:rPr>
        <w:t>In the Tier 2 screening assessment, the location of each facility that exceeds a Tier 1 screening threshold emission rate is used to refine the assumptions associated with the Tier 1 fisher/farmer scenarios at that facility. A key assumption in the Tier 1 screening assessment is that a lake and/or farm is located near the facility. As part of the Tier 2 screening assessment, we use a U.S Geological Survey (USGS) database to identify actual waterbodies within 50 km of each facility and assume the fisher only consumes fish from lakes within that 50 km zone. We also examine the differences between local meteorology near the facility and the meteorology used in the Tier 1 screening assessment. We then adjust the previously-developed Tier 1 screening threshold emission rates for each PB-HAP for each facility based on an understanding of how exposure concentrations estimated for the screening scenario change with the use of local meteorology and the USGS lakes database.</w:t>
      </w:r>
    </w:p>
    <w:p w14:paraId="7B03596F" w14:textId="77777777" w:rsidR="00054BF0" w:rsidRDefault="00000000">
      <w:pPr>
        <w:spacing w:before="200" w:line="260" w:lineRule="atLeast"/>
        <w:jc w:val="both"/>
      </w:pPr>
      <w:r>
        <w:rPr>
          <w:rFonts w:ascii="Arial" w:eastAsia="Arial" w:hAnsi="Arial" w:cs="Arial"/>
          <w:color w:val="000000"/>
          <w:sz w:val="20"/>
        </w:rPr>
        <w:t>In the Tier 2 farmer scenario, we maintain an assumption that the farm is located within 0.5 km of the facility and that the farmer consumes meat, eggs, dairy, vegetables, and fruit produced near the facility. We may further refine the Tier 2 screening analysis by assessing a gardener scenario to characterize a range of exposures, with the gardener scenario being more plausible in RTR evaluations. Under the gardener scenario, we assume the gardener consumes home-produced eggs, vegetables, and fruit products at the same ingestion rate as the farmer. The Tier 2 screen continues to rely on the high-end food intake assumptions that were applied in Tier 1 for local fish (adult female angler at 99th percentile fish consumption (16) ) and locally grown or raised foods (90th percentile consumption of locally grown or raised foods for the farmer and gardener scenarios (17) ). If PB-HAP emission rates do not result in a Tier 2 screening value greater than 1, we consider those PB-HAP emissions to pose risks below a level of concern. If the PB-HAP emission rates for a facility exceed the Tier 2 screening threshold emission rates, we may conduct a Tier 3 screening assessment.</w:t>
      </w:r>
    </w:p>
    <w:p w14:paraId="4A8AE684" w14:textId="77777777" w:rsidR="00054BF0" w:rsidRDefault="00000000">
      <w:pPr>
        <w:spacing w:before="200" w:line="260" w:lineRule="atLeast"/>
        <w:jc w:val="both"/>
      </w:pPr>
      <w:r>
        <w:rPr>
          <w:rFonts w:ascii="Arial" w:eastAsia="Arial" w:hAnsi="Arial" w:cs="Arial"/>
          <w:color w:val="000000"/>
          <w:sz w:val="20"/>
        </w:rPr>
        <w:t>There are several analyses that can be included in a Tier 3 screening assessment, depending upon the extent of refinement warranted, including validating that the lakes are fishable, locating residential/garden locations for urban and/or rural settings, considering plume-rise to estimate emissions lost above the mixing layer, and considering hourly effects of meteorology and plume rise on chemical fate and transport (a time-series analysis). If necessary, the EPA may further refine the screening assessment through a site-specific assessment.</w:t>
      </w:r>
    </w:p>
    <w:p w14:paraId="4DBA4512" w14:textId="77777777" w:rsidR="00054BF0" w:rsidRDefault="00000000">
      <w:pPr>
        <w:spacing w:before="200" w:line="260" w:lineRule="atLeast"/>
        <w:jc w:val="both"/>
      </w:pPr>
      <w:r>
        <w:rPr>
          <w:rFonts w:ascii="Arial" w:eastAsia="Arial" w:hAnsi="Arial" w:cs="Arial"/>
          <w:color w:val="000000"/>
          <w:sz w:val="20"/>
        </w:rPr>
        <w:t>In evaluating the potential multipathway risk from emissions of lead compounds, rather than developing a screening threshold emission rate, we compare maximum estimated chronic inhalation exposure concentrations to the level of the current National Ambient Air Quality Standard (NAAQS) for lead. (18) Values below the level of the primary (health-based) lead NAAQS are considered to have a low potential for multipathway risk.</w:t>
      </w:r>
    </w:p>
    <w:p w14:paraId="7DF8ABB0" w14:textId="77777777" w:rsidR="00054BF0" w:rsidRDefault="00000000">
      <w:pPr>
        <w:spacing w:before="200" w:line="260" w:lineRule="atLeast"/>
        <w:jc w:val="both"/>
      </w:pPr>
      <w:r>
        <w:rPr>
          <w:rFonts w:ascii="Arial" w:eastAsia="Arial" w:hAnsi="Arial" w:cs="Arial"/>
          <w:color w:val="000000"/>
          <w:sz w:val="20"/>
        </w:rPr>
        <w:t>For further information on the multipathway assessment approach, see Appendix 6 of the Residual Risk Assessment for the Plywood and Composite Wood Products Source Category in Support of the 2019 Risk and Technology Review Proposed Rule, which is available in the docket for this action.5. How do we conduct the environmental risk screening assessment?a. Adverse Environmental Effect, Environmental HAP, and Ecological Benchmarks</w:t>
      </w:r>
    </w:p>
    <w:p w14:paraId="47DF6B35" w14:textId="77777777" w:rsidR="00054BF0" w:rsidRDefault="00000000">
      <w:pPr>
        <w:spacing w:before="200" w:line="260" w:lineRule="atLeast"/>
        <w:jc w:val="both"/>
      </w:pPr>
      <w:r>
        <w:rPr>
          <w:rFonts w:ascii="Arial" w:eastAsia="Arial" w:hAnsi="Arial" w:cs="Arial"/>
          <w:color w:val="000000"/>
          <w:sz w:val="20"/>
        </w:rPr>
        <w:t>The EPA conducts a screening assessment to examine the potential for an adverse environmental effect as required under section 112(f)(2)(A) of the CAA. Section 112(a)(7) of the CAA defines “adverse environmental effect” as “any significant and widespread adverse effect, which may reasonably be anticipated, to wildlife, aquatic life, or other natural resources, including adverse impacts on populations of endangered or threatened species or significant degradation of environmental quality over broad areas.”</w:t>
      </w:r>
    </w:p>
    <w:p w14:paraId="6120BC39" w14:textId="77777777" w:rsidR="00054BF0" w:rsidRDefault="00000000">
      <w:pPr>
        <w:spacing w:before="200" w:line="260" w:lineRule="atLeast"/>
        <w:jc w:val="both"/>
      </w:pPr>
      <w:r>
        <w:rPr>
          <w:rFonts w:ascii="Arial" w:eastAsia="Arial" w:hAnsi="Arial" w:cs="Arial"/>
          <w:color w:val="000000"/>
          <w:sz w:val="20"/>
        </w:rPr>
        <w:t>The EPA focuses on eight HAP, which are referred to as “environmental HAP,” in its screening assessment: Six PB-HAP and two acid gases. The PB-HAP included in the screening assessment are arsenic compounds, cadmium compounds, dioxins/furans, POM, mercury (both inorganic mercury and methyl mercury), and lead compounds. The acid gases included in the screening assessment are hydrochloric acid (HCl) and hydrogen fluoride (HF).</w:t>
      </w:r>
    </w:p>
    <w:p w14:paraId="3FE1CD18" w14:textId="77777777" w:rsidR="00054BF0" w:rsidRDefault="00000000">
      <w:pPr>
        <w:spacing w:before="200" w:line="260" w:lineRule="atLeast"/>
        <w:jc w:val="both"/>
      </w:pPr>
      <w:r>
        <w:rPr>
          <w:rFonts w:ascii="Arial" w:eastAsia="Arial" w:hAnsi="Arial" w:cs="Arial"/>
          <w:color w:val="000000"/>
          <w:sz w:val="20"/>
        </w:rPr>
        <w:lastRenderedPageBreak/>
        <w:t>HAP that persist and bioaccumulate are of particular environmental concern because they accumulate in the soil, sediment, and water. The acid gases, HCl and HF, are included due to their well-documented potential to cause direct damage to terrestrial plants. In the environmental risk screening assessment, the EPA evaluates the following four exposure media: Terrestrial soils, surface water bodies (includes water-column and benthic sediments), fish consumed by wildlife, and air. Within these four exposure media, the EPA evaluates nine ecological assessment endpoints, which are defined by the ecological entity and its attributes. For PB-HAP (other than lead), both community-level and population-level endpoints are included. For acid gases, the ecological assessment evaluated is terrestrial plant communities.</w:t>
      </w:r>
    </w:p>
    <w:p w14:paraId="5485EB42" w14:textId="77777777" w:rsidR="00054BF0" w:rsidRDefault="00000000">
      <w:pPr>
        <w:spacing w:before="200" w:line="260" w:lineRule="atLeast"/>
        <w:jc w:val="both"/>
      </w:pPr>
      <w:r>
        <w:rPr>
          <w:rFonts w:ascii="Arial" w:eastAsia="Arial" w:hAnsi="Arial" w:cs="Arial"/>
          <w:color w:val="000000"/>
          <w:sz w:val="20"/>
        </w:rPr>
        <w:t>An ecological benchmark represents a concentration of HAP that has been linked to a particular environmental effect level. For each environmental HAP, the EPA identified the available ecological benchmarks for each assessment endpoint. The EPA identified, where possible, ecological benchmarks at the following effect levels: Probable effect levels, lowest-observed-adverse-effect level, and no-observed-adverse-effect level. In cases where multiple effect levels were available for a particular PB-HAP and assessment endpoint, the EPA uses all of the available effect levels to help us to determine whether ecological risks exist and, if so, whether the risks could be considered significant and widespread.</w:t>
      </w:r>
    </w:p>
    <w:p w14:paraId="309F1F24" w14:textId="77777777" w:rsidR="00054BF0" w:rsidRDefault="00000000">
      <w:pPr>
        <w:spacing w:before="200" w:line="260" w:lineRule="atLeast"/>
        <w:jc w:val="both"/>
      </w:pPr>
      <w:r>
        <w:rPr>
          <w:rFonts w:ascii="Arial" w:eastAsia="Arial" w:hAnsi="Arial" w:cs="Arial"/>
          <w:color w:val="000000"/>
          <w:sz w:val="20"/>
        </w:rPr>
        <w:t>For further information on how the environmental risk screening assessment was conducted, including a discussion of the risk metrics used, how the environmental HAP were identified, and how the ecological benchmarks were selected, see Appendix 9 of the Residual Risk Assessment for the Plywood and Composite Wood Products Source Category in Support of the 2019 Risk and Technology Review Proposed Rule, which is available in the docket for this action.b. Environmental Risk Screening Methodology</w:t>
      </w:r>
    </w:p>
    <w:p w14:paraId="637A6B96" w14:textId="77777777" w:rsidR="00054BF0" w:rsidRDefault="00000000">
      <w:pPr>
        <w:spacing w:before="200" w:line="260" w:lineRule="atLeast"/>
        <w:jc w:val="both"/>
      </w:pPr>
      <w:r>
        <w:rPr>
          <w:rFonts w:ascii="Arial" w:eastAsia="Arial" w:hAnsi="Arial" w:cs="Arial"/>
          <w:color w:val="000000"/>
          <w:sz w:val="20"/>
        </w:rPr>
        <w:t>For the environmental risk screening assessment, the EPA first determined whether any facilities in the PCWP source category emitted any of the environmental HAP. For the PCWP source category, the EPA identified emissions of arsenic compounds, cadmium compounds, dioxins/furans, lead compounds, mercury compounds, POM, HCl, and HF. Because the above environmental HAP are emitted by at least one facility in the source category, we proceeded to the second step of the evaluation.c. PB-HAP Methodology</w:t>
      </w:r>
    </w:p>
    <w:p w14:paraId="6A7E4C94" w14:textId="77777777" w:rsidR="00054BF0" w:rsidRDefault="00000000">
      <w:pPr>
        <w:spacing w:before="200" w:line="260" w:lineRule="atLeast"/>
        <w:jc w:val="both"/>
      </w:pPr>
      <w:r>
        <w:rPr>
          <w:rFonts w:ascii="Arial" w:eastAsia="Arial" w:hAnsi="Arial" w:cs="Arial"/>
          <w:color w:val="000000"/>
          <w:sz w:val="20"/>
        </w:rPr>
        <w:t>The environmental screening assessment includes six PB-HAP, arsenic compounds, cadmium compounds, dioxins/furans, POM, mercury (both inorganic mercury and methyl mercury), and lead compounds. With the exception of lead, the environmental risk screening assessment for PB-HAP consists of three tiers. The first tier of the environmental risk screening assessment uses the same health-protective conceptual model that is used for the Tier 1 human health screening assessment. TRIM.FaTE model simulations were used to back-calculate Tier 1 screening threshold emission rates. The screening threshold emission rates represent the emission rate in tons of pollutant per year that results in media concentrations at the facility that equal the relevant ecological benchmark. To assess emissions from each facility in the category, the reported emission rate for each PB-HAP was compared to the Tier 1 screening threshold emission rate for that PB-HAP for each assessment endpoint and effect level. If emissions from a facility do not exceed the Tier 1 screening threshold emission rate, the facility “passes” the screening assessment, and, therefore, is not evaluated further under the screening approach. If emissions from a facility exceed the Tier 1 screening threshold emission rate, the EPA evaluates the facility further in Tier 2.</w:t>
      </w:r>
    </w:p>
    <w:p w14:paraId="0A4CC9F9" w14:textId="77777777" w:rsidR="00054BF0" w:rsidRDefault="00000000">
      <w:pPr>
        <w:spacing w:before="200" w:line="260" w:lineRule="atLeast"/>
        <w:jc w:val="both"/>
      </w:pPr>
      <w:r>
        <w:rPr>
          <w:rFonts w:ascii="Arial" w:eastAsia="Arial" w:hAnsi="Arial" w:cs="Arial"/>
          <w:color w:val="000000"/>
          <w:sz w:val="20"/>
        </w:rPr>
        <w:t>In Tier 2 of the environmental screening assessment, the screening threshold emission rates are adjusted to account for local meteorology and the actual location of lakes in the vicinity of facilities that did not pass the Tier 1 screening assessment. For soils, the EPA evaluates the average soil concentration for all soil parcels within a 7.5-km radius for each facility and PB-HAP. For the water, sediment, and fish tissue concentrations, the highest value for each facility for each pollutant is used. If emission concentrations from a facility do not exceed the Tier 2 screening threshold emission rate, the facility “passes” the screening assessment and typically is not evaluated further. If emissions from a facility exceed the Tier 2 screening threshold emission rate, the EPA evaluates the facility further in Tier 3.</w:t>
      </w:r>
    </w:p>
    <w:p w14:paraId="3EED00C4" w14:textId="77777777" w:rsidR="00054BF0" w:rsidRDefault="00000000">
      <w:pPr>
        <w:spacing w:before="200" w:line="260" w:lineRule="atLeast"/>
        <w:jc w:val="both"/>
      </w:pPr>
      <w:r>
        <w:rPr>
          <w:rFonts w:ascii="Arial" w:eastAsia="Arial" w:hAnsi="Arial" w:cs="Arial"/>
          <w:color w:val="000000"/>
          <w:sz w:val="20"/>
        </w:rPr>
        <w:t xml:space="preserve">As in the multipathway human health risk assessment, in Tier 3 of the environmental screening assessment, the EPA examines the suitability of the lakes around the facilities to support life and remove those that are not suitable </w:t>
      </w:r>
      <w:r>
        <w:rPr>
          <w:rFonts w:ascii="Arial" w:eastAsia="Arial" w:hAnsi="Arial" w:cs="Arial"/>
          <w:color w:val="000000"/>
          <w:sz w:val="20"/>
        </w:rPr>
        <w:lastRenderedPageBreak/>
        <w:t>(e.g , lakes that have been filled in or are industrial ponds), adjust emissions for plume-rise, and conduct hour-by-hour time-series assessments. If these Tier 3 adjustments to the screening threshold emission rates still indicate the potential for an adverse environmental effect (i.e , facility emission rate exceeds the screening threshold emission rate), the EPA may elect to conduct a more refined assessment using more site-specific information. If, after additional refinement, the facility emission rate still exceeds the screening threshold emission rate, the facility may have the potential to cause an adverse environmental effect.</w:t>
      </w:r>
    </w:p>
    <w:p w14:paraId="25433898" w14:textId="77777777" w:rsidR="00054BF0" w:rsidRDefault="00000000">
      <w:pPr>
        <w:spacing w:before="200" w:line="260" w:lineRule="atLeast"/>
        <w:jc w:val="both"/>
      </w:pPr>
      <w:r>
        <w:rPr>
          <w:rFonts w:ascii="Arial" w:eastAsia="Arial" w:hAnsi="Arial" w:cs="Arial"/>
          <w:color w:val="000000"/>
          <w:sz w:val="20"/>
        </w:rPr>
        <w:t>To evaluate the potential for an adverse environmental effect from lead, the EPA compared the average modeled air concentrations (from HEM-3) of lead around each facility in the source category to the level of the secondary NAAQS for lead. The secondary lead NAAQS is a reasonable means of evaluating environmental risk because it is set to provide substantial protection against adverse welfare effects which can include “effects on soils, water, crops, vegetation, man-made materials, animals, wildlife, weather, visibility and climate, damage to and deterioration of property, and hazards to transportation, as well as effects on economic values and on personal comfort and well-being.”d. Acid Gas Environmental Risk Methodology</w:t>
      </w:r>
    </w:p>
    <w:p w14:paraId="1EDEED72" w14:textId="77777777" w:rsidR="00054BF0" w:rsidRDefault="00000000">
      <w:pPr>
        <w:spacing w:before="200" w:line="260" w:lineRule="atLeast"/>
        <w:jc w:val="both"/>
      </w:pPr>
      <w:r>
        <w:rPr>
          <w:rFonts w:ascii="Arial" w:eastAsia="Arial" w:hAnsi="Arial" w:cs="Arial"/>
          <w:color w:val="000000"/>
          <w:sz w:val="20"/>
        </w:rPr>
        <w:t>The environmental screening assessment for acid gases evaluates the potential phytotoxicity and reduced productivity of plants due to chronic exposure to HF and HCl. The environmental risk screening methodology for acid gases is a single-tier screening assessment that compares modeled ambient air concentrations (from AERMOD) to the ecological benchmarks for each acid gas. To identify a potential adverse environmental effect (as defined in section 112(a)(7) of the CAA) from emissions of HF and HCl, the EPA evaluates the following metrics: The size of the modeled area around each facility that exceeds the ecological benchmark for each acid gas, in acres and km 2; the percentage of the modeled area around each facility that exceeds the ecological benchmark for each acid gas; and the area-weighted average screening value around each facility (calculated by dividing the area-weighted average concentration over the 50-km modeling domain by the ecological benchmark for each acid gas). For further information on the environmental screening assessment approach, see Appendix 9 of the Residual Risk Assessment for the Plywood and Composite Wood Products Source Category in Support of the 2019 Risk and Technology Review Proposed Rule, which is available in the docket for this action.6. How do we conduct facility-wide assessments?</w:t>
      </w:r>
    </w:p>
    <w:p w14:paraId="6947FA2A" w14:textId="77777777" w:rsidR="00054BF0" w:rsidRDefault="00000000">
      <w:pPr>
        <w:spacing w:before="200" w:line="260" w:lineRule="atLeast"/>
        <w:jc w:val="both"/>
      </w:pPr>
      <w:r>
        <w:rPr>
          <w:rFonts w:ascii="Arial" w:eastAsia="Arial" w:hAnsi="Arial" w:cs="Arial"/>
          <w:color w:val="000000"/>
          <w:sz w:val="20"/>
        </w:rPr>
        <w:t>To put the source category risks in context, the EPA typically examines the risks from the entire “facility,” where the facility includes all HAP-emitting operations within a contiguous area and under common control. In other words, the EPA examines the HAP emissions not only from the source category emission points of interest, but also emissions of HAP from all other emission sources at the facility for which the EPA has data. For this source category, the EPA conducted the facility-wide assessment using a dataset compiled from the 2014 NEI. The source category records of that NEI dataset were removed and replaced with the quality-assured ICR source category dataset described in the memorandum titled Preparation of the Residual Risk Modeling Input File for the PCWP NESHAP, in the docket for this rulemaking. This ICR source category dataset was then combined with the non-source category records from the NEI for that facility. The combined facility-wide file was then used to analyze risks due to the inhalation of HAP that are emitted “facility-wide” for the populations residing within 50 km of each facility, consistent with the methods used for the source category analysis described above. For these facility-wide risk analyses, the modeled source category risks were compared to the facility-wide risks to determine the portion of the facility-wide risks that could be attributed to the source category addressed in this proposal. The EPA also specifically examined the facility that was associated with the highest estimate of risk and determined the percentage of that risk attributable to the source category of interest. The Residual Risk Assessment for the Plywood and Composite Wood Products Source Category in Support of the 2019 Risk and Technology Review Proposed Rule, available through the docket for this action, provides the methodology and results of the facility-wide analyses, including all facility-wide risks and the percentage of source category contribution to facility-wide risks.7. How do we consider uncertainties in risk assessment?</w:t>
      </w:r>
    </w:p>
    <w:p w14:paraId="09550F9A" w14:textId="77777777" w:rsidR="00054BF0" w:rsidRDefault="00000000">
      <w:pPr>
        <w:spacing w:before="200" w:line="260" w:lineRule="atLeast"/>
        <w:jc w:val="both"/>
      </w:pPr>
      <w:r>
        <w:rPr>
          <w:rFonts w:ascii="Arial" w:eastAsia="Arial" w:hAnsi="Arial" w:cs="Arial"/>
          <w:color w:val="000000"/>
          <w:sz w:val="20"/>
        </w:rPr>
        <w:t>Uncertainty and the potential for bias are inherent in all risk assessments, including those performed for this proposal. Although uncertainty exists, we believe that our approach, which used conservative tools and assumptions, ensures that our decisions are health and environmentally protective. A brief discussion of the uncertainties in the RTR emissions dataset, dispersion modeling, inhalation exposure estimates, and dose-</w:t>
      </w:r>
      <w:r>
        <w:rPr>
          <w:rFonts w:ascii="Arial" w:eastAsia="Arial" w:hAnsi="Arial" w:cs="Arial"/>
          <w:color w:val="000000"/>
          <w:sz w:val="20"/>
        </w:rPr>
        <w:lastRenderedPageBreak/>
        <w:t>response relationships follows below. Also included are those uncertainties specific to acute screening assessments, multipathway screening assessments, and our environmental risk screening assessments. A more thorough discussion of these uncertainties is included in the Residual Risk Assessment for the Plywood and Composite Wood Products Source Category in Support of the 2019 Risk and Technology Review Proposed Rule, which is available in the docket for this action. If a multipathway site-specific assessment was performed for this source category, a full discussion of the uncertainties associated with that assessment can be found in Appendix 11 of that document, Site-Specific Human Health Multipathway Residual Risk Assessment Report.a. Uncertainties in the RTR Emissions Dataset</w:t>
      </w:r>
    </w:p>
    <w:p w14:paraId="1F444177" w14:textId="77777777" w:rsidR="00054BF0" w:rsidRDefault="00000000">
      <w:pPr>
        <w:spacing w:before="200" w:line="260" w:lineRule="atLeast"/>
        <w:jc w:val="both"/>
      </w:pPr>
      <w:r>
        <w:rPr>
          <w:rFonts w:ascii="Arial" w:eastAsia="Arial" w:hAnsi="Arial" w:cs="Arial"/>
          <w:color w:val="000000"/>
          <w:sz w:val="20"/>
        </w:rPr>
        <w:t>Although the development of the RTR emissions dataset involved quality assurance/quality control processes, the accuracy of emissions values will vary depending on the source of the data, the degree to which data are incomplete or missing, the degree to which assumptions made to complete the datasets are accurate, errors in emission estimates, and other factors. For example, older emission factors that do not account for relatively recent reductions in resin formaldehyde content may have been used by some PCWP mills to estimate emissions from uncontrolled process units that are hard to test, resulting in overestimation of formaldehyde emissions. The emission estimates considered in this analysis generally are annual totals for certain years, and they do not reflect short-term fluctuations during the course of a year or variations from year to year. For facilities with missing or invalid short-term emission estimates in their PCWP ICR data, the estimates of maximum hourly emission rates for the acute effects screening assessment were based on an emission adjustment factor applied to the average annual hourly emission rates, which are intended to account for emission fluctuations due to normal facility operations.b. Uncertainties in Dispersion Modeling</w:t>
      </w:r>
    </w:p>
    <w:p w14:paraId="189046C1" w14:textId="77777777" w:rsidR="00054BF0" w:rsidRDefault="00000000">
      <w:pPr>
        <w:spacing w:before="200" w:line="260" w:lineRule="atLeast"/>
        <w:jc w:val="both"/>
      </w:pPr>
      <w:r>
        <w:rPr>
          <w:rFonts w:ascii="Arial" w:eastAsia="Arial" w:hAnsi="Arial" w:cs="Arial"/>
          <w:color w:val="000000"/>
          <w:sz w:val="20"/>
        </w:rPr>
        <w:t>The EPA recognizes there is uncertainty in ambient concentration estimates associated with any model, including the EPA's recommended regulatory dispersion model, AERMOD. In using a model to estimate ambient pollutant concentrations, the user chooses certain options to apply. For RTR assessments, the EPA selects some model options that have the potential to overestimate ambient air concentrations (e.g , not including plume depletion or pollutant transformation). The EPA selects other model options that have the potential to underestimate ambient impacts (e.g , not including building downwash). Other options that the EPA selects have the potential to either under- or overestimate ambient levels (e.g , meteorology and receptor locations). On balance, considering the directional nature of the uncertainties commonly present in ambient concentrations estimated by dispersion models, the approach the EPA applies in the RTR assessments should yield unbiased estimates of ambient HAP concentrations. After reviewing the physical characteristics of emission releases from batch and continuous lumber kilns, dispersion and risk modelers at the EPA recommend the buoyant plume rise resulting from the elevated temperature of kiln exhaust be taken into account when modeling kiln fugitive emissions to improve accuracy. Appendix 12 of the document, Residual Risk Assessment for the Plywood and Composite Wood Products Source Category in Support of the 2019 Risk and Technology Review Proposed Rule, in the docket for this rulemaking describes the methodology and results. We also note that the selection of meteorology dataset location could have an impact on the risk estimates. As the EPA continues to update and expand the library of meteorological station data used in our risk assessments, we expect to reduce this variability.c. Uncertainties in Inhalation Exposure Assessment</w:t>
      </w:r>
    </w:p>
    <w:p w14:paraId="71F70964" w14:textId="77777777" w:rsidR="00054BF0" w:rsidRDefault="00000000">
      <w:pPr>
        <w:spacing w:before="200" w:line="260" w:lineRule="atLeast"/>
        <w:jc w:val="both"/>
      </w:pPr>
      <w:r>
        <w:rPr>
          <w:rFonts w:ascii="Arial" w:eastAsia="Arial" w:hAnsi="Arial" w:cs="Arial"/>
          <w:color w:val="000000"/>
          <w:sz w:val="20"/>
        </w:rPr>
        <w:t>Although every effort is made to identify all of the relevant facilities and emission points, as well as to develop accurate estimates of the annual emission rates for all relevant HAP, the uncertainties in the EPA's emission inventory likely dominate the uncertainties in the exposure assessment. Some uncertainties in our exposure assessment include human mobility, using the centroid of each census block, assuming lifetime exposure, and assuming only outdoor exposures. For most of these factors, there is neither an under nor overestimate when looking at the maximum individual risk or the incidence, but the shape of the distribution of risks may be affected. With respect to outdoor exposures, actual exposures may not be as high if people spend time indoors, especially for very reactive pollutants or larger particles. For all factors, the EPA reduces uncertainty when possible. For example, with respect to census-block centroids, the EPA analyzes large blocks using aerial imagery and adjust locations of the block centroids to better represent the population in the blocks. The EPA also adds additional receptor locations where the population of a block is not well represented by a single location.d. Uncertainties in Dose-Response Relationships</w:t>
      </w:r>
    </w:p>
    <w:p w14:paraId="2D3032C5" w14:textId="77777777" w:rsidR="00054BF0" w:rsidRDefault="00000000">
      <w:pPr>
        <w:spacing w:before="200" w:line="260" w:lineRule="atLeast"/>
        <w:jc w:val="both"/>
      </w:pPr>
      <w:r>
        <w:rPr>
          <w:rFonts w:ascii="Arial" w:eastAsia="Arial" w:hAnsi="Arial" w:cs="Arial"/>
          <w:color w:val="000000"/>
          <w:sz w:val="20"/>
        </w:rPr>
        <w:lastRenderedPageBreak/>
        <w:t>There are uncertainties inherent in the development of the dose-response values used in the EPA's risk assessments for cancer effects from chronic exposures and noncancer effects from both chronic and acute exposures. Some uncertainties are generally expressed quantitatively, and others are generally expressed in qualitative terms. We note, as a preface to this discussion, a point on dose-response uncertainty that is stated in the EPA's 2005 Guidelines for Carcinogen Risk Assessment; namely, that “the primary goal of EPA actions is protection of human health; accordingly, as an Agency policy, risk assessment procedures, including default options that are used in the absence of scientific data to the contrary, should be health protective” (the EPA's 2005 Guidelines for Carcinogen Risk Assessment, page 1-7). This is the approach followed here as summarized in the next paragraphs.</w:t>
      </w:r>
    </w:p>
    <w:p w14:paraId="2D1889B5" w14:textId="77777777" w:rsidR="00054BF0" w:rsidRDefault="00000000">
      <w:pPr>
        <w:spacing w:before="200" w:line="260" w:lineRule="atLeast"/>
        <w:jc w:val="both"/>
      </w:pPr>
      <w:r>
        <w:rPr>
          <w:rFonts w:ascii="Arial" w:eastAsia="Arial" w:hAnsi="Arial" w:cs="Arial"/>
          <w:color w:val="000000"/>
          <w:sz w:val="20"/>
        </w:rPr>
        <w:t>Cancer UREs used in the EPA's risk assessments are those that have been developed to generally provide an upper bound estimate of risk. (19) That is, they represent a “plausible upper limit to the true value of a quantity” (although this is usually not a true statistical confidence limit). In some circumstances, the true risk could be as low as zero; however, in other circumstances the risk could be greater. (20) Chronic noncancer RfC and reference dose (RfD) values represent chronic exposure levels that are intended to be health-protective levels. To derive dose-response values that are intended to be “without appreciable risk,” the methodology relies upon an uncertainty factor (UF) approach, (21) which considers uncertainty, variability, and gaps in the available data. The UFs are applied to derive dose-response values that are intended to protect against appreciable risk of deleterious effects.</w:t>
      </w:r>
    </w:p>
    <w:p w14:paraId="2167ABF0" w14:textId="77777777" w:rsidR="00054BF0" w:rsidRDefault="00000000">
      <w:pPr>
        <w:spacing w:before="200" w:line="260" w:lineRule="atLeast"/>
        <w:jc w:val="both"/>
      </w:pPr>
      <w:r>
        <w:rPr>
          <w:rFonts w:ascii="Arial" w:eastAsia="Arial" w:hAnsi="Arial" w:cs="Arial"/>
          <w:color w:val="000000"/>
          <w:sz w:val="20"/>
        </w:rPr>
        <w:t>Many of the UFs used to account for variability and uncertainty in the development of acute dose-response values are quite similar to those developed for chronic durations. Additional adjustments are often applied to account for uncertainty in extrapolation from observations at one exposure duration (e.g , 4 hours) to derive an acute dose-response value at another exposure duration (e.g , 1 hour). Not all acute dose-response values are developed for the same purpose, and care must be taken when interpreting the results of an acute assessment of human health effects relative to the dose-response value or values being exceeded. Where relevant to the estimated exposures, the lack of acute dose-response values at different levels of severity should be factored into the risk characterization as potential uncertainties.</w:t>
      </w:r>
    </w:p>
    <w:p w14:paraId="213BDF18" w14:textId="77777777" w:rsidR="00054BF0" w:rsidRDefault="00000000">
      <w:pPr>
        <w:spacing w:before="200" w:line="260" w:lineRule="atLeast"/>
        <w:jc w:val="both"/>
      </w:pPr>
      <w:r>
        <w:rPr>
          <w:rFonts w:ascii="Arial" w:eastAsia="Arial" w:hAnsi="Arial" w:cs="Arial"/>
          <w:color w:val="000000"/>
          <w:sz w:val="20"/>
        </w:rPr>
        <w:t>Uncertainty also exists in the selection of ecological benchmarks for the environmental risk screening assessment. The EPA established a hierarchy of preferred benchmark sources to allow selection of benchmarks for each environmental HAP at each ecological assessment endpoint. We searched for benchmarks for three effect levels (i.e , no-effects level, threshold-effect level, and probable effect level), but not all combinations of ecological assessment/environmental HAP had benchmarks for all three effect levels. Where multiple effect levels were available for a particular HAP and assessment endpoint, we used all of the available effect levels to help us determine whether risk exists and whether the risk could be considered significant and widespread.</w:t>
      </w:r>
    </w:p>
    <w:p w14:paraId="10EA6B72" w14:textId="77777777" w:rsidR="00054BF0" w:rsidRDefault="00000000">
      <w:pPr>
        <w:spacing w:before="200" w:line="260" w:lineRule="atLeast"/>
        <w:jc w:val="both"/>
      </w:pPr>
      <w:r>
        <w:rPr>
          <w:rFonts w:ascii="Arial" w:eastAsia="Arial" w:hAnsi="Arial" w:cs="Arial"/>
          <w:color w:val="000000"/>
          <w:sz w:val="20"/>
        </w:rPr>
        <w:t>Although the EPA makes every effort to identify appropriate human health effect dose-response values for all pollutants emitted by the sources in this risk assessment, some HAP emitted by this source category are lacking dose-response assessments. Accordingly, these pollutants cannot be included in the quantitative risk assessment, which could result in quantitative estimates understating HAP risk. To help to alleviate this potential underestimate, where the EPA concludes similarity with a HAP for which a dose-response value is available, we use that value as a surrogate for the assessment of the HAP for which no value is available. To the extent use of surrogates indicates appreciable risk, the EPA may identify a need to increase priority for an IRIS assessment for that substance. We additionally note that, generally speaking, HAP of greatest concern due to environmental exposures and hazard are those for which dose-response assessments have been performed, reducing the likelihood of understating risk. Further, HAP not included in the quantitative assessment are assessed qualitatively and considered in the risk characterization that informs the risk management decisions, including consideration of HAP reductions achieved by various control options.</w:t>
      </w:r>
    </w:p>
    <w:p w14:paraId="0C28B215" w14:textId="77777777" w:rsidR="00054BF0" w:rsidRDefault="00000000">
      <w:pPr>
        <w:spacing w:before="200" w:line="260" w:lineRule="atLeast"/>
        <w:jc w:val="both"/>
      </w:pPr>
      <w:r>
        <w:rPr>
          <w:rFonts w:ascii="Arial" w:eastAsia="Arial" w:hAnsi="Arial" w:cs="Arial"/>
          <w:color w:val="000000"/>
          <w:sz w:val="20"/>
        </w:rPr>
        <w:t xml:space="preserve">For a group of compounds that are unspeciated (e.g , glycol ethers), the EPA conservatively uses the most protective dose-response value of an individual compound in that group to estimate risk. Similarly, for an individual compound in a group (e.g , ethylene glycol diethyl ether) that does not have a specified dose-response value, the </w:t>
      </w:r>
      <w:r>
        <w:rPr>
          <w:rFonts w:ascii="Arial" w:eastAsia="Arial" w:hAnsi="Arial" w:cs="Arial"/>
          <w:color w:val="000000"/>
          <w:sz w:val="20"/>
        </w:rPr>
        <w:lastRenderedPageBreak/>
        <w:t>EPA also applies the most protective dose-response value from the other compounds in the group to estimate risk.e. Uncertainties in Acute Inhalation Screening Assessments</w:t>
      </w:r>
    </w:p>
    <w:p w14:paraId="104495EA" w14:textId="77777777" w:rsidR="00054BF0" w:rsidRDefault="00000000">
      <w:pPr>
        <w:spacing w:before="200" w:line="260" w:lineRule="atLeast"/>
        <w:jc w:val="both"/>
      </w:pPr>
      <w:r>
        <w:rPr>
          <w:rFonts w:ascii="Arial" w:eastAsia="Arial" w:hAnsi="Arial" w:cs="Arial"/>
          <w:color w:val="000000"/>
          <w:sz w:val="20"/>
        </w:rPr>
        <w:t>In addition to the uncertainties highlighted above, there are several factors specific to the acute exposure assessment that the EPA conducts as part of the risk review under section 112 of the CAA. The accuracy of an acute inhalation exposure assessment depends on the simultaneous occurrence of independent factors that may vary greatly, such as hourly emission rates, meteorology, and the presence of a person. In the acute screening assessment that the EPA conducts under the RTR program, we assume that peak emissions from the source category and reasonable worst-case air dispersion conditions (i.e , 99th percentile) co-occur. The EPA then includes the additional assumption that a person is located at this point at the same time. Together, these assumptions represent a reasonable worst-case exposure scenario. In most cases, it is unlikely that a person would be located at the point of maximum exposure during the time when peak emissions and reasonable worst-case air dispersion conditions occur simultaneously.f. Uncertainties in the Multipathway and Environmental Risk Screening Assessments</w:t>
      </w:r>
    </w:p>
    <w:p w14:paraId="3237F405" w14:textId="77777777" w:rsidR="00054BF0" w:rsidRDefault="00000000">
      <w:pPr>
        <w:spacing w:before="200" w:line="260" w:lineRule="atLeast"/>
        <w:jc w:val="both"/>
      </w:pPr>
      <w:r>
        <w:rPr>
          <w:rFonts w:ascii="Arial" w:eastAsia="Arial" w:hAnsi="Arial" w:cs="Arial"/>
          <w:color w:val="000000"/>
          <w:sz w:val="20"/>
        </w:rPr>
        <w:t>For each source category, the EPA generally relies on site-specific levels of PB-HAP or environmental HAP emissions to determine whether a refined assessment of the impacts from multipathway exposures is necessary or whether it is necessary to perform an environmental screening assessment. This determination is based on the results of a three-tiered screening assessment that relies on the outputs from models—TRIM.FaTE and AERMOD—that estimate environmental pollutant concentrations and human exposures for five PB-HAP (dioxins, POM, mercury, cadmium, and arsenic) and two acid gases (HF and HCl). For lead, the EPA uses AERMOD to determine ambient air concentrations, which are then compared to the secondary NAAQS standard for lead. Two important types of uncertainty associated with the use of these models in RTR risk assessments and inherent to any assessment that relies on environmental modeling are model uncertainty and input uncertainty. (22)</w:t>
      </w:r>
    </w:p>
    <w:p w14:paraId="27993EA2" w14:textId="77777777" w:rsidR="00054BF0" w:rsidRDefault="00000000">
      <w:pPr>
        <w:spacing w:before="200" w:line="260" w:lineRule="atLeast"/>
        <w:jc w:val="both"/>
      </w:pPr>
      <w:r>
        <w:rPr>
          <w:rFonts w:ascii="Arial" w:eastAsia="Arial" w:hAnsi="Arial" w:cs="Arial"/>
          <w:color w:val="000000"/>
          <w:sz w:val="20"/>
        </w:rPr>
        <w:t>Model uncertainty concerns whether the model adequately represents the actual processes (e.g , movement and accumulation) that might occur in the environment. For example, does the model adequately describe the movement of a pollutant through the soil? This type of uncertainty is difficult to quantify. However, based on feedback received from previous EPA SAB reviews and other reviews, we are confident that the models used in the screening assessments are appropriate and state-of-the-art for the multipathway and environmental screening risk assessments conducted in support of RTR.</w:t>
      </w:r>
    </w:p>
    <w:p w14:paraId="3D048606" w14:textId="77777777" w:rsidR="00054BF0" w:rsidRDefault="00000000">
      <w:pPr>
        <w:spacing w:before="200" w:line="260" w:lineRule="atLeast"/>
        <w:jc w:val="both"/>
      </w:pPr>
      <w:r>
        <w:rPr>
          <w:rFonts w:ascii="Arial" w:eastAsia="Arial" w:hAnsi="Arial" w:cs="Arial"/>
          <w:color w:val="000000"/>
          <w:sz w:val="20"/>
        </w:rPr>
        <w:t>Input uncertainty is concerned with how accurately the models have been configured and parameterized for the assessment at hand. For Tier 1 of the multipathway and environmental screening assessments, the EPA configured the models to avoid underestimating exposure and risk. This was accomplished by selecting upper-end values from nationally representative datasets for the more influential parameters in the environmental model, including selection and spatial configuration of the area of interest, lake location and size, meteorology, surface water, soil characteristics, and structure of the aquatic food web. The EPA also assumes an ingestion exposure scenario and values for human exposure factors that represent reasonable maximum exposures.</w:t>
      </w:r>
    </w:p>
    <w:p w14:paraId="71965E5B" w14:textId="77777777" w:rsidR="00054BF0" w:rsidRDefault="00000000">
      <w:pPr>
        <w:spacing w:before="200" w:line="260" w:lineRule="atLeast"/>
        <w:jc w:val="both"/>
      </w:pPr>
      <w:r>
        <w:rPr>
          <w:rFonts w:ascii="Arial" w:eastAsia="Arial" w:hAnsi="Arial" w:cs="Arial"/>
          <w:color w:val="000000"/>
          <w:sz w:val="20"/>
        </w:rPr>
        <w:t>In Tier 2 of the multipathway and environmental screening assessments, the EPA refines the model inputs to account for meteorological patterns in the vicinity of the facility versus using upper-end national values and identifies the actual location of lakes near the facility rather than the default lake location applied in Tier 1. By refining the screening approach in Tier 2 to account for local geographical and meteorological data, the EPA decreases the likelihood that concentrations in environmental media are overestimated, thereby increasing the usefulness of the screening assessment. In Tier 3 of the screening assessments, the EPA refines the model inputs again to account for hour-by-hour plume rise and the height of the mixing layer. The EPA can also use those hour-by-hour meteorological data in a TRIM.FaTE run using the screening configuration corresponding to the lake location. These refinements produce a more accurate estimate of chemical concentrations in the media of interest, thereby reducing the uncertainty with those estimates. The assumptions and the associated uncertainties regarding the selected ingestion exposure scenario are the same for all three tiers.</w:t>
      </w:r>
    </w:p>
    <w:p w14:paraId="30AEC285" w14:textId="77777777" w:rsidR="00054BF0" w:rsidRDefault="00000000">
      <w:pPr>
        <w:spacing w:before="200" w:line="260" w:lineRule="atLeast"/>
        <w:jc w:val="both"/>
      </w:pPr>
      <w:r>
        <w:rPr>
          <w:rFonts w:ascii="Arial" w:eastAsia="Arial" w:hAnsi="Arial" w:cs="Arial"/>
          <w:color w:val="000000"/>
          <w:sz w:val="20"/>
        </w:rPr>
        <w:lastRenderedPageBreak/>
        <w:t>For the environmental screening assessment for acid gases, the EPA employs a single-tiered approach. The EPA uses the modeled air concentrations and compare those with ecological benchmarks.</w:t>
      </w:r>
    </w:p>
    <w:p w14:paraId="3B692CBA" w14:textId="77777777" w:rsidR="00054BF0" w:rsidRDefault="00000000">
      <w:pPr>
        <w:spacing w:before="200" w:line="260" w:lineRule="atLeast"/>
        <w:jc w:val="both"/>
      </w:pPr>
      <w:r>
        <w:rPr>
          <w:rFonts w:ascii="Arial" w:eastAsia="Arial" w:hAnsi="Arial" w:cs="Arial"/>
          <w:color w:val="000000"/>
          <w:sz w:val="20"/>
        </w:rPr>
        <w:t>For all tiers of the multipathway and environmental screening assessments, the EPA's approach to addressing model input uncertainty is generally cautious. The EPA chooses model inputs from the upper end of the range of possible values for the influential parameters used in the models, and assumes that the exposed individual exhibits ingestion behavior that would lead to a high total exposure. This approach reduces the likelihood of not identifying high risks for adverse impacts.</w:t>
      </w:r>
    </w:p>
    <w:p w14:paraId="4CE5AF31" w14:textId="77777777" w:rsidR="00054BF0" w:rsidRDefault="00000000">
      <w:pPr>
        <w:spacing w:before="200" w:line="260" w:lineRule="atLeast"/>
        <w:jc w:val="both"/>
      </w:pPr>
      <w:r>
        <w:rPr>
          <w:rFonts w:ascii="Arial" w:eastAsia="Arial" w:hAnsi="Arial" w:cs="Arial"/>
          <w:color w:val="000000"/>
          <w:sz w:val="20"/>
        </w:rPr>
        <w:t>Despite the uncertainties, when individual pollutants or facilities do not exceed screening threshold emission rates (i.e , screen out), the EPA is confident that the potential for adverse multipathway impacts on human health is very low. On the other hand, when individual pollutants or facilities do exceed screening threshold emission rates, it does not mean that impacts are significant, only that the EPA cannot rule out that possibility and that a refined assessment for the site might be necessary to obtain a more accurate risk characterization for the source category.</w:t>
      </w:r>
    </w:p>
    <w:p w14:paraId="227EB98D" w14:textId="77777777" w:rsidR="00054BF0" w:rsidRDefault="00000000">
      <w:pPr>
        <w:spacing w:before="200" w:line="260" w:lineRule="atLeast"/>
        <w:jc w:val="both"/>
      </w:pPr>
      <w:r>
        <w:rPr>
          <w:rFonts w:ascii="Arial" w:eastAsia="Arial" w:hAnsi="Arial" w:cs="Arial"/>
          <w:color w:val="000000"/>
          <w:sz w:val="20"/>
        </w:rPr>
        <w:t>The EPA evaluates the following HAP in the multipathway and/or environmental risk screening assessments, where applicable: Arsenic, cadmium, dioxins/furans, lead, mercury (both inorganic and methyl mercury), POM, HCl, and HF. These HAP represent pollutants that can cause adverse impacts either through direct exposure to HAP in the air or through exposure to HAP that are deposited from the air onto soils and surface waters and then through the environment into the food web. These HAP represent those HAP for which the EPA can conduct a meaningful multipathway or environmental screening risk assessment. For other HAP not included in our screening assessments, the model has not been parameterized such that it can be used for that purpose. In some cases, depending on the HAP, the EPA may not have appropriate multipathway models that allow us to predict the concentration of that pollutant. The EPA acknowledges that other HAP beyond these that we are evaluating may have the potential to cause adverse effects and, therefore, the EPA may evaluate other relevant HAP in the future, as modeling science and resources allow.IV. Analytical Results and Proposed DecisionsA. What are the results of the risk assessment and analyses?1. Chronic Inhalation Risk Assessment Results</w:t>
      </w:r>
    </w:p>
    <w:p w14:paraId="72A12C63" w14:textId="77777777" w:rsidR="00054BF0" w:rsidRDefault="00000000">
      <w:pPr>
        <w:spacing w:before="200" w:line="260" w:lineRule="atLeast"/>
        <w:jc w:val="both"/>
      </w:pPr>
      <w:r>
        <w:rPr>
          <w:rFonts w:ascii="Arial" w:eastAsia="Arial" w:hAnsi="Arial" w:cs="Arial"/>
          <w:color w:val="000000"/>
          <w:sz w:val="20"/>
        </w:rPr>
        <w:t>Table 2 of this preamble provides an overall summary of the inhalation risk results. The results of the chronic baseline inhalation cancer risk assessment indicate that, based on estimates of current actual and allowable emissions, the MIR posed by the PCWP source category was estimated to be 30-in-1 million. The risk driver is chiefly formaldehyde emissions from batch and continuous lumber kilns. The total estimated cancer incidence based on actual and allowable emission levels from all PCWP emission sources is 0.03 excess cancer cases per year, or one case in every 33 years, with emissions from the lumber kilns representing 43 percent of the modeled cancer incidence in the source category. Emissions of formaldehyde, acetaldehyde, and chromium VI compounds contributed 93 percent to this cancer incidence with formaldehyde being the largest contributor (76 percent of the incidence). Based upon actual emissions from the source category, approximately 200,000 people were exposed to cancer risks above or equal to 1-in-1 million.</w:t>
      </w:r>
    </w:p>
    <w:p w14:paraId="2C30CDD3" w14:textId="77777777" w:rsidR="00054BF0" w:rsidRDefault="00000000">
      <w:pPr>
        <w:spacing w:before="200" w:line="260" w:lineRule="atLeast"/>
        <w:jc w:val="both"/>
      </w:pPr>
      <w:r>
        <w:rPr>
          <w:rFonts w:ascii="Arial" w:eastAsia="Arial" w:hAnsi="Arial" w:cs="Arial"/>
          <w:color w:val="000000"/>
          <w:sz w:val="20"/>
        </w:rPr>
        <w:t>The maximum chronic noncancer HI (TOSHI) values based on actual and allowable emissions for the source category were estimated to be less than 1. Based upon actual emissions from the source category, respiratory risks were driven by acrolein, acetaldehyde, and formaldehyde emissions from batch lumber kilns. Based upon allowable emissions from the source category, the respiratory risk was driven by methylene diphenyl diisocyanate emissions from a miscellaneous coating operation and formaldehyde emissions from lumber kilns.Table 2—Plywood and Composite Wood Products Inhalation Risk Assessment Results 1 Risk assessment Number offacilities 2 Maximumindividualcancer risk(in 1 million) 3 Estimatedpopulation atincreased riskof cancer≥1-in-1 million Estimated annualcancer incidence(cases per year) Maximum chronicnoncancerTOSHI 4 Maximumscreening acutenoncancer HQ 5Baseline Actual Emissions Source Category 233 30 204,000 0.03 0.8 4 (REL) 0.2 (AEGL-1).Facility-Wide 233 30 260,000 0.04 1 Baseline Allowable Emissions Source Category 233 30 230,000 0.03 0.8 2. Screening Level Acute Risk Assessment Results</w:t>
      </w:r>
    </w:p>
    <w:p w14:paraId="6754D4DE" w14:textId="77777777" w:rsidR="00054BF0" w:rsidRDefault="00000000">
      <w:pPr>
        <w:spacing w:before="200" w:line="260" w:lineRule="atLeast"/>
        <w:jc w:val="both"/>
      </w:pPr>
      <w:r>
        <w:rPr>
          <w:rFonts w:ascii="Arial" w:eastAsia="Arial" w:hAnsi="Arial" w:cs="Arial"/>
          <w:color w:val="000000"/>
          <w:sz w:val="20"/>
        </w:rPr>
        <w:t xml:space="preserve">Worst-case acute HQs were calculated for every HAP for which there is an acute health benchmark using actual emissions. The maximum refined off-site acute noncancer HQ values for the source category were equal to 4 from </w:t>
      </w:r>
      <w:r>
        <w:rPr>
          <w:rFonts w:ascii="Arial" w:eastAsia="Arial" w:hAnsi="Arial" w:cs="Arial"/>
          <w:color w:val="000000"/>
          <w:sz w:val="20"/>
        </w:rPr>
        <w:lastRenderedPageBreak/>
        <w:t>acrolein emissions and 2 from formaldehyde emissions (based on the acute (1-hr) REL for these pollutants). The acrolein and formaldehyde maximum HQ values were at separate facilities. No other acute health benchmarks were exceeded for this source category. The acute risk driver for acrolein was primarily from continuous lumber kilns and the MIR location for acute formaldehyde risks were from batch lumber kilns. The continuous and batch lumber kilns were modeled with hourly emissions ranging from 2 to 8 times the annual average hourly emissions rate. Acute HQs are not calculated for allowable or whole facility emissions.3. Multipathway Risk Screening Results</w:t>
      </w:r>
    </w:p>
    <w:p w14:paraId="3C7731D9" w14:textId="77777777" w:rsidR="00054BF0" w:rsidRDefault="00000000">
      <w:pPr>
        <w:spacing w:before="200" w:line="260" w:lineRule="atLeast"/>
        <w:jc w:val="both"/>
      </w:pPr>
      <w:r>
        <w:rPr>
          <w:rFonts w:ascii="Arial" w:eastAsia="Arial" w:hAnsi="Arial" w:cs="Arial"/>
          <w:color w:val="000000"/>
          <w:sz w:val="20"/>
        </w:rPr>
        <w:t>Results of the worst-case Tier 1 screening analysis indicate that PB-HAP emissions (based on estimates of actual emissions) emitted from the source category exceeded the screening values for the carcinogenic PB-HAP (arsenic, dioxin/furan, and POM compounds) and for the noncarcinogenic PB-HAP (cadmium and mercury) based upon emissions from 48 facilities reporting carcinogenic PB-HAP and 19 facilities reporting non-carcinogenic PB-HAP in the source category. For the PB-HAP and facilities that did not screen out at Tier 1, the EPA conducted a Tier 2 screening analysis.</w:t>
      </w:r>
    </w:p>
    <w:p w14:paraId="43C02C92" w14:textId="77777777" w:rsidR="00054BF0" w:rsidRDefault="00000000">
      <w:pPr>
        <w:spacing w:before="200" w:line="260" w:lineRule="atLeast"/>
        <w:jc w:val="both"/>
      </w:pPr>
      <w:r>
        <w:rPr>
          <w:rFonts w:ascii="Arial" w:eastAsia="Arial" w:hAnsi="Arial" w:cs="Arial"/>
          <w:color w:val="000000"/>
          <w:sz w:val="20"/>
        </w:rPr>
        <w:t>The Tier 2 screen replaces some of the assumptions used in Tier 1 with site-specific data, the location of fishable lakes, and local wind direction and speed. The Tier 2 screen continues to rely on high-end assumptions about consumption of local fish and locally grown or raised foods (adult female angler at 99th percentile consumption for fish (23) for the fisher scenario and 90th percentile for consumption of locally raised livestock and grown produce (vegetables and fruits) (24) ) for the farmer scenario and uses an assumption that the same individual consumes each of these foods in high end quantities (i.e , that an individual has high end ingestion rates for each food). The result of this analysis was the development of site-specific concentrations of dioxin/furan, POM compounds, arsenic compounds, cadmium and mercury compounds. It is important to note that, even with the inclusion of some site-specific information in the Tier 2 analysis, the multipathway screening analysis is a still a very conservative, health-protective assessment (e.g , upper-bound consumption of local fish, locally grown, and/or raised foods) and in all likelihood will yield results that serve as an upper-bound multipathway risk associated with a facility.</w:t>
      </w:r>
    </w:p>
    <w:p w14:paraId="3E7AB59B" w14:textId="77777777" w:rsidR="00054BF0" w:rsidRDefault="00000000">
      <w:pPr>
        <w:spacing w:before="200" w:line="260" w:lineRule="atLeast"/>
        <w:jc w:val="both"/>
      </w:pPr>
      <w:r>
        <w:rPr>
          <w:rFonts w:ascii="Arial" w:eastAsia="Arial" w:hAnsi="Arial" w:cs="Arial"/>
          <w:color w:val="000000"/>
          <w:sz w:val="20"/>
        </w:rPr>
        <w:t>Based on this upper-bound Tier 2 screening assessment for carcinogens, the dioxin/furan and POM emission rates for all facilities and scenarios were below levels of concern. Arsenic emissions exceeded the screening value by a factor of 70 for the farmer scenario, a factor of 40 for the gardener scenario, and a factor of 6 for the fisher scenario. The Tier 2 gardener scenario is based upon the same ingestion rate of produce as the farmer for a rural environment. No additional refined screens or site-specific assessments were conducted for emissions of arsenic based upon the conservative nature of the Tier 2 screen and because the screening value was below the level of acceptability of 100-in-1 million. For the non-carcinogens, emissions of cadmium were below an HQ of 1 for the Tier 2 fisher scenario. For mercury, three facilities exceeded the Tier 2 multipathway screening values of 1 by a factor of 2 based upon aggregate lake impacts by facilities within the source category for the fisher scenario.</w:t>
      </w:r>
    </w:p>
    <w:p w14:paraId="0495C99D" w14:textId="77777777" w:rsidR="00054BF0" w:rsidRDefault="00000000">
      <w:pPr>
        <w:spacing w:before="200" w:line="260" w:lineRule="atLeast"/>
        <w:jc w:val="both"/>
      </w:pPr>
      <w:r>
        <w:rPr>
          <w:rFonts w:ascii="Arial" w:eastAsia="Arial" w:hAnsi="Arial" w:cs="Arial"/>
          <w:color w:val="000000"/>
          <w:sz w:val="20"/>
        </w:rPr>
        <w:t>For mercury, the EPA conducted a Tier 3 multipathway screen for two facilities which included two of the three individual stages. These stages included a lake assessment for fishability and the mass lost due to plume rise, a time-series assessment was not conducted. A lake and plume rise assessment was conducted resulting in a maximum Tier 3 screening value of 2, a 20-percent reduction in their Tier 2 screening value was achieved due to plume rise. A screening value in any of the tiers is not an estimate of the cancer risk or a noncancer HQ (or HI). Rather, a screening value represents a high-end estimate of what the risk or hazard may be. For example, facility emissions resulting in a screening value of 2 for a non-carcinogen can be interpreted to mean that we are confident that the HQ would be lower than 2. Similarly, facility emissions resulting in a cancer screening value of 40 for a carcinogen means that we are confident that the cancer risk is lower than 40-in-1 million. Our confidence comes from the health-protective assumptions that are incorporated into the screens: We choose inputs from the upper end of the range of possible values for the influential parameters used in the screens; and we assume food consumption behaviors that would lead to high total exposure. This risk assessment estimates the maximum hazard for mercury through fish consumption based on upper bound screens and the maximum excess cancer risks from dioxins/furans and arsenic through ingestion of fish and farm produce.</w:t>
      </w:r>
    </w:p>
    <w:p w14:paraId="01643866" w14:textId="77777777" w:rsidR="00054BF0" w:rsidRDefault="00000000">
      <w:pPr>
        <w:spacing w:before="200" w:line="260" w:lineRule="atLeast"/>
        <w:jc w:val="both"/>
      </w:pPr>
      <w:r>
        <w:rPr>
          <w:rFonts w:ascii="Arial" w:eastAsia="Arial" w:hAnsi="Arial" w:cs="Arial"/>
          <w:color w:val="000000"/>
          <w:sz w:val="20"/>
        </w:rPr>
        <w:t>When we progress from the model designs of the Tier 1, 2, and 3 screens to a site-specific assessment, we refine the risk assessment through incorporation of additional site-specific data and enhanced model designs. Site-</w:t>
      </w:r>
      <w:r>
        <w:rPr>
          <w:rFonts w:ascii="Arial" w:eastAsia="Arial" w:hAnsi="Arial" w:cs="Arial"/>
          <w:color w:val="000000"/>
          <w:sz w:val="20"/>
        </w:rPr>
        <w:lastRenderedPageBreak/>
        <w:t>specific refinements include the following; (1) improved spatial locations identifying the boundaries of the watershed and lakes within the watershed as it relates to surrounding facilities within the source category; (2) calculating actual soil/water run-off amounts to target lakes based upon actual soil type(s) and elevation changes associated with the affected watershed versus assuming a worst-case assumption of 100-percent run-off to target lakes; and (3) incorporating AERMOD deposition of pollutants into TRIM.FaTE to accurately account for site-specific release parameters such as stack heights and exit gas temperatures, versus using TRIMFaTE's simple dispersion algorithms that assume the pollutant is uniformly distributed within the airshed. These refinements have the net effect of improved modeling of the mass of HAP entering a lake by more accurately defining the watershed/lake boundaries as well as the dispersion of HAP into the atmosphere to better reflect deposition contours across all target watersheds and lakes in our 50 km model domain.</w:t>
      </w:r>
    </w:p>
    <w:p w14:paraId="7CD4428B" w14:textId="77777777" w:rsidR="00054BF0" w:rsidRDefault="00000000">
      <w:pPr>
        <w:spacing w:before="200" w:line="260" w:lineRule="atLeast"/>
        <w:jc w:val="both"/>
      </w:pPr>
      <w:r>
        <w:rPr>
          <w:rFonts w:ascii="Arial" w:eastAsia="Arial" w:hAnsi="Arial" w:cs="Arial"/>
          <w:color w:val="000000"/>
          <w:sz w:val="20"/>
        </w:rPr>
        <w:t>The maximum mercury Tier 2 noncancer screening value for this source category is 2 with subsequent refinement resulting in a Tier 3 screening value of 2. No additional refinements to the Tier 3 screen value of 2 were conducted by the EPA. Risk results from four site-specific mercury assessments the EPA has conducted for four RTR source categories resulted in noncancer HQs that range from 50 to 800 times lower than the respective Tier 2 screening value for these facilities (refer to EPA Docket ID: EPA-HQ-OAR-2016-0243 for a copy of these reports). (25) Based on our review of these analyses, we would expect at least a one order of magnitude decrease in all Tier 2 noncancer screening values for mercury for the PCWP source category, if we were to perform a site-specific assessment. In addition, based upon the conservative nature of the screens and the level of additional refinements that would go into a site-specific multipathway assessment, were one to be conducted, we are confident that the HI for ingestion exposure, specifically mercury through fish ingestion, is less than 1.</w:t>
      </w:r>
    </w:p>
    <w:p w14:paraId="7609D61D" w14:textId="77777777" w:rsidR="00054BF0" w:rsidRDefault="00000000">
      <w:pPr>
        <w:spacing w:before="200" w:line="260" w:lineRule="atLeast"/>
        <w:jc w:val="both"/>
      </w:pPr>
      <w:r>
        <w:rPr>
          <w:rFonts w:ascii="Arial" w:eastAsia="Arial" w:hAnsi="Arial" w:cs="Arial"/>
          <w:color w:val="000000"/>
          <w:sz w:val="20"/>
        </w:rPr>
        <w:t>Further details on the Tier 3 screening assessment can be found in Appendix 11 of Residual Risk Assessment for the Plywood Composite and Wood Products Source Category in Support of the 2019 Risk and Technology Review Proposed Rule, in the docket for this action.</w:t>
      </w:r>
    </w:p>
    <w:p w14:paraId="7268196F" w14:textId="77777777" w:rsidR="00054BF0" w:rsidRDefault="00000000">
      <w:pPr>
        <w:spacing w:before="200" w:line="260" w:lineRule="atLeast"/>
        <w:jc w:val="both"/>
      </w:pPr>
      <w:r>
        <w:rPr>
          <w:rFonts w:ascii="Arial" w:eastAsia="Arial" w:hAnsi="Arial" w:cs="Arial"/>
          <w:color w:val="000000"/>
          <w:sz w:val="20"/>
        </w:rPr>
        <w:t>In evaluating the potential for multipathway effects from emissions of lead, the EPA compared modeled annual lead concentrations to the primary NAAQS level for lead (0.15 μg/m 3, arithmetic mean concentration over a 3-month period. The highest annual average lead concentration of 0.013 µg/m 3 is below the NAAQS level for lead, indicating a low potential for multipathway impacts.4. Environmental Risk Screening Results</w:t>
      </w:r>
    </w:p>
    <w:p w14:paraId="1EA49DC1" w14:textId="77777777" w:rsidR="00054BF0" w:rsidRDefault="00000000">
      <w:pPr>
        <w:spacing w:before="200" w:line="260" w:lineRule="atLeast"/>
        <w:jc w:val="both"/>
      </w:pPr>
      <w:r>
        <w:rPr>
          <w:rFonts w:ascii="Arial" w:eastAsia="Arial" w:hAnsi="Arial" w:cs="Arial"/>
          <w:color w:val="000000"/>
          <w:sz w:val="20"/>
        </w:rPr>
        <w:t>The EPA conducted an environmental risk screening assessment for the PCWP source category for the following pollutants: Arsenic, cadmium, dioxins/furans, HCl, HF, lead, mercury (methyl mercury and mercuric chloride), and POM.</w:t>
      </w:r>
    </w:p>
    <w:p w14:paraId="2C44B448" w14:textId="77777777" w:rsidR="00054BF0" w:rsidRDefault="00000000">
      <w:pPr>
        <w:spacing w:before="200" w:line="260" w:lineRule="atLeast"/>
        <w:jc w:val="both"/>
      </w:pPr>
      <w:r>
        <w:rPr>
          <w:rFonts w:ascii="Arial" w:eastAsia="Arial" w:hAnsi="Arial" w:cs="Arial"/>
          <w:color w:val="000000"/>
          <w:sz w:val="20"/>
        </w:rPr>
        <w:t>In the Tier 1 screening analysis for PB-HAP (other than lead, which was evaluated differently), arsenic, cadmium, dioxins/furans, and POM emissions had no Tier 1 exceedances for any ecological benchmark. Divalent mercury emissions at nine facilities had Tier 1 exceedances for the surface soil threshold levels (invertebrate and plant communities) by a maximum screening value of 5. Methyl mercury emissions at 13 facilities had Tier 1 exceedances for the surface soil NOAEL (avian ground insectivores) by a maximum screening value of 7.</w:t>
      </w:r>
    </w:p>
    <w:p w14:paraId="62C4E65A" w14:textId="77777777" w:rsidR="00054BF0" w:rsidRDefault="00000000">
      <w:pPr>
        <w:spacing w:before="200" w:line="260" w:lineRule="atLeast"/>
        <w:jc w:val="both"/>
      </w:pPr>
      <w:r>
        <w:rPr>
          <w:rFonts w:ascii="Arial" w:eastAsia="Arial" w:hAnsi="Arial" w:cs="Arial"/>
          <w:color w:val="000000"/>
          <w:sz w:val="20"/>
        </w:rPr>
        <w:t>A Tier 2 screening assessment was performed for divalent mercury and methyl mercury. Divalent mercury and methyl mercury had no Tier 2 exceedances for any ecological benchmark. For lead, the EPA did not estimate any exceedances of the secondary lead NAAQS. For HCl and HF, the average modeled concentration around each facility (i.e , the average concentration of all off-site data points in the modeling domain) did not exceed any ecological benchmark. In addition, each individual modeled concentration of HCl and HF (i.e , each off-site data point in the modeling domain) was below the ecological benchmarks for all facilities. Based on the results of the environmental risk screening analysis, the EPA does not expect an adverse environmental effect as a result of HAP emissions from this source category.5. Facility-Wide Risk Results</w:t>
      </w:r>
    </w:p>
    <w:p w14:paraId="36C5ED60" w14:textId="77777777" w:rsidR="00054BF0" w:rsidRDefault="00000000">
      <w:pPr>
        <w:spacing w:before="200" w:line="260" w:lineRule="atLeast"/>
        <w:jc w:val="both"/>
      </w:pPr>
      <w:r>
        <w:rPr>
          <w:rFonts w:ascii="Arial" w:eastAsia="Arial" w:hAnsi="Arial" w:cs="Arial"/>
          <w:color w:val="000000"/>
          <w:sz w:val="20"/>
        </w:rPr>
        <w:t xml:space="preserve">Results of the assessment of facility-wide emissions indicate that of the 233 facilities, 182 facilities have a facility-wide MIR cancer risk greater than 1-in-1 million. The maximum facility-wide cancer risk is 30-in-1 million, mainly driven by formaldehyde emissions from batch and continuous lumber kilns. The total estimated cancer incidence </w:t>
      </w:r>
      <w:r>
        <w:rPr>
          <w:rFonts w:ascii="Arial" w:eastAsia="Arial" w:hAnsi="Arial" w:cs="Arial"/>
          <w:color w:val="000000"/>
          <w:sz w:val="20"/>
        </w:rPr>
        <w:lastRenderedPageBreak/>
        <w:t>from the whole facility is 0.04 excess cancer cases per year, or one case in every 25 years. Approximately 260,000 people are estimated to have cancer risks greater than 1-in-1 million. The maximum facility-wide chronic noncancer TOSHI is estimated to be equal to 1, driven by emissions of acrolein, chlorine, and HCl from non-category sources.6. What demographic groups might benefit from this regulation?</w:t>
      </w:r>
    </w:p>
    <w:p w14:paraId="62305E2E" w14:textId="77777777" w:rsidR="00054BF0" w:rsidRDefault="00000000">
      <w:pPr>
        <w:spacing w:before="200" w:line="260" w:lineRule="atLeast"/>
        <w:jc w:val="both"/>
      </w:pPr>
      <w:r>
        <w:rPr>
          <w:rFonts w:ascii="Arial" w:eastAsia="Arial" w:hAnsi="Arial" w:cs="Arial"/>
          <w:color w:val="000000"/>
          <w:sz w:val="20"/>
        </w:rPr>
        <w:t>To examine the potential for any environmental justice issues that might be associated with the source category, the EPA performed a demographic analysis, which is an assessment of risk to individual demographic groups of the populations living within 5 km and within 50 km of the facilities. In the analysis, the EPA evaluated the distribution of HAP-related cancer and noncancer risk from the PCWP source category across different demographic groups within the populations living near facilities.</w:t>
      </w:r>
    </w:p>
    <w:p w14:paraId="7499F089" w14:textId="77777777" w:rsidR="00054BF0" w:rsidRDefault="00000000">
      <w:pPr>
        <w:spacing w:before="200" w:line="260" w:lineRule="atLeast"/>
        <w:jc w:val="both"/>
      </w:pPr>
      <w:r>
        <w:rPr>
          <w:rFonts w:ascii="Arial" w:eastAsia="Arial" w:hAnsi="Arial" w:cs="Arial"/>
          <w:color w:val="000000"/>
          <w:sz w:val="20"/>
        </w:rPr>
        <w:t>The results of the demographic analysis are summarized in Table 3 below. These results, for various demographic groups, are based on the estimated risk from actual emissions levels for the population living within 50 km of the facilities.Table 3—Plywood and Composite Wood Products Demographic Risk Analysis Results Nationwide Population withcancer risk at orabove 1-in-1million due toPCWP Population withchronic hazardindex above 1due to PCWPTotal Population 317,746,049 204,164 0Race by Percent White 62 63 0All Other Races 38 37 0Race by Percent Hispanic or Latino (includes white and nonwhite) 18 9 0African American 12 24 0Native American 0.8 1.1 0Other and Multiracial 7 3 0Income by Percent Below Poverty Level 14 23 0Above Poverty Level 86 77 0Education by Percent Over 25 and without a High School Diploma 14 18 0Over 25 and with a High School Diploma 86 82 0Linguistically Isolated by Percent Linguistically Isolated 6 2 0</w:t>
      </w:r>
    </w:p>
    <w:p w14:paraId="50ADB234" w14:textId="77777777" w:rsidR="00054BF0" w:rsidRDefault="00000000">
      <w:pPr>
        <w:spacing w:before="200" w:line="260" w:lineRule="atLeast"/>
        <w:jc w:val="both"/>
      </w:pPr>
      <w:r>
        <w:rPr>
          <w:rFonts w:ascii="Arial" w:eastAsia="Arial" w:hAnsi="Arial" w:cs="Arial"/>
          <w:color w:val="000000"/>
          <w:sz w:val="20"/>
        </w:rPr>
        <w:t>The results of the PCWP source category demographic analysis indicate that emissions from the source category expose approximately 200,000 people to a cancer risk at or above 1-in-1 million and zero people to a chronic noncancer TOSHI greater than 1. The percentages of the at-risk population in four of the eleven demographic groups (African American, Native American, below poverty level, and over 25 without a high school diploma) are greater than their respective nationwide percentages.</w:t>
      </w:r>
    </w:p>
    <w:p w14:paraId="329A473D" w14:textId="77777777" w:rsidR="00054BF0" w:rsidRDefault="00000000">
      <w:pPr>
        <w:spacing w:before="200" w:line="260" w:lineRule="atLeast"/>
        <w:jc w:val="both"/>
      </w:pPr>
      <w:r>
        <w:rPr>
          <w:rFonts w:ascii="Arial" w:eastAsia="Arial" w:hAnsi="Arial" w:cs="Arial"/>
          <w:color w:val="000000"/>
          <w:sz w:val="20"/>
        </w:rPr>
        <w:t>The methodology and the results of the demographic analysis are presented in a technical report, Risk and Technology Review—Analysis of Demographic Factors for Populations Living Near Plywood and Composite Wood Products Source Category, available in the docket for this action.B. What are our proposed decisions regarding risk acceptability, ample margin of safety, and adverse environmental effect?1. Risk Acceptability</w:t>
      </w:r>
    </w:p>
    <w:p w14:paraId="63ABBA89" w14:textId="77777777" w:rsidR="00054BF0" w:rsidRDefault="00000000">
      <w:pPr>
        <w:spacing w:before="200" w:line="260" w:lineRule="atLeast"/>
        <w:jc w:val="both"/>
      </w:pPr>
      <w:r>
        <w:rPr>
          <w:rFonts w:ascii="Arial" w:eastAsia="Arial" w:hAnsi="Arial" w:cs="Arial"/>
          <w:color w:val="000000"/>
          <w:sz w:val="20"/>
        </w:rPr>
        <w:t>As noted in section II.A of this preamble, the EPA sets standards under CAA section 112(f)(2) using “a two-step standard-setting approach, with an analytical first step to determine an 'acceptable risk' that considers all health information, including risk estimation uncertainty, and includes a presumptive limit on MIR of approximately 1-in-10 thousand.” (54 FR 38045, September 14, 1989).</w:t>
      </w:r>
    </w:p>
    <w:p w14:paraId="4E200FA2" w14:textId="77777777" w:rsidR="00054BF0" w:rsidRDefault="00000000">
      <w:pPr>
        <w:spacing w:before="200" w:line="260" w:lineRule="atLeast"/>
        <w:jc w:val="both"/>
      </w:pPr>
      <w:r>
        <w:rPr>
          <w:rFonts w:ascii="Arial" w:eastAsia="Arial" w:hAnsi="Arial" w:cs="Arial"/>
          <w:color w:val="000000"/>
          <w:sz w:val="20"/>
        </w:rPr>
        <w:t>In this proposal, the EPA estimated risks based on actual and allowable emissions from the PCWP source category. In determining whether risks are acceptable, the EPA considered all available health information and risk estimation uncertainty, as described above. Table 2 summarizes the risk assessment results for the source category. The results for the PCWP source category indicate that both the actual and allowable inhalation cancer risks to the individual most exposed are below the presumptive limit of acceptability of 100-in-1 million (see discussion of presumptive risk in background section II.A). The residual risk assessment for the PCWP category (26) estimated cancer incidence rate at 0.03 cases per year based on both source category actual and allowable emissions. The low number for the predicted cancer incidence is, in part due to the rural location of many PCWP facilities. The population estimate of 204,000 people exposed to a cancer risk equal to or above 1-in-1 million from source category actual emissions from 170 facilities reflects the rural nature of the source category. Another factor in the low incidence number is that the estimate of people exposed to a cancer risk greater than 10-in-1 million from source category actual emissions drops to 650 people.</w:t>
      </w:r>
    </w:p>
    <w:p w14:paraId="3F0488FA" w14:textId="77777777" w:rsidR="00054BF0" w:rsidRDefault="00000000">
      <w:pPr>
        <w:spacing w:before="200" w:line="260" w:lineRule="atLeast"/>
        <w:jc w:val="both"/>
      </w:pPr>
      <w:r>
        <w:rPr>
          <w:rFonts w:ascii="Arial" w:eastAsia="Arial" w:hAnsi="Arial" w:cs="Arial"/>
          <w:color w:val="000000"/>
          <w:sz w:val="20"/>
        </w:rPr>
        <w:t xml:space="preserve">The maximum chronic noncancer TOSHI due to inhalation exposures is less than 1 for actual and allowable emissions from the source category. The results of the acute screening analysis showed maximum acute HQs of 4 for acrolein and 2 for formaldehyde emissions. The EPA is proposing to find the acute risks acceptable for the </w:t>
      </w:r>
      <w:r>
        <w:rPr>
          <w:rFonts w:ascii="Arial" w:eastAsia="Arial" w:hAnsi="Arial" w:cs="Arial"/>
          <w:color w:val="000000"/>
          <w:sz w:val="20"/>
        </w:rPr>
        <w:lastRenderedPageBreak/>
        <w:t>source category considering the conservative assumptions used that err on the side of overestimating acute risk (as discussed in section III.C.7.e).</w:t>
      </w:r>
    </w:p>
    <w:p w14:paraId="2C07B178" w14:textId="77777777" w:rsidR="00054BF0" w:rsidRDefault="00000000">
      <w:pPr>
        <w:spacing w:before="200" w:line="260" w:lineRule="atLeast"/>
        <w:jc w:val="both"/>
      </w:pPr>
      <w:r>
        <w:rPr>
          <w:rFonts w:ascii="Arial" w:eastAsia="Arial" w:hAnsi="Arial" w:cs="Arial"/>
          <w:color w:val="000000"/>
          <w:sz w:val="20"/>
        </w:rPr>
        <w:t>Maximum cancer risk due to ingestion exposures estimated using health-protective risk screening assumptions are below 6-in-1 million for the Tier 2 fisher scenario and below 40-in-1 million for the Tier 2 rural gardener exposure scenario. While the Tier 3 screening analyses of mercury exposure due to fish ingestion determined that the maximum HQ for mercury would be less than 2, the EPA is confident that this estimate would be reduced if further refined to incorporate enhanced site-specific analyses such as improved model boundary identification with refined soil/water run-off calculations and use of AERMOD deposition outputs in the TRIM.FaTE model. Considering all of the health risk information and factors discussed above, as well as the uncertainties discussed in section III of this preamble, we propose that the risks posed by emissions from the PCWP source category are acceptable after implementation of the existing MACT standards.2. Ample Margin of Safety Analysis</w:t>
      </w:r>
    </w:p>
    <w:p w14:paraId="3E30097B" w14:textId="77777777" w:rsidR="00054BF0" w:rsidRDefault="00000000">
      <w:pPr>
        <w:spacing w:before="200" w:line="260" w:lineRule="atLeast"/>
        <w:jc w:val="both"/>
      </w:pPr>
      <w:r>
        <w:rPr>
          <w:rFonts w:ascii="Arial" w:eastAsia="Arial" w:hAnsi="Arial" w:cs="Arial"/>
          <w:color w:val="000000"/>
          <w:sz w:val="20"/>
        </w:rPr>
        <w:t>As directed by CAA section 112(f)(2), the EPA conducted an analysis to determine if the current emissions standards provide an ample margin of safety to protect public health. Under the ample margin of safety analysis, the EPA considers all health factors evaluated in the risk assessment and evaluates the cost and feasibility of available control technologies and other measures (including the controls, measures, and costs reviewed under the technology review) that could be applied to this source category to further reduce the risks (or potential risks) due to emissions of HAP identified in our risk assessment. Although the EPA is proposing that the risks from this source category are acceptable for both inhalation and multipathway, risk estimates for approximately 200,000 people in the exposed population surrounding 170 facilities producing PCWP or kiln-dried lumber are equal to or above 1-in-1 million, caused primarily by formaldehyde emissions. The EPA considered whether the PCWP MACT standards provide an ample margin of safety to protect public health. The EPA did not identify methods for further reducing HAP emissions from the PCWP source category that would achieve meaningful risk reductions for purposes of the ample margin of safety analysis. Therefore, the EPA is proposing that the current PCWP standards provide an ample margin of safety to protect public health and revision of the promulgated standards is not required.3. Adverse Environmental Effect</w:t>
      </w:r>
    </w:p>
    <w:p w14:paraId="53E89910" w14:textId="77777777" w:rsidR="00054BF0" w:rsidRDefault="00000000">
      <w:pPr>
        <w:spacing w:before="200" w:line="260" w:lineRule="atLeast"/>
        <w:jc w:val="both"/>
      </w:pPr>
      <w:r>
        <w:rPr>
          <w:rFonts w:ascii="Arial" w:eastAsia="Arial" w:hAnsi="Arial" w:cs="Arial"/>
          <w:color w:val="000000"/>
          <w:sz w:val="20"/>
        </w:rPr>
        <w:t>The EPA does not expect there to be an adverse environmental effect as a result of HAP emissions from this source category and we are proposing that it is not necessary to set a more stringent standard to prevent, taking into consideration costs, energy, safety, and other relevant factors, an adverse environmental effect.C. What are the results and proposed decisions based on the EPA's technology review?</w:t>
      </w:r>
    </w:p>
    <w:p w14:paraId="1D44CB70" w14:textId="77777777" w:rsidR="00054BF0" w:rsidRDefault="00000000">
      <w:pPr>
        <w:spacing w:before="200" w:line="260" w:lineRule="atLeast"/>
        <w:jc w:val="both"/>
      </w:pPr>
      <w:r>
        <w:rPr>
          <w:rFonts w:ascii="Arial" w:eastAsia="Arial" w:hAnsi="Arial" w:cs="Arial"/>
          <w:color w:val="000000"/>
          <w:sz w:val="20"/>
        </w:rPr>
        <w:t>As described in section III.B of this preamble, the EPA's technology review focused on identifying developments in practices, processes, and control technologies for process units subject to standards under the NESHAP that have occurred since 2004 when emission standards were promulgated for the PCWP source category. The EPA reviewed ICR responses and other available information (described in sections II.C and II.D of this preamble) to conduct the technology review. The following process units were included in our review: Green rotary dryers, hardboard ovens, pressurized refiners, primary tube dryers, reconstituted wood product presses, softwood veneer dryer heated zones, rotary strand dryers, secondary tube dryers, conveyor strand dryers, fiberboard mat dryers, press predryers, and reconstituted wood product board coolers. The technological basis for the promulgated PCWP NESHAP was use of incineration-based or biofilter add-on controls to reduce HAP emissions. Incineration-based controls include regenerative thermal oxidizers (RTOs), regenerative catalytic oxidizers (RCOs), and incineration of process exhaust in an onsite combustion unit (referred to as “process incineration”). In addition to the add-on control device compliance options in Table 1B to 40 CFR part 63, subpart DDDD, Table 1A to 40 CFR part 63, subpart DDDD contains production-based compliance options (PBCO) for process units with low emissions due to pollution prevention measures inherent in their process (e.g , low-formaldehyde resins). An emissions averaging compliance option is also available for existing sources in 40 CFR 63.2240(c). One facility demonstrates compliance with the PCWP NESHAP using emissions averaging because none of the other compliance options were feasible for controlling the unique operations at this facility.</w:t>
      </w:r>
    </w:p>
    <w:p w14:paraId="733D4C3E" w14:textId="77777777" w:rsidR="00054BF0" w:rsidRDefault="00000000">
      <w:pPr>
        <w:spacing w:before="200" w:line="260" w:lineRule="atLeast"/>
        <w:jc w:val="both"/>
      </w:pPr>
      <w:r>
        <w:rPr>
          <w:rFonts w:ascii="Arial" w:eastAsia="Arial" w:hAnsi="Arial" w:cs="Arial"/>
          <w:color w:val="000000"/>
          <w:sz w:val="20"/>
        </w:rPr>
        <w:t xml:space="preserve">Most facilities comply with the PCWP NESHAP using the add-on control options. The EPA observed in our review that many facilities route multiple process units of the same or different types into one shared control system. </w:t>
      </w:r>
      <w:r>
        <w:rPr>
          <w:rFonts w:ascii="Arial" w:eastAsia="Arial" w:hAnsi="Arial" w:cs="Arial"/>
          <w:color w:val="000000"/>
          <w:sz w:val="20"/>
        </w:rPr>
        <w:lastRenderedPageBreak/>
        <w:t>Facilities use RTOs, RCOs, process incineration, and biofilter control systems as expected. The numerous different process unit and control device combinations that are used in the source category underscore the ongoing utility of the compliance options in Table 1B to 40 CFR part 63, subpart DDDD. The EPA reviewed emissions test data for PCWP process units with add-on controls and concluded that no change in the add-on control emission limits is necessary considering emissions variability. The incremental cost of increasing the required HAP control efficiency from 90-to 95-percent reduction was estimated for new sources to be $670,000 nationwide for a nationwide HAP reduction of 47 tpy ($14,400 per ton of HAP reduced). The EPA is not adopting this option because it was not clearly supported by the emissions data reviewed. The emissions data reflected repeat emissions tests with variability spanning above and below the 95-percent control level, suggesting that maintaining 95-percent HAP control with some compliance margin would be unachievable for the variety of process and control configurations used in the industry. Further, as discussed below, the HAP inlet concentration of some process units has decreased, making the 90-percent reduction options more challenging to achieve.</w:t>
      </w:r>
    </w:p>
    <w:p w14:paraId="11A2EE72" w14:textId="77777777" w:rsidR="00054BF0" w:rsidRDefault="00000000">
      <w:pPr>
        <w:spacing w:before="200" w:line="260" w:lineRule="atLeast"/>
        <w:jc w:val="both"/>
      </w:pPr>
      <w:r>
        <w:rPr>
          <w:rFonts w:ascii="Arial" w:eastAsia="Arial" w:hAnsi="Arial" w:cs="Arial"/>
          <w:color w:val="000000"/>
          <w:sz w:val="20"/>
        </w:rPr>
        <w:t>Through our review of the ICR data, the EPA found a few facilities currently use the PBCO. Due to a development in the PCWP source category, the EPA expects the PBCO could become more widely used as current add-on air pollution controls for reconstituted wood products presses reach the end of their useful life. In 2008, after the PCWP NESHAP was promulgated, the California Air Resources Board (CARB) finalized an Airborne Toxic Control Measure (ATCM) to reduce formaldehyde emissions from hardwood plywood, MDF, and particleboard. Consistent with the CARB ATCM, in July 2010, Congress passed the Formaldehyde Standards for Composite Wood Products Act, as title VI of Toxic Substances Control Act (TSCA), [15 U.S.C 2697], requiring the EPA to promulgate a national rule. The EPA subsequently proposed a rule in 2013 to implement TSCA title VI to reduce formaldehyde emissions from composite wood products. The TSCA rule (Formaldehyde Emission Standards for Composite Wood Products, RIN 2070-AJ44) was finalized by the EPA on December 12, 2016 (81 FR 89674), and an implementation rule was finalized on February 7, 2018 (83 FR 5340). Compliance with all aspects of the TSCA rule was required by December 2018. The CARB ATCM and the rule to implement TSCA title VI emphasize the use of low emission resins, including ultra-low-emitting formaldehyde and no added formaldehyde resin systems. As facilities conduct repeat testing, they may find that the inlet concentration of formaldehyde and methanol from their pressing operations has dropped if they are now using a different, lower-HAP resin system to comply with the CARB and TSCA standards. The decrease in inlet concentration may allow for use of the PBCO without an add-on control device providing a compliance option in addition to the current add-on control device compliance option. While the CARB and TSCA standards are a “development” within the context of CAA section 112(d)(6), these rules do not necessitate revision of the previously-promulgated PCWP emission standards because the promulgated PCWP emission standards already include the PBCO provisions for pollution prevention measures such as lower-HAP resins.</w:t>
      </w:r>
    </w:p>
    <w:p w14:paraId="32A25213" w14:textId="77777777" w:rsidR="00054BF0" w:rsidRDefault="00000000">
      <w:pPr>
        <w:spacing w:before="200" w:line="260" w:lineRule="atLeast"/>
        <w:jc w:val="both"/>
      </w:pPr>
      <w:r>
        <w:rPr>
          <w:rFonts w:ascii="Arial" w:eastAsia="Arial" w:hAnsi="Arial" w:cs="Arial"/>
          <w:color w:val="000000"/>
          <w:sz w:val="20"/>
        </w:rPr>
        <w:t>The PCWP NESHAP also contains work practice standards for selected process units in Table 3 to 40 CFR part 63, subpart DDDD; however, the EPA did not identify any developments in practices, processes, or controls for these units beyond those identified in the originally-promulgated PCWP NESHAP. Overall, the EPA's review of the developments in technology for the process units subject to the PCWP NESHAP did not reveal any changes that require revisions to the emission standards. As discussed above, the PCWP rule was promulgated with multiple options for reducing HAP emissions to demonstrate compliance with the standard. The EPA found that facilities are using each type of control system or pollution prevention measure that was anticipated when the PCWP emissions standards were promulgated. However, the EPA did not identify any developments in practices, processes, or controls for these units beyond those identified in the originally-promulgated PCWP NESHAP. Therefore, the EPA proposes that no revisions to the PCWP NESHAP are necessary pursuant to CAA section 112(d)(6). Additional details on our technology review can be found in the memorandum, Technology Review for the Plywood and Composite Wood Products NESHAP, which is available in the docket for this action.D. What other actions are we proposing?</w:t>
      </w:r>
    </w:p>
    <w:p w14:paraId="18336165" w14:textId="77777777" w:rsidR="00054BF0" w:rsidRDefault="00000000">
      <w:pPr>
        <w:spacing w:before="200" w:line="260" w:lineRule="atLeast"/>
        <w:jc w:val="both"/>
      </w:pPr>
      <w:r>
        <w:rPr>
          <w:rFonts w:ascii="Arial" w:eastAsia="Arial" w:hAnsi="Arial" w:cs="Arial"/>
          <w:color w:val="000000"/>
          <w:sz w:val="20"/>
        </w:rPr>
        <w:t xml:space="preserve">In addition to the proposed actions described above, the EPA is proposing additional revisions to the NESHAP. The EPA is proposing revisions to the SSM provisions of the MACT rule in order to ensure that they are consistent with the Court decision in Sierra Club v. EPA, 551 F. 3d 1019 (D.C Cir. 2008), which vacated two provisions that exempted sources from the requirement to comply with otherwise applicable CAA section 112(d) emission </w:t>
      </w:r>
      <w:r>
        <w:rPr>
          <w:rFonts w:ascii="Arial" w:eastAsia="Arial" w:hAnsi="Arial" w:cs="Arial"/>
          <w:color w:val="000000"/>
          <w:sz w:val="20"/>
        </w:rPr>
        <w:lastRenderedPageBreak/>
        <w:t>standards during periods of SSM. The EPA is also proposing various other changes, including addition of electronic reporting, addition of a repeat testing requirement, revisions to parameter monitoring requirements, and other technical and editorial changes. Our analyses and proposed changes related to these issues are discussed below.1. SSM</w:t>
      </w:r>
    </w:p>
    <w:p w14:paraId="062C25E7" w14:textId="77777777" w:rsidR="00054BF0" w:rsidRDefault="00000000">
      <w:pPr>
        <w:spacing w:before="200" w:line="260" w:lineRule="atLeast"/>
        <w:jc w:val="both"/>
      </w:pPr>
      <w:r>
        <w:rPr>
          <w:rFonts w:ascii="Arial" w:eastAsia="Arial" w:hAnsi="Arial" w:cs="Arial"/>
          <w:color w:val="000000"/>
          <w:sz w:val="20"/>
        </w:rPr>
        <w:t>In its 2008 decision in Sierra Club v. EPA, 551 F.3d 1019 (D.C Cir. 2008), the Court vacated portions of two provisions in the EPA's CAA section 112 regulations governing the emissions of HAP during periods of SSM. Specifically, the Court vacated the SSM exemption contained in 40 CFR 63.6(f)(1) and 40 CFR 63.6(h)(1), holding that under section 302(k) of the CAA, emissions standards or limitations must be continuous in nature and that the SSM exemption violates the CAA's requirement that some section 112 standards apply continuously.</w:t>
      </w:r>
    </w:p>
    <w:p w14:paraId="66B6C9F6" w14:textId="77777777" w:rsidR="00054BF0" w:rsidRDefault="00000000">
      <w:pPr>
        <w:spacing w:before="200" w:line="260" w:lineRule="atLeast"/>
        <w:jc w:val="both"/>
      </w:pPr>
      <w:r>
        <w:rPr>
          <w:rFonts w:ascii="Arial" w:eastAsia="Arial" w:hAnsi="Arial" w:cs="Arial"/>
          <w:color w:val="000000"/>
          <w:sz w:val="20"/>
        </w:rPr>
        <w:t>The EPA is proposing the elimination of the SSM exemption in this rule which appears at 40 CFR 63.2250 Consistent with Sierra Club v. EPA, the EPA is proposing standards in this rule that apply at all times. The EPA is also proposing several revisions to Table 10 (the General Provisions Applicability Table) as is explained in more detail below. For example, the EPA is proposing to eliminate the incorporation of the General Provisions' requirement that the source develop an SSM plan. The EPA is also proposing to eliminate and revise certain recordkeeping and reporting requirements related to the SSM exemption as further described below. As discussed in section IV.E of this preamble, facilities will have 6 months (180 days) after the effective date of the final rule to transition from use of the SSM exemption to compliance without the exemption beginning on the 181st day after the effective date of the amendments. A 5th column to Table 10 of 40 CFR part 63, subpart DDDD was added to clearly indicate which requirements apply before, and then on and after the date 181 days after the effective date. See section IV.E for more discussion of the compliance date.</w:t>
      </w:r>
    </w:p>
    <w:p w14:paraId="0D6EC14E" w14:textId="77777777" w:rsidR="00054BF0" w:rsidRDefault="00000000">
      <w:pPr>
        <w:spacing w:before="200" w:line="260" w:lineRule="atLeast"/>
        <w:jc w:val="both"/>
      </w:pPr>
      <w:r>
        <w:rPr>
          <w:rFonts w:ascii="Arial" w:eastAsia="Arial" w:hAnsi="Arial" w:cs="Arial"/>
          <w:color w:val="000000"/>
          <w:sz w:val="20"/>
        </w:rPr>
        <w:t>The EPA has attempted to ensure that the provisions we are proposing to eliminate are inappropriate, unnecessary, or redundant in the absence of the SSM exemption. The EPA is specifically seeking comment on whether we have successfully done so.</w:t>
      </w:r>
    </w:p>
    <w:p w14:paraId="6CFA8621" w14:textId="77777777" w:rsidR="00054BF0" w:rsidRDefault="00000000">
      <w:pPr>
        <w:spacing w:before="200" w:line="260" w:lineRule="atLeast"/>
        <w:jc w:val="both"/>
      </w:pPr>
      <w:r>
        <w:rPr>
          <w:rFonts w:ascii="Arial" w:eastAsia="Arial" w:hAnsi="Arial" w:cs="Arial"/>
          <w:color w:val="000000"/>
          <w:sz w:val="20"/>
        </w:rPr>
        <w:t xml:space="preserve">In proposing the standards in this rule, the EPA has taken into account </w:t>
      </w:r>
      <w:r>
        <w:rPr>
          <w:rFonts w:ascii="Arial" w:eastAsia="Arial" w:hAnsi="Arial" w:cs="Arial"/>
          <w:b/>
          <w:i/>
          <w:color w:val="000000"/>
          <w:sz w:val="20"/>
          <w:u w:val="single"/>
        </w:rPr>
        <w:t>startup</w:t>
      </w:r>
      <w:r>
        <w:rPr>
          <w:rFonts w:ascii="Arial" w:eastAsia="Arial" w:hAnsi="Arial" w:cs="Arial"/>
          <w:color w:val="000000"/>
          <w:sz w:val="20"/>
        </w:rPr>
        <w:t xml:space="preserve"> and shutdown periods and, for the reasons explained below, has proposed alternate standards for specific periods. The EPA collected information with the PCWP ICR to use in determining whether applying the standards applicable under normal operations would be problematic for PCWP facilities during </w:t>
      </w:r>
      <w:r>
        <w:rPr>
          <w:rFonts w:ascii="Arial" w:eastAsia="Arial" w:hAnsi="Arial" w:cs="Arial"/>
          <w:b/>
          <w:i/>
          <w:color w:val="000000"/>
          <w:sz w:val="20"/>
          <w:u w:val="single"/>
        </w:rPr>
        <w:t>startup</w:t>
      </w:r>
      <w:r>
        <w:rPr>
          <w:rFonts w:ascii="Arial" w:eastAsia="Arial" w:hAnsi="Arial" w:cs="Arial"/>
          <w:color w:val="000000"/>
          <w:sz w:val="20"/>
        </w:rPr>
        <w:t xml:space="preserve"> and shutdown. Based on the information collected, facilities can meet the PCWP compliance options, operating requirements, and work practices at all times with two exceptions during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(discussed further below). Facilities operating control systems generally operate the control systems while the process unit(s) controlled are </w:t>
      </w:r>
      <w:r>
        <w:rPr>
          <w:rFonts w:ascii="Arial" w:eastAsia="Arial" w:hAnsi="Arial" w:cs="Arial"/>
          <w:b/>
          <w:i/>
          <w:color w:val="000000"/>
          <w:sz w:val="20"/>
          <w:u w:val="single"/>
        </w:rPr>
        <w:t>started up</w:t>
      </w:r>
      <w:r>
        <w:rPr>
          <w:rFonts w:ascii="Arial" w:eastAsia="Arial" w:hAnsi="Arial" w:cs="Arial"/>
          <w:color w:val="000000"/>
          <w:sz w:val="20"/>
        </w:rPr>
        <w:t xml:space="preserve"> and shutdown. For example, RTOs and RCOs are warmed to their operating temperature set points using auxiliary fuel before the process unit(s) controlled </w:t>
      </w:r>
      <w:r>
        <w:rPr>
          <w:rFonts w:ascii="Arial" w:eastAsia="Arial" w:hAnsi="Arial" w:cs="Arial"/>
          <w:b/>
          <w:i/>
          <w:color w:val="000000"/>
          <w:sz w:val="20"/>
          <w:u w:val="single"/>
        </w:rPr>
        <w:t>startup</w:t>
      </w:r>
      <w:r>
        <w:rPr>
          <w:rFonts w:ascii="Arial" w:eastAsia="Arial" w:hAnsi="Arial" w:cs="Arial"/>
          <w:color w:val="000000"/>
          <w:sz w:val="20"/>
        </w:rPr>
        <w:t xml:space="preserve"> and the oxidizers continue to maintain their temperature until the process unit(s) controlled shutdown. Biofilters operate within a biofilter bed temperature range that will be more easily achieved during </w:t>
      </w:r>
      <w:r>
        <w:rPr>
          <w:rFonts w:ascii="Arial" w:eastAsia="Arial" w:hAnsi="Arial" w:cs="Arial"/>
          <w:b/>
          <w:i/>
          <w:color w:val="000000"/>
          <w:sz w:val="20"/>
          <w:u w:val="single"/>
        </w:rPr>
        <w:t>startup</w:t>
      </w:r>
      <w:r>
        <w:rPr>
          <w:rFonts w:ascii="Arial" w:eastAsia="Arial" w:hAnsi="Arial" w:cs="Arial"/>
          <w:color w:val="000000"/>
          <w:sz w:val="20"/>
        </w:rPr>
        <w:t xml:space="preserve"> and shutdown with changes in biofilter bed temperature operating range discussed in section IV.D</w:t>
      </w:r>
    </w:p>
    <w:p w14:paraId="61F8940D" w14:textId="77777777" w:rsidR="00054BF0" w:rsidRDefault="00000000">
      <w:pPr>
        <w:spacing w:before="200" w:line="260" w:lineRule="atLeast"/>
        <w:jc w:val="both"/>
      </w:pPr>
      <w:r>
        <w:rPr>
          <w:rFonts w:ascii="Arial" w:eastAsia="Arial" w:hAnsi="Arial" w:cs="Arial"/>
          <w:color w:val="000000"/>
          <w:sz w:val="20"/>
        </w:rPr>
        <w:t xml:space="preserve">The two situations where standards for normal operation cannot be met during </w:t>
      </w:r>
      <w:r>
        <w:rPr>
          <w:rFonts w:ascii="Arial" w:eastAsia="Arial" w:hAnsi="Arial" w:cs="Arial"/>
          <w:b/>
          <w:i/>
          <w:color w:val="000000"/>
          <w:sz w:val="20"/>
          <w:u w:val="single"/>
        </w:rPr>
        <w:t>startup</w:t>
      </w:r>
      <w:r>
        <w:rPr>
          <w:rFonts w:ascii="Arial" w:eastAsia="Arial" w:hAnsi="Arial" w:cs="Arial"/>
          <w:color w:val="000000"/>
          <w:sz w:val="20"/>
        </w:rPr>
        <w:t xml:space="preserve"> and shutdown are during safety-related shutdowns and pressurized refiner </w:t>
      </w:r>
      <w:r>
        <w:rPr>
          <w:rFonts w:ascii="Arial" w:eastAsia="Arial" w:hAnsi="Arial" w:cs="Arial"/>
          <w:b/>
          <w:i/>
          <w:color w:val="000000"/>
          <w:sz w:val="20"/>
          <w:u w:val="single"/>
        </w:rPr>
        <w:t>startups</w:t>
      </w:r>
      <w:r>
        <w:rPr>
          <w:rFonts w:ascii="Arial" w:eastAsia="Arial" w:hAnsi="Arial" w:cs="Arial"/>
          <w:color w:val="000000"/>
          <w:sz w:val="20"/>
        </w:rPr>
        <w:t xml:space="preserve"> and shutdowns. The EPA is proposing work practice standards in Table 3 to 40 CFR part 63, subpart DDDD to apply during these times to ensure that a CAA section 112 standard applies continuously. Work practices are appropriate during safety-related shutdowns and pressurized refiner </w:t>
      </w:r>
      <w:r>
        <w:rPr>
          <w:rFonts w:ascii="Arial" w:eastAsia="Arial" w:hAnsi="Arial" w:cs="Arial"/>
          <w:b/>
          <w:i/>
          <w:color w:val="000000"/>
          <w:sz w:val="20"/>
          <w:u w:val="single"/>
        </w:rPr>
        <w:t>startup</w:t>
      </w:r>
      <w:r>
        <w:rPr>
          <w:rFonts w:ascii="Arial" w:eastAsia="Arial" w:hAnsi="Arial" w:cs="Arial"/>
          <w:color w:val="000000"/>
          <w:sz w:val="20"/>
        </w:rPr>
        <w:t>/shutdown because it is not technically feasible to capture and route emissions to a control device during these periods, nor is it technically or economically feasible to measure emissions during the brief periods when these situations occur (i.e , less than the 1-hour test runs or 3 hours required for a full test). It is particularly infeasible to measure emissions from safety-related shutdowns because these shutdowns are unplanned.</w:t>
      </w:r>
    </w:p>
    <w:p w14:paraId="18549E80" w14:textId="77777777" w:rsidR="00054BF0" w:rsidRDefault="00000000">
      <w:pPr>
        <w:spacing w:before="200" w:line="260" w:lineRule="atLeast"/>
        <w:jc w:val="both"/>
      </w:pPr>
      <w:r>
        <w:rPr>
          <w:rFonts w:ascii="Arial" w:eastAsia="Arial" w:hAnsi="Arial" w:cs="Arial"/>
          <w:color w:val="000000"/>
          <w:sz w:val="20"/>
        </w:rPr>
        <w:t xml:space="preserve">Safety-related shutdowns differ from routine shutdowns that allow facilities to continue routing process unit emissions to the control device until the process unit is shut down. Safety-related shutdowns occur often enough that they are also distinguished from malfunctions which are, by definition, infrequent. In addition, the PCWP process shuts down when these events are triggered. Safety-related shutdowns must occur rapidly in the event of unsafe conditions such as a suspected fire in a process unit heating flammable wood material. When unsafe </w:t>
      </w:r>
      <w:r>
        <w:rPr>
          <w:rFonts w:ascii="Arial" w:eastAsia="Arial" w:hAnsi="Arial" w:cs="Arial"/>
          <w:color w:val="000000"/>
          <w:sz w:val="20"/>
        </w:rPr>
        <w:lastRenderedPageBreak/>
        <w:t>conditions are detected, facilities must act quickly to shut off fuel flow (or indirect process heat) to the system, cease addition of raw materials (e.g , wood furnish, resin) to the process units, purge wood material and gases from the process unit, and isolate equipment to prevent loss of property or life and protect workers from injury. Because it is unsafe to continue to route process gases to the control system, the control system will be bypassed, in many cases automatically through a system of interlocks designed to prevent dangerous conditions from occurring. The EPA is proposing to define “safety-related shutdowns” in 40 CFR 63.2292, and to add a work practice for these shutdown events. The proposed work practice requires facilities to follow documented site-specific procedures such as use of automated controls or other measures developed to protect workers and equipment to ensure that the flow of raw materials (such as furnish or resin) and fuel or process heat (as applicable) ceases and that material is removed from the process unit(s) as expeditiously as possible given the system design. These actions are taken by all (including the best-performing) facilities when safety-related shutdowns occur.</w:t>
      </w:r>
    </w:p>
    <w:p w14:paraId="01515DEF" w14:textId="77777777" w:rsidR="00054BF0" w:rsidRDefault="00000000">
      <w:pPr>
        <w:spacing w:before="200" w:line="260" w:lineRule="atLeast"/>
        <w:jc w:val="both"/>
      </w:pPr>
      <w:r>
        <w:rPr>
          <w:rFonts w:ascii="Arial" w:eastAsia="Arial" w:hAnsi="Arial" w:cs="Arial"/>
          <w:color w:val="000000"/>
          <w:sz w:val="20"/>
        </w:rPr>
        <w:t xml:space="preserve">Pressurized refiners typically operate in MDF and dry-process hardboard mills where they discharge refined furnish and exhaust gases from refining directly into a primary tube dryer. Pressurized refiners are unable to vent through the dryer to the control system (i.e , the dryer control system) for a brief time after they are initially fed wood material during </w:t>
      </w:r>
      <w:r>
        <w:rPr>
          <w:rFonts w:ascii="Arial" w:eastAsia="Arial" w:hAnsi="Arial" w:cs="Arial"/>
          <w:b/>
          <w:i/>
          <w:color w:val="000000"/>
          <w:sz w:val="20"/>
          <w:u w:val="single"/>
        </w:rPr>
        <w:t>startup</w:t>
      </w:r>
      <w:r>
        <w:rPr>
          <w:rFonts w:ascii="Arial" w:eastAsia="Arial" w:hAnsi="Arial" w:cs="Arial"/>
          <w:color w:val="000000"/>
          <w:sz w:val="20"/>
        </w:rPr>
        <w:t xml:space="preserve"> or as wood material clears the refiner during shutdown because they are not producing useable furnish suitable for drying. During this time, instead of the pressurized refiner output being discharged into the dryer, exhaust is vented to the atmosphere and the wood is directed to storage for recycling back into the refining process once it is running steadily. Information from the PCWP industry indicates that no resin is mixed with the off-specification material and that the time periods are short (i.e , no more than 15 minutes) before the pressurized refiner begins to discharge wood furnish and exhaust through the dryer. Information collected through the ICR indicates a range of pressurized refiner </w:t>
      </w:r>
      <w:r>
        <w:rPr>
          <w:rFonts w:ascii="Arial" w:eastAsia="Arial" w:hAnsi="Arial" w:cs="Arial"/>
          <w:b/>
          <w:i/>
          <w:color w:val="000000"/>
          <w:sz w:val="20"/>
          <w:u w:val="single"/>
        </w:rPr>
        <w:t>startup</w:t>
      </w:r>
      <w:r>
        <w:rPr>
          <w:rFonts w:ascii="Arial" w:eastAsia="Arial" w:hAnsi="Arial" w:cs="Arial"/>
          <w:color w:val="000000"/>
          <w:sz w:val="20"/>
        </w:rPr>
        <w:t xml:space="preserve"> times before wood furnish is introduced into the system (e.g , </w:t>
      </w:r>
      <w:r>
        <w:rPr>
          <w:rFonts w:ascii="Arial" w:eastAsia="Arial" w:hAnsi="Arial" w:cs="Arial"/>
          <w:b/>
          <w:i/>
          <w:color w:val="000000"/>
          <w:sz w:val="20"/>
          <w:u w:val="single"/>
        </w:rPr>
        <w:t>up</w:t>
      </w:r>
      <w:r>
        <w:rPr>
          <w:rFonts w:ascii="Arial" w:eastAsia="Arial" w:hAnsi="Arial" w:cs="Arial"/>
          <w:color w:val="000000"/>
          <w:sz w:val="20"/>
        </w:rPr>
        <w:t xml:space="preserve"> to 4 hours) and that </w:t>
      </w:r>
      <w:r>
        <w:rPr>
          <w:rFonts w:ascii="Arial" w:eastAsia="Arial" w:hAnsi="Arial" w:cs="Arial"/>
          <w:b/>
          <w:i/>
          <w:color w:val="000000"/>
          <w:sz w:val="20"/>
          <w:u w:val="single"/>
        </w:rPr>
        <w:t>up</w:t>
      </w:r>
      <w:r>
        <w:rPr>
          <w:rFonts w:ascii="Arial" w:eastAsia="Arial" w:hAnsi="Arial" w:cs="Arial"/>
          <w:color w:val="000000"/>
          <w:sz w:val="20"/>
        </w:rPr>
        <w:t xml:space="preserve"> to 45 minutes is required to shut down the pressurized refiner including time after the wood clears the system. Hence, the time when off-specification material is produced (when emissions are beginning to be generated during </w:t>
      </w:r>
      <w:r>
        <w:rPr>
          <w:rFonts w:ascii="Arial" w:eastAsia="Arial" w:hAnsi="Arial" w:cs="Arial"/>
          <w:b/>
          <w:i/>
          <w:color w:val="000000"/>
          <w:sz w:val="20"/>
          <w:u w:val="single"/>
        </w:rPr>
        <w:t>startup</w:t>
      </w:r>
      <w:r>
        <w:rPr>
          <w:rFonts w:ascii="Arial" w:eastAsia="Arial" w:hAnsi="Arial" w:cs="Arial"/>
          <w:color w:val="000000"/>
          <w:sz w:val="20"/>
        </w:rPr>
        <w:t xml:space="preserve"> or diminishing during shutdown) is only a fraction of the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time. Based on this information, the EPA is proposing a work practice requirement to apply during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that limits the amount of time (and, thus, emissions) when wood is being processed through the system while exhaust is not routed through the dryer to its control system. The proposed work practice requires facilities to route exhaust gases from the pressurized refiner to its control system no later than 15 minutes after furnish is fed to the pressurized refiner when </w:t>
      </w:r>
      <w:r>
        <w:rPr>
          <w:rFonts w:ascii="Arial" w:eastAsia="Arial" w:hAnsi="Arial" w:cs="Arial"/>
          <w:b/>
          <w:i/>
          <w:color w:val="000000"/>
          <w:sz w:val="20"/>
          <w:u w:val="single"/>
        </w:rPr>
        <w:t>starting up</w:t>
      </w:r>
      <w:r>
        <w:rPr>
          <w:rFonts w:ascii="Arial" w:eastAsia="Arial" w:hAnsi="Arial" w:cs="Arial"/>
          <w:color w:val="000000"/>
          <w:sz w:val="20"/>
        </w:rPr>
        <w:t xml:space="preserve"> and no more than 15 minutes after furnish ceases to be fed to the pressurized refiner when shutting down. This practice is consistent with how the best-performing facilities complete </w:t>
      </w:r>
      <w:r>
        <w:rPr>
          <w:rFonts w:ascii="Arial" w:eastAsia="Arial" w:hAnsi="Arial" w:cs="Arial"/>
          <w:b/>
          <w:i/>
          <w:color w:val="000000"/>
          <w:sz w:val="20"/>
          <w:u w:val="single"/>
        </w:rPr>
        <w:t>startup</w:t>
      </w:r>
      <w:r>
        <w:rPr>
          <w:rFonts w:ascii="Arial" w:eastAsia="Arial" w:hAnsi="Arial" w:cs="Arial"/>
          <w:color w:val="000000"/>
          <w:sz w:val="20"/>
        </w:rPr>
        <w:t xml:space="preserve"> and shutdown of pressurized refiners.</w:t>
      </w:r>
    </w:p>
    <w:p w14:paraId="298D4D9A" w14:textId="77777777" w:rsidR="00054BF0" w:rsidRDefault="00000000">
      <w:pPr>
        <w:spacing w:before="200" w:line="260" w:lineRule="atLeast"/>
        <w:jc w:val="both"/>
      </w:pPr>
      <w:r>
        <w:rPr>
          <w:rFonts w:ascii="Arial" w:eastAsia="Arial" w:hAnsi="Arial" w:cs="Arial"/>
          <w:color w:val="000000"/>
          <w:sz w:val="20"/>
        </w:rPr>
        <w:t xml:space="preserve">The new definition in 40 CFR 63.2292 and the new work practice standards in Table 3 of 40 CFR part 63, subpart DDDD are designed to address safety-related shutdowns and refiner </w:t>
      </w:r>
      <w:r>
        <w:rPr>
          <w:rFonts w:ascii="Arial" w:eastAsia="Arial" w:hAnsi="Arial" w:cs="Arial"/>
          <w:b/>
          <w:i/>
          <w:color w:val="000000"/>
          <w:sz w:val="20"/>
          <w:u w:val="single"/>
        </w:rPr>
        <w:t>startup</w:t>
      </w:r>
      <w:r>
        <w:rPr>
          <w:rFonts w:ascii="Arial" w:eastAsia="Arial" w:hAnsi="Arial" w:cs="Arial"/>
          <w:color w:val="000000"/>
          <w:sz w:val="20"/>
        </w:rPr>
        <w:t xml:space="preserve">/shutdown periods. Facilities have ample profit-incentive to keep the periods when these work practice standards will be in effect as short as possible because they are unable to produce usable product during safety-related shutdowns or pressurized refiner </w:t>
      </w:r>
      <w:r>
        <w:rPr>
          <w:rFonts w:ascii="Arial" w:eastAsia="Arial" w:hAnsi="Arial" w:cs="Arial"/>
          <w:b/>
          <w:i/>
          <w:color w:val="000000"/>
          <w:sz w:val="20"/>
          <w:u w:val="single"/>
        </w:rPr>
        <w:t>startup</w:t>
      </w:r>
      <w:r>
        <w:rPr>
          <w:rFonts w:ascii="Arial" w:eastAsia="Arial" w:hAnsi="Arial" w:cs="Arial"/>
          <w:color w:val="000000"/>
          <w:sz w:val="20"/>
        </w:rPr>
        <w:t>/shutdown periods.</w:t>
      </w:r>
    </w:p>
    <w:p w14:paraId="2CE6D421" w14:textId="77777777" w:rsidR="00054BF0" w:rsidRDefault="00000000">
      <w:pPr>
        <w:spacing w:before="200" w:line="260" w:lineRule="atLeast"/>
        <w:jc w:val="both"/>
      </w:pPr>
      <w:r>
        <w:rPr>
          <w:rFonts w:ascii="Arial" w:eastAsia="Arial" w:hAnsi="Arial" w:cs="Arial"/>
          <w:color w:val="000000"/>
          <w:sz w:val="20"/>
        </w:rPr>
        <w:t xml:space="preserve">Periods of </w:t>
      </w:r>
      <w:r>
        <w:rPr>
          <w:rFonts w:ascii="Arial" w:eastAsia="Arial" w:hAnsi="Arial" w:cs="Arial"/>
          <w:b/>
          <w:i/>
          <w:color w:val="000000"/>
          <w:sz w:val="20"/>
          <w:u w:val="single"/>
        </w:rPr>
        <w:t>startup</w:t>
      </w:r>
      <w:r>
        <w:rPr>
          <w:rFonts w:ascii="Arial" w:eastAsia="Arial" w:hAnsi="Arial" w:cs="Arial"/>
          <w:color w:val="000000"/>
          <w:sz w:val="20"/>
        </w:rPr>
        <w:t xml:space="preserve">, normal operations, and shutdown are all predictable and routine aspects of a source's operations. Malfunctions, in contrast, are neither predictable nor routine. Instead they are, by definition, sudden, infrequent, and not reasonably preventable </w:t>
      </w:r>
      <w:r>
        <w:rPr>
          <w:rFonts w:ascii="Arial" w:eastAsia="Arial" w:hAnsi="Arial" w:cs="Arial"/>
          <w:b/>
          <w:i/>
          <w:color w:val="000000"/>
          <w:sz w:val="20"/>
          <w:u w:val="single"/>
        </w:rPr>
        <w:t>failures</w:t>
      </w:r>
      <w:r>
        <w:rPr>
          <w:rFonts w:ascii="Arial" w:eastAsia="Arial" w:hAnsi="Arial" w:cs="Arial"/>
          <w:color w:val="000000"/>
          <w:sz w:val="20"/>
        </w:rPr>
        <w:t xml:space="preserve"> of emissions control, process, or monitoring equipment. (40 CFR 63.2) (Definition of malfunction). The EPA interprets CAA section 112 as not requiring emissions that occur during periods of malfunction to be factored into development of CAA section 112 standards and this reading has been upheld as reasonable by the Court in U.S Sugar Corp. v. EPA, 830 F.3d 579, 606-610 (2016). Under section CAA 112, emissions standards for new sources must be no less stringent than the level “achieved” by the best controlled similar source and for existing sources generally must be no less stringent than the average emission limitation “achieved” by the best performing 12 percent of sources in the category. There is nothing in section CAA 112 that directs the Agency to consider malfunctions in determining the level “achieved” by the best performing sources when setting emission standards. As the Court has recognized, the phrase “average emissions limitation achieved by the best performing 12 percent of ” sources “says nothing about how the performance of the best units is to be calculated.” Nat'l Ass'n of Clean Water Agencies v. EPA, 734 F.3d 1115, 1141 (D.C Cir. 2013). While the EPA accounts for variability in setting emissions standards, nothing in CAA section 112 requires the Agency to </w:t>
      </w:r>
      <w:r>
        <w:rPr>
          <w:rFonts w:ascii="Arial" w:eastAsia="Arial" w:hAnsi="Arial" w:cs="Arial"/>
          <w:color w:val="000000"/>
          <w:sz w:val="20"/>
        </w:rPr>
        <w:lastRenderedPageBreak/>
        <w:t xml:space="preserve">consider malfunctions as part of that analysis. The EPA is not required to treat a malfunction in the same manner as the type of variation in performance that occurs during routine operations of a source. A malfunction is a </w:t>
      </w:r>
      <w:r>
        <w:rPr>
          <w:rFonts w:ascii="Arial" w:eastAsia="Arial" w:hAnsi="Arial" w:cs="Arial"/>
          <w:b/>
          <w:i/>
          <w:color w:val="000000"/>
          <w:sz w:val="20"/>
          <w:u w:val="single"/>
        </w:rPr>
        <w:t>failure</w:t>
      </w:r>
      <w:r>
        <w:rPr>
          <w:rFonts w:ascii="Arial" w:eastAsia="Arial" w:hAnsi="Arial" w:cs="Arial"/>
          <w:color w:val="000000"/>
          <w:sz w:val="20"/>
        </w:rPr>
        <w:t xml:space="preserve"> of the source to perform in a “normal or usual manner” and no statutory language compels the EPA to consider such events in setting CAA section 112 standards.</w:t>
      </w:r>
    </w:p>
    <w:p w14:paraId="2E64CA65" w14:textId="77777777" w:rsidR="00054BF0" w:rsidRDefault="00000000">
      <w:pPr>
        <w:spacing w:before="200" w:line="260" w:lineRule="atLeast"/>
        <w:jc w:val="both"/>
      </w:pPr>
      <w:r>
        <w:rPr>
          <w:rFonts w:ascii="Arial" w:eastAsia="Arial" w:hAnsi="Arial" w:cs="Arial"/>
          <w:color w:val="000000"/>
          <w:sz w:val="20"/>
        </w:rPr>
        <w:t>As the Court recognized in U.S Sugar Corp, accounting for malfunctions in setting standards would be difficult, if not impossible, given the myriad different types of malfunctions that can occur across all sources in the category and given the difficulties associated with predicting or accounting for the frequency, degree, and duration of various malfunctions that might occur. Id. at 608 (“the EPA would have to conceive of a standard that could apply equally to the wide range of possible boiler malfunctions, ranging from an explosion to minor mechanical defects. Any possible standard is likely to be hopelessly generic to govern such a wide array of circumstances”). As such, the performance of units that are malfunctioning is not “reasonably” foreseeable. See, e.g , Sierra Club v. EPA, 167 F.3d 658, 662 (D.C Cir. 1999) (“The EPA typically has wide latitude in determining the extent of data-gathering necessary to solve a problem. We generally defer to an agency's decision to proceed on the basis of imperfect scientific information, rather than to `invest the resources to conduct the perfect study.' ”) See also, Weyerhaeuser v. Costle, 590 F.2d 1011, 1058 (D.C Cir. 1978) (“In the nature of things, no general limit, individual permit, or even any upset provision can anticipate all upset situations. After a certain point, the transgression of regulatory limits caused by `uncontrollable acts of third parties,' such as strikes, sabotage, operator intoxication or insanity, and a variety of other eventualities, must be a matter for the administrative exercise of case-by-case enforcement discretion, not for specification in advance by regulation.”). In addition, emissions during a malfunction event can be significantly higher than emissions at any other time of source operation. For example, if an air pollution control device with 99-percent removal goes off-line as a result of a malfunction (as might happen if, for example, the bags in a baghouse catch fire) and the emission unit is a steady state type unit that would take days to shut down, the source would go from 99-percent control to zero control until the control device was repaired. The source's emissions during the malfunction would be 100 times higher than during normal operations. As such, the emissions over a 4-day malfunction period would exceed the annual emissions of the source during normal operations. As this example illustrates, accounting for malfunctions could lead to standards that are not reflective of (and significantly less stringent than) levels that are achieved by a well-performing non-malfunctioning source. It is reasonable to interpret CAA section 112 to avoid such a result. The EPA's approach to malfunctions is consistent with CAA section 112 and is a reasonable interpretation of the statute.</w:t>
      </w:r>
    </w:p>
    <w:p w14:paraId="6BB56310" w14:textId="77777777" w:rsidR="00054BF0" w:rsidRDefault="00000000">
      <w:pPr>
        <w:spacing w:before="200" w:line="260" w:lineRule="atLeast"/>
        <w:jc w:val="both"/>
      </w:pPr>
      <w:r>
        <w:rPr>
          <w:rFonts w:ascii="Arial" w:eastAsia="Arial" w:hAnsi="Arial" w:cs="Arial"/>
          <w:color w:val="000000"/>
          <w:sz w:val="20"/>
        </w:rPr>
        <w:t>Although no statutory language compels the EPA to set standards for malfunctions, the EPA has the discretion to do so where feasible. For example, in the Petroleum Refinery Sector RTR, the EPA established a work practice standard for unique types of malfunction that result in releases from pressure relief devices or emergency flaring events because the EPA had information to determine that such work practices reflected the level of control that applies to the best performers. 80 FR 75178, 75211-14 (December 1, 2015). The EPA will consider whether circumstances warrant setting standards for a particular type of malfunction and, if so, whether the EPA has sufficient information to identify the relevant best performing sources and establish a standard for such malfunctions. The EPA also encourages commenters to provide any such information.</w:t>
      </w:r>
    </w:p>
    <w:p w14:paraId="28A64141" w14:textId="77777777" w:rsidR="00054BF0" w:rsidRDefault="00000000">
      <w:pPr>
        <w:spacing w:before="200" w:line="260" w:lineRule="atLeast"/>
        <w:jc w:val="both"/>
      </w:pPr>
      <w:r>
        <w:rPr>
          <w:rFonts w:ascii="Arial" w:eastAsia="Arial" w:hAnsi="Arial" w:cs="Arial"/>
          <w:color w:val="000000"/>
          <w:sz w:val="20"/>
        </w:rPr>
        <w:t xml:space="preserve">In the event that a source fails to comply with the applicable CAA section 112(d) standards as a result of a malfunction event, the EPA would determine an appropriate response based on, among other things, the good faith efforts of the source to minimize emissions during malfunction periods, including preventative and corrective actions, as well as root cause analyses to ascertain and rectify excess emissions. The EPA would also consider whether the source's </w:t>
      </w:r>
      <w:r>
        <w:rPr>
          <w:rFonts w:ascii="Arial" w:eastAsia="Arial" w:hAnsi="Arial" w:cs="Arial"/>
          <w:b/>
          <w:i/>
          <w:color w:val="000000"/>
          <w:sz w:val="20"/>
          <w:u w:val="single"/>
        </w:rPr>
        <w:t>failure</w:t>
      </w:r>
      <w:r>
        <w:rPr>
          <w:rFonts w:ascii="Arial" w:eastAsia="Arial" w:hAnsi="Arial" w:cs="Arial"/>
          <w:color w:val="000000"/>
          <w:sz w:val="20"/>
        </w:rPr>
        <w:t xml:space="preserve"> to comply with the CAA section 112(d) standard was, in fact, sudden, infrequent, not reasonably preventable, and was not instead caused, in part, by poor maintenance or careless operation per 40 CFR 63.2 (Definition of malfunction).</w:t>
      </w:r>
    </w:p>
    <w:p w14:paraId="0D223428" w14:textId="77777777" w:rsidR="00054BF0" w:rsidRDefault="00000000">
      <w:pPr>
        <w:spacing w:before="200" w:line="260" w:lineRule="atLeast"/>
        <w:jc w:val="both"/>
      </w:pPr>
      <w:r>
        <w:rPr>
          <w:rFonts w:ascii="Arial" w:eastAsia="Arial" w:hAnsi="Arial" w:cs="Arial"/>
          <w:color w:val="000000"/>
          <w:sz w:val="20"/>
        </w:rPr>
        <w:t>If the EPA determines in a particular case that an enforcement action against a source for violation of an emission standard is warranted, the source can raise any and all defenses in that enforcement action and the federal district court will determine what, if any, relief is appropriate. The same is true for citizen enforcement actions. Similarly, the presiding officer in an administrative proceeding can consider any defense raised and determine whether administrative penalties are appropriate.</w:t>
      </w:r>
    </w:p>
    <w:p w14:paraId="74379854" w14:textId="77777777" w:rsidR="00054BF0" w:rsidRDefault="00000000">
      <w:pPr>
        <w:spacing w:before="200" w:line="260" w:lineRule="atLeast"/>
        <w:jc w:val="both"/>
      </w:pPr>
      <w:r>
        <w:rPr>
          <w:rFonts w:ascii="Arial" w:eastAsia="Arial" w:hAnsi="Arial" w:cs="Arial"/>
          <w:color w:val="000000"/>
          <w:sz w:val="20"/>
        </w:rPr>
        <w:lastRenderedPageBreak/>
        <w:t>In summary, the EPA interpretation of the CAA and, in particular, section 112, is reasonable and encourages practices that will avoid malfunctions. Administrative and judicial procedures for addressing exceedances of the standards fully recognize that violations may occur despite good faith efforts to comply and can accommodate those situations. U.S Sugar Corp. v. EPA, 830 F.3d 579, 606-610 (2016).a. General Duty (40 CFR 63.2250)</w:t>
      </w:r>
    </w:p>
    <w:p w14:paraId="13DBB864"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entry for 40 CFR 63.6(e)(1) and (2) by redesignating it as 40 CFR 63.6(e)(1)(i) and changing the “yes” in column 4 to a “no” in column 5 which was added to specify requirements on and after the date 181 days after the effective date of the final amendments. Section 63.6(e)(1)(i) describes the general duty to minimize emissions. Some of the language in that section is no longer necessary or appropriate in light of the elimination of the SSM exemption. The EPA is proposing instead to add general duty regulatory text at 40 CFR 63.2250 that reflects the general duty to minimize emissions while eliminating the reference to periods covered by an SSM exemption. The current language in 40 CFR 63.6(e)(1)(i) characterizes what the general duty entails during periods of SSM. With the elimination of the SSM exemption, there is no need to differentiate between normal operations, </w:t>
      </w:r>
      <w:r>
        <w:rPr>
          <w:rFonts w:ascii="Arial" w:eastAsia="Arial" w:hAnsi="Arial" w:cs="Arial"/>
          <w:b/>
          <w:i/>
          <w:color w:val="000000"/>
          <w:sz w:val="20"/>
          <w:u w:val="single"/>
        </w:rPr>
        <w:t>startup</w:t>
      </w:r>
      <w:r>
        <w:rPr>
          <w:rFonts w:ascii="Arial" w:eastAsia="Arial" w:hAnsi="Arial" w:cs="Arial"/>
          <w:color w:val="000000"/>
          <w:sz w:val="20"/>
        </w:rPr>
        <w:t xml:space="preserve"> and shutdown, and malfunction events in describing the general duty. Therefore, the language the EPA is proposing for 40 CFR 63.2250 eliminates that language from 40 CFR 63.6(e)(1).</w:t>
      </w:r>
    </w:p>
    <w:p w14:paraId="6F3DA121" w14:textId="77777777" w:rsidR="00054BF0" w:rsidRDefault="00000000">
      <w:pPr>
        <w:spacing w:before="200" w:line="260" w:lineRule="atLeast"/>
        <w:jc w:val="both"/>
      </w:pPr>
      <w:r>
        <w:rPr>
          <w:rFonts w:ascii="Arial" w:eastAsia="Arial" w:hAnsi="Arial" w:cs="Arial"/>
          <w:color w:val="000000"/>
          <w:sz w:val="20"/>
        </w:rPr>
        <w:t>The EPA is also proposing to revise the General Provisions table (Table 10) by adding an entry for 40 CFR 63.6(e)(1)(ii) and including a “no” in column 5. Section 63.6(e)(1)(ii) imposes requirements that are not necessary with the elimination of the SSM exemption or are redundant with the general duty requirement being added at 40 CFR 63.2250 b. SSM Plan</w:t>
      </w:r>
    </w:p>
    <w:p w14:paraId="2A5B4FCC"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entry for 40 CFR 63.6(e)(3) by changing the “yes” in column 4 to a “no” in column 5. Generally, the paragraphs under 40 CFR 63.6(e)(3) require development of an SSM plan and specify SSM recordkeeping and reporting requirements related to the SSM plan. As noted, the EPA is proposing to remove the SSM exemptions. Therefore, affected units will be subject to an emission standard during such events. The applicability of a standard during such events will ensure that sources have ample incentive to plan for and achieve compliance and, thus, the SSM plan requirements are no longer necessary.c. Compliance With Standards</w:t>
      </w:r>
    </w:p>
    <w:p w14:paraId="0C1112AA"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entry for 40 CFR 63.6(f)(1) by changing the “yes” in column 4 to a “no” in column 5. The current language of 40 CFR 63.6(f)(1) exempts sources from non-opacity standards during periods of SSM. As discussed above, the Court in Sierra Club vacated the exemptions contained in this provision and held that the CAA requires that some CAA section 112 standard apply continuously. Consistent with Sierra Club, the EPA is proposing to revise standards in this rule to apply at all times.</w:t>
      </w:r>
    </w:p>
    <w:p w14:paraId="0605B72A"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entry for 40 CFR 63.6(h)(1) through (9) by redesignating it as 40 CFR 63.6(h)(1) and changing the “NA” in column 4 to a “no” in column 5. The current language of 40 CFR 63.6(h)(1) exempts sources from opacity standards during periods of SSM. As discussed above, the Court in Sierra Club vacated the exemptions contained in this provision and held that the CAA requires that some CAA section 112 standards apply continuously. Consistent with Sierra Club, the EPA is proposing to revise standards in this rule to apply at all times.d. Performance Testing (40 CFR 63.2262)</w:t>
      </w:r>
    </w:p>
    <w:p w14:paraId="24506A9A"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entry for 40 CFR 63.7(e)(1) by changing the “yes” in column 4 to a “no” in column 5. Section 63.7(e)(1) describes performance testing requirements. The EPA is instead proposing to add a performance testing requirement at 40 CFR 63.2262(a)-(b). The performance testing requirements the EPA is proposing to add differ from the General Provisions performance testing provisions in several respects. The regulatory text does not include the language in 40 CFR 63.7(e)(1) that restated the SSM exemption. The proposed performance testing provisions remove reference to 40 CFR 63.7(e)(1), reiterate the requirement that was already included in the PCWP rule to conduct emissions tests under representative operating conditions, and clarify that representative operating conditions excludes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As in 40 CFR 63.7(e)(1), performance tests conducted under this subpart should not be conducted during malfunctions because conditions during malfunctions are often not representative of normal operating conditions. The EPA is </w:t>
      </w:r>
      <w:r>
        <w:rPr>
          <w:rFonts w:ascii="Arial" w:eastAsia="Arial" w:hAnsi="Arial" w:cs="Arial"/>
          <w:color w:val="000000"/>
          <w:sz w:val="20"/>
        </w:rPr>
        <w:lastRenderedPageBreak/>
        <w:t>proposing to add language that requires the owner or operator to record the process information that is necessary to document operating conditions during the test and include in such record an explanation to support that such conditions are representative. Section 63.7(e) requires that the owner or operator make available to the Administrator such records “as may be necessary to determine the condition of the performance test” upon request but does not specifically require the information to be recorded. The regulatory text the EPA is proposing to add to this provision builds on that requirement and makes explicit the requirement to record the information.</w:t>
      </w:r>
    </w:p>
    <w:p w14:paraId="3C164D18" w14:textId="77777777" w:rsidR="00054BF0" w:rsidRDefault="00000000">
      <w:pPr>
        <w:spacing w:before="200" w:line="260" w:lineRule="atLeast"/>
        <w:jc w:val="both"/>
      </w:pPr>
      <w:r>
        <w:rPr>
          <w:rFonts w:ascii="Arial" w:eastAsia="Arial" w:hAnsi="Arial" w:cs="Arial"/>
          <w:color w:val="000000"/>
          <w:sz w:val="20"/>
        </w:rPr>
        <w:t xml:space="preserve">The definition of “representative operating conditions” in 40 CFR 63.2292 is also proposed to be clarified to exclude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Representative operating conditions include a range of operating conditions under which the process unit and control device typically operate and are not limited to conditions of optimal performance of the process unit and control device.e. Monitoring</w:t>
      </w:r>
    </w:p>
    <w:p w14:paraId="3E985F92"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entry for 40 CFR 63.8(c)(1)(i) and (iii) by changing the “yes” in column 4 to a “no” in column 5. The cross-references to the general duty and SSM plan requirements in those subparagraphs are not necessary in light of other requirements of 40 CFR 63.8 that require good air pollution control practices (40 CFR 63.8(c)(1)) and that set out the requirements of a quality control program for monitoring equipment (40 CFR 63.8(d)).</w:t>
      </w:r>
    </w:p>
    <w:p w14:paraId="7697334F"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by adding an entry for 40 CFR 63.8(d)(3) and including a “no” in column 5. The final sentence in 40 CFR 63.8(d)(3) refers to the General Provisions' SSM plan requirement which is no longer applicable. The EPA is proposing to add to the rule at 40 CFR 63.2282(f) text that is identical to 40 CFR 63.8(d)(3) except that the final sentence is replaced with the following sentence: “The program of corrective action should be included in the plan required under 40 CFR 63.8(d)(2).”f. Recordkeeping (40 CFR 63.2282)</w:t>
      </w:r>
    </w:p>
    <w:p w14:paraId="219864A6"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entry for 40 CFR 63.10(b)(2)(i) through (iv) by redesignating it as 40 CFR 63.10(b)(2)(i) and changing the “yes” in column 4 to a “no” in column 5. Section 63.10(b)(2)(i) describes the recordkeeping requirements during </w:t>
      </w:r>
      <w:r>
        <w:rPr>
          <w:rFonts w:ascii="Arial" w:eastAsia="Arial" w:hAnsi="Arial" w:cs="Arial"/>
          <w:b/>
          <w:i/>
          <w:color w:val="000000"/>
          <w:sz w:val="20"/>
          <w:u w:val="single"/>
        </w:rPr>
        <w:t>startup</w:t>
      </w:r>
      <w:r>
        <w:rPr>
          <w:rFonts w:ascii="Arial" w:eastAsia="Arial" w:hAnsi="Arial" w:cs="Arial"/>
          <w:color w:val="000000"/>
          <w:sz w:val="20"/>
        </w:rPr>
        <w:t xml:space="preserve"> and shutdown. The EPA is instead proposing to add recordkeeping requirements to 40 CFR 63.2282(a). When a source is subject to a different standard during </w:t>
      </w:r>
      <w:r>
        <w:rPr>
          <w:rFonts w:ascii="Arial" w:eastAsia="Arial" w:hAnsi="Arial" w:cs="Arial"/>
          <w:b/>
          <w:i/>
          <w:color w:val="000000"/>
          <w:sz w:val="20"/>
          <w:u w:val="single"/>
        </w:rPr>
        <w:t>startup</w:t>
      </w:r>
      <w:r>
        <w:rPr>
          <w:rFonts w:ascii="Arial" w:eastAsia="Arial" w:hAnsi="Arial" w:cs="Arial"/>
          <w:color w:val="000000"/>
          <w:sz w:val="20"/>
        </w:rPr>
        <w:t xml:space="preserve"> and shutdown, it will be important to know when such </w:t>
      </w:r>
      <w:r>
        <w:rPr>
          <w:rFonts w:ascii="Arial" w:eastAsia="Arial" w:hAnsi="Arial" w:cs="Arial"/>
          <w:b/>
          <w:i/>
          <w:color w:val="000000"/>
          <w:sz w:val="20"/>
          <w:u w:val="single"/>
        </w:rPr>
        <w:t>startup</w:t>
      </w:r>
      <w:r>
        <w:rPr>
          <w:rFonts w:ascii="Arial" w:eastAsia="Arial" w:hAnsi="Arial" w:cs="Arial"/>
          <w:color w:val="000000"/>
          <w:sz w:val="20"/>
        </w:rPr>
        <w:t xml:space="preserve"> and shutdown periods begin and end to determine compliance with the appropriate standard. Thus, the EPA is proposing to add language to 40 CFR 63.2282(a) requiring that sources subject to an emission standard during </w:t>
      </w:r>
      <w:r>
        <w:rPr>
          <w:rFonts w:ascii="Arial" w:eastAsia="Arial" w:hAnsi="Arial" w:cs="Arial"/>
          <w:b/>
          <w:i/>
          <w:color w:val="000000"/>
          <w:sz w:val="20"/>
          <w:u w:val="single"/>
        </w:rPr>
        <w:t>startup</w:t>
      </w:r>
      <w:r>
        <w:rPr>
          <w:rFonts w:ascii="Arial" w:eastAsia="Arial" w:hAnsi="Arial" w:cs="Arial"/>
          <w:color w:val="000000"/>
          <w:sz w:val="20"/>
        </w:rPr>
        <w:t xml:space="preserve"> or shutdown that differs from the emission standard that applies at all other times must report the date, time, and duration of such periods.</w:t>
      </w:r>
    </w:p>
    <w:p w14:paraId="6E59ED06"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by adding an entry for 40 CFR 63.10(b)(2)(ii) and including a “no” in column 5. Section 63.10(b)(2)(ii) describes the recordkeeping requirements during a malfunction. The EPA is proposing to add such requirements to 40 CFR 63.2282(a). The regulatory text the EPA is proposing to add differs from the General Provisions it is replacing in that the General Provisions requires the creation and retention of a record of the occurrence and duration of each malfunction of process, air pollution control, and monitoring equipment. The EPA is proposing that this requirement apply to any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and is requiring that the source record the date, time, and duration of the </w:t>
      </w:r>
      <w:r>
        <w:rPr>
          <w:rFonts w:ascii="Arial" w:eastAsia="Arial" w:hAnsi="Arial" w:cs="Arial"/>
          <w:b/>
          <w:i/>
          <w:color w:val="000000"/>
          <w:sz w:val="20"/>
          <w:u w:val="single"/>
        </w:rPr>
        <w:t>failure</w:t>
      </w:r>
      <w:r>
        <w:rPr>
          <w:rFonts w:ascii="Arial" w:eastAsia="Arial" w:hAnsi="Arial" w:cs="Arial"/>
          <w:color w:val="000000"/>
          <w:sz w:val="20"/>
        </w:rPr>
        <w:t xml:space="preserve"> rather than the “occurrence.” The EPA is also proposing to add to 40 CFR 63.2282(a) a requirement that sources keep records that include a list of the affected source or equipment and actions taken to minimize emissions, an estimate of the quantity of each regulated pollutant emitted over the standard for which the source failed to meet the standard, and a description of the method used to estimate the emissions. Examples of such methods would include product-loss calculations, mass balance calculations, measurements when available, or engineering judgment based on known process parameters. The EPA is proposing to require that sources keep records of this information to ensure that there is adequate information to allow the EPA to determine the severity of any </w:t>
      </w:r>
      <w:r>
        <w:rPr>
          <w:rFonts w:ascii="Arial" w:eastAsia="Arial" w:hAnsi="Arial" w:cs="Arial"/>
          <w:b/>
          <w:i/>
          <w:color w:val="000000"/>
          <w:sz w:val="20"/>
          <w:u w:val="single"/>
        </w:rPr>
        <w:t>failure</w:t>
      </w:r>
      <w:r>
        <w:rPr>
          <w:rFonts w:ascii="Arial" w:eastAsia="Arial" w:hAnsi="Arial" w:cs="Arial"/>
          <w:color w:val="000000"/>
          <w:sz w:val="20"/>
        </w:rPr>
        <w:t xml:space="preserve"> to meet a standard, and to provide data that may document how the source met the general duty to minimize emissions when the source has failed to meet an applicable standard.</w:t>
      </w:r>
    </w:p>
    <w:p w14:paraId="0AE6EC47"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by adding an entry for 40 CFR 63.10(b)(2)(iv) and including a “no” in column 5. When applicable, the provision requires sources to record actions </w:t>
      </w:r>
      <w:r>
        <w:rPr>
          <w:rFonts w:ascii="Arial" w:eastAsia="Arial" w:hAnsi="Arial" w:cs="Arial"/>
          <w:color w:val="000000"/>
          <w:sz w:val="20"/>
        </w:rPr>
        <w:lastRenderedPageBreak/>
        <w:t>taken during SSM events when actions were inconsistent with their SSM plan. The requirement is no longer appropriate because SSM plans will no longer be required. The requirement previously applicable under 40 CFR 63.10(b)(2)(iv)(B) to record actions to minimize emissions and record corrective actions is now applicable by reference to 40 CFR 63.2282(a).</w:t>
      </w:r>
    </w:p>
    <w:p w14:paraId="58032540"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by adding 40 CFR 63.10(b)(2)(v) to the entry for 40 CFR 63.10(b)(2)(iv) and including a “no” in column 5. When applicable, the provision requires sources to record actions taken during SSM events to show that actions taken were consistent with their SSM plan. The requirement is no longer appropriate because SSM plans will no longer be required.</w:t>
      </w:r>
    </w:p>
    <w:p w14:paraId="0BB8F0B4" w14:textId="77777777" w:rsidR="00054BF0" w:rsidRDefault="00000000">
      <w:pPr>
        <w:spacing w:before="200" w:line="260" w:lineRule="atLeast"/>
        <w:jc w:val="both"/>
      </w:pPr>
      <w:r>
        <w:rPr>
          <w:rFonts w:ascii="Arial" w:eastAsia="Arial" w:hAnsi="Arial" w:cs="Arial"/>
          <w:color w:val="000000"/>
          <w:sz w:val="20"/>
        </w:rPr>
        <w:t>The EPA is proposing to revise the General Provisions table (Table 10) by adding an entry for 40 CFR 63.10(c)(15) and including a “no” in column 5. The EPA is proposing that 40 CFR 63.10(c)(15) no longer apply. When applicable, the provision allows an owner or operator to use the affected source's SSM plan or records kept to satisfy the recordkeeping requirements of the SSM plan, specified in 40 CFR 63.6(e), to also satisfy the requirements of 40 CFR 63.10(c)(10) through (12). The EPA is proposing to eliminate this requirement because SSM plans would no longer be required, and, therefore, 40 CFR 63.10(c)(15) no longer serves any useful purpose for affected units.g. Reporting (40 CFR 63.2281)</w:t>
      </w:r>
    </w:p>
    <w:p w14:paraId="50F6E4CF"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entry for 40 CFR 63.10(d)(5) by redesignating it as 40 CFR 63.10(d)(5)(i) and changing the “yes” in column 4 to a “no” in column 5. Section 63.10(d)(5)(i) describes the reporting requirements for </w:t>
      </w:r>
      <w:r>
        <w:rPr>
          <w:rFonts w:ascii="Arial" w:eastAsia="Arial" w:hAnsi="Arial" w:cs="Arial"/>
          <w:b/>
          <w:i/>
          <w:color w:val="000000"/>
          <w:sz w:val="20"/>
          <w:u w:val="single"/>
        </w:rPr>
        <w:t>startups</w:t>
      </w:r>
      <w:r>
        <w:rPr>
          <w:rFonts w:ascii="Arial" w:eastAsia="Arial" w:hAnsi="Arial" w:cs="Arial"/>
          <w:color w:val="000000"/>
          <w:sz w:val="20"/>
        </w:rPr>
        <w:t xml:space="preserve">, shutdowns, and malfunctions. To replace the General Provisions reporting requirement, the EPA is proposing to add reporting requirements to 40 CFR 63.2281(d) and (e). The replacement language differs from the General Provisions requirement in that it eliminates periodic SSM reports as a stand-alone report. The EPA is proposing language that requires sources that fail to meet an applicable standard at any time to report the information concerning such events in the semiannual compliance report already required under this rule. The EPA is proposing that the report must contain the number, date, time, duration, and the cause of such events (including unknown cause, if applicable), a list of the affected source or equipment, an estimate of the quantity of each regulated pollutant emitted over any emission limit, and a description of the method used to estimate the emissions. Examples of such methods would include product-loss calculations, mass balance calculations, measurements when available, or engineering judgment based on known process parameters. The EPA is proposing this requirement to ensure that there is adequate information to determine compliance, to allow the EPA to determine the severity of the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and to provide data that may document how the source met the general duty to minimize emissions during a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w:t>
      </w:r>
    </w:p>
    <w:p w14:paraId="2AB4B49D" w14:textId="77777777" w:rsidR="00054BF0" w:rsidRDefault="00000000">
      <w:pPr>
        <w:spacing w:before="200" w:line="260" w:lineRule="atLeast"/>
        <w:jc w:val="both"/>
      </w:pPr>
      <w:r>
        <w:rPr>
          <w:rFonts w:ascii="Arial" w:eastAsia="Arial" w:hAnsi="Arial" w:cs="Arial"/>
          <w:color w:val="000000"/>
          <w:sz w:val="20"/>
        </w:rPr>
        <w:t>The EPA will no longer require owners or operators to determine whether actions taken to correct a malfunction are consistent with an SSM plan, because plans would no longer be required. The proposed amendments, therefore, eliminate the cross-reference to 40 CFR 63.10(d)(5)(i) that contains the description of the previously required SSM report format and submittal schedule from this section. These specifications are no longer necessary because the events will be reported in otherwise required reports with similar format and submittal requirements.</w:t>
      </w:r>
    </w:p>
    <w:p w14:paraId="7181B596" w14:textId="77777777" w:rsidR="00054BF0" w:rsidRDefault="00000000">
      <w:pPr>
        <w:spacing w:before="200" w:line="260" w:lineRule="atLeast"/>
        <w:jc w:val="both"/>
      </w:pPr>
      <w:r>
        <w:rPr>
          <w:rFonts w:ascii="Arial" w:eastAsia="Arial" w:hAnsi="Arial" w:cs="Arial"/>
          <w:color w:val="000000"/>
          <w:sz w:val="20"/>
        </w:rPr>
        <w:t xml:space="preserve">The EPA is proposing to revise the General Provisions table (Table 10) by adding an entry for 40 CFR 63.10(d)(5)(ii) and including a “no” in column 5. Section 63.10(d)(5)(ii) describes an immediate report for </w:t>
      </w:r>
      <w:r>
        <w:rPr>
          <w:rFonts w:ascii="Arial" w:eastAsia="Arial" w:hAnsi="Arial" w:cs="Arial"/>
          <w:b/>
          <w:i/>
          <w:color w:val="000000"/>
          <w:sz w:val="20"/>
          <w:u w:val="single"/>
        </w:rPr>
        <w:t>startups</w:t>
      </w:r>
      <w:r>
        <w:rPr>
          <w:rFonts w:ascii="Arial" w:eastAsia="Arial" w:hAnsi="Arial" w:cs="Arial"/>
          <w:color w:val="000000"/>
          <w:sz w:val="20"/>
        </w:rPr>
        <w:t xml:space="preserve">, shutdowns, and malfunctions when a source failed to meet an applicable standard but did not follow the SSM plan. The EPA will no longer require owners and operators to report when actions taken during a </w:t>
      </w:r>
      <w:r>
        <w:rPr>
          <w:rFonts w:ascii="Arial" w:eastAsia="Arial" w:hAnsi="Arial" w:cs="Arial"/>
          <w:b/>
          <w:i/>
          <w:color w:val="000000"/>
          <w:sz w:val="20"/>
          <w:u w:val="single"/>
        </w:rPr>
        <w:t>startup</w:t>
      </w:r>
      <w:r>
        <w:rPr>
          <w:rFonts w:ascii="Arial" w:eastAsia="Arial" w:hAnsi="Arial" w:cs="Arial"/>
          <w:color w:val="000000"/>
          <w:sz w:val="20"/>
        </w:rPr>
        <w:t>, shutdown, or malfunction were not consistent with an SSM plan, because plans would no longer be required.2. Electronic Reporting</w:t>
      </w:r>
    </w:p>
    <w:p w14:paraId="1820316F" w14:textId="77777777" w:rsidR="00054BF0" w:rsidRDefault="00000000">
      <w:pPr>
        <w:spacing w:before="200" w:line="260" w:lineRule="atLeast"/>
        <w:jc w:val="both"/>
      </w:pPr>
      <w:r>
        <w:rPr>
          <w:rFonts w:ascii="Arial" w:eastAsia="Arial" w:hAnsi="Arial" w:cs="Arial"/>
          <w:color w:val="000000"/>
          <w:sz w:val="20"/>
        </w:rPr>
        <w:t xml:space="preserve">The EPA is proposing that owners and operators of PCWP facilities submit electronic copies of required performance test reports, performance evaluation reports for continuous monitoring systems (CMS) measuring relative accuracy test audit (RATA) pollutants (i.e , total hydrocarbon monitors), selected notifications, and semiannual reports through the EPA's Central Data Exchange (CDX) using the Compliance and Emissions Data Reporting Interface (CEDRI). A description of the electronic data submission process is provided in the </w:t>
      </w:r>
      <w:r>
        <w:rPr>
          <w:rFonts w:ascii="Arial" w:eastAsia="Arial" w:hAnsi="Arial" w:cs="Arial"/>
          <w:color w:val="000000"/>
          <w:sz w:val="20"/>
        </w:rPr>
        <w:lastRenderedPageBreak/>
        <w:t>memorandum, Electronic Reporting Requirements for New Source Performance Standards (NSPS) and National Emission Standards for Hazardous Air Pollutants (NESHAP) Rules, available in Docket ID No. EPA-HQ-OAR-2016-0243. The proposed rule requires that performance test results collected using test methods that are supported by the EPA's Electronic Reporting Tool (ERT) as listed on the ERT website (27) at the time of the test be submitted in the format generated through the use of the ERT and that other performance test results be submitted in portable document format (PDF) using the attachment module of the ERT. Similarly, performance evaluation results of CMS measuring RATA pollutants that are supported by the ERT at the time of the test must be submitted in the format generated through the use of the ERT and other performance evaluation results be submitted in PDF using the attachment module of the ERT.</w:t>
      </w:r>
    </w:p>
    <w:p w14:paraId="26151F35" w14:textId="77777777" w:rsidR="00054BF0" w:rsidRDefault="00000000">
      <w:pPr>
        <w:spacing w:before="200" w:line="260" w:lineRule="atLeast"/>
        <w:jc w:val="both"/>
      </w:pPr>
      <w:r>
        <w:rPr>
          <w:rFonts w:ascii="Arial" w:eastAsia="Arial" w:hAnsi="Arial" w:cs="Arial"/>
          <w:color w:val="000000"/>
          <w:sz w:val="20"/>
        </w:rPr>
        <w:t>For the PCWP semiannual report, the proposed rule requires that owners and operators use the appropriate spreadsheet template to submit information to CEDRI. A draft version of the proposed template for this report is included in the docket for this rulemaking. (28) The EPA specifically requests comment on the content, layout, and overall design of the template. In addition, the EPA is proposing to require future initial notifications developed according to 40 CFR 63.2280(b) and notifications of compliance status developed according to 40 CFR 63.2280(d) to be uploaded in CEDRI in a user-specified (e.g , PDF) format.</w:t>
      </w:r>
    </w:p>
    <w:p w14:paraId="135AEA5B" w14:textId="77777777" w:rsidR="00054BF0" w:rsidRDefault="00000000">
      <w:pPr>
        <w:spacing w:before="200" w:line="260" w:lineRule="atLeast"/>
        <w:jc w:val="both"/>
      </w:pPr>
      <w:r>
        <w:rPr>
          <w:rFonts w:ascii="Arial" w:eastAsia="Arial" w:hAnsi="Arial" w:cs="Arial"/>
          <w:color w:val="000000"/>
          <w:sz w:val="20"/>
        </w:rPr>
        <w:t xml:space="preserve">Additionally, the EPA has identified two broad circumstances in which electronic reporting extensions may be provided. In both circumstances, the decision to accept the claim of needing additional time to report is within the discretion of the Administrator, and reporting should occur as soon as possible. The EPA is providing these potential extensions to protect owners and operators from noncompliance in cases where they cannot successfully submit a report by the reporting deadline for reasons outside of their control. The situation where an extension may be warranted due to outages of the EPA's CDX or CEDRI which precludes an owner or operator from accessing the system and submitting required reports is addressed in 40 CFR 63.2281(k). The situation where an extension may be warranted due to a force majeure event, which is defined as an event that will be or has been caused by circumstances beyond the control of the affected facility, its contractors, or any entity controlled by the affected facility that prevents an owner or operator from complying with the requirement to submit a report electronically as required by this rule is addressed in 40 CFR 63.2281(l). Examples of such events are acts of nature, acts of war or terrorism, or equipment </w:t>
      </w:r>
      <w:r>
        <w:rPr>
          <w:rFonts w:ascii="Arial" w:eastAsia="Arial" w:hAnsi="Arial" w:cs="Arial"/>
          <w:b/>
          <w:i/>
          <w:color w:val="000000"/>
          <w:sz w:val="20"/>
          <w:u w:val="single"/>
        </w:rPr>
        <w:t>failure</w:t>
      </w:r>
      <w:r>
        <w:rPr>
          <w:rFonts w:ascii="Arial" w:eastAsia="Arial" w:hAnsi="Arial" w:cs="Arial"/>
          <w:color w:val="000000"/>
          <w:sz w:val="20"/>
        </w:rPr>
        <w:t xml:space="preserve"> or safety hazards beyond the control of the facility.</w:t>
      </w:r>
    </w:p>
    <w:p w14:paraId="21DD5E15" w14:textId="77777777" w:rsidR="00054BF0" w:rsidRDefault="00000000">
      <w:pPr>
        <w:spacing w:before="200" w:line="260" w:lineRule="atLeast"/>
        <w:jc w:val="both"/>
      </w:pPr>
      <w:r>
        <w:rPr>
          <w:rFonts w:ascii="Arial" w:eastAsia="Arial" w:hAnsi="Arial" w:cs="Arial"/>
          <w:color w:val="000000"/>
          <w:sz w:val="20"/>
        </w:rPr>
        <w:t>The electronic submittal of the reports addressed in this proposed rulemaking will increase the usefulness of the data contained in those reports, is in keeping with current trends in data availability and transparency, will further assist in the protection of public health and the environment, will improve compliance by facilitating the ability of regulated facilities to demonstrate compliance with requirements and by facilitating the ability of delegated state, local, tribal, and territorial air agencies and the EPA to assess and determine compliance, and will ultimately reduce burden on regulated facilities, delegated air agencies, and the EPA. Electronic reporting also eliminates paper-based, manual processes, thereby saving time and resources, simplifying data entry, eliminating redundancies, minimizing data reporting errors, and providing data quickly and accurately to the affected facilities, air agencies, the EPA, and the public. Moreover, electronic reporting is consistent with the EPA's plan (29) to implement Executive Order 13563 and is in keeping with the EPA's Agency-wide policy (30) developed in response to the White House's Digital Government Strategy. (31) For more information on the benefits of electronic reporting, see the memorandum Electronic Reporting Requirements for New Source Performance Standards (NSPS) and National Emission Standards for Hazardous Air Pollutants (NESHAP) Rules, available in Docket ID No. EPA-HQ-OAR-2016-0243.3. Repeat Emissions Testing</w:t>
      </w:r>
    </w:p>
    <w:p w14:paraId="446F07DF" w14:textId="77777777" w:rsidR="00054BF0" w:rsidRDefault="00000000">
      <w:pPr>
        <w:spacing w:before="200" w:line="260" w:lineRule="atLeast"/>
        <w:jc w:val="both"/>
      </w:pPr>
      <w:r>
        <w:rPr>
          <w:rFonts w:ascii="Arial" w:eastAsia="Arial" w:hAnsi="Arial" w:cs="Arial"/>
          <w:color w:val="000000"/>
          <w:sz w:val="20"/>
        </w:rPr>
        <w:t xml:space="preserve">As part of an ongoing effort to improve compliance with various federal air emission regulations, the EPA reviewed the emissions testing requirements of 40 CFR part 63, subpart DDDD, and is proposing to require facilities complying with the standards in Table 1B of 40 CFR part 63, subpart DDDD using an add-on control system other than a biofilter to conduct repeat emissions performance testing every 5 years. Currently, facilities operating add-on controls are required to conduct an initial performance test by the date specified in 40 CFR 63.2261(a). In addition to the initial performance test, process units controlled by biofilters are already required by the PCWP NESHAP to conduct repeat performance testing every 2 years. Periodic performance tests for all types of control systems are already required by permitting authorities for many facilities. Further, the EPA believes that requiring repeat </w:t>
      </w:r>
      <w:r>
        <w:rPr>
          <w:rFonts w:ascii="Arial" w:eastAsia="Arial" w:hAnsi="Arial" w:cs="Arial"/>
          <w:color w:val="000000"/>
          <w:sz w:val="20"/>
        </w:rPr>
        <w:lastRenderedPageBreak/>
        <w:t>performance tests will help to ensure that control systems are properly maintained over time. As proposed in Table 7 to 40 CFR part 63, subpart DDDD (row 7) the first of the repeat performance tests would be required to be conducted within 3 years of the effective date of the revised standards or within 60 months following the previous performance test, whichever is later, and thereafter within 5 years (60 months) following the previous performance test. Section IV.E of this preamble provides more information on compliance dates. We specifically request comment on the proposed repeat testing requirements.4. Biofilter Bed Temperature</w:t>
      </w:r>
    </w:p>
    <w:p w14:paraId="728DD159" w14:textId="77777777" w:rsidR="00054BF0" w:rsidRDefault="00000000">
      <w:pPr>
        <w:spacing w:before="200" w:line="260" w:lineRule="atLeast"/>
        <w:jc w:val="both"/>
      </w:pPr>
      <w:r>
        <w:rPr>
          <w:rFonts w:ascii="Arial" w:eastAsia="Arial" w:hAnsi="Arial" w:cs="Arial"/>
          <w:color w:val="000000"/>
          <w:sz w:val="20"/>
        </w:rPr>
        <w:t>Facilities using a biofilter to comply with the PCWP NESHAP must monitor biofilter bed temperature and maintain the 24-hour block biofilter bed temperature within the range established during performance testing showing compliance with the emission limits. The upper and lower limits of the biofilter bed temperature are currently required to be established as the highest and lowest 15-minute average bed temperatures, respectively, during the three test runs. Facilities may conduct multiple performance tests to expand the biofilter bed operating temperature range. See 40 CFR 63.2262(m).</w:t>
      </w:r>
    </w:p>
    <w:p w14:paraId="45A52D48" w14:textId="77777777" w:rsidR="00054BF0" w:rsidRDefault="00000000">
      <w:pPr>
        <w:spacing w:before="200" w:line="260" w:lineRule="atLeast"/>
        <w:jc w:val="both"/>
      </w:pPr>
      <w:r>
        <w:rPr>
          <w:rFonts w:ascii="Arial" w:eastAsia="Arial" w:hAnsi="Arial" w:cs="Arial"/>
          <w:color w:val="000000"/>
          <w:sz w:val="20"/>
        </w:rPr>
        <w:t>The EPA has become aware that multiple facilities are having difficulty with the PCWP biofilter bed temperature monitoring requirements as originally promulgated. Biofilter bed temperature is affected by ambient temperature. Diurnal and seasonal ambient temperature fluctuations do not necessarily impact the ability of the biofilter to reduce HAP emissions because biofilters reduce HAP (e.g , formaldehyde) emissions over a wide range of bed temperatures. Facilities have indicated they are not able to schedule performance tests on the warmest and coolest days of each season because test firms must plan and mobilize for tests weeks in advance and facilities must notify their delegated authority 60 days before conducting a performance test. For example, facilities may schedule a test in the winter with the intent of measuring emissions during the coldest conditions in which a biofilter performs, only to find that the weather changes on the test date to a warmer than expected ambient temperature. In consideration of this issue, the EPA reviewed biofilter temperature monitoring data, semiannual compliance reports, and test data showing that formaldehyde reductions in compliance with emission standards were achieved at a wide range of biofilter bed temperatures. The EPA is proposing to amend 40 CFR 63.2262(m)(1) to add a 5-percent variability margin to the biofilter bed temperature upper and lower limits established during emissions testing. A 5-percent variability margin addresses the issues observed in the 24-hour block average biofilter temperature monitoring data reviewed. The EPA maintains that the currently-required 24-hour block averaging time is appropriate to monitor for harsh swings in biofilter bed temperature that could impact the viability of the microbial population. The 5-percent variability margin provides flexibility needed to account for small variations in biofilter bed temperature unlikely to impact the microbial population.</w:t>
      </w:r>
    </w:p>
    <w:p w14:paraId="6CC6F700" w14:textId="77777777" w:rsidR="00054BF0" w:rsidRDefault="00000000">
      <w:pPr>
        <w:spacing w:before="200" w:line="260" w:lineRule="atLeast"/>
        <w:jc w:val="both"/>
      </w:pPr>
      <w:r>
        <w:rPr>
          <w:rFonts w:ascii="Arial" w:eastAsia="Arial" w:hAnsi="Arial" w:cs="Arial"/>
          <w:color w:val="000000"/>
          <w:sz w:val="20"/>
        </w:rPr>
        <w:t>While the proposed regulatory language does not explicitly state that facilities can use the 5-percent variability margin to expand the range of the biofilter bed temperature limit established though previously conducted performance tests, the EPA anticipates that facilities currently having difficulty maintaining the biofilter bed temperature limits may wish to adjust their temperature limits. As originally promulgated, 40 CFR 63.2262(m)(1) states that facilities may base their biofilter bed temperature range on values recorded during previous performance tests provided that the data used to establish the temperature ranges have been obtained using the required test methods; and that facilities using data from previous performance tests must certify that the biofilter and associated process unit(s) have not been modified since the test. This provision (if met) clarifies that facilities can adjust their previously established biofilter temperature range to include the 5-percent variability margin, if desired. Facilities are encouraged to demonstrate the broadest limits of their compliant temperature operating parameters with their regular performance tests.5. Thermocouple Calibration</w:t>
      </w:r>
    </w:p>
    <w:p w14:paraId="27FE9EA8" w14:textId="77777777" w:rsidR="00054BF0" w:rsidRDefault="00000000">
      <w:pPr>
        <w:spacing w:before="200" w:line="260" w:lineRule="atLeast"/>
        <w:jc w:val="both"/>
      </w:pPr>
      <w:r>
        <w:rPr>
          <w:rFonts w:ascii="Arial" w:eastAsia="Arial" w:hAnsi="Arial" w:cs="Arial"/>
          <w:color w:val="000000"/>
          <w:sz w:val="20"/>
        </w:rPr>
        <w:t xml:space="preserve">Facilities with controlled sources subject to the PCWP NESHAP that use regenerative thermal or catalytic oxidizers to comply with the standard are required to establish a minimum operating temperature during performance testing then maintain a 3-hour block average firebox temperature above the minimum temperature established during the performance test to demonstrate ongoing compliance. Facilities with controlled sources subject to the PCWP NESHAP that use biofilters to comply with the standard are required to establish an operating temperature range during performance testing then maintain a 24-hour block average temperature within the temperature range established during the performance test to demonstrate ongoing compliance. (40 CFR part 63, subpart DDDD, Table 2). Facilities with dry rotary dryers are required to maintain their 24-hour block average inlet dryer </w:t>
      </w:r>
      <w:r>
        <w:rPr>
          <w:rFonts w:ascii="Arial" w:eastAsia="Arial" w:hAnsi="Arial" w:cs="Arial"/>
          <w:color w:val="000000"/>
          <w:sz w:val="20"/>
        </w:rPr>
        <w:lastRenderedPageBreak/>
        <w:t>temperature less than 600 degrees Fahrenheit. (40 CFR part 63, subpart DDDD, Table 3). Thermocouples are used to measure the temperature in the firebox, the biofilter, and the dry rotary dryer. At 40 CFR 63.2269(b)(4), the PCWP NESHAP currently requires conducting an electronic calibration of the temperature monitoring device at least semiannually according to the procedures in the manufacturer's owner's manual. Facilities subject to the standard have explained to the EPA that they are not aware of a thermocouple manufacturer that provides procedures or protocols for conducting electronic calibration of thermocouples. Facilities have reported that since they cannot calibrate their thermocouples, the alternative is to replace them and requested that an alternative approach to the current requirement in 40 CFR 63.2269(b)(4) be considered.</w:t>
      </w:r>
    </w:p>
    <w:p w14:paraId="6E195CFC" w14:textId="77777777" w:rsidR="00054BF0" w:rsidRDefault="00000000">
      <w:pPr>
        <w:spacing w:before="200" w:line="260" w:lineRule="atLeast"/>
        <w:jc w:val="both"/>
      </w:pPr>
      <w:r>
        <w:rPr>
          <w:rFonts w:ascii="Arial" w:eastAsia="Arial" w:hAnsi="Arial" w:cs="Arial"/>
          <w:color w:val="000000"/>
          <w:sz w:val="20"/>
        </w:rPr>
        <w:t>The EPA is proposing to modify 40 CFR 63.2269(b)(4) to allow multiple alternative approaches to thermocouple calibration. The first alternative would allow use of a National Institute of Standards and Technology (NIST) traceable temperature measurement device or simulator to confirm the accuracy of any thermocouple placed into use for at least one semi-annual period, where the accuracy of the temperature measurement must be within 2.5 percent of the temperature measured by the NIST traceable device or 5 °F, whichever is greater. The second alternative would be to have the thermocouple manufacturer certify the electrical properties of the thermocouple. The third alternative would codify the common practice of replacing thermocouples every 6 months. The fourth alternative would be to permanently install a redundant temperature sensor as close as practicable to the process temperature sensor. The redundant sensors must read within 30 °F of each other for thermal and catalytic oxidizers, within 5 °F for biofilters, and within 20 °F for dry rotary dryers. The EPA plans to maintain the option of allowing facilities to follow calibration procedures developed by the thermocouple manufacturer when thermocouple manufacturers develop calibration procedures for their products.6. Non-HAP Coating Definition</w:t>
      </w:r>
    </w:p>
    <w:p w14:paraId="5E111419" w14:textId="77777777" w:rsidR="00054BF0" w:rsidRDefault="00000000">
      <w:pPr>
        <w:spacing w:before="200" w:line="260" w:lineRule="atLeast"/>
        <w:jc w:val="both"/>
      </w:pPr>
      <w:r>
        <w:rPr>
          <w:rFonts w:ascii="Arial" w:eastAsia="Arial" w:hAnsi="Arial" w:cs="Arial"/>
          <w:color w:val="000000"/>
          <w:sz w:val="20"/>
        </w:rPr>
        <w:t>The PCWP NESHAP requires use of “non-HAP coatings” for “Group 1 miscellaneous coating operations” as defined in 40 CFR 63.2292 As defined, PCWP non-HAP coatings exclude coatings with 0.1 percent or more (by mass) of carcinogenic HAP. The current “non-HAP coating” definition in 40 CFR 63.2292 references Occupational Safety and Health Administration (OSHA)-defined carcinogens as specified in 29 CFR 1910.1200(d)(4) which was amended (77 FR 17574, March 26, 2012) and no longer readily defines which compounds are carcinogens. The EPA is proposing to replace the references to OSHA-defined carcinogens and 29 CFR 1910.1200(d)(4) in the PCWP “non-HAP coating” definition with a reference to a new appendix B to 40 CFR part 63, subpart DDDD, that lists HAP that must be below 0.1 percent by mass for a PCWP coating to be considered as non-HAP coating. The HAP listed in the proposed appendix B to 40 CFR part 63, subpart DDDD, were categorized in the EPA's Prioritized Chronic Dose-Response Values for Screening Risk Assessments (dated May 9, 2014) as a “human carcinogen,” “probable human carcinogen,” or “possible human carcinogen” according to The Risk Assessment Guidelines of 1986 (EPA/600/8-87/045, August 1987), (32) or as “carcinogenic to humans,” “likely to be carcinogenic to humans,” or with “suggestive evidence of carcinogenic potential” according to the Guidelines for Carcinogen Risk Assessment (EPA/630/P-03/001F, March 2005).7. Technical and Editorial Changes</w:t>
      </w:r>
    </w:p>
    <w:p w14:paraId="503CFA4B" w14:textId="77777777" w:rsidR="00054BF0" w:rsidRDefault="00000000">
      <w:pPr>
        <w:spacing w:before="200" w:line="260" w:lineRule="atLeast"/>
        <w:jc w:val="both"/>
      </w:pPr>
      <w:r>
        <w:rPr>
          <w:rFonts w:ascii="Arial" w:eastAsia="Arial" w:hAnsi="Arial" w:cs="Arial"/>
          <w:color w:val="000000"/>
          <w:sz w:val="20"/>
        </w:rPr>
        <w:t>The following lists additional proposed changes that address technical and editorial corrections:</w:t>
      </w:r>
    </w:p>
    <w:p w14:paraId="4E5AE8B6" w14:textId="77777777" w:rsidR="00054BF0" w:rsidRDefault="00000000">
      <w:pPr>
        <w:spacing w:before="200" w:line="260" w:lineRule="atLeast"/>
        <w:jc w:val="both"/>
      </w:pPr>
      <w:r>
        <w:rPr>
          <w:rFonts w:ascii="Arial" w:eastAsia="Arial" w:hAnsi="Arial" w:cs="Arial"/>
          <w:color w:val="000000"/>
          <w:sz w:val="20"/>
        </w:rPr>
        <w:t>The clarifying reference to “SSM plans” in 40 CFR 63.2252 was removed because SSM plans will no longer be applicable; The redundant reference in 40 CFR 63.2281(c)(6) for submittal of performance test results with the compliance report was eliminated because performance test results will be required to be electronically reported; The EPA revised 40 CFR 63.2281(d)(2) and added language to 40 CFR 63.2281(e)(12)-(13) to makes these sections more consistent to facilitate electronic reporting; A provision stating that the EPA retains authority to approve alternatives to electronic reporting was added to 40 CFR 63.2291(c)(5); Cross-references to the 40 CFR part 60 appendices containing test methods were updated in Table 4 of the rule; Cross-references were updated throughout the rule, as needed, to match the proposed changes; Cross-references to 40 CFR 63.14 to remove outdated paragraph references were updated; The equation number cross-referenced in the definition of “MSF” was corrected; and The cross-reference in 40 CFR 63.2290 to include all sections of the General Provisions was updated.</w:t>
      </w:r>
    </w:p>
    <w:p w14:paraId="109E6350" w14:textId="77777777" w:rsidR="00054BF0" w:rsidRDefault="00000000">
      <w:pPr>
        <w:spacing w:before="200" w:line="260" w:lineRule="atLeast"/>
        <w:jc w:val="both"/>
      </w:pPr>
      <w:r>
        <w:rPr>
          <w:rFonts w:ascii="Arial" w:eastAsia="Arial" w:hAnsi="Arial" w:cs="Arial"/>
          <w:color w:val="000000"/>
          <w:sz w:val="20"/>
        </w:rPr>
        <w:t>E. What compliance dates are we proposing?</w:t>
      </w:r>
    </w:p>
    <w:p w14:paraId="2754BBB2" w14:textId="77777777" w:rsidR="00054BF0" w:rsidRDefault="00000000">
      <w:pPr>
        <w:spacing w:before="200" w:line="260" w:lineRule="atLeast"/>
        <w:jc w:val="both"/>
      </w:pPr>
      <w:r>
        <w:rPr>
          <w:rFonts w:ascii="Arial" w:eastAsia="Arial" w:hAnsi="Arial" w:cs="Arial"/>
          <w:color w:val="000000"/>
          <w:sz w:val="20"/>
        </w:rPr>
        <w:lastRenderedPageBreak/>
        <w:t>The EPA is proposing that existing affected sources and other affected sources that commenced construction or reconstruction on or before September 6, 2019 must comply with all of the amendments 6 months (180 days) after the effective date of the final rule. (33) For existing sources, the EPA is proposing changes that would impact ongoing compliance requirements for 40 CFR part 63, subpart DDDD. As discussed elsewhere in this preamble, the EPA is proposing to change the requirements for SSM by removing the exemption from the requirements to meet the standard during SSM periods and by removing the requirement to develop and implement an SSM plan. The EPA is also proposing addition of electronic reporting requirements that will require use of a semiannual reporting template once the template has been available on the CEDRI website (</w:t>
      </w:r>
      <w:hyperlink r:id="rId471" w:history="1">
        <w:r>
          <w:rPr>
            <w:rFonts w:ascii="Arial" w:eastAsia="Arial" w:hAnsi="Arial" w:cs="Arial"/>
            <w:i/>
            <w:color w:val="0077CC"/>
            <w:sz w:val="20"/>
            <w:u w:val="single"/>
            <w:shd w:val="clear" w:color="auto" w:fill="FFFFFF"/>
          </w:rPr>
          <w:t>https://www.epa.gov/electronic-reporting-air-emissions/compliance-and-emissions-data-reporting-interface-cedri</w:t>
        </w:r>
      </w:hyperlink>
      <w:r>
        <w:rPr>
          <w:rFonts w:ascii="Arial" w:eastAsia="Arial" w:hAnsi="Arial" w:cs="Arial"/>
          <w:color w:val="000000"/>
          <w:sz w:val="20"/>
        </w:rPr>
        <w:t xml:space="preserve">) for 6 months. The EPA's experience with similar industries shows that this sort of regulated facility generally requires a time-period of 180 days to read and understand the amended rule requirements; to evaluate their operations to ensure that they can meet the standards during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as defined in the rule and make any necessary adjustments; and to update their operations to reflect the revised requirements. From our assessment of the time frame needed for compliance with the revised requirements, the EPA considers a period of 180 days to be the most expeditious compliance period practicable, and, thus, is proposing that existing affected sources be in compliance with this regulation's revised requirements within 180 days of the regulation's effective date. All existing affected facilities would have to continue to meet the current requirements of this NESHAP until the applicable compliance date of the amended rule. Affected sources that commence construction or reconstruction after September 6, 2019 must comply with all requirements of the subpart, including the amendments being proposed, no later than the effective date of the final rule or upon initial </w:t>
      </w:r>
      <w:r>
        <w:rPr>
          <w:rFonts w:ascii="Arial" w:eastAsia="Arial" w:hAnsi="Arial" w:cs="Arial"/>
          <w:b/>
          <w:i/>
          <w:color w:val="000000"/>
          <w:sz w:val="20"/>
          <w:u w:val="single"/>
        </w:rPr>
        <w:t>startup</w:t>
      </w:r>
      <w:r>
        <w:rPr>
          <w:rFonts w:ascii="Arial" w:eastAsia="Arial" w:hAnsi="Arial" w:cs="Arial"/>
          <w:color w:val="000000"/>
          <w:sz w:val="20"/>
        </w:rPr>
        <w:t>, whichever is later.</w:t>
      </w:r>
    </w:p>
    <w:p w14:paraId="78B16803" w14:textId="77777777" w:rsidR="00054BF0" w:rsidRDefault="00000000">
      <w:pPr>
        <w:spacing w:before="200" w:line="260" w:lineRule="atLeast"/>
        <w:jc w:val="both"/>
      </w:pPr>
      <w:r>
        <w:rPr>
          <w:rFonts w:ascii="Arial" w:eastAsia="Arial" w:hAnsi="Arial" w:cs="Arial"/>
          <w:color w:val="000000"/>
          <w:sz w:val="20"/>
        </w:rPr>
        <w:t>Also, the EPA is proposing new requirements to conduct repeat performance testing every 5 years for facilities using an add-on control system other than a biofilter (see section IV.D.3 of this preamble). Establishing a compliance date earlier than 3 years for the first repeat performance test can cause scheduling issues as affected sources compete for a limited number of testing contractors. Considering these scheduling issues, the first of the repeat performance tests would be required to be conducted within 3 years after the effective date of the revised standards, or within 60 months following the previous performance test, whichever is later, and thereafter within 5 years (60 months) following the previous performance test. Thus, facilities with relatively new affected sources that recently conducted the initial performance test by the date specified in 40 CFR 63.2261(a) or facilities that were required by their delegated authorities to conduct a performance test to show ongoing compliance with the PCWP standards would have 5 years (60 months) from the previous test before being required to conduct the first of the repeat tests required by the proposed amendment to add repeat testing.</w:t>
      </w:r>
    </w:p>
    <w:p w14:paraId="48F03ED0" w14:textId="77777777" w:rsidR="00054BF0" w:rsidRDefault="00000000">
      <w:pPr>
        <w:spacing w:before="200" w:line="260" w:lineRule="atLeast"/>
        <w:jc w:val="both"/>
      </w:pPr>
      <w:r>
        <w:rPr>
          <w:rFonts w:ascii="Arial" w:eastAsia="Arial" w:hAnsi="Arial" w:cs="Arial"/>
          <w:color w:val="000000"/>
          <w:sz w:val="20"/>
        </w:rPr>
        <w:t>The EPA specifically seeks comment on whether the compliance times described in this section provide enough time for owners and operators to comply with these proposed amendments, and if the proposed time window is not adequate, we request that commenters provide an explanation of specific actions that would need to be undertaken to comply with the proposed amended requirements and the time needed to make the adjustments for compliance with any of the revised requirements. The EPA notes that information provided may result in changes to the proposed compliance date.V. Summary of Cost, Environmental, and Economic ImpactsA. What are the affected sources?</w:t>
      </w:r>
    </w:p>
    <w:p w14:paraId="43A697FD" w14:textId="77777777" w:rsidR="00054BF0" w:rsidRDefault="00000000">
      <w:pPr>
        <w:spacing w:before="200" w:line="260" w:lineRule="atLeast"/>
        <w:jc w:val="both"/>
      </w:pPr>
      <w:r>
        <w:rPr>
          <w:rFonts w:ascii="Arial" w:eastAsia="Arial" w:hAnsi="Arial" w:cs="Arial"/>
          <w:color w:val="000000"/>
          <w:sz w:val="20"/>
        </w:rPr>
        <w:t>The EPA has identified 230 facilities that are currently operating and subject to the PCWP NESHAP. This includes 109 facilities manufacturing one or more PCWP products (e.g , plywood, veneer, particleboard, OSB, hardboard, fiberboard, MDF, engineered wood products) and 121 facilities that produce kiln-dried lumber. Sixteen facilities produce PCWP products and kiln-dried lumber. Information on currently operational facilities is included in the Technology Review for the Plywood and Composite Wood Products NESHAP, available in the docket for this action. In addition, the EPA is aware of 13 greenfield facilities (four PCWP and nine kiln-dried lumber mills) that recently commenced construction as major sources of HAP emissions. The EPA is projecting that two new OSB mills will be constructed as major sources within the next 5 years, and that existing facilities will add or replace process units during this same time frame. More details on our projections of new sources are available in Projections of the Number of New and Reconstructed Sources for the Subpart DDDD Technology Review, in the docket for this action.B. What are the air quality impacts?</w:t>
      </w:r>
    </w:p>
    <w:p w14:paraId="6921AA5C" w14:textId="77777777" w:rsidR="00054BF0" w:rsidRDefault="00000000">
      <w:pPr>
        <w:spacing w:before="200" w:line="260" w:lineRule="atLeast"/>
        <w:jc w:val="both"/>
      </w:pPr>
      <w:r>
        <w:rPr>
          <w:rFonts w:ascii="Arial" w:eastAsia="Arial" w:hAnsi="Arial" w:cs="Arial"/>
          <w:color w:val="000000"/>
          <w:sz w:val="20"/>
        </w:rPr>
        <w:lastRenderedPageBreak/>
        <w:t xml:space="preserve">The nationwide baseline HAP emissions from the 230 facilities in the PCWP source category are estimated to be 7,600 tons/year. Emissions of the six compounds defined as “total HAP” in the PCWP NESHAP (acetaldehyde, acrolein, formaldehyde, methanol, phenol, and propionaldehyde) make </w:t>
      </w:r>
      <w:r>
        <w:rPr>
          <w:rFonts w:ascii="Arial" w:eastAsia="Arial" w:hAnsi="Arial" w:cs="Arial"/>
          <w:b/>
          <w:i/>
          <w:color w:val="000000"/>
          <w:sz w:val="20"/>
          <w:u w:val="single"/>
        </w:rPr>
        <w:t>up</w:t>
      </w:r>
      <w:r>
        <w:rPr>
          <w:rFonts w:ascii="Arial" w:eastAsia="Arial" w:hAnsi="Arial" w:cs="Arial"/>
          <w:color w:val="000000"/>
          <w:sz w:val="20"/>
        </w:rPr>
        <w:t xml:space="preserve"> 96 percent of the nationwide emissions. The proposed amendments include removal of the SSM exemption and addition of repeat emissions testing for controls other than biofilters (which are already require repeat tests). Although the EPA is unable to quantify the emission reduction associated with these changes, we expect that emissions will be reduced by requiring facilities to meet the applicable standard during periods of SSM and that the repeat emissions testing requirements will encourage operation of add-on controls to achieve optimum performance. The EPA is not proposing other revisions to the emission limits that would impact emissions, so there are no quantifiable air quality impacts resulting from the proposed amendments.C. What are the cost impacts?</w:t>
      </w:r>
    </w:p>
    <w:p w14:paraId="4B918960" w14:textId="77777777" w:rsidR="00054BF0" w:rsidRDefault="00000000">
      <w:pPr>
        <w:spacing w:before="200" w:line="260" w:lineRule="atLeast"/>
        <w:jc w:val="both"/>
      </w:pPr>
      <w:r>
        <w:rPr>
          <w:rFonts w:ascii="Arial" w:eastAsia="Arial" w:hAnsi="Arial" w:cs="Arial"/>
          <w:color w:val="000000"/>
          <w:sz w:val="20"/>
        </w:rPr>
        <w:t>No capital costs are estimated to be incurred to comply with the proposed amendments. The costs associated with the proposed amendments are related to recordkeeping and reporting labor costs and repeat performance testing. Because repeat performance testing would be required every 5 years, costs are estimated and summarized over a 5-year period. The nationwide cost of the proposed amendments is estimated to include a one-time cost of $1.3 million for facilities to review the revised rule and make record systems adjustments and a cost of $3.5 million every 5 years for repeat emissions testing. These costs are in 2018 dollars. Another metric for presenting the one-time costs is as a present value (PV), which is a technique that converts a stream of costs over time into a one-time estimate for the present year or other year. The EPA estimates that the PV of costs for this proposal is $5.6 million at a discount rate of 7 percent and $6.9 million at a discount rate of 3 percent. In addition, the EPA presents these costs as an equivalent annualized value (EAV) in order to provide an estimate of annual costs consistent with the present value. The EAV for this proposal is estimated to be $0.9 million at a discount rate of 7 percent and $1.0 million at a discount rate of 3 percent. The PV and EAV cost estimates are in 2016 dollars in part to conform to Executive Order 13771 requirements. For further information on the costs associated with the proposed amendments, see the memorandum, Cost, Environmental, and Energy Impacts of Regulatory Options for Subpart DDDD, and the memorandum, Economic Impact and Small Business Analysis for the Proposed Plywood and Composite Wood Products Risk and Technology Review both available in the docket for this action.D. What are the economic impacts?</w:t>
      </w:r>
    </w:p>
    <w:p w14:paraId="29500EAE" w14:textId="77777777" w:rsidR="00054BF0" w:rsidRDefault="00000000">
      <w:pPr>
        <w:spacing w:before="200" w:line="260" w:lineRule="atLeast"/>
        <w:jc w:val="both"/>
      </w:pPr>
      <w:r>
        <w:rPr>
          <w:rFonts w:ascii="Arial" w:eastAsia="Arial" w:hAnsi="Arial" w:cs="Arial"/>
          <w:color w:val="000000"/>
          <w:sz w:val="20"/>
        </w:rPr>
        <w:t>The EPA conducted an economic impact analysis for this proposal, as detailed in the memorandum titled Economic Impact and Small Business Analysis for the Proposed Plywood and Composite Wood Risk and Technology Review (RTR) NESHAP, which is available in the docket for this action. The economic impacts of the proposal are calculated as the percentage of annualized costs incurred by affected ultimate parent owners to their revenues. This ratio provides a measure of the direct economic impact to ultimate parent owners of PCWP facilities while presuming no impact on consumers. The EPA estimates that none of the ultimate parent owners affected by this proposal will incur annualized costs of 1.0 percent or greater of their revenues. Thus, these economic impacts are low for affected companies and the industries impacted by this proposal, and there will not be substantial impacts in the markets for affected products.E. What are the benefits?</w:t>
      </w:r>
    </w:p>
    <w:p w14:paraId="7F4FE4C7" w14:textId="77777777" w:rsidR="00054BF0" w:rsidRDefault="00000000">
      <w:pPr>
        <w:spacing w:before="200" w:line="260" w:lineRule="atLeast"/>
        <w:jc w:val="both"/>
      </w:pPr>
      <w:r>
        <w:rPr>
          <w:rFonts w:ascii="Arial" w:eastAsia="Arial" w:hAnsi="Arial" w:cs="Arial"/>
          <w:color w:val="000000"/>
          <w:sz w:val="20"/>
        </w:rPr>
        <w:t>The EPA is not proposing changes to emissions limits, and estimates the proposed changes (i.e , changes to SSM, recordkeeping, reporting, and monitoring) are not economically significant. Because these proposed amendments are not considered economically significant, as defined by Executive Order 12866, and because no emissions reductions were estimated, the EPA did not estimate any benefits from reducing emissions.VI. Request for Comments</w:t>
      </w:r>
    </w:p>
    <w:p w14:paraId="37088FA5" w14:textId="77777777" w:rsidR="00054BF0" w:rsidRDefault="00000000">
      <w:pPr>
        <w:spacing w:before="200" w:line="260" w:lineRule="atLeast"/>
        <w:jc w:val="both"/>
      </w:pPr>
      <w:r>
        <w:rPr>
          <w:rFonts w:ascii="Arial" w:eastAsia="Arial" w:hAnsi="Arial" w:cs="Arial"/>
          <w:color w:val="000000"/>
          <w:sz w:val="20"/>
        </w:rPr>
        <w:t>The EPA solicits comments on this proposed action. In addition to general comments on this proposed action, the EPA is also interested in additional data that may improve the risk assessments and other analyses. The EPA is specifically interested in receiving any improvements to the data used in the site-specific emissions profiles used for risk modeling. Such data should include supporting documentation in sufficient detail to allow characterization of the quality and representativeness of the data or information. Section VII of this preamble provides more information on submitting data.VII. Submitting Data Corrections</w:t>
      </w:r>
    </w:p>
    <w:p w14:paraId="5E7B6F67" w14:textId="77777777" w:rsidR="00054BF0" w:rsidRDefault="00000000">
      <w:pPr>
        <w:spacing w:before="240" w:line="260" w:lineRule="atLeast"/>
        <w:jc w:val="both"/>
      </w:pPr>
      <w:r>
        <w:rPr>
          <w:rFonts w:ascii="Arial" w:eastAsia="Arial" w:hAnsi="Arial" w:cs="Arial"/>
          <w:color w:val="000000"/>
          <w:sz w:val="20"/>
        </w:rPr>
        <w:lastRenderedPageBreak/>
        <w:t xml:space="preserve">The site-specific emissions profiles used in the source category risk and demographic analyses and instructions are available for download on the RTR website at </w:t>
      </w:r>
      <w:hyperlink r:id="rId472" w:history="1">
        <w:r>
          <w:rPr>
            <w:rFonts w:ascii="Arial" w:eastAsia="Arial" w:hAnsi="Arial" w:cs="Arial"/>
            <w:i/>
            <w:color w:val="0077CC"/>
            <w:sz w:val="20"/>
            <w:u w:val="single"/>
            <w:shd w:val="clear" w:color="auto" w:fill="FFFFFF"/>
          </w:rPr>
          <w:t>https://www.epa.gov/stationary-sources-air-pollution/plywood-and-composite-wood-products-manufacture-national-emission</w:t>
        </w:r>
      </w:hyperlink>
      <w:r>
        <w:rPr>
          <w:rFonts w:ascii="Arial" w:eastAsia="Arial" w:hAnsi="Arial" w:cs="Arial"/>
          <w:color w:val="000000"/>
          <w:sz w:val="20"/>
        </w:rPr>
        <w:t>. The data files include detailed information for each HAP emissions release point for the facilities in the source category.</w:t>
      </w:r>
    </w:p>
    <w:p w14:paraId="406DA0AE" w14:textId="77777777" w:rsidR="00054BF0" w:rsidRDefault="00000000">
      <w:pPr>
        <w:spacing w:before="200" w:line="260" w:lineRule="atLeast"/>
        <w:jc w:val="both"/>
      </w:pPr>
      <w:r>
        <w:rPr>
          <w:rFonts w:ascii="Arial" w:eastAsia="Arial" w:hAnsi="Arial" w:cs="Arial"/>
          <w:color w:val="000000"/>
          <w:sz w:val="20"/>
        </w:rPr>
        <w:t>If you believe that the data are not representative or are inaccurate, please identify the data in question, provide your reason for concern, and provide any “improved” data that you have, if available. When you submit data, the EPA requests that you provide documentation of the basis for the revised values to support your suggested changes. To submit comments on the data downloaded from the RTR website, complete the following steps:</w:t>
      </w:r>
    </w:p>
    <w:p w14:paraId="48B9FA05" w14:textId="77777777" w:rsidR="00054BF0" w:rsidRDefault="00000000">
      <w:pPr>
        <w:spacing w:before="200" w:line="260" w:lineRule="atLeast"/>
        <w:jc w:val="both"/>
      </w:pPr>
      <w:r>
        <w:rPr>
          <w:rFonts w:ascii="Arial" w:eastAsia="Arial" w:hAnsi="Arial" w:cs="Arial"/>
          <w:color w:val="000000"/>
          <w:sz w:val="20"/>
        </w:rPr>
        <w:t>1. Within this downloaded file, enter suggested revisions to the data fields appropriate for that information.</w:t>
      </w:r>
    </w:p>
    <w:p w14:paraId="21B95E3F" w14:textId="77777777" w:rsidR="00054BF0" w:rsidRDefault="00000000">
      <w:pPr>
        <w:spacing w:before="200" w:line="260" w:lineRule="atLeast"/>
        <w:jc w:val="both"/>
      </w:pPr>
      <w:r>
        <w:rPr>
          <w:rFonts w:ascii="Arial" w:eastAsia="Arial" w:hAnsi="Arial" w:cs="Arial"/>
          <w:color w:val="000000"/>
          <w:sz w:val="20"/>
        </w:rPr>
        <w:t>2. Fill in the commenter information fields for each suggested revision (i.e , commenter name, commenter organization, commenter email address, commenter phone number, and revision comments).</w:t>
      </w:r>
    </w:p>
    <w:p w14:paraId="5F6154DA" w14:textId="77777777" w:rsidR="00054BF0" w:rsidRDefault="00000000">
      <w:pPr>
        <w:spacing w:before="200" w:line="260" w:lineRule="atLeast"/>
        <w:jc w:val="both"/>
      </w:pPr>
      <w:r>
        <w:rPr>
          <w:rFonts w:ascii="Arial" w:eastAsia="Arial" w:hAnsi="Arial" w:cs="Arial"/>
          <w:color w:val="000000"/>
          <w:sz w:val="20"/>
        </w:rPr>
        <w:t>3. Gather documentation for any suggested emissions revisions (e.g , performance test reports, material balance calculations).</w:t>
      </w:r>
    </w:p>
    <w:p w14:paraId="3401115A" w14:textId="77777777" w:rsidR="00054BF0" w:rsidRDefault="00000000">
      <w:pPr>
        <w:spacing w:before="200" w:line="260" w:lineRule="atLeast"/>
        <w:jc w:val="both"/>
      </w:pPr>
      <w:r>
        <w:rPr>
          <w:rFonts w:ascii="Arial" w:eastAsia="Arial" w:hAnsi="Arial" w:cs="Arial"/>
          <w:color w:val="000000"/>
          <w:sz w:val="20"/>
        </w:rPr>
        <w:t>4. Send the entire downloaded file with suggested revisions in Microsoft® Access format and all accompanying documentation to Docket ID No. EPA-HQ-OAR-2016-0243 (through the method described in the ADDRESSES section of this preamble).</w:t>
      </w:r>
    </w:p>
    <w:p w14:paraId="28038197" w14:textId="77777777" w:rsidR="00054BF0" w:rsidRDefault="00000000">
      <w:pPr>
        <w:spacing w:before="240" w:line="260" w:lineRule="atLeast"/>
        <w:jc w:val="both"/>
      </w:pPr>
      <w:r>
        <w:rPr>
          <w:rFonts w:ascii="Arial" w:eastAsia="Arial" w:hAnsi="Arial" w:cs="Arial"/>
          <w:color w:val="000000"/>
          <w:sz w:val="20"/>
        </w:rPr>
        <w:t xml:space="preserve">5. If you are providing comments on a single facility or multiple facilities, you need only submit one file for all facilities. The file should contain all suggested changes for all sources at that facility (or facilities). The EPA requests that all data revision comments be submitted in the form of updated Microsoft® Excel files that are generated by the Microsoft® Access file. These files are provided on the RTR website at </w:t>
      </w:r>
      <w:hyperlink r:id="rId473" w:history="1">
        <w:r>
          <w:rPr>
            <w:rFonts w:ascii="Arial" w:eastAsia="Arial" w:hAnsi="Arial" w:cs="Arial"/>
            <w:i/>
            <w:color w:val="0077CC"/>
            <w:sz w:val="20"/>
            <w:u w:val="single"/>
            <w:shd w:val="clear" w:color="auto" w:fill="FFFFFF"/>
          </w:rPr>
          <w:t>https://www.epa.gov/stationary-sources-air-pollution/plywood-and-composite-wood-products-manufacture-national-emission.VIII</w:t>
        </w:r>
      </w:hyperlink>
      <w:r>
        <w:rPr>
          <w:rFonts w:ascii="Arial" w:eastAsia="Arial" w:hAnsi="Arial" w:cs="Arial"/>
          <w:color w:val="000000"/>
          <w:sz w:val="20"/>
        </w:rPr>
        <w:t>. Statutory and Executive Order Reviews</w:t>
      </w:r>
    </w:p>
    <w:p w14:paraId="298F33CE" w14:textId="77777777" w:rsidR="00054BF0" w:rsidRDefault="00000000">
      <w:pPr>
        <w:spacing w:before="240" w:line="260" w:lineRule="atLeast"/>
        <w:jc w:val="both"/>
      </w:pPr>
      <w:r>
        <w:rPr>
          <w:rFonts w:ascii="Arial" w:eastAsia="Arial" w:hAnsi="Arial" w:cs="Arial"/>
          <w:color w:val="000000"/>
          <w:sz w:val="20"/>
        </w:rPr>
        <w:t xml:space="preserve">Additional information about these statutes and Executive Orders can be found at </w:t>
      </w:r>
      <w:hyperlink r:id="rId474" w:history="1">
        <w:r>
          <w:rPr>
            <w:rFonts w:ascii="Arial" w:eastAsia="Arial" w:hAnsi="Arial" w:cs="Arial"/>
            <w:i/>
            <w:color w:val="0077CC"/>
            <w:sz w:val="20"/>
            <w:u w:val="single"/>
            <w:shd w:val="clear" w:color="auto" w:fill="FFFFFF"/>
          </w:rPr>
          <w:t>https://www.epa.gov/laws-regulations/laws-and-executive-orders.A</w:t>
        </w:r>
      </w:hyperlink>
      <w:r>
        <w:rPr>
          <w:rFonts w:ascii="Arial" w:eastAsia="Arial" w:hAnsi="Arial" w:cs="Arial"/>
          <w:color w:val="000000"/>
          <w:sz w:val="20"/>
        </w:rPr>
        <w:t>. Executive Order 12866: Regulatory Planning and Review and Executive Order 13563: Improving Regulation and Regulatory Review</w:t>
      </w:r>
    </w:p>
    <w:p w14:paraId="75C33748" w14:textId="77777777" w:rsidR="00054BF0" w:rsidRDefault="00000000">
      <w:pPr>
        <w:spacing w:before="200" w:line="260" w:lineRule="atLeast"/>
        <w:jc w:val="both"/>
      </w:pPr>
      <w:r>
        <w:rPr>
          <w:rFonts w:ascii="Arial" w:eastAsia="Arial" w:hAnsi="Arial" w:cs="Arial"/>
          <w:color w:val="000000"/>
          <w:sz w:val="20"/>
        </w:rPr>
        <w:t>This action is not a significant regulatory action and was, therefore, not submitted to OMB for review.B. Executive Order 13771: Reducing Regulation and Controlling Regulatory Costs</w:t>
      </w:r>
    </w:p>
    <w:p w14:paraId="5D2CB001" w14:textId="77777777" w:rsidR="00054BF0" w:rsidRDefault="00000000">
      <w:pPr>
        <w:spacing w:before="200" w:line="260" w:lineRule="atLeast"/>
        <w:jc w:val="both"/>
      </w:pPr>
      <w:r>
        <w:rPr>
          <w:rFonts w:ascii="Arial" w:eastAsia="Arial" w:hAnsi="Arial" w:cs="Arial"/>
          <w:color w:val="000000"/>
          <w:sz w:val="20"/>
        </w:rPr>
        <w:t>This action is not expected to be an Executive Order 13771 regulatory action because this action is not significant under Executive Order 12866.C. Paperwork Reduction Act (PRA)</w:t>
      </w:r>
    </w:p>
    <w:p w14:paraId="1668F11B" w14:textId="77777777" w:rsidR="00054BF0" w:rsidRDefault="00000000">
      <w:pPr>
        <w:spacing w:before="200" w:line="260" w:lineRule="atLeast"/>
        <w:jc w:val="both"/>
      </w:pPr>
      <w:r>
        <w:rPr>
          <w:rFonts w:ascii="Arial" w:eastAsia="Arial" w:hAnsi="Arial" w:cs="Arial"/>
          <w:color w:val="000000"/>
          <w:sz w:val="20"/>
        </w:rPr>
        <w:t>The information collection activities in this proposed rule have been submitted for approval to OMB under the PRA. The ICR document that the EPA prepared has been assigned EPA ICR number 1984.08 You can find a copy of the ICR in the docket for this rule, and it is briefly summarized here.</w:t>
      </w:r>
    </w:p>
    <w:p w14:paraId="52F64B02" w14:textId="77777777" w:rsidR="00054BF0" w:rsidRDefault="00000000">
      <w:pPr>
        <w:spacing w:before="200" w:line="260" w:lineRule="atLeast"/>
        <w:jc w:val="both"/>
      </w:pPr>
      <w:r>
        <w:rPr>
          <w:rFonts w:ascii="Arial" w:eastAsia="Arial" w:hAnsi="Arial" w:cs="Arial"/>
          <w:color w:val="000000"/>
          <w:sz w:val="20"/>
        </w:rPr>
        <w:t>The information is being collected to assure compliance with 40 CFR part 63, subpart DDDD. The information requirements are based on notification, recordkeeping, and reporting requirements in the NESHAP General Provisions (40 CFR part 63, subpart A), which are mandatory for all operators subject to national emissions standards. The information collection activities also include paperwork requirements associated with initial and repeat performance testing and parameter monitoring. The proposed amendments to the rule would eliminate the paperwork requirements associated with the SSM plan and recordkeeping of SSM events and require electronic submittal of performance test results and semiannual compliance reports. These recordkeeping and reporting requirements are specifically authorized by CAA section 114 (42 U.S.C 7414).</w:t>
      </w:r>
    </w:p>
    <w:p w14:paraId="4DA88064" w14:textId="77777777" w:rsidR="00054BF0" w:rsidRDefault="00000000">
      <w:pPr>
        <w:spacing w:before="200" w:line="260" w:lineRule="atLeast"/>
        <w:jc w:val="both"/>
      </w:pPr>
      <w:r>
        <w:rPr>
          <w:rFonts w:ascii="Arial" w:eastAsia="Arial" w:hAnsi="Arial" w:cs="Arial"/>
          <w:color w:val="000000"/>
          <w:sz w:val="20"/>
        </w:rPr>
        <w:t>Respondents/affected entities: Owners and operators of facilities subject to 40 CFR part 63, subpart DDDD, that produce plywood, composite wood products, or kiln-dried lumber.</w:t>
      </w:r>
    </w:p>
    <w:p w14:paraId="54524F0C" w14:textId="77777777" w:rsidR="00054BF0" w:rsidRDefault="00000000">
      <w:pPr>
        <w:spacing w:before="200" w:line="260" w:lineRule="atLeast"/>
        <w:jc w:val="both"/>
      </w:pPr>
      <w:r>
        <w:rPr>
          <w:rFonts w:ascii="Arial" w:eastAsia="Arial" w:hAnsi="Arial" w:cs="Arial"/>
          <w:color w:val="000000"/>
          <w:sz w:val="20"/>
        </w:rPr>
        <w:lastRenderedPageBreak/>
        <w:t>Respondent's obligation to respond: Mandatory (40 CFR part 63, subpart DDDD).</w:t>
      </w:r>
    </w:p>
    <w:p w14:paraId="74AF6D93" w14:textId="77777777" w:rsidR="00054BF0" w:rsidRDefault="00000000">
      <w:pPr>
        <w:spacing w:before="200" w:line="260" w:lineRule="atLeast"/>
        <w:jc w:val="both"/>
      </w:pPr>
      <w:r>
        <w:rPr>
          <w:rFonts w:ascii="Arial" w:eastAsia="Arial" w:hAnsi="Arial" w:cs="Arial"/>
          <w:color w:val="000000"/>
          <w:sz w:val="20"/>
        </w:rPr>
        <w:t>Estimated number of respondents: 244 facilities (including existing and new facilities projected to begin reporting during the ICR period).</w:t>
      </w:r>
    </w:p>
    <w:p w14:paraId="090BA807" w14:textId="77777777" w:rsidR="00054BF0" w:rsidRDefault="00000000">
      <w:pPr>
        <w:spacing w:before="200" w:line="260" w:lineRule="atLeast"/>
        <w:jc w:val="both"/>
      </w:pPr>
      <w:r>
        <w:rPr>
          <w:rFonts w:ascii="Arial" w:eastAsia="Arial" w:hAnsi="Arial" w:cs="Arial"/>
          <w:color w:val="000000"/>
          <w:sz w:val="20"/>
        </w:rPr>
        <w:t>Frequency of response: The frequency varies depending on the type of response (e.g , initial notification, semiannual compliance report).</w:t>
      </w:r>
    </w:p>
    <w:p w14:paraId="1F39BF54" w14:textId="77777777" w:rsidR="00054BF0" w:rsidRDefault="00000000">
      <w:pPr>
        <w:spacing w:before="200" w:line="260" w:lineRule="atLeast"/>
        <w:jc w:val="both"/>
      </w:pPr>
      <w:r>
        <w:rPr>
          <w:rFonts w:ascii="Arial" w:eastAsia="Arial" w:hAnsi="Arial" w:cs="Arial"/>
          <w:color w:val="000000"/>
          <w:sz w:val="20"/>
        </w:rPr>
        <w:t>Total estimated burden: 39,700 hours (per year). Burden is defined at 5 CFR 1320.3(b).</w:t>
      </w:r>
    </w:p>
    <w:p w14:paraId="056DC87E" w14:textId="77777777" w:rsidR="00054BF0" w:rsidRDefault="00000000">
      <w:pPr>
        <w:spacing w:before="200" w:line="260" w:lineRule="atLeast"/>
        <w:jc w:val="both"/>
      </w:pPr>
      <w:r>
        <w:rPr>
          <w:rFonts w:ascii="Arial" w:eastAsia="Arial" w:hAnsi="Arial" w:cs="Arial"/>
          <w:color w:val="000000"/>
          <w:sz w:val="20"/>
        </w:rPr>
        <w:t>Total estimated cost: $6,930,000 (per year), includes $2,365,000 annualized capital or operation and maintenance costs.</w:t>
      </w:r>
    </w:p>
    <w:p w14:paraId="5FB14E7B" w14:textId="77777777" w:rsidR="00054BF0" w:rsidRDefault="00000000">
      <w:pPr>
        <w:spacing w:before="200" w:line="260" w:lineRule="atLeast"/>
        <w:jc w:val="both"/>
      </w:pPr>
      <w:r>
        <w:rPr>
          <w:rFonts w:ascii="Arial" w:eastAsia="Arial" w:hAnsi="Arial" w:cs="Arial"/>
          <w:color w:val="000000"/>
          <w:sz w:val="20"/>
        </w:rPr>
        <w:t>An agency may not conduct or sponsor, and a person is not required to respond to, a collection of information unless it displays a currently valid OMB control number. The OMB control numbers for the EPA's regulations in 40 CFR are listed in 40 CFR part 9.</w:t>
      </w:r>
    </w:p>
    <w:p w14:paraId="301CB42E" w14:textId="77777777" w:rsidR="00054BF0" w:rsidRDefault="00000000">
      <w:pPr>
        <w:spacing w:before="240" w:line="260" w:lineRule="atLeast"/>
        <w:jc w:val="both"/>
      </w:pPr>
      <w:r>
        <w:rPr>
          <w:rFonts w:ascii="Arial" w:eastAsia="Arial" w:hAnsi="Arial" w:cs="Arial"/>
          <w:color w:val="000000"/>
          <w:sz w:val="20"/>
        </w:rPr>
        <w:t xml:space="preserve">Submit your comments on the Agency's need for this information, the accuracy of the provided burden estimates, and any suggested methods for minimizing respondent burden to the EPA using the docket identified at the beginning of this rule. You may also send your ICR-related comments to OMB's Office of Information and Regulatory Affairs via email to OIRA at </w:t>
      </w:r>
      <w:hyperlink r:id="rId475" w:history="1">
        <w:r>
          <w:rPr>
            <w:rFonts w:ascii="Arial" w:eastAsia="Arial" w:hAnsi="Arial" w:cs="Arial"/>
            <w:i/>
            <w:color w:val="0077CC"/>
            <w:sz w:val="20"/>
            <w:u w:val="single"/>
            <w:shd w:val="clear" w:color="auto" w:fill="FFFFFF"/>
          </w:rPr>
          <w:t>oira_submission@omb.eop.gov</w:t>
        </w:r>
      </w:hyperlink>
      <w:r>
        <w:rPr>
          <w:rFonts w:ascii="Arial" w:eastAsia="Arial" w:hAnsi="Arial" w:cs="Arial"/>
          <w:color w:val="000000"/>
          <w:sz w:val="20"/>
        </w:rPr>
        <w:t>, Attention: Desk Officer for the EPA. Since OMB is required to make a decision concerning the ICR between 30 and 60 days after receipt, OMB must receive comments no later than October 7, 2019. The EPA will respond to any ICR-related comments in the final rule.D. Regulatory Flexibility Act (RFA)</w:t>
      </w:r>
    </w:p>
    <w:p w14:paraId="583906FA" w14:textId="77777777" w:rsidR="00054BF0" w:rsidRDefault="00000000">
      <w:pPr>
        <w:spacing w:before="200" w:line="260" w:lineRule="atLeast"/>
        <w:jc w:val="both"/>
      </w:pPr>
      <w:r>
        <w:rPr>
          <w:rFonts w:ascii="Arial" w:eastAsia="Arial" w:hAnsi="Arial" w:cs="Arial"/>
          <w:color w:val="000000"/>
          <w:sz w:val="20"/>
        </w:rPr>
        <w:t>I certify that this action will not have a significant economic impact on a substantial number of small entities under the RFA. In making this determination, the impact of concern is any significant adverse economic impact on small entities. An agency may certify that a rule will not have a significant economic impact on a substantial number of small entities if the rule relieves regulatory burden, has no net burden, or otherwise has a positive economic effect on the small entities subject to the rule. Of the 69 ultimate parent entities that are subject to the rule, 28 are small according to the Small Business Administration's small business size standards and standards regarding other entities (e.g , federally recognized tribes). None of the 28 small entities have annualized costs of 1 percent or greater of sales. The EPA has, therefore, concluded that this action will not have a significant impact on a substantial number of small entities.E. Unfunded Mandates Reform Act (UMRA)</w:t>
      </w:r>
    </w:p>
    <w:p w14:paraId="1ECD7C7D" w14:textId="77777777" w:rsidR="00054BF0" w:rsidRDefault="00000000">
      <w:pPr>
        <w:spacing w:before="200" w:line="260" w:lineRule="atLeast"/>
        <w:jc w:val="both"/>
      </w:pPr>
      <w:r>
        <w:rPr>
          <w:rFonts w:ascii="Arial" w:eastAsia="Arial" w:hAnsi="Arial" w:cs="Arial"/>
          <w:color w:val="000000"/>
          <w:sz w:val="20"/>
        </w:rPr>
        <w:t>This action does not contain any unfunded mandate as described in UMRA, 2 U.S.C 1531-1538, and does not significantly or uniquely affect small governments. The action imposes no enforceable duty on any state, local, or tribal governments or the private sector.F. Executive Order 13132: Federalism</w:t>
      </w:r>
    </w:p>
    <w:p w14:paraId="4C2D8ED1" w14:textId="77777777" w:rsidR="00054BF0" w:rsidRDefault="00000000">
      <w:pPr>
        <w:spacing w:before="200" w:line="260" w:lineRule="atLeast"/>
        <w:jc w:val="both"/>
      </w:pPr>
      <w:r>
        <w:rPr>
          <w:rFonts w:ascii="Arial" w:eastAsia="Arial" w:hAnsi="Arial" w:cs="Arial"/>
          <w:color w:val="000000"/>
          <w:sz w:val="20"/>
        </w:rPr>
        <w:t>This action does not have federalism implications. It will not have substantial direct effects on the states, on the relationship between the national government and the states, or on the distribution of power and responsibilities among the various levels of government.G. Executive Order 13175: Consultation and Coordination With Indian Tribal Governments</w:t>
      </w:r>
    </w:p>
    <w:p w14:paraId="0ACCC5BD" w14:textId="77777777" w:rsidR="00054BF0" w:rsidRDefault="00000000">
      <w:pPr>
        <w:spacing w:before="200" w:line="260" w:lineRule="atLeast"/>
        <w:jc w:val="both"/>
      </w:pPr>
      <w:r>
        <w:rPr>
          <w:rFonts w:ascii="Arial" w:eastAsia="Arial" w:hAnsi="Arial" w:cs="Arial"/>
          <w:color w:val="000000"/>
          <w:sz w:val="20"/>
        </w:rPr>
        <w:t>This action does not have tribal implications as specified in Executive Order 13175. It will not have substantial direct effects on tribal governments, on the relationship between the federal government and Indian tribes, or on the distribution of power and responsibilities between the federal government and Indian tribes. No tribal governments own facilities that are impacted by the proposed changes to the NESHAP. Thus, Executive Order 13175 does not apply to this action.H. Executive Order 13045: Protection of Children From Environmental Health Risks and Safety Risks</w:t>
      </w:r>
    </w:p>
    <w:p w14:paraId="6CCAA705" w14:textId="77777777" w:rsidR="00054BF0" w:rsidRDefault="00000000">
      <w:pPr>
        <w:spacing w:before="200" w:line="260" w:lineRule="atLeast"/>
        <w:jc w:val="both"/>
      </w:pPr>
      <w:r>
        <w:rPr>
          <w:rFonts w:ascii="Arial" w:eastAsia="Arial" w:hAnsi="Arial" w:cs="Arial"/>
          <w:color w:val="000000"/>
          <w:sz w:val="20"/>
        </w:rPr>
        <w:t xml:space="preserve">This action is not subject to Executive Order 13045 because it is not economically significant as defined in Executive Order 12866, and because the EPA does not believe the environmental health or safety risks addressed by this action present a disproportionate risk to children. This action's health and risk assessments are contained in </w:t>
      </w:r>
      <w:r>
        <w:rPr>
          <w:rFonts w:ascii="Arial" w:eastAsia="Arial" w:hAnsi="Arial" w:cs="Arial"/>
          <w:color w:val="000000"/>
          <w:sz w:val="20"/>
        </w:rPr>
        <w:lastRenderedPageBreak/>
        <w:t>sections III and IV of this preamble and further documented in the risk report titled Residual Risk Assessment for the Plywood and Composite Wood Products Source Category in Support of the 2019 Risk and Technology Review Proposed Rule, which can be found in the docket for this action.I. Executive Order 13211: Actions Concerning Regulations That Significantly Affect Energy Supply, Distribution, or Use</w:t>
      </w:r>
    </w:p>
    <w:p w14:paraId="35764FF8" w14:textId="77777777" w:rsidR="00054BF0" w:rsidRDefault="00000000">
      <w:pPr>
        <w:spacing w:before="200" w:line="260" w:lineRule="atLeast"/>
        <w:jc w:val="both"/>
      </w:pPr>
      <w:r>
        <w:rPr>
          <w:rFonts w:ascii="Arial" w:eastAsia="Arial" w:hAnsi="Arial" w:cs="Arial"/>
          <w:color w:val="000000"/>
          <w:sz w:val="20"/>
        </w:rPr>
        <w:t>This action is not subject to Executive Order 13211, because it is not a significant regulatory action under Executive Order 12866.J. National Technology Transfer and Advancement Act (NTTAA) and 1 CFR Part 51</w:t>
      </w:r>
    </w:p>
    <w:p w14:paraId="16E6BF54" w14:textId="77777777" w:rsidR="00054BF0" w:rsidRDefault="00000000">
      <w:pPr>
        <w:spacing w:before="200" w:line="260" w:lineRule="atLeast"/>
        <w:jc w:val="both"/>
      </w:pPr>
      <w:r>
        <w:rPr>
          <w:rFonts w:ascii="Arial" w:eastAsia="Arial" w:hAnsi="Arial" w:cs="Arial"/>
          <w:color w:val="000000"/>
          <w:sz w:val="20"/>
        </w:rPr>
        <w:t>This action involves technical standards. The EPA proposes to use the standards currently listed in Table 4 of the rule (40 CFR part 63, subpart DDDD). While the EPA has identified another 18 voluntary consensus standards (VCS) as being potentially applicable to this proposed rule, the EPA has decided not to use these VCS in this rulemaking. The use of these VCS would not be practical due to lack of equivalency, documentation, validation date, and other important technical and policy considerations. See the memorandum titled Voluntary Consensus Standard Results for NESHAP: Plywood and Composite Wood Products RTR, in the docket for this proposed rule for the reasons for these determinations.</w:t>
      </w:r>
    </w:p>
    <w:p w14:paraId="2D46B203" w14:textId="4AE3665F" w:rsidR="00054BF0" w:rsidRDefault="00000000">
      <w:pPr>
        <w:spacing w:before="200" w:line="260" w:lineRule="atLeast"/>
        <w:jc w:val="both"/>
      </w:pPr>
      <w:r>
        <w:rPr>
          <w:rFonts w:ascii="Arial" w:eastAsia="Arial" w:hAnsi="Arial" w:cs="Arial"/>
          <w:color w:val="000000"/>
          <w:sz w:val="20"/>
        </w:rPr>
        <w:t>The EPA proposes to amend 40 CFR 63.14 to incorporate by reference EPA Method 0011 for measurement of formaldehyde. EPA Method 0011 (Revision 0, December 1996) is available in “Test Methods for Evaluating Solid Waste, Physical/Chemical Methods”</w:t>
      </w:r>
      <w:r w:rsidR="001519AA">
        <w:rPr>
          <w:rFonts w:ascii="Arial" w:eastAsia="Arial" w:hAnsi="Arial" w:cs="Arial"/>
          <w:color w:val="000000"/>
          <w:sz w:val="20"/>
        </w:rPr>
        <w:t xml:space="preserve">, </w:t>
      </w:r>
      <w:r>
        <w:rPr>
          <w:rFonts w:ascii="Arial" w:eastAsia="Arial" w:hAnsi="Arial" w:cs="Arial"/>
          <w:color w:val="000000"/>
          <w:sz w:val="20"/>
        </w:rPr>
        <w:t>EPA Publication No. SW-846. This method was included in the PCWP rule when it was promulgated in 2004.</w:t>
      </w:r>
    </w:p>
    <w:p w14:paraId="0C27F549" w14:textId="77777777" w:rsidR="00054BF0" w:rsidRDefault="00000000">
      <w:pPr>
        <w:spacing w:before="200" w:line="260" w:lineRule="atLeast"/>
        <w:jc w:val="both"/>
      </w:pPr>
      <w:r>
        <w:rPr>
          <w:rFonts w:ascii="Arial" w:eastAsia="Arial" w:hAnsi="Arial" w:cs="Arial"/>
          <w:color w:val="000000"/>
          <w:sz w:val="20"/>
        </w:rPr>
        <w:t>Under 40 CFR 63.7(f) and 40 CFR 63.8(f) of subpart A of the General Provisions, a source may apply to the EPA for permission to use alternative test methods or alternative monitoring requirements in place of any required testing methods, performance specifications, or procedures in the final rule or any amendments.</w:t>
      </w:r>
    </w:p>
    <w:p w14:paraId="73F99CFA" w14:textId="77777777" w:rsidR="00054BF0" w:rsidRDefault="00000000">
      <w:pPr>
        <w:spacing w:before="200" w:line="260" w:lineRule="atLeast"/>
        <w:jc w:val="both"/>
      </w:pPr>
      <w:r>
        <w:rPr>
          <w:rFonts w:ascii="Arial" w:eastAsia="Arial" w:hAnsi="Arial" w:cs="Arial"/>
          <w:color w:val="000000"/>
          <w:sz w:val="20"/>
        </w:rPr>
        <w:t>The EPA welcomes comments on this aspect of the proposed rulemaking and, specifically, invites the public to identify potentially applicable VCS and to explain why such standards should be used in this regulation.K. Executive Order 12898: Federal Actions To Address Environmental Justice in Minority Populations and Low-Income Populations</w:t>
      </w:r>
    </w:p>
    <w:p w14:paraId="4A080A25" w14:textId="77777777" w:rsidR="00054BF0" w:rsidRDefault="00000000">
      <w:pPr>
        <w:spacing w:before="200" w:line="260" w:lineRule="atLeast"/>
        <w:jc w:val="both"/>
      </w:pPr>
      <w:r>
        <w:rPr>
          <w:rFonts w:ascii="Arial" w:eastAsia="Arial" w:hAnsi="Arial" w:cs="Arial"/>
          <w:color w:val="000000"/>
          <w:sz w:val="20"/>
        </w:rPr>
        <w:t>The EPA believes that this action does not have disproportionately high and adverse human health or environmental effects on minority populations, low-income populations, and/or indigenous peoples, as specified in Executive Order 12898 (59 FR 7629, February 16, 1994).</w:t>
      </w:r>
    </w:p>
    <w:p w14:paraId="317A19DD" w14:textId="77777777" w:rsidR="00054BF0" w:rsidRDefault="00000000">
      <w:pPr>
        <w:spacing w:before="200" w:line="260" w:lineRule="atLeast"/>
        <w:jc w:val="both"/>
      </w:pPr>
      <w:r>
        <w:rPr>
          <w:rFonts w:ascii="Arial" w:eastAsia="Arial" w:hAnsi="Arial" w:cs="Arial"/>
          <w:color w:val="000000"/>
          <w:sz w:val="20"/>
        </w:rPr>
        <w:t>The documentation for this decision is contained in section IV.A.6 of this preamble and the technical report, Risk and Technology Review—Analysis of Demographic Factors for Populations Living Near Plywood and Composite Wood Products Source Category, in the public docket for this action.List of Subjects in 40 CFR Part 63</w:t>
      </w:r>
    </w:p>
    <w:p w14:paraId="343F06C2" w14:textId="77777777" w:rsidR="00054BF0" w:rsidRDefault="00000000">
      <w:pPr>
        <w:spacing w:before="200" w:line="260" w:lineRule="atLeast"/>
        <w:jc w:val="both"/>
      </w:pPr>
      <w:r>
        <w:rPr>
          <w:rFonts w:ascii="Arial" w:eastAsia="Arial" w:hAnsi="Arial" w:cs="Arial"/>
          <w:color w:val="000000"/>
          <w:sz w:val="20"/>
        </w:rPr>
        <w:t>Environmental protection, Air pollution control, Hazardous substances, Incorporation by reference, Reporting and recordkeeping requirements.Dated: August 22, 2019.Andrew R. Wheeler,Administrator.</w:t>
      </w:r>
    </w:p>
    <w:p w14:paraId="70F30149" w14:textId="77777777" w:rsidR="00054BF0" w:rsidRDefault="00000000">
      <w:pPr>
        <w:spacing w:before="200" w:line="260" w:lineRule="atLeast"/>
        <w:jc w:val="both"/>
      </w:pPr>
      <w:r>
        <w:rPr>
          <w:rFonts w:ascii="Arial" w:eastAsia="Arial" w:hAnsi="Arial" w:cs="Arial"/>
          <w:color w:val="000000"/>
          <w:sz w:val="20"/>
        </w:rPr>
        <w:t>For the reasons set out in the preamble, 40 CFR part 63 is proposed to be amended as follows:Part 63 National Emission Standards for Hazardous Air Pollutants for Source Categories</w:t>
      </w:r>
    </w:p>
    <w:p w14:paraId="3585524B" w14:textId="77777777" w:rsidR="00054BF0" w:rsidRDefault="00000000">
      <w:pPr>
        <w:spacing w:before="200" w:line="260" w:lineRule="atLeast"/>
        <w:jc w:val="both"/>
      </w:pPr>
      <w:r>
        <w:rPr>
          <w:rFonts w:ascii="Arial" w:eastAsia="Arial" w:hAnsi="Arial" w:cs="Arial"/>
          <w:color w:val="000000"/>
          <w:sz w:val="20"/>
        </w:rPr>
        <w:t>1. The authority citation for part 63 continues to read as follows:Authority</w:t>
      </w:r>
    </w:p>
    <w:p w14:paraId="56B2DBFD" w14:textId="77777777" w:rsidR="00054BF0" w:rsidRDefault="00000000">
      <w:pPr>
        <w:spacing w:before="200" w:line="260" w:lineRule="atLeast"/>
        <w:jc w:val="both"/>
      </w:pPr>
      <w:r>
        <w:rPr>
          <w:rFonts w:ascii="Arial" w:eastAsia="Arial" w:hAnsi="Arial" w:cs="Arial"/>
          <w:color w:val="000000"/>
          <w:sz w:val="20"/>
        </w:rPr>
        <w:t>42 U.S.C 7401 et seq.</w:t>
      </w:r>
    </w:p>
    <w:p w14:paraId="26AE6376" w14:textId="77777777" w:rsidR="00054BF0" w:rsidRDefault="00000000">
      <w:pPr>
        <w:spacing w:before="200" w:line="260" w:lineRule="atLeast"/>
        <w:jc w:val="both"/>
      </w:pPr>
      <w:r>
        <w:rPr>
          <w:rFonts w:ascii="Arial" w:eastAsia="Arial" w:hAnsi="Arial" w:cs="Arial"/>
          <w:color w:val="000000"/>
          <w:sz w:val="20"/>
        </w:rPr>
        <w:t>2. Section 63.14 is amended by redesignating paragraphs (n)(7) through (24) as (n)(8) through (25) and adding new paragraph (n)(7) to read as follows:§ 63.14Incorporations by reference.</w:t>
      </w:r>
    </w:p>
    <w:p w14:paraId="0B2A6496" w14:textId="77777777" w:rsidR="00054BF0" w:rsidRDefault="00000000">
      <w:pPr>
        <w:spacing w:before="200" w:line="260" w:lineRule="atLeast"/>
        <w:jc w:val="both"/>
      </w:pPr>
      <w:r>
        <w:rPr>
          <w:rFonts w:ascii="Arial" w:eastAsia="Arial" w:hAnsi="Arial" w:cs="Arial"/>
          <w:color w:val="000000"/>
          <w:sz w:val="20"/>
        </w:rPr>
        <w:t>* * * * *</w:t>
      </w:r>
    </w:p>
    <w:p w14:paraId="7461833D" w14:textId="77777777" w:rsidR="00054BF0" w:rsidRDefault="00000000">
      <w:pPr>
        <w:spacing w:before="200" w:line="260" w:lineRule="atLeast"/>
        <w:jc w:val="both"/>
      </w:pPr>
      <w:r>
        <w:rPr>
          <w:rFonts w:ascii="Arial" w:eastAsia="Arial" w:hAnsi="Arial" w:cs="Arial"/>
          <w:color w:val="000000"/>
          <w:sz w:val="20"/>
        </w:rPr>
        <w:t>(n) * * *</w:t>
      </w:r>
    </w:p>
    <w:p w14:paraId="5BF4B691" w14:textId="77777777" w:rsidR="00054BF0" w:rsidRDefault="00000000">
      <w:pPr>
        <w:spacing w:before="200" w:line="260" w:lineRule="atLeast"/>
        <w:jc w:val="both"/>
      </w:pPr>
      <w:r>
        <w:rPr>
          <w:rFonts w:ascii="Arial" w:eastAsia="Arial" w:hAnsi="Arial" w:cs="Arial"/>
          <w:color w:val="000000"/>
          <w:sz w:val="20"/>
        </w:rPr>
        <w:lastRenderedPageBreak/>
        <w:t>(7) SW-846-0011, Sampling for Selected Aldehyde and Ketone Emissions from Stationary Sources, Revision 0, December 1996, in EPA Publication No. SW-846, Test Methods for Evaluating Solid Waste, Physical/Chemical Methods, IBR approved for table 4 to subpart DDDD.</w:t>
      </w:r>
    </w:p>
    <w:p w14:paraId="560CB8CF" w14:textId="77777777" w:rsidR="00054BF0" w:rsidRDefault="00000000">
      <w:pPr>
        <w:spacing w:before="200" w:line="260" w:lineRule="atLeast"/>
        <w:jc w:val="both"/>
      </w:pPr>
      <w:r>
        <w:rPr>
          <w:rFonts w:ascii="Arial" w:eastAsia="Arial" w:hAnsi="Arial" w:cs="Arial"/>
          <w:color w:val="000000"/>
          <w:sz w:val="20"/>
        </w:rPr>
        <w:t>* * * * *Subpart Dddd Amended</w:t>
      </w:r>
    </w:p>
    <w:p w14:paraId="411AB8C3" w14:textId="77777777" w:rsidR="00054BF0" w:rsidRDefault="00000000">
      <w:pPr>
        <w:spacing w:before="200" w:line="260" w:lineRule="atLeast"/>
        <w:jc w:val="both"/>
      </w:pPr>
      <w:r>
        <w:rPr>
          <w:rFonts w:ascii="Arial" w:eastAsia="Arial" w:hAnsi="Arial" w:cs="Arial"/>
          <w:color w:val="000000"/>
          <w:sz w:val="20"/>
        </w:rPr>
        <w:t>3. Section 63.2233 is amended by revising paragraphs (a)(1) and (2) and paragraph (b) to read as follows:§ 63.2233When do I have to comply with this subpart?</w:t>
      </w:r>
    </w:p>
    <w:p w14:paraId="392EE955" w14:textId="77777777" w:rsidR="00054BF0" w:rsidRDefault="00000000">
      <w:pPr>
        <w:spacing w:before="200" w:line="260" w:lineRule="atLeast"/>
        <w:jc w:val="both"/>
      </w:pPr>
      <w:r>
        <w:rPr>
          <w:rFonts w:ascii="Arial" w:eastAsia="Arial" w:hAnsi="Arial" w:cs="Arial"/>
          <w:color w:val="000000"/>
          <w:sz w:val="20"/>
        </w:rPr>
        <w:t>(a) * * *</w:t>
      </w:r>
    </w:p>
    <w:p w14:paraId="57BA2936" w14:textId="77777777" w:rsidR="00054BF0" w:rsidRDefault="00000000">
      <w:pPr>
        <w:spacing w:before="200" w:line="260" w:lineRule="atLeast"/>
        <w:jc w:val="both"/>
      </w:pPr>
      <w:r>
        <w:rPr>
          <w:rFonts w:ascii="Arial" w:eastAsia="Arial" w:hAnsi="Arial" w:cs="Arial"/>
          <w:color w:val="000000"/>
          <w:sz w:val="20"/>
        </w:rPr>
        <w:t xml:space="preserve">(1) If the initial </w:t>
      </w:r>
      <w:r>
        <w:rPr>
          <w:rFonts w:ascii="Arial" w:eastAsia="Arial" w:hAnsi="Arial" w:cs="Arial"/>
          <w:b/>
          <w:i/>
          <w:color w:val="000000"/>
          <w:sz w:val="20"/>
          <w:u w:val="single"/>
        </w:rPr>
        <w:t>startup</w:t>
      </w:r>
      <w:r>
        <w:rPr>
          <w:rFonts w:ascii="Arial" w:eastAsia="Arial" w:hAnsi="Arial" w:cs="Arial"/>
          <w:color w:val="000000"/>
          <w:sz w:val="20"/>
        </w:rPr>
        <w:t xml:space="preserve"> of your affected source is before September 28, 2004, then you must comply with the compliance options, operating requirements, and work practice requirements for new and reconstructed sources in this subpart no later than September 28, 2004, except as otherwise specified in §§ 63.2250, 63.2280(b) and (d), 63.2281(b)(6), 63.2282(a)(2) and Tables 3, 7, 9, and 10 to this subpart.</w:t>
      </w:r>
    </w:p>
    <w:p w14:paraId="1BCBD376" w14:textId="77777777" w:rsidR="00054BF0" w:rsidRDefault="00000000">
      <w:pPr>
        <w:spacing w:before="200" w:line="260" w:lineRule="atLeast"/>
        <w:jc w:val="both"/>
      </w:pPr>
      <w:r>
        <w:rPr>
          <w:rFonts w:ascii="Arial" w:eastAsia="Arial" w:hAnsi="Arial" w:cs="Arial"/>
          <w:color w:val="000000"/>
          <w:sz w:val="20"/>
        </w:rPr>
        <w:t xml:space="preserve">(2) If the initial </w:t>
      </w:r>
      <w:r>
        <w:rPr>
          <w:rFonts w:ascii="Arial" w:eastAsia="Arial" w:hAnsi="Arial" w:cs="Arial"/>
          <w:b/>
          <w:i/>
          <w:color w:val="000000"/>
          <w:sz w:val="20"/>
          <w:u w:val="single"/>
        </w:rPr>
        <w:t>startup</w:t>
      </w:r>
      <w:r>
        <w:rPr>
          <w:rFonts w:ascii="Arial" w:eastAsia="Arial" w:hAnsi="Arial" w:cs="Arial"/>
          <w:color w:val="000000"/>
          <w:sz w:val="20"/>
        </w:rPr>
        <w:t xml:space="preserve"> of your affected source is after September 28, 2004, then you must comply with the compliance options, operating requirements, and work practice requirements for new and reconstructed sources in this subpart upon initial </w:t>
      </w:r>
      <w:r>
        <w:rPr>
          <w:rFonts w:ascii="Arial" w:eastAsia="Arial" w:hAnsi="Arial" w:cs="Arial"/>
          <w:b/>
          <w:i/>
          <w:color w:val="000000"/>
          <w:sz w:val="20"/>
          <w:u w:val="single"/>
        </w:rPr>
        <w:t>startup</w:t>
      </w:r>
      <w:r>
        <w:rPr>
          <w:rFonts w:ascii="Arial" w:eastAsia="Arial" w:hAnsi="Arial" w:cs="Arial"/>
          <w:color w:val="000000"/>
          <w:sz w:val="20"/>
        </w:rPr>
        <w:t xml:space="preserve"> of your affected source, except as otherwise specified in §§ 63.2250, 63.2280(b) and (d), 63.2281(b)(6), 63.2282(a)(2) and Tables 3, 7, 9, and 10 to this subpart.</w:t>
      </w:r>
    </w:p>
    <w:p w14:paraId="757C1D59" w14:textId="77777777" w:rsidR="00054BF0" w:rsidRDefault="00000000">
      <w:pPr>
        <w:spacing w:before="200" w:line="260" w:lineRule="atLeast"/>
        <w:jc w:val="both"/>
      </w:pPr>
      <w:r>
        <w:rPr>
          <w:rFonts w:ascii="Arial" w:eastAsia="Arial" w:hAnsi="Arial" w:cs="Arial"/>
          <w:color w:val="000000"/>
          <w:sz w:val="20"/>
        </w:rPr>
        <w:t>(b) If you have an existing affected source, you must comply with the compliance options, operating requirements, and work practice requirements for existing sources no later than October 1, 2007, except as otherwise specified in §§ 63.2240(c)(2)(vi)(A), 63.2250, 63.2280(b) and (d), 63.2281(b)(6) and (c)(4), 63.2282(a)(2) and Tables 3, 7, 9, and 10 to this subpart.</w:t>
      </w:r>
    </w:p>
    <w:p w14:paraId="357EC41D" w14:textId="77777777" w:rsidR="00054BF0" w:rsidRDefault="00000000">
      <w:pPr>
        <w:spacing w:before="200" w:line="260" w:lineRule="atLeast"/>
        <w:jc w:val="both"/>
      </w:pPr>
      <w:r>
        <w:rPr>
          <w:rFonts w:ascii="Arial" w:eastAsia="Arial" w:hAnsi="Arial" w:cs="Arial"/>
          <w:color w:val="000000"/>
          <w:sz w:val="20"/>
        </w:rPr>
        <w:t>* * * * *</w:t>
      </w:r>
    </w:p>
    <w:p w14:paraId="5B364BD9" w14:textId="77777777" w:rsidR="00054BF0" w:rsidRDefault="00000000">
      <w:pPr>
        <w:spacing w:before="200" w:line="260" w:lineRule="atLeast"/>
        <w:jc w:val="both"/>
      </w:pPr>
      <w:r>
        <w:rPr>
          <w:rFonts w:ascii="Arial" w:eastAsia="Arial" w:hAnsi="Arial" w:cs="Arial"/>
          <w:color w:val="000000"/>
          <w:sz w:val="20"/>
        </w:rPr>
        <w:t>4. Section 63.2240 is amended by revising paragraph (c)(2)(vi)(A) to read as follows:§ 63.2240What are the compliance options and operating requirements and how must I meet them?</w:t>
      </w:r>
    </w:p>
    <w:p w14:paraId="4D08B054" w14:textId="77777777" w:rsidR="00054BF0" w:rsidRDefault="00000000">
      <w:pPr>
        <w:spacing w:before="200" w:line="260" w:lineRule="atLeast"/>
        <w:jc w:val="both"/>
      </w:pPr>
      <w:r>
        <w:rPr>
          <w:rFonts w:ascii="Arial" w:eastAsia="Arial" w:hAnsi="Arial" w:cs="Arial"/>
          <w:color w:val="000000"/>
          <w:sz w:val="20"/>
        </w:rPr>
        <w:t>* * * * *</w:t>
      </w:r>
    </w:p>
    <w:p w14:paraId="616160F4" w14:textId="77777777" w:rsidR="00054BF0" w:rsidRDefault="00000000">
      <w:pPr>
        <w:spacing w:before="200" w:line="260" w:lineRule="atLeast"/>
        <w:jc w:val="both"/>
      </w:pPr>
      <w:r>
        <w:rPr>
          <w:rFonts w:ascii="Arial" w:eastAsia="Arial" w:hAnsi="Arial" w:cs="Arial"/>
          <w:color w:val="000000"/>
          <w:sz w:val="20"/>
        </w:rPr>
        <w:t>(c) * * *</w:t>
      </w:r>
    </w:p>
    <w:p w14:paraId="6FD153B1" w14:textId="77777777" w:rsidR="00054BF0" w:rsidRDefault="00000000">
      <w:pPr>
        <w:spacing w:before="200" w:line="260" w:lineRule="atLeast"/>
        <w:jc w:val="both"/>
      </w:pPr>
      <w:r>
        <w:rPr>
          <w:rFonts w:ascii="Arial" w:eastAsia="Arial" w:hAnsi="Arial" w:cs="Arial"/>
          <w:color w:val="000000"/>
          <w:sz w:val="20"/>
        </w:rPr>
        <w:t>(2) * * *</w:t>
      </w:r>
    </w:p>
    <w:p w14:paraId="4C84B273" w14:textId="77777777" w:rsidR="00054BF0" w:rsidRDefault="00000000">
      <w:pPr>
        <w:spacing w:before="200" w:line="260" w:lineRule="atLeast"/>
        <w:jc w:val="both"/>
      </w:pPr>
      <w:r>
        <w:rPr>
          <w:rFonts w:ascii="Arial" w:eastAsia="Arial" w:hAnsi="Arial" w:cs="Arial"/>
          <w:color w:val="000000"/>
          <w:sz w:val="20"/>
        </w:rPr>
        <w:t>(vi) * * *</w:t>
      </w:r>
    </w:p>
    <w:p w14:paraId="19BEB714" w14:textId="77777777" w:rsidR="00054BF0" w:rsidRDefault="00000000">
      <w:pPr>
        <w:spacing w:before="200" w:line="260" w:lineRule="atLeast"/>
        <w:jc w:val="both"/>
      </w:pPr>
      <w:r>
        <w:rPr>
          <w:rFonts w:ascii="Arial" w:eastAsia="Arial" w:hAnsi="Arial" w:cs="Arial"/>
          <w:color w:val="000000"/>
          <w:sz w:val="20"/>
        </w:rPr>
        <w:t xml:space="preserve">(A) Before [DATE 181 DAYS AFTER DATE OF PUBLICATION OF FINAL RULE IN THE FEDERAL REGISTER], emissions during periods of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as described in the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plan (SSMP). On and after [DATE 181 DAYS AFTER DATE OF PUBLICATION OF FINAL RULE IN THE FEDERAL REGISTER], emissions during safety-related shutdowns or pressurized refiner </w:t>
      </w:r>
      <w:r>
        <w:rPr>
          <w:rFonts w:ascii="Arial" w:eastAsia="Arial" w:hAnsi="Arial" w:cs="Arial"/>
          <w:b/>
          <w:i/>
          <w:color w:val="000000"/>
          <w:sz w:val="20"/>
          <w:u w:val="single"/>
        </w:rPr>
        <w:t>startups</w:t>
      </w:r>
      <w:r>
        <w:rPr>
          <w:rFonts w:ascii="Arial" w:eastAsia="Arial" w:hAnsi="Arial" w:cs="Arial"/>
          <w:color w:val="000000"/>
          <w:sz w:val="20"/>
        </w:rPr>
        <w:t xml:space="preserve"> and shutdowns.</w:t>
      </w:r>
    </w:p>
    <w:p w14:paraId="448230D0" w14:textId="77777777" w:rsidR="00054BF0" w:rsidRDefault="00000000">
      <w:pPr>
        <w:spacing w:before="200" w:line="260" w:lineRule="atLeast"/>
        <w:jc w:val="both"/>
      </w:pPr>
      <w:r>
        <w:rPr>
          <w:rFonts w:ascii="Arial" w:eastAsia="Arial" w:hAnsi="Arial" w:cs="Arial"/>
          <w:color w:val="000000"/>
          <w:sz w:val="20"/>
        </w:rPr>
        <w:t>* * * * *</w:t>
      </w:r>
    </w:p>
    <w:p w14:paraId="51977E64" w14:textId="77777777" w:rsidR="00054BF0" w:rsidRDefault="00000000">
      <w:pPr>
        <w:spacing w:before="200" w:line="260" w:lineRule="atLeast"/>
        <w:jc w:val="both"/>
      </w:pPr>
      <w:r>
        <w:rPr>
          <w:rFonts w:ascii="Arial" w:eastAsia="Arial" w:hAnsi="Arial" w:cs="Arial"/>
          <w:color w:val="000000"/>
          <w:sz w:val="20"/>
        </w:rPr>
        <w:t>5. Section 63.2250 is amended by:</w:t>
      </w:r>
    </w:p>
    <w:p w14:paraId="3BD8B292" w14:textId="77777777" w:rsidR="00054BF0" w:rsidRDefault="00000000">
      <w:pPr>
        <w:spacing w:before="200" w:line="260" w:lineRule="atLeast"/>
        <w:jc w:val="both"/>
      </w:pPr>
      <w:r>
        <w:rPr>
          <w:rFonts w:ascii="Arial" w:eastAsia="Arial" w:hAnsi="Arial" w:cs="Arial"/>
          <w:color w:val="000000"/>
          <w:sz w:val="20"/>
        </w:rPr>
        <w:t>a. Adding two sentences to the end of paragraph (a);</w:t>
      </w:r>
    </w:p>
    <w:p w14:paraId="034768A1" w14:textId="77777777" w:rsidR="00054BF0" w:rsidRDefault="00000000">
      <w:pPr>
        <w:spacing w:before="200" w:line="260" w:lineRule="atLeast"/>
        <w:jc w:val="both"/>
      </w:pPr>
      <w:r>
        <w:rPr>
          <w:rFonts w:ascii="Arial" w:eastAsia="Arial" w:hAnsi="Arial" w:cs="Arial"/>
          <w:color w:val="000000"/>
          <w:sz w:val="20"/>
        </w:rPr>
        <w:t>b. Revising paragraph (b);</w:t>
      </w:r>
    </w:p>
    <w:p w14:paraId="658596F1" w14:textId="77777777" w:rsidR="00054BF0" w:rsidRDefault="00000000">
      <w:pPr>
        <w:spacing w:before="200" w:line="260" w:lineRule="atLeast"/>
        <w:jc w:val="both"/>
      </w:pPr>
      <w:r>
        <w:rPr>
          <w:rFonts w:ascii="Arial" w:eastAsia="Arial" w:hAnsi="Arial" w:cs="Arial"/>
          <w:color w:val="000000"/>
          <w:sz w:val="20"/>
        </w:rPr>
        <w:t>c. Revising paragraph (c); and</w:t>
      </w:r>
    </w:p>
    <w:p w14:paraId="50FC8D12" w14:textId="77777777" w:rsidR="00054BF0" w:rsidRDefault="00000000">
      <w:pPr>
        <w:spacing w:before="200" w:line="260" w:lineRule="atLeast"/>
        <w:jc w:val="both"/>
      </w:pPr>
      <w:r>
        <w:rPr>
          <w:rFonts w:ascii="Arial" w:eastAsia="Arial" w:hAnsi="Arial" w:cs="Arial"/>
          <w:color w:val="000000"/>
          <w:sz w:val="20"/>
        </w:rPr>
        <w:t>d. Adding new paragraphs (e) through (g).</w:t>
      </w:r>
    </w:p>
    <w:p w14:paraId="03BCBD24" w14:textId="77777777" w:rsidR="00054BF0" w:rsidRDefault="00000000">
      <w:pPr>
        <w:spacing w:before="200" w:line="260" w:lineRule="atLeast"/>
        <w:jc w:val="both"/>
      </w:pPr>
      <w:r>
        <w:rPr>
          <w:rFonts w:ascii="Arial" w:eastAsia="Arial" w:hAnsi="Arial" w:cs="Arial"/>
          <w:color w:val="000000"/>
          <w:sz w:val="20"/>
        </w:rPr>
        <w:lastRenderedPageBreak/>
        <w:t>The revisions and additions read as follows:§ 63.2250What are the general requirements?</w:t>
      </w:r>
    </w:p>
    <w:p w14:paraId="7AB0BA22" w14:textId="77777777" w:rsidR="00054BF0" w:rsidRDefault="00000000">
      <w:pPr>
        <w:spacing w:before="200" w:line="260" w:lineRule="atLeast"/>
        <w:jc w:val="both"/>
      </w:pPr>
      <w:r>
        <w:rPr>
          <w:rFonts w:ascii="Arial" w:eastAsia="Arial" w:hAnsi="Arial" w:cs="Arial"/>
          <w:color w:val="000000"/>
          <w:sz w:val="20"/>
        </w:rPr>
        <w:t xml:space="preserve">(a) * * * For any affected source that commences construction or reconstruction after September 6, 2019, this paragraph does not apply on and after [DATE OF PUBLICATION OF FINAL RULE IN THE FEDERAL REGISTER]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all other affected sources, this paragraph does not apply on and after [DATE 181 DAYS AFTER DATE OF PUBLICATION OF FINAL RULE IN THE FEDERAL REGISTER].</w:t>
      </w:r>
    </w:p>
    <w:p w14:paraId="68E1A30F" w14:textId="77777777" w:rsidR="00054BF0" w:rsidRDefault="00000000">
      <w:pPr>
        <w:spacing w:before="200" w:line="260" w:lineRule="atLeast"/>
        <w:jc w:val="both"/>
      </w:pPr>
      <w:r>
        <w:rPr>
          <w:rFonts w:ascii="Arial" w:eastAsia="Arial" w:hAnsi="Arial" w:cs="Arial"/>
          <w:color w:val="000000"/>
          <w:sz w:val="20"/>
        </w:rPr>
        <w:t xml:space="preserve">(b) You must always operate and maintain your affected source, including air pollution control and monitoring equipment according to the provisions in § 63.6(e)(1)(i). For any affected source that commences construction or reconstruction after September 6, 2019, this paragraph does not apply on and after [DATE OF PUBLICATION OF FINAL RULE IN THE FEDERAL REGISTER]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all other affected sources, this paragraph does not apply on and after [DATE 181 DAYS AFTER DATE OF PUBLICATION OF FINAL RULE IN THE FEDERAL REGISTER].</w:t>
      </w:r>
    </w:p>
    <w:p w14:paraId="33396844" w14:textId="77777777" w:rsidR="00054BF0" w:rsidRDefault="00000000">
      <w:pPr>
        <w:spacing w:before="200" w:line="260" w:lineRule="atLeast"/>
        <w:jc w:val="both"/>
      </w:pPr>
      <w:r>
        <w:rPr>
          <w:rFonts w:ascii="Arial" w:eastAsia="Arial" w:hAnsi="Arial" w:cs="Arial"/>
          <w:color w:val="000000"/>
          <w:sz w:val="20"/>
        </w:rPr>
        <w:t xml:space="preserve">(c) You must develop a written SSMP according to the provisions in § 63.6(e)(3). For any affected source that commences construction or reconstruction after September 6, 2019, this paragraph does not apply on and after [DATE OF PUBLICATION OF FINAL RULE IN THE FEDERAL REGISTER]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all other affected sources, this paragraph does not apply on and after [DATE 181 DAYS AFTER DATE OF PUBLICATION OF FINAL RULE IN THE FEDERAL REGISTER].</w:t>
      </w:r>
    </w:p>
    <w:p w14:paraId="3C61CF2C" w14:textId="77777777" w:rsidR="00054BF0" w:rsidRDefault="00000000">
      <w:pPr>
        <w:spacing w:before="200" w:line="260" w:lineRule="atLeast"/>
        <w:jc w:val="both"/>
      </w:pPr>
      <w:r>
        <w:rPr>
          <w:rFonts w:ascii="Arial" w:eastAsia="Arial" w:hAnsi="Arial" w:cs="Arial"/>
          <w:color w:val="000000"/>
          <w:sz w:val="20"/>
        </w:rPr>
        <w:t>* * * * *</w:t>
      </w:r>
    </w:p>
    <w:p w14:paraId="0F5595FE" w14:textId="77777777" w:rsidR="00054BF0" w:rsidRDefault="00000000">
      <w:pPr>
        <w:spacing w:before="200" w:line="260" w:lineRule="atLeast"/>
        <w:jc w:val="both"/>
      </w:pPr>
      <w:r>
        <w:rPr>
          <w:rFonts w:ascii="Arial" w:eastAsia="Arial" w:hAnsi="Arial" w:cs="Arial"/>
          <w:color w:val="000000"/>
          <w:sz w:val="20"/>
        </w:rPr>
        <w:t>(e) You must be in compliance with the provisions of subpart A of this part, except as noted in Table 10 to this subpart.</w:t>
      </w:r>
    </w:p>
    <w:p w14:paraId="6167DDEE" w14:textId="77777777" w:rsidR="00054BF0" w:rsidRDefault="00000000">
      <w:pPr>
        <w:spacing w:before="200" w:line="260" w:lineRule="atLeast"/>
        <w:jc w:val="both"/>
      </w:pPr>
      <w:r>
        <w:rPr>
          <w:rFonts w:ascii="Arial" w:eastAsia="Arial" w:hAnsi="Arial" w:cs="Arial"/>
          <w:color w:val="000000"/>
          <w:sz w:val="20"/>
        </w:rPr>
        <w:t xml:space="preserve">(f) Upon [DATE OF PUBLICATION OF FINAL RULE IN THE FEDERAL REGISTER] or initial </w:t>
      </w:r>
      <w:r>
        <w:rPr>
          <w:rFonts w:ascii="Arial" w:eastAsia="Arial" w:hAnsi="Arial" w:cs="Arial"/>
          <w:b/>
          <w:i/>
          <w:color w:val="000000"/>
          <w:sz w:val="20"/>
          <w:u w:val="single"/>
        </w:rPr>
        <w:t>startup</w:t>
      </w:r>
      <w:r>
        <w:rPr>
          <w:rFonts w:ascii="Arial" w:eastAsia="Arial" w:hAnsi="Arial" w:cs="Arial"/>
          <w:color w:val="000000"/>
          <w:sz w:val="20"/>
        </w:rPr>
        <w:t xml:space="preserve"> of the affected source, whichever is later, for affected sources that commenced construction or reconstruction after September 6, 2019, and on and after [DATE 181 DAYS AFTER DATE OF PUBLICATION OF FINAL RULE IN THE FEDERAL REGISTER] for all other affected sources, you must be in compliance with the compliance options, operating requirements, and the work practice requirements in this subpart when the process unit(s) subject to the compliance options, operating requirements, and work practice requirements are operating, except as specified in paragraphs (f)(1) through (4) of this section.</w:t>
      </w:r>
    </w:p>
    <w:p w14:paraId="68B9D730" w14:textId="77777777" w:rsidR="00054BF0" w:rsidRDefault="00000000">
      <w:pPr>
        <w:spacing w:before="200" w:line="260" w:lineRule="atLeast"/>
        <w:jc w:val="both"/>
      </w:pPr>
      <w:r>
        <w:rPr>
          <w:rFonts w:ascii="Arial" w:eastAsia="Arial" w:hAnsi="Arial" w:cs="Arial"/>
          <w:color w:val="000000"/>
          <w:sz w:val="20"/>
        </w:rPr>
        <w:t xml:space="preserve">(1) Prior to process unit initial </w:t>
      </w:r>
      <w:r>
        <w:rPr>
          <w:rFonts w:ascii="Arial" w:eastAsia="Arial" w:hAnsi="Arial" w:cs="Arial"/>
          <w:b/>
          <w:i/>
          <w:color w:val="000000"/>
          <w:sz w:val="20"/>
          <w:u w:val="single"/>
        </w:rPr>
        <w:t>startup</w:t>
      </w:r>
      <w:r>
        <w:rPr>
          <w:rFonts w:ascii="Arial" w:eastAsia="Arial" w:hAnsi="Arial" w:cs="Arial"/>
          <w:color w:val="000000"/>
          <w:sz w:val="20"/>
        </w:rPr>
        <w:t>.</w:t>
      </w:r>
    </w:p>
    <w:p w14:paraId="3C814393" w14:textId="77777777" w:rsidR="00054BF0" w:rsidRDefault="00000000">
      <w:pPr>
        <w:spacing w:before="200" w:line="260" w:lineRule="atLeast"/>
        <w:jc w:val="both"/>
      </w:pPr>
      <w:r>
        <w:rPr>
          <w:rFonts w:ascii="Arial" w:eastAsia="Arial" w:hAnsi="Arial" w:cs="Arial"/>
          <w:color w:val="000000"/>
          <w:sz w:val="20"/>
        </w:rPr>
        <w:t>(2) During safety-related shutdowns conducted according to the work practice requirement in Table 3 to this subpart.</w:t>
      </w:r>
    </w:p>
    <w:p w14:paraId="460A30E6" w14:textId="77777777" w:rsidR="00054BF0" w:rsidRDefault="00000000">
      <w:pPr>
        <w:spacing w:before="200" w:line="260" w:lineRule="atLeast"/>
        <w:jc w:val="both"/>
      </w:pPr>
      <w:r>
        <w:rPr>
          <w:rFonts w:ascii="Arial" w:eastAsia="Arial" w:hAnsi="Arial" w:cs="Arial"/>
          <w:color w:val="000000"/>
          <w:sz w:val="20"/>
        </w:rPr>
        <w:t xml:space="preserve">(3) During pressurized refiner </w:t>
      </w:r>
      <w:r>
        <w:rPr>
          <w:rFonts w:ascii="Arial" w:eastAsia="Arial" w:hAnsi="Arial" w:cs="Arial"/>
          <w:b/>
          <w:i/>
          <w:color w:val="000000"/>
          <w:sz w:val="20"/>
          <w:u w:val="single"/>
        </w:rPr>
        <w:t>startup</w:t>
      </w:r>
      <w:r>
        <w:rPr>
          <w:rFonts w:ascii="Arial" w:eastAsia="Arial" w:hAnsi="Arial" w:cs="Arial"/>
          <w:color w:val="000000"/>
          <w:sz w:val="20"/>
        </w:rPr>
        <w:t xml:space="preserve"> and shutdown according to the work practice requirement in Table 3 to this subpart.</w:t>
      </w:r>
    </w:p>
    <w:p w14:paraId="1002C0DF" w14:textId="77777777" w:rsidR="00054BF0" w:rsidRDefault="00000000">
      <w:pPr>
        <w:spacing w:before="200" w:line="260" w:lineRule="atLeast"/>
        <w:jc w:val="both"/>
      </w:pPr>
      <w:r>
        <w:rPr>
          <w:rFonts w:ascii="Arial" w:eastAsia="Arial" w:hAnsi="Arial" w:cs="Arial"/>
          <w:color w:val="000000"/>
          <w:sz w:val="20"/>
        </w:rPr>
        <w:t>(4) You must minimize the length of time when compliance options and operating requirements in this subpart are not met due to the conditions in paragraphs (f)(2) and (3) of this section.</w:t>
      </w:r>
    </w:p>
    <w:p w14:paraId="54ADF245" w14:textId="77777777" w:rsidR="00054BF0" w:rsidRDefault="00000000">
      <w:pPr>
        <w:spacing w:before="200" w:line="260" w:lineRule="atLeast"/>
        <w:jc w:val="both"/>
      </w:pPr>
      <w:r>
        <w:rPr>
          <w:rFonts w:ascii="Arial" w:eastAsia="Arial" w:hAnsi="Arial" w:cs="Arial"/>
          <w:color w:val="000000"/>
          <w:sz w:val="20"/>
        </w:rPr>
        <w:t xml:space="preserve">(g) For affected sources that commenced construction or reconstruction after September 6, 2019 and for all other affected sources on and after [DATE 181 DAYS AFTER DATE OF PUBLICATION OF FINAL RULE IN THE FEDERAL REGISTER], you must always operate and maintain your affected source, including air pollution control and monitoring equipment in a manner consistent with good air pollution control practices for minimizing emissions at least to the levels required by this subpart. The general duty to minimize emissions does not require you to make any further efforts to reduce emissions if levels required by the applicable standard have been achieved. Determination of whether a source is operating in compliance with operation and maintenance requirements will be based on information available to the Administrator which may include, but is not limited to, monitoring results, </w:t>
      </w:r>
      <w:r>
        <w:rPr>
          <w:rFonts w:ascii="Arial" w:eastAsia="Arial" w:hAnsi="Arial" w:cs="Arial"/>
          <w:color w:val="000000"/>
          <w:sz w:val="20"/>
        </w:rPr>
        <w:lastRenderedPageBreak/>
        <w:t>review of operation and maintenance procedures, review of operation and maintenance records, and inspection of the source.</w:t>
      </w:r>
    </w:p>
    <w:p w14:paraId="303410F1" w14:textId="77777777" w:rsidR="00054BF0" w:rsidRDefault="00000000">
      <w:pPr>
        <w:spacing w:before="200" w:line="260" w:lineRule="atLeast"/>
        <w:jc w:val="both"/>
      </w:pPr>
      <w:r>
        <w:rPr>
          <w:rFonts w:ascii="Arial" w:eastAsia="Arial" w:hAnsi="Arial" w:cs="Arial"/>
          <w:color w:val="000000"/>
          <w:sz w:val="20"/>
        </w:rPr>
        <w:t>6. Section 63.2252 is revised to read as follows:§ 63.2252What are the requirements for process units that have no control or work practice requirements?</w:t>
      </w:r>
    </w:p>
    <w:p w14:paraId="587AB927" w14:textId="77777777" w:rsidR="00054BF0" w:rsidRDefault="00000000">
      <w:pPr>
        <w:spacing w:before="200" w:line="260" w:lineRule="atLeast"/>
        <w:jc w:val="both"/>
      </w:pPr>
      <w:r>
        <w:rPr>
          <w:rFonts w:ascii="Arial" w:eastAsia="Arial" w:hAnsi="Arial" w:cs="Arial"/>
          <w:color w:val="000000"/>
          <w:sz w:val="20"/>
        </w:rPr>
        <w:t>For process units not subject to the compliance options or work practice requirements specified in § 63.2240 (including, but not limited to, lumber kilns), you are not required to comply with the compliance options, work practice requirements, performance testing, monitoring, and recordkeeping or reporting requirements of this subpart, or any other requirements in subpart A of this part, except for the initial notification requirements in § 63.9(b).</w:t>
      </w:r>
    </w:p>
    <w:p w14:paraId="771DF192" w14:textId="77777777" w:rsidR="00054BF0" w:rsidRDefault="00000000">
      <w:pPr>
        <w:spacing w:before="200" w:line="260" w:lineRule="atLeast"/>
        <w:jc w:val="both"/>
      </w:pPr>
      <w:r>
        <w:rPr>
          <w:rFonts w:ascii="Arial" w:eastAsia="Arial" w:hAnsi="Arial" w:cs="Arial"/>
          <w:color w:val="000000"/>
          <w:sz w:val="20"/>
        </w:rPr>
        <w:t>7. Section 63.2262 is amended by revising paragraphs (a), (b), (m)(1) and (n)(1) to read as follows:§ 63.2262How do I conduct performance tests and establish operating requirements?</w:t>
      </w:r>
    </w:p>
    <w:p w14:paraId="52C9572A" w14:textId="77777777" w:rsidR="00054BF0" w:rsidRDefault="00000000">
      <w:pPr>
        <w:spacing w:before="200" w:line="260" w:lineRule="atLeast"/>
        <w:jc w:val="both"/>
      </w:pPr>
      <w:r>
        <w:rPr>
          <w:rFonts w:ascii="Arial" w:eastAsia="Arial" w:hAnsi="Arial" w:cs="Arial"/>
          <w:color w:val="000000"/>
          <w:sz w:val="20"/>
        </w:rPr>
        <w:t>(a) You must conduct each performance test according to the requirements in paragraphs (b) through (o) of this section, and according to the methods specified in Table 4 to this subpart.</w:t>
      </w:r>
    </w:p>
    <w:p w14:paraId="1121BA1B" w14:textId="77777777" w:rsidR="00054BF0" w:rsidRDefault="00000000">
      <w:pPr>
        <w:spacing w:before="200" w:line="260" w:lineRule="atLeast"/>
        <w:jc w:val="both"/>
      </w:pPr>
      <w:r>
        <w:rPr>
          <w:rFonts w:ascii="Arial" w:eastAsia="Arial" w:hAnsi="Arial" w:cs="Arial"/>
          <w:color w:val="000000"/>
          <w:sz w:val="20"/>
        </w:rPr>
        <w:t xml:space="preserve">(b) Periods when performance tests must be conducted. You must conduct each performance test based on representative performance (i.e , performance based on representative operating conditions as defined in § 63.2292) of the affected source for the period being tested. Representative conditions exclude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 You may not conduct performance tests during periods of malfunction. You must describe representative operating conditions in your performance test report for the process and control systems and explain why they are representative. You must record the process information that is necessary to document operating conditions during the test and include in such record an explanation to support that such conditions are representative. Upon request, you shall make available to the Administrator such records as may be necessary to determine the conditions of performance tests.</w:t>
      </w:r>
    </w:p>
    <w:p w14:paraId="55ED5B19" w14:textId="77777777" w:rsidR="00054BF0" w:rsidRDefault="00000000">
      <w:pPr>
        <w:spacing w:before="200" w:line="260" w:lineRule="atLeast"/>
        <w:jc w:val="both"/>
      </w:pPr>
      <w:r>
        <w:rPr>
          <w:rFonts w:ascii="Arial" w:eastAsia="Arial" w:hAnsi="Arial" w:cs="Arial"/>
          <w:color w:val="000000"/>
          <w:sz w:val="20"/>
        </w:rPr>
        <w:t>* * * * *</w:t>
      </w:r>
    </w:p>
    <w:p w14:paraId="0DCCBE41" w14:textId="77777777" w:rsidR="00054BF0" w:rsidRDefault="00000000">
      <w:pPr>
        <w:spacing w:before="200" w:line="260" w:lineRule="atLeast"/>
        <w:jc w:val="both"/>
      </w:pPr>
      <w:r>
        <w:rPr>
          <w:rFonts w:ascii="Arial" w:eastAsia="Arial" w:hAnsi="Arial" w:cs="Arial"/>
          <w:color w:val="000000"/>
          <w:sz w:val="20"/>
        </w:rPr>
        <w:t>(m) * * *</w:t>
      </w:r>
    </w:p>
    <w:p w14:paraId="02AB73DF" w14:textId="77777777" w:rsidR="00054BF0" w:rsidRDefault="00000000">
      <w:pPr>
        <w:spacing w:before="200" w:line="260" w:lineRule="atLeast"/>
        <w:jc w:val="both"/>
      </w:pPr>
      <w:r>
        <w:rPr>
          <w:rFonts w:ascii="Arial" w:eastAsia="Arial" w:hAnsi="Arial" w:cs="Arial"/>
          <w:color w:val="000000"/>
          <w:sz w:val="20"/>
        </w:rPr>
        <w:t>(1) During the performance test, you must continuously monitor the biofilter bed temperature during each of the required 1-hour test runs. To monitor biofilter bed temperature, you may use multiple thermocouples in representative locations throughout the biofilter bed and calculate the average biofilter bed temperature across these thermocouples prior to reducing the temperature data to 15-minute averages for purposes of establishing biofilter bed temperature limits. The biofilter bed temperature range must be established as the temperature values 5 percent below the minimum and 5 percent above the maximum 15-minute biofilter bed temperatures monitored during the three test runs. You may base your biofilter bed temperature range on values recorded during previous performance tests provided that the data used to establish the temperature ranges have been obtained using the test methods required in this subpart. If you use data from previous performance tests, you must certify that the biofilter and associated process unit(s) have not been modified subsequent to the date of the performance tests. Replacement of the biofilter media with the same type of material is not considered a modification of the biofilter for purposes of this section.</w:t>
      </w:r>
    </w:p>
    <w:p w14:paraId="0688E498" w14:textId="77777777" w:rsidR="00054BF0" w:rsidRDefault="00000000">
      <w:pPr>
        <w:spacing w:before="200" w:line="260" w:lineRule="atLeast"/>
        <w:jc w:val="both"/>
      </w:pPr>
      <w:r>
        <w:rPr>
          <w:rFonts w:ascii="Arial" w:eastAsia="Arial" w:hAnsi="Arial" w:cs="Arial"/>
          <w:color w:val="000000"/>
          <w:sz w:val="20"/>
        </w:rPr>
        <w:t>* * * * *</w:t>
      </w:r>
    </w:p>
    <w:p w14:paraId="4CB63FA3" w14:textId="77777777" w:rsidR="00054BF0" w:rsidRDefault="00000000">
      <w:pPr>
        <w:spacing w:before="200" w:line="260" w:lineRule="atLeast"/>
        <w:jc w:val="both"/>
      </w:pPr>
      <w:r>
        <w:rPr>
          <w:rFonts w:ascii="Arial" w:eastAsia="Arial" w:hAnsi="Arial" w:cs="Arial"/>
          <w:color w:val="000000"/>
          <w:sz w:val="20"/>
        </w:rPr>
        <w:t>(n) * * *</w:t>
      </w:r>
    </w:p>
    <w:p w14:paraId="06B42554" w14:textId="77777777" w:rsidR="00054BF0" w:rsidRDefault="00000000">
      <w:pPr>
        <w:spacing w:before="200" w:line="260" w:lineRule="atLeast"/>
        <w:jc w:val="both"/>
      </w:pPr>
      <w:r>
        <w:rPr>
          <w:rFonts w:ascii="Arial" w:eastAsia="Arial" w:hAnsi="Arial" w:cs="Arial"/>
          <w:color w:val="000000"/>
          <w:sz w:val="20"/>
        </w:rPr>
        <w:t xml:space="preserve">(1) During the performance test, you must identify and document the process unit controlling parameter(s) that affect total HAP emissions during the three-run performance test. The controlling parameters you identify must coincide with the representative operating conditions you describe according to paragraph (b) of this section. For each parameter, you must specify appropriate monitoring methods, monitoring frequencies, and for continuously monitored parameters, averaging times not to exceed 24 hours. The operating limit for each controlling parameter </w:t>
      </w:r>
      <w:r>
        <w:rPr>
          <w:rFonts w:ascii="Arial" w:eastAsia="Arial" w:hAnsi="Arial" w:cs="Arial"/>
          <w:color w:val="000000"/>
          <w:sz w:val="20"/>
        </w:rPr>
        <w:lastRenderedPageBreak/>
        <w:t>must then be established as the minimum, maximum, range, or average (as appropriate depending on the parameter) recorded during the performance test. Multiple three-run performance tests may be conducted to establish a range of parameter values under different operating conditions.</w:t>
      </w:r>
    </w:p>
    <w:p w14:paraId="4808B8E5" w14:textId="77777777" w:rsidR="00054BF0" w:rsidRDefault="00000000">
      <w:pPr>
        <w:spacing w:before="200" w:line="260" w:lineRule="atLeast"/>
        <w:jc w:val="both"/>
      </w:pPr>
      <w:r>
        <w:rPr>
          <w:rFonts w:ascii="Arial" w:eastAsia="Arial" w:hAnsi="Arial" w:cs="Arial"/>
          <w:color w:val="000000"/>
          <w:sz w:val="20"/>
        </w:rPr>
        <w:t>* * * * *</w:t>
      </w:r>
    </w:p>
    <w:p w14:paraId="11A9F792" w14:textId="77777777" w:rsidR="00054BF0" w:rsidRDefault="00000000">
      <w:pPr>
        <w:spacing w:before="200" w:line="260" w:lineRule="atLeast"/>
        <w:jc w:val="both"/>
      </w:pPr>
      <w:r>
        <w:rPr>
          <w:rFonts w:ascii="Arial" w:eastAsia="Arial" w:hAnsi="Arial" w:cs="Arial"/>
          <w:color w:val="000000"/>
          <w:sz w:val="20"/>
        </w:rPr>
        <w:t>8. Section 63.2269 is amended by revising paragraph (b)(4) to read as follows.§ 63.2269What are my monitoring installation, operation, and maintenance requirements?</w:t>
      </w:r>
    </w:p>
    <w:p w14:paraId="408B4F5E" w14:textId="77777777" w:rsidR="00054BF0" w:rsidRDefault="00000000">
      <w:pPr>
        <w:spacing w:before="200" w:line="260" w:lineRule="atLeast"/>
        <w:jc w:val="both"/>
      </w:pPr>
      <w:r>
        <w:rPr>
          <w:rFonts w:ascii="Arial" w:eastAsia="Arial" w:hAnsi="Arial" w:cs="Arial"/>
          <w:color w:val="000000"/>
          <w:sz w:val="20"/>
        </w:rPr>
        <w:t>* * * * *</w:t>
      </w:r>
    </w:p>
    <w:p w14:paraId="3B708CE2" w14:textId="77777777" w:rsidR="00054BF0" w:rsidRDefault="00000000">
      <w:pPr>
        <w:spacing w:before="200" w:line="260" w:lineRule="atLeast"/>
        <w:jc w:val="both"/>
      </w:pPr>
      <w:r>
        <w:rPr>
          <w:rFonts w:ascii="Arial" w:eastAsia="Arial" w:hAnsi="Arial" w:cs="Arial"/>
          <w:color w:val="000000"/>
          <w:sz w:val="20"/>
        </w:rPr>
        <w:t>(b) * * *</w:t>
      </w:r>
    </w:p>
    <w:p w14:paraId="67D99BBB" w14:textId="77777777" w:rsidR="00054BF0" w:rsidRDefault="00000000">
      <w:pPr>
        <w:spacing w:before="200" w:line="260" w:lineRule="atLeast"/>
        <w:jc w:val="both"/>
      </w:pPr>
      <w:r>
        <w:rPr>
          <w:rFonts w:ascii="Arial" w:eastAsia="Arial" w:hAnsi="Arial" w:cs="Arial"/>
          <w:color w:val="000000"/>
          <w:sz w:val="20"/>
        </w:rPr>
        <w:t>(4) Validate the temperature sensor's reading at least semiannually using the requirements of paragraph (b)(4)(i), (ii), (iii), (iv), or (v) of this section:</w:t>
      </w:r>
    </w:p>
    <w:p w14:paraId="223848C6" w14:textId="77777777" w:rsidR="00054BF0" w:rsidRDefault="00000000">
      <w:pPr>
        <w:spacing w:before="200" w:line="260" w:lineRule="atLeast"/>
        <w:jc w:val="both"/>
      </w:pPr>
      <w:r>
        <w:rPr>
          <w:rFonts w:ascii="Arial" w:eastAsia="Arial" w:hAnsi="Arial" w:cs="Arial"/>
          <w:color w:val="000000"/>
          <w:sz w:val="20"/>
        </w:rPr>
        <w:t>(i) Compare measured readings to a National Institute of Standards and Technology (NIST) traceable temperature measurement device or simulate a typical operating temperature using a NIST traceable temperature simulation device. When the temperature measurement device method is used, the sensor of the NIST traceable calibrated device must be placed as close as practicable to the process sensor, and both devices must be subjected to the same environmental conditions. The accuracy of the temperature measured must be 2.5 percent of the temperature measured by the NIST traceable device or 5 °F, whichever is greater.</w:t>
      </w:r>
    </w:p>
    <w:p w14:paraId="644CA6B9" w14:textId="77777777" w:rsidR="00054BF0" w:rsidRDefault="00000000">
      <w:pPr>
        <w:spacing w:before="200" w:line="260" w:lineRule="atLeast"/>
        <w:jc w:val="both"/>
      </w:pPr>
      <w:r>
        <w:rPr>
          <w:rFonts w:ascii="Arial" w:eastAsia="Arial" w:hAnsi="Arial" w:cs="Arial"/>
          <w:color w:val="000000"/>
          <w:sz w:val="20"/>
        </w:rPr>
        <w:t>(ii) Follow applicable procedures in the thermocouple manufacturer owner's manual.</w:t>
      </w:r>
    </w:p>
    <w:p w14:paraId="6BA4FC64" w14:textId="77777777" w:rsidR="00054BF0" w:rsidRDefault="00000000">
      <w:pPr>
        <w:spacing w:before="200" w:line="260" w:lineRule="atLeast"/>
        <w:jc w:val="both"/>
      </w:pPr>
      <w:r>
        <w:rPr>
          <w:rFonts w:ascii="Arial" w:eastAsia="Arial" w:hAnsi="Arial" w:cs="Arial"/>
          <w:color w:val="000000"/>
          <w:sz w:val="20"/>
        </w:rPr>
        <w:t>(iii) Request thermocouple manufacturer to certify or re-certify electromotive force (electrical properties) of the thermocouple.</w:t>
      </w:r>
    </w:p>
    <w:p w14:paraId="33738BD4" w14:textId="77777777" w:rsidR="00054BF0" w:rsidRDefault="00000000">
      <w:pPr>
        <w:spacing w:before="200" w:line="260" w:lineRule="atLeast"/>
        <w:jc w:val="both"/>
      </w:pPr>
      <w:r>
        <w:rPr>
          <w:rFonts w:ascii="Arial" w:eastAsia="Arial" w:hAnsi="Arial" w:cs="Arial"/>
          <w:color w:val="000000"/>
          <w:sz w:val="20"/>
        </w:rPr>
        <w:t>(iv) Replace thermocouple with a new certified thermocouple in lieu of validation.</w:t>
      </w:r>
    </w:p>
    <w:p w14:paraId="72C81576" w14:textId="77777777" w:rsidR="00054BF0" w:rsidRDefault="00000000">
      <w:pPr>
        <w:spacing w:before="200" w:line="260" w:lineRule="atLeast"/>
        <w:jc w:val="both"/>
      </w:pPr>
      <w:r>
        <w:rPr>
          <w:rFonts w:ascii="Arial" w:eastAsia="Arial" w:hAnsi="Arial" w:cs="Arial"/>
          <w:color w:val="000000"/>
          <w:sz w:val="20"/>
        </w:rPr>
        <w:t>(v) Permanently install a redundant temperature sensor as close as practicable to the process temperature sensor. The sensors must yield a reading within 30 °F of each other for thermal oxidizers and catalytic oxidizers; within 5 °F of each other for biofilters; and within 20 °F of each other for dry rotary dryers.</w:t>
      </w:r>
    </w:p>
    <w:p w14:paraId="00EC3AB8" w14:textId="77777777" w:rsidR="00054BF0" w:rsidRDefault="00000000">
      <w:pPr>
        <w:spacing w:before="200" w:line="260" w:lineRule="atLeast"/>
        <w:jc w:val="both"/>
      </w:pPr>
      <w:r>
        <w:rPr>
          <w:rFonts w:ascii="Arial" w:eastAsia="Arial" w:hAnsi="Arial" w:cs="Arial"/>
          <w:color w:val="000000"/>
          <w:sz w:val="20"/>
        </w:rPr>
        <w:t>* * * * *</w:t>
      </w:r>
    </w:p>
    <w:p w14:paraId="01955939" w14:textId="77777777" w:rsidR="00054BF0" w:rsidRDefault="00000000">
      <w:pPr>
        <w:spacing w:before="200" w:line="260" w:lineRule="atLeast"/>
        <w:jc w:val="both"/>
      </w:pPr>
      <w:r>
        <w:rPr>
          <w:rFonts w:ascii="Arial" w:eastAsia="Arial" w:hAnsi="Arial" w:cs="Arial"/>
          <w:color w:val="000000"/>
          <w:sz w:val="20"/>
        </w:rPr>
        <w:t>9. Section 63.2270 is amended by revising paragraph (c) to read as follows:§ 63.2270How do I monitor and collect data to demonstrate continuous compliance?</w:t>
      </w:r>
    </w:p>
    <w:p w14:paraId="598C91E9" w14:textId="77777777" w:rsidR="00054BF0" w:rsidRDefault="00000000">
      <w:pPr>
        <w:spacing w:before="200" w:line="260" w:lineRule="atLeast"/>
        <w:jc w:val="both"/>
      </w:pPr>
      <w:r>
        <w:rPr>
          <w:rFonts w:ascii="Arial" w:eastAsia="Arial" w:hAnsi="Arial" w:cs="Arial"/>
          <w:color w:val="000000"/>
          <w:sz w:val="20"/>
        </w:rPr>
        <w:t>* * * * *</w:t>
      </w:r>
    </w:p>
    <w:p w14:paraId="00C67173" w14:textId="77777777" w:rsidR="00054BF0" w:rsidRDefault="00000000">
      <w:pPr>
        <w:spacing w:before="200" w:line="260" w:lineRule="atLeast"/>
        <w:jc w:val="both"/>
      </w:pPr>
      <w:r>
        <w:rPr>
          <w:rFonts w:ascii="Arial" w:eastAsia="Arial" w:hAnsi="Arial" w:cs="Arial"/>
          <w:color w:val="000000"/>
          <w:sz w:val="20"/>
        </w:rPr>
        <w:t xml:space="preserve">(c) You may not use data recorded during monitoring malfunctions, associated repairs, and required quality assurance or control activities; or data recorded during periods of safety-related shutdown, pressurized refiner </w:t>
      </w:r>
      <w:r>
        <w:rPr>
          <w:rFonts w:ascii="Arial" w:eastAsia="Arial" w:hAnsi="Arial" w:cs="Arial"/>
          <w:b/>
          <w:i/>
          <w:color w:val="000000"/>
          <w:sz w:val="20"/>
          <w:u w:val="single"/>
        </w:rPr>
        <w:t>startup</w:t>
      </w:r>
      <w:r>
        <w:rPr>
          <w:rFonts w:ascii="Arial" w:eastAsia="Arial" w:hAnsi="Arial" w:cs="Arial"/>
          <w:color w:val="000000"/>
          <w:sz w:val="20"/>
        </w:rPr>
        <w:t xml:space="preserve"> or shutdown, or control device downtime covered in any approved routine control device maintenance exemption in data averages and calculations used to report emission or operating levels, nor may such data be used in fulfilling a minimum data availability requirement, if applicable. You must use all the data collected during all other periods in assessing the operation of the control system.</w:t>
      </w:r>
    </w:p>
    <w:p w14:paraId="57FAECD1" w14:textId="77777777" w:rsidR="00054BF0" w:rsidRDefault="00000000">
      <w:pPr>
        <w:spacing w:before="200" w:line="260" w:lineRule="atLeast"/>
        <w:jc w:val="both"/>
      </w:pPr>
      <w:r>
        <w:rPr>
          <w:rFonts w:ascii="Arial" w:eastAsia="Arial" w:hAnsi="Arial" w:cs="Arial"/>
          <w:color w:val="000000"/>
          <w:sz w:val="20"/>
        </w:rPr>
        <w:t>* * * * *§ 63.2271[Amended]</w:t>
      </w:r>
    </w:p>
    <w:p w14:paraId="505BF5ED" w14:textId="77777777" w:rsidR="00054BF0" w:rsidRDefault="00000000">
      <w:pPr>
        <w:spacing w:before="200" w:line="260" w:lineRule="atLeast"/>
        <w:jc w:val="both"/>
      </w:pPr>
      <w:r>
        <w:rPr>
          <w:rFonts w:ascii="Arial" w:eastAsia="Arial" w:hAnsi="Arial" w:cs="Arial"/>
          <w:color w:val="000000"/>
          <w:sz w:val="20"/>
        </w:rPr>
        <w:t>10. Section 63.2271 is amended by removing and reserving paragraph (b)(2).</w:t>
      </w:r>
    </w:p>
    <w:p w14:paraId="72F66EE5" w14:textId="77777777" w:rsidR="00054BF0" w:rsidRDefault="00000000">
      <w:pPr>
        <w:spacing w:before="200" w:line="260" w:lineRule="atLeast"/>
        <w:jc w:val="both"/>
      </w:pPr>
      <w:r>
        <w:rPr>
          <w:rFonts w:ascii="Arial" w:eastAsia="Arial" w:hAnsi="Arial" w:cs="Arial"/>
          <w:color w:val="000000"/>
          <w:sz w:val="20"/>
        </w:rPr>
        <w:t>11. Section 63.2280 is amended by revising paragraph (b), paragraph (d) introductory text, and paragraph (d)(2) to read as follows:§ 63.2280What notifications must I submit and when?</w:t>
      </w:r>
    </w:p>
    <w:p w14:paraId="7309334F" w14:textId="77777777" w:rsidR="00054BF0" w:rsidRDefault="00000000">
      <w:pPr>
        <w:spacing w:before="200" w:line="260" w:lineRule="atLeast"/>
        <w:jc w:val="both"/>
      </w:pPr>
      <w:r>
        <w:rPr>
          <w:rFonts w:ascii="Arial" w:eastAsia="Arial" w:hAnsi="Arial" w:cs="Arial"/>
          <w:color w:val="000000"/>
          <w:sz w:val="20"/>
        </w:rPr>
        <w:t>* * * * *</w:t>
      </w:r>
    </w:p>
    <w:p w14:paraId="43026219" w14:textId="77777777" w:rsidR="00054BF0" w:rsidRDefault="00000000">
      <w:pPr>
        <w:spacing w:before="200" w:line="260" w:lineRule="atLeast"/>
        <w:jc w:val="both"/>
      </w:pPr>
      <w:r>
        <w:rPr>
          <w:rFonts w:ascii="Arial" w:eastAsia="Arial" w:hAnsi="Arial" w:cs="Arial"/>
          <w:color w:val="000000"/>
          <w:sz w:val="20"/>
        </w:rPr>
        <w:lastRenderedPageBreak/>
        <w:t xml:space="preserve">(b) You must submit an Initial Notification no later than 120 calendar days after September 28, 2004, or after initial </w:t>
      </w:r>
      <w:r>
        <w:rPr>
          <w:rFonts w:ascii="Arial" w:eastAsia="Arial" w:hAnsi="Arial" w:cs="Arial"/>
          <w:b/>
          <w:i/>
          <w:color w:val="000000"/>
          <w:sz w:val="20"/>
          <w:u w:val="single"/>
        </w:rPr>
        <w:t>startup</w:t>
      </w:r>
      <w:r>
        <w:rPr>
          <w:rFonts w:ascii="Arial" w:eastAsia="Arial" w:hAnsi="Arial" w:cs="Arial"/>
          <w:color w:val="000000"/>
          <w:sz w:val="20"/>
        </w:rPr>
        <w:t>, whichever is later, as specified in § 63.9(b)(2). Initial Notifications required to be submitted after [DATE OF PUBLICATION OF FINAL RULE IN THE FEDERAL REGISTER] for affected sources that commence construction or reconstruction after September 6, 2019 and on and after [DATE 181 DAYS AFTER DATE OF PUBLICATION OF FINAL RULE IN THE FEDERAL REGISTER] for all other affected sources must be submitted following the procedure specified in § 63.2281(h), (k), and (l).</w:t>
      </w:r>
    </w:p>
    <w:p w14:paraId="4D7A316C" w14:textId="77777777" w:rsidR="00054BF0" w:rsidRDefault="00000000">
      <w:pPr>
        <w:spacing w:before="200" w:line="260" w:lineRule="atLeast"/>
        <w:jc w:val="both"/>
      </w:pPr>
      <w:r>
        <w:rPr>
          <w:rFonts w:ascii="Arial" w:eastAsia="Arial" w:hAnsi="Arial" w:cs="Arial"/>
          <w:color w:val="000000"/>
          <w:sz w:val="20"/>
        </w:rPr>
        <w:t>* * * * *</w:t>
      </w:r>
    </w:p>
    <w:p w14:paraId="63C6DBFE" w14:textId="77777777" w:rsidR="00054BF0" w:rsidRDefault="00000000">
      <w:pPr>
        <w:spacing w:before="200" w:line="260" w:lineRule="atLeast"/>
        <w:jc w:val="both"/>
      </w:pPr>
      <w:r>
        <w:rPr>
          <w:rFonts w:ascii="Arial" w:eastAsia="Arial" w:hAnsi="Arial" w:cs="Arial"/>
          <w:color w:val="000000"/>
          <w:sz w:val="20"/>
        </w:rPr>
        <w:t>(d) If you are required to conduct a performance test, design evaluation, or other initial compliance demonstration as specified in Tables 4, 5, and 6 to this subpart, you must submit a Notification of Compliance Status as specified in § 63.9(h)(2)(ii). After [DATE OF PUBLICATION OF FINAL RULE IN THE FEDERAL REGISTER] for affected sources that commence construction or reconstruction after September 6, 2019 and on and after [DATE 181 DAYS AFTER DATE OF PUBLICATION OF FINAL RULE IN THE FEDERAL REGISTER] for all other affected sources, submit all subsequent Notifications of Compliance Status following the procedure specified in § 63.2281(h), (k), and (l).</w:t>
      </w:r>
    </w:p>
    <w:p w14:paraId="5EF27E5B" w14:textId="77777777" w:rsidR="00054BF0" w:rsidRDefault="00000000">
      <w:pPr>
        <w:spacing w:before="200" w:line="260" w:lineRule="atLeast"/>
        <w:jc w:val="both"/>
      </w:pPr>
      <w:r>
        <w:rPr>
          <w:rFonts w:ascii="Arial" w:eastAsia="Arial" w:hAnsi="Arial" w:cs="Arial"/>
          <w:color w:val="000000"/>
          <w:sz w:val="20"/>
        </w:rPr>
        <w:t>* * * * *</w:t>
      </w:r>
    </w:p>
    <w:p w14:paraId="17E65628" w14:textId="77777777" w:rsidR="00054BF0" w:rsidRDefault="00000000">
      <w:pPr>
        <w:spacing w:before="200" w:line="260" w:lineRule="atLeast"/>
        <w:jc w:val="both"/>
      </w:pPr>
      <w:r>
        <w:rPr>
          <w:rFonts w:ascii="Arial" w:eastAsia="Arial" w:hAnsi="Arial" w:cs="Arial"/>
          <w:color w:val="000000"/>
          <w:sz w:val="20"/>
        </w:rPr>
        <w:t>(2) For each initial compliance demonstration required in Tables 5 and 6 to this subpart that includes a performance test conducted according to the requirements in Table 4 to this subpart, you must submit the Notification of Compliance Status, including the performance test results, before the close of business on the 60th calendar day following the completion of the performance test.</w:t>
      </w:r>
    </w:p>
    <w:p w14:paraId="7A8401FD" w14:textId="77777777" w:rsidR="00054BF0" w:rsidRDefault="00000000">
      <w:pPr>
        <w:spacing w:before="200" w:line="260" w:lineRule="atLeast"/>
        <w:jc w:val="both"/>
      </w:pPr>
      <w:r>
        <w:rPr>
          <w:rFonts w:ascii="Arial" w:eastAsia="Arial" w:hAnsi="Arial" w:cs="Arial"/>
          <w:color w:val="000000"/>
          <w:sz w:val="20"/>
        </w:rPr>
        <w:t>* * * * *</w:t>
      </w:r>
    </w:p>
    <w:p w14:paraId="354D2F5C" w14:textId="77777777" w:rsidR="00054BF0" w:rsidRDefault="00000000">
      <w:pPr>
        <w:spacing w:before="200" w:line="260" w:lineRule="atLeast"/>
        <w:jc w:val="both"/>
      </w:pPr>
      <w:r>
        <w:rPr>
          <w:rFonts w:ascii="Arial" w:eastAsia="Arial" w:hAnsi="Arial" w:cs="Arial"/>
          <w:color w:val="000000"/>
          <w:sz w:val="20"/>
        </w:rPr>
        <w:t>12. Section 63.2281 is amended by:</w:t>
      </w:r>
    </w:p>
    <w:p w14:paraId="6D1EBE5A" w14:textId="77777777" w:rsidR="00054BF0" w:rsidRDefault="00000000">
      <w:pPr>
        <w:spacing w:before="200" w:line="260" w:lineRule="atLeast"/>
        <w:jc w:val="both"/>
      </w:pPr>
      <w:r>
        <w:rPr>
          <w:rFonts w:ascii="Arial" w:eastAsia="Arial" w:hAnsi="Arial" w:cs="Arial"/>
          <w:color w:val="000000"/>
          <w:sz w:val="20"/>
        </w:rPr>
        <w:t>a. Revising paragraph (b) introductory text;</w:t>
      </w:r>
    </w:p>
    <w:p w14:paraId="4F796C0B" w14:textId="77777777" w:rsidR="00054BF0" w:rsidRDefault="00000000">
      <w:pPr>
        <w:spacing w:before="200" w:line="260" w:lineRule="atLeast"/>
        <w:jc w:val="both"/>
      </w:pPr>
      <w:r>
        <w:rPr>
          <w:rFonts w:ascii="Arial" w:eastAsia="Arial" w:hAnsi="Arial" w:cs="Arial"/>
          <w:color w:val="000000"/>
          <w:sz w:val="20"/>
        </w:rPr>
        <w:t>b. Adding paragraph (b)(6);</w:t>
      </w:r>
    </w:p>
    <w:p w14:paraId="0032CAD3" w14:textId="77777777" w:rsidR="00054BF0" w:rsidRDefault="00000000">
      <w:pPr>
        <w:spacing w:before="200" w:line="260" w:lineRule="atLeast"/>
        <w:jc w:val="both"/>
      </w:pPr>
      <w:r>
        <w:rPr>
          <w:rFonts w:ascii="Arial" w:eastAsia="Arial" w:hAnsi="Arial" w:cs="Arial"/>
          <w:color w:val="000000"/>
          <w:sz w:val="20"/>
        </w:rPr>
        <w:t>c. Revising paragraph (c) introductory text;</w:t>
      </w:r>
    </w:p>
    <w:p w14:paraId="379BB88D" w14:textId="77777777" w:rsidR="00054BF0" w:rsidRDefault="00000000">
      <w:pPr>
        <w:spacing w:before="200" w:line="260" w:lineRule="atLeast"/>
        <w:jc w:val="both"/>
      </w:pPr>
      <w:r>
        <w:rPr>
          <w:rFonts w:ascii="Arial" w:eastAsia="Arial" w:hAnsi="Arial" w:cs="Arial"/>
          <w:color w:val="000000"/>
          <w:sz w:val="20"/>
        </w:rPr>
        <w:t>d. Revising paragraph (c)(4);</w:t>
      </w:r>
    </w:p>
    <w:p w14:paraId="6C03C007" w14:textId="77777777" w:rsidR="00054BF0" w:rsidRDefault="00000000">
      <w:pPr>
        <w:spacing w:before="200" w:line="260" w:lineRule="atLeast"/>
        <w:jc w:val="both"/>
      </w:pPr>
      <w:r>
        <w:rPr>
          <w:rFonts w:ascii="Arial" w:eastAsia="Arial" w:hAnsi="Arial" w:cs="Arial"/>
          <w:color w:val="000000"/>
          <w:sz w:val="20"/>
        </w:rPr>
        <w:t>e. Removing and reserving paragraph (c)(6);</w:t>
      </w:r>
    </w:p>
    <w:p w14:paraId="66EACDB8" w14:textId="77777777" w:rsidR="00054BF0" w:rsidRDefault="00000000">
      <w:pPr>
        <w:spacing w:before="200" w:line="260" w:lineRule="atLeast"/>
        <w:jc w:val="both"/>
      </w:pPr>
      <w:r>
        <w:rPr>
          <w:rFonts w:ascii="Arial" w:eastAsia="Arial" w:hAnsi="Arial" w:cs="Arial"/>
          <w:color w:val="000000"/>
          <w:sz w:val="20"/>
        </w:rPr>
        <w:t>f. Revising paragraph (d)(2);</w:t>
      </w:r>
    </w:p>
    <w:p w14:paraId="58E2EB60" w14:textId="77777777" w:rsidR="00054BF0" w:rsidRDefault="00000000">
      <w:pPr>
        <w:spacing w:before="200" w:line="260" w:lineRule="atLeast"/>
        <w:jc w:val="both"/>
      </w:pPr>
      <w:r>
        <w:rPr>
          <w:rFonts w:ascii="Arial" w:eastAsia="Arial" w:hAnsi="Arial" w:cs="Arial"/>
          <w:color w:val="000000"/>
          <w:sz w:val="20"/>
        </w:rPr>
        <w:t>g. Revising the first sentence of paragraph (e) introductory text;</w:t>
      </w:r>
    </w:p>
    <w:p w14:paraId="146CB26C" w14:textId="77777777" w:rsidR="00054BF0" w:rsidRDefault="00000000">
      <w:pPr>
        <w:spacing w:before="200" w:line="260" w:lineRule="atLeast"/>
        <w:jc w:val="both"/>
      </w:pPr>
      <w:r>
        <w:rPr>
          <w:rFonts w:ascii="Arial" w:eastAsia="Arial" w:hAnsi="Arial" w:cs="Arial"/>
          <w:color w:val="000000"/>
          <w:sz w:val="20"/>
        </w:rPr>
        <w:t>h. Revising paragraph (e)(2);</w:t>
      </w:r>
    </w:p>
    <w:p w14:paraId="290585F8" w14:textId="77777777" w:rsidR="00054BF0" w:rsidRDefault="00000000">
      <w:pPr>
        <w:spacing w:before="200" w:line="260" w:lineRule="atLeast"/>
        <w:jc w:val="both"/>
      </w:pPr>
      <w:r>
        <w:rPr>
          <w:rFonts w:ascii="Arial" w:eastAsia="Arial" w:hAnsi="Arial" w:cs="Arial"/>
          <w:color w:val="000000"/>
          <w:sz w:val="20"/>
        </w:rPr>
        <w:t>i. Adding paragraphs (e)(12) and (13); and</w:t>
      </w:r>
    </w:p>
    <w:p w14:paraId="53F13F6D" w14:textId="77777777" w:rsidR="00054BF0" w:rsidRDefault="00000000">
      <w:pPr>
        <w:spacing w:before="200" w:line="260" w:lineRule="atLeast"/>
        <w:jc w:val="both"/>
      </w:pPr>
      <w:r>
        <w:rPr>
          <w:rFonts w:ascii="Arial" w:eastAsia="Arial" w:hAnsi="Arial" w:cs="Arial"/>
          <w:color w:val="000000"/>
          <w:sz w:val="20"/>
        </w:rPr>
        <w:t>j. Adding paragraphs (h) through (l).</w:t>
      </w:r>
    </w:p>
    <w:p w14:paraId="691B2B9C" w14:textId="77777777" w:rsidR="00054BF0" w:rsidRDefault="00000000">
      <w:pPr>
        <w:spacing w:before="200" w:line="260" w:lineRule="atLeast"/>
        <w:jc w:val="both"/>
      </w:pPr>
      <w:r>
        <w:rPr>
          <w:rFonts w:ascii="Arial" w:eastAsia="Arial" w:hAnsi="Arial" w:cs="Arial"/>
          <w:color w:val="000000"/>
          <w:sz w:val="20"/>
        </w:rPr>
        <w:t>The revisions and additions read as follows:§ 63.2281What reports must I submit and when?</w:t>
      </w:r>
    </w:p>
    <w:p w14:paraId="5264F8E8" w14:textId="77777777" w:rsidR="00054BF0" w:rsidRDefault="00000000">
      <w:pPr>
        <w:spacing w:before="200" w:line="260" w:lineRule="atLeast"/>
        <w:jc w:val="both"/>
      </w:pPr>
      <w:r>
        <w:rPr>
          <w:rFonts w:ascii="Arial" w:eastAsia="Arial" w:hAnsi="Arial" w:cs="Arial"/>
          <w:color w:val="000000"/>
          <w:sz w:val="20"/>
        </w:rPr>
        <w:t>* * * * *</w:t>
      </w:r>
    </w:p>
    <w:p w14:paraId="06ADB214" w14:textId="77777777" w:rsidR="00054BF0" w:rsidRDefault="00000000">
      <w:pPr>
        <w:spacing w:before="200" w:line="260" w:lineRule="atLeast"/>
        <w:jc w:val="both"/>
      </w:pPr>
      <w:r>
        <w:rPr>
          <w:rFonts w:ascii="Arial" w:eastAsia="Arial" w:hAnsi="Arial" w:cs="Arial"/>
          <w:color w:val="000000"/>
          <w:sz w:val="20"/>
        </w:rPr>
        <w:t>(b) Unless the EPA Administrator has approved a different schedule for submission of reports under § 63.10(a), you must submit each report by the date in Table 9 to this subpart and as specified in paragraphs (b)(1) through (6) of this section.</w:t>
      </w:r>
    </w:p>
    <w:p w14:paraId="50955BEB" w14:textId="77777777" w:rsidR="00054BF0" w:rsidRDefault="00000000">
      <w:pPr>
        <w:spacing w:before="200" w:line="260" w:lineRule="atLeast"/>
        <w:jc w:val="both"/>
      </w:pPr>
      <w:r>
        <w:rPr>
          <w:rFonts w:ascii="Arial" w:eastAsia="Arial" w:hAnsi="Arial" w:cs="Arial"/>
          <w:color w:val="000000"/>
          <w:sz w:val="20"/>
        </w:rPr>
        <w:lastRenderedPageBreak/>
        <w:t>* * * * *</w:t>
      </w:r>
    </w:p>
    <w:p w14:paraId="0CF4181F" w14:textId="77777777" w:rsidR="00054BF0" w:rsidRDefault="00000000">
      <w:pPr>
        <w:spacing w:before="200" w:line="260" w:lineRule="atLeast"/>
        <w:jc w:val="both"/>
      </w:pPr>
      <w:r>
        <w:rPr>
          <w:rFonts w:ascii="Arial" w:eastAsia="Arial" w:hAnsi="Arial" w:cs="Arial"/>
          <w:color w:val="000000"/>
          <w:sz w:val="20"/>
        </w:rPr>
        <w:t>(6) After [DATE OF PUBLICATION OF FINAL RULE IN THE FEDERAL REGISTER] for affected sources that commenced construction or reconstruction after September 6, 2019 and on and after [DATE 181 DAYS AFTER DATE OF PUBLICATION OF FINAL RULE IN THE FEDERAL REGISTER] for all other affected sources, submit all subsequent reports following the procedure specified in paragraph (h), (k) and (l) of this section.</w:t>
      </w:r>
    </w:p>
    <w:p w14:paraId="0B4E1742" w14:textId="77777777" w:rsidR="00054BF0" w:rsidRDefault="00000000">
      <w:pPr>
        <w:spacing w:before="200" w:line="260" w:lineRule="atLeast"/>
        <w:jc w:val="both"/>
      </w:pPr>
      <w:r>
        <w:rPr>
          <w:rFonts w:ascii="Arial" w:eastAsia="Arial" w:hAnsi="Arial" w:cs="Arial"/>
          <w:color w:val="000000"/>
          <w:sz w:val="20"/>
        </w:rPr>
        <w:t>(c) The compliance report must contain the information in paragraphs (c)(1) through (7) of this section.</w:t>
      </w:r>
    </w:p>
    <w:p w14:paraId="4DDF0915" w14:textId="77777777" w:rsidR="00054BF0" w:rsidRDefault="00000000">
      <w:pPr>
        <w:spacing w:before="200" w:line="260" w:lineRule="atLeast"/>
        <w:jc w:val="both"/>
      </w:pPr>
      <w:r>
        <w:rPr>
          <w:rFonts w:ascii="Arial" w:eastAsia="Arial" w:hAnsi="Arial" w:cs="Arial"/>
          <w:color w:val="000000"/>
          <w:sz w:val="20"/>
        </w:rPr>
        <w:t>* * * * *</w:t>
      </w:r>
    </w:p>
    <w:p w14:paraId="006C36C3" w14:textId="77777777" w:rsidR="00054BF0" w:rsidRDefault="00000000">
      <w:pPr>
        <w:spacing w:before="200" w:line="260" w:lineRule="atLeast"/>
        <w:jc w:val="both"/>
      </w:pPr>
      <w:r>
        <w:rPr>
          <w:rFonts w:ascii="Arial" w:eastAsia="Arial" w:hAnsi="Arial" w:cs="Arial"/>
          <w:color w:val="000000"/>
          <w:sz w:val="20"/>
        </w:rPr>
        <w:t xml:space="preserve">(4) If you had a </w:t>
      </w:r>
      <w:r>
        <w:rPr>
          <w:rFonts w:ascii="Arial" w:eastAsia="Arial" w:hAnsi="Arial" w:cs="Arial"/>
          <w:b/>
          <w:i/>
          <w:color w:val="000000"/>
          <w:sz w:val="20"/>
          <w:u w:val="single"/>
        </w:rPr>
        <w:t>startup</w:t>
      </w:r>
      <w:r>
        <w:rPr>
          <w:rFonts w:ascii="Arial" w:eastAsia="Arial" w:hAnsi="Arial" w:cs="Arial"/>
          <w:color w:val="000000"/>
          <w:sz w:val="20"/>
        </w:rPr>
        <w:t>, shutdown, or malfunction during the reporting period and you took actions consistent with your SSMP, the compliance report must include the information specified in § 63.10(d)(5)(i) before [DATE 181 DAYS AFTER DATE OF PUBLICATION OF FINAL RULE IN THE FEDERAL REGISTER] for affected sources that commenced construction or reconstruction before September 6, 2019.</w:t>
      </w:r>
    </w:p>
    <w:p w14:paraId="527D78EE" w14:textId="77777777" w:rsidR="00054BF0" w:rsidRDefault="00000000">
      <w:pPr>
        <w:spacing w:before="200" w:line="260" w:lineRule="atLeast"/>
        <w:jc w:val="both"/>
      </w:pPr>
      <w:r>
        <w:rPr>
          <w:rFonts w:ascii="Arial" w:eastAsia="Arial" w:hAnsi="Arial" w:cs="Arial"/>
          <w:color w:val="000000"/>
          <w:sz w:val="20"/>
        </w:rPr>
        <w:t>* * * * *</w:t>
      </w:r>
    </w:p>
    <w:p w14:paraId="3295351B" w14:textId="77777777" w:rsidR="00054BF0" w:rsidRDefault="00000000">
      <w:pPr>
        <w:spacing w:before="200" w:line="260" w:lineRule="atLeast"/>
        <w:jc w:val="both"/>
      </w:pPr>
      <w:r>
        <w:rPr>
          <w:rFonts w:ascii="Arial" w:eastAsia="Arial" w:hAnsi="Arial" w:cs="Arial"/>
          <w:color w:val="000000"/>
          <w:sz w:val="20"/>
        </w:rPr>
        <w:t>(d) * * *</w:t>
      </w:r>
    </w:p>
    <w:p w14:paraId="2123084E" w14:textId="77777777" w:rsidR="00054BF0" w:rsidRDefault="00000000">
      <w:pPr>
        <w:spacing w:before="200" w:line="260" w:lineRule="atLeast"/>
        <w:jc w:val="both"/>
      </w:pPr>
      <w:r>
        <w:rPr>
          <w:rFonts w:ascii="Arial" w:eastAsia="Arial" w:hAnsi="Arial" w:cs="Arial"/>
          <w:color w:val="000000"/>
          <w:sz w:val="20"/>
        </w:rPr>
        <w:t>(2) Information on the date, time, duration, and cause of deviations (including unknown cause, if applicable), as applicable, and the corrective action taken.</w:t>
      </w:r>
    </w:p>
    <w:p w14:paraId="5802545A" w14:textId="77777777" w:rsidR="00054BF0" w:rsidRDefault="00000000">
      <w:pPr>
        <w:spacing w:before="200" w:line="260" w:lineRule="atLeast"/>
        <w:jc w:val="both"/>
      </w:pPr>
      <w:r>
        <w:rPr>
          <w:rFonts w:ascii="Arial" w:eastAsia="Arial" w:hAnsi="Arial" w:cs="Arial"/>
          <w:color w:val="000000"/>
          <w:sz w:val="20"/>
        </w:rPr>
        <w:t>(e) For each deviation from a compliance option or operating requirement occurring at an affected source where you are using a CMS to comply with the compliance options and operating requirements in this subpart, you must include the information in paragraphs (c)(1) through (6) and paragraphs (e)(1) through (13) of this section. * * *</w:t>
      </w:r>
    </w:p>
    <w:p w14:paraId="6C6AED7D" w14:textId="77777777" w:rsidR="00054BF0" w:rsidRDefault="00000000">
      <w:pPr>
        <w:spacing w:before="200" w:line="260" w:lineRule="atLeast"/>
        <w:jc w:val="both"/>
      </w:pPr>
      <w:r>
        <w:rPr>
          <w:rFonts w:ascii="Arial" w:eastAsia="Arial" w:hAnsi="Arial" w:cs="Arial"/>
          <w:color w:val="000000"/>
          <w:sz w:val="20"/>
        </w:rPr>
        <w:t>* * * * *</w:t>
      </w:r>
    </w:p>
    <w:p w14:paraId="5D25CAB8" w14:textId="77777777" w:rsidR="00054BF0" w:rsidRDefault="00000000">
      <w:pPr>
        <w:spacing w:before="200" w:line="260" w:lineRule="atLeast"/>
        <w:jc w:val="both"/>
      </w:pPr>
      <w:r>
        <w:rPr>
          <w:rFonts w:ascii="Arial" w:eastAsia="Arial" w:hAnsi="Arial" w:cs="Arial"/>
          <w:color w:val="000000"/>
          <w:sz w:val="20"/>
        </w:rPr>
        <w:t>(2) The date, time, and duration that each CMS was inoperative, except for zero (low-level) and high-level checks.</w:t>
      </w:r>
    </w:p>
    <w:p w14:paraId="0DDEEDDB" w14:textId="77777777" w:rsidR="00054BF0" w:rsidRDefault="00000000">
      <w:pPr>
        <w:spacing w:before="200" w:line="260" w:lineRule="atLeast"/>
        <w:jc w:val="both"/>
      </w:pPr>
      <w:r>
        <w:rPr>
          <w:rFonts w:ascii="Arial" w:eastAsia="Arial" w:hAnsi="Arial" w:cs="Arial"/>
          <w:color w:val="000000"/>
          <w:sz w:val="20"/>
        </w:rPr>
        <w:t>* * * * *</w:t>
      </w:r>
    </w:p>
    <w:p w14:paraId="3C57AB72" w14:textId="77777777" w:rsidR="00054BF0" w:rsidRDefault="00000000">
      <w:pPr>
        <w:spacing w:before="200" w:line="260" w:lineRule="atLeast"/>
        <w:jc w:val="both"/>
      </w:pPr>
      <w:r>
        <w:rPr>
          <w:rFonts w:ascii="Arial" w:eastAsia="Arial" w:hAnsi="Arial" w:cs="Arial"/>
          <w:color w:val="000000"/>
          <w:sz w:val="20"/>
        </w:rPr>
        <w:t>(12) An estimate of the quantity of each regulated pollutant emitted over any emission limit, and a description of the method used to estimate the emissions.</w:t>
      </w:r>
    </w:p>
    <w:p w14:paraId="0A5919CC" w14:textId="77777777" w:rsidR="00054BF0" w:rsidRDefault="00000000">
      <w:pPr>
        <w:spacing w:before="200" w:line="260" w:lineRule="atLeast"/>
        <w:jc w:val="both"/>
      </w:pPr>
      <w:r>
        <w:rPr>
          <w:rFonts w:ascii="Arial" w:eastAsia="Arial" w:hAnsi="Arial" w:cs="Arial"/>
          <w:color w:val="000000"/>
          <w:sz w:val="20"/>
        </w:rPr>
        <w:t>(13) The total operating time of each affected source during the reporting period.</w:t>
      </w:r>
    </w:p>
    <w:p w14:paraId="173F515F" w14:textId="77777777" w:rsidR="00054BF0" w:rsidRDefault="00000000">
      <w:pPr>
        <w:spacing w:before="200" w:line="260" w:lineRule="atLeast"/>
        <w:jc w:val="both"/>
      </w:pPr>
      <w:r>
        <w:rPr>
          <w:rFonts w:ascii="Arial" w:eastAsia="Arial" w:hAnsi="Arial" w:cs="Arial"/>
          <w:color w:val="000000"/>
          <w:sz w:val="20"/>
        </w:rPr>
        <w:t>* * * * *</w:t>
      </w:r>
    </w:p>
    <w:p w14:paraId="73216E11" w14:textId="77777777" w:rsidR="00054BF0" w:rsidRDefault="00000000">
      <w:pPr>
        <w:spacing w:before="240" w:line="260" w:lineRule="atLeast"/>
        <w:jc w:val="both"/>
      </w:pPr>
      <w:r>
        <w:rPr>
          <w:rFonts w:ascii="Arial" w:eastAsia="Arial" w:hAnsi="Arial" w:cs="Arial"/>
          <w:color w:val="000000"/>
          <w:sz w:val="20"/>
        </w:rPr>
        <w:t>(h) Submitting reports electronically. If you are required to submit reports following the procedure specified in this paragraph, you must submit reports to the EPA via the Compliance and Emissions Data Reporting Interface (CEDRI), which can be accessed through the EPA's Central Data Exchange (CDX) (</w:t>
      </w:r>
      <w:hyperlink r:id="rId476" w:history="1">
        <w:r>
          <w:rPr>
            <w:rFonts w:ascii="Arial" w:eastAsia="Arial" w:hAnsi="Arial" w:cs="Arial"/>
            <w:i/>
            <w:color w:val="0077CC"/>
            <w:sz w:val="20"/>
            <w:u w:val="single"/>
            <w:shd w:val="clear" w:color="auto" w:fill="FFFFFF"/>
          </w:rPr>
          <w:t>https://cdx.epa.gov/</w:t>
        </w:r>
      </w:hyperlink>
      <w:r>
        <w:rPr>
          <w:rFonts w:ascii="Arial" w:eastAsia="Arial" w:hAnsi="Arial" w:cs="Arial"/>
          <w:color w:val="000000"/>
          <w:sz w:val="20"/>
        </w:rPr>
        <w:t xml:space="preserve">). For semiannual compliance reports required in this section and Table 9 (row 1) of this subpart, you must use the appropriate electronic report template on the CEDRI website (           </w:t>
      </w:r>
      <w:hyperlink r:id="rId477" w:history="1">
        <w:r>
          <w:rPr>
            <w:rFonts w:ascii="Arial" w:eastAsia="Arial" w:hAnsi="Arial" w:cs="Arial"/>
            <w:i/>
            <w:color w:val="0077CC"/>
            <w:sz w:val="20"/>
            <w:u w:val="single"/>
            <w:shd w:val="clear" w:color="auto" w:fill="FFFFFF"/>
          </w:rPr>
          <w:t>https://www.epa.gov/electronic-reporting-air-emissions/compliance-and-emissions-data-reporting-interface-cedri</w:t>
        </w:r>
      </w:hyperlink>
      <w:r>
        <w:rPr>
          <w:rFonts w:ascii="Arial" w:eastAsia="Arial" w:hAnsi="Arial" w:cs="Arial"/>
          <w:color w:val="000000"/>
          <w:sz w:val="20"/>
        </w:rPr>
        <w:t xml:space="preserve">) for this subpart once the reporting template has been available on the CEDRI website for 6 months. The date report templates become available will be listed on the CEDRI website. If the reporting form for the semiannual compliance report specific to this subpart is not available in CEDRI at the time that the report is due, you must submit the report to the Administrator at the appropriate addresses listed in § 63.13 Once the form has been available in CEDRI for 6 months you must begin submitting all subsequent reports via CEDRI. Initial Notifications developed according to § 63.2280(b) and Notifications of Compliance Status developed according to § 63.2280(d) may be uploaded in a user-specified format such as portable document format (PDF). The report must be submitted by the deadline specified in this subpart, regardless of the method in which the report is submitted. If you claim some of the information required to be submitted via CEDRI is confidential business information (CBI), submit a complete report, including information </w:t>
      </w:r>
      <w:r>
        <w:rPr>
          <w:rFonts w:ascii="Arial" w:eastAsia="Arial" w:hAnsi="Arial" w:cs="Arial"/>
          <w:color w:val="000000"/>
          <w:sz w:val="20"/>
        </w:rPr>
        <w:lastRenderedPageBreak/>
        <w:t>claimed to be CBI, to the EPA. The report must be generated using the appropriate form on the CEDRI website. Submit the file on a compact disc, flash drive, or other commonly used electronic storage medium and clearly mark the medium as CBI. Mail the electronic medium to U.S EPA/OAQPS/CORE CBI Office, Attention: Group Leader, Measurement Policy Group, MD C404-02, 4930 Old Page Rd., Durham, NC 27703. The same file with the CBI omitted must be submitted to the EPA via the EPA's CDX as described earlier in this paragraph.</w:t>
      </w:r>
    </w:p>
    <w:p w14:paraId="64888A18" w14:textId="77777777" w:rsidR="00054BF0" w:rsidRDefault="00000000">
      <w:pPr>
        <w:spacing w:before="200" w:line="260" w:lineRule="atLeast"/>
        <w:jc w:val="both"/>
      </w:pPr>
      <w:r>
        <w:rPr>
          <w:rFonts w:ascii="Arial" w:eastAsia="Arial" w:hAnsi="Arial" w:cs="Arial"/>
          <w:color w:val="000000"/>
          <w:sz w:val="20"/>
        </w:rPr>
        <w:t>(i) Performance tests. Within 60 days after the date of completing each performance test required by this subpart, you must submit the results of the performance test following the procedures specified in paragraphs (i)(1) through (3) of this section.</w:t>
      </w:r>
    </w:p>
    <w:p w14:paraId="6526A7BD" w14:textId="77777777" w:rsidR="00054BF0" w:rsidRDefault="00000000">
      <w:pPr>
        <w:spacing w:before="240" w:line="260" w:lineRule="atLeast"/>
        <w:jc w:val="both"/>
      </w:pPr>
      <w:r>
        <w:rPr>
          <w:rFonts w:ascii="Arial" w:eastAsia="Arial" w:hAnsi="Arial" w:cs="Arial"/>
          <w:color w:val="000000"/>
          <w:sz w:val="20"/>
        </w:rPr>
        <w:t>(1) Data collected using test methods supported by the EPA's Electronic Reporting Tool (ERT) as listed on the EPA's ERT website (</w:t>
      </w:r>
      <w:hyperlink r:id="rId478" w:history="1">
        <w:r>
          <w:rPr>
            <w:rFonts w:ascii="Arial" w:eastAsia="Arial" w:hAnsi="Arial" w:cs="Arial"/>
            <w:i/>
            <w:color w:val="0077CC"/>
            <w:sz w:val="20"/>
            <w:u w:val="single"/>
            <w:shd w:val="clear" w:color="auto" w:fill="FFFFFF"/>
          </w:rPr>
          <w:t>https://www.epa.gov/electronic-reporting-air-emissions/electronic-reporting-tool-ert</w:t>
        </w:r>
      </w:hyperlink>
      <w:r>
        <w:rPr>
          <w:rFonts w:ascii="Arial" w:eastAsia="Arial" w:hAnsi="Arial" w:cs="Arial"/>
          <w:color w:val="000000"/>
          <w:sz w:val="20"/>
        </w:rPr>
        <w:t xml:space="preserve">) at the time of the test. Submit the results of the performance test to the EPA via CEDRI, which can be accessed through the EPA's CDX (           </w:t>
      </w:r>
      <w:hyperlink r:id="rId479" w:history="1">
        <w:r>
          <w:rPr>
            <w:rFonts w:ascii="Arial" w:eastAsia="Arial" w:hAnsi="Arial" w:cs="Arial"/>
            <w:i/>
            <w:color w:val="0077CC"/>
            <w:sz w:val="20"/>
            <w:u w:val="single"/>
            <w:shd w:val="clear" w:color="auto" w:fill="FFFFFF"/>
          </w:rPr>
          <w:t>https://cdx.epa.gov/</w:t>
        </w:r>
      </w:hyperlink>
      <w:r>
        <w:rPr>
          <w:rFonts w:ascii="Arial" w:eastAsia="Arial" w:hAnsi="Arial" w:cs="Arial"/>
          <w:color w:val="000000"/>
          <w:sz w:val="20"/>
        </w:rPr>
        <w:t>). The data must be submitted in a file format generated through the use of the EPA's ERT. Alternatively, you may submit an electronic file consistent with the extensible markup language (XML) schema listed on the EPA's ERT website.</w:t>
      </w:r>
    </w:p>
    <w:p w14:paraId="16FDE284" w14:textId="77777777" w:rsidR="00054BF0" w:rsidRDefault="00000000">
      <w:pPr>
        <w:spacing w:before="200" w:line="260" w:lineRule="atLeast"/>
        <w:jc w:val="both"/>
      </w:pPr>
      <w:r>
        <w:rPr>
          <w:rFonts w:ascii="Arial" w:eastAsia="Arial" w:hAnsi="Arial" w:cs="Arial"/>
          <w:color w:val="000000"/>
          <w:sz w:val="20"/>
        </w:rPr>
        <w:t>(2) Data collected using test methods that are not supported by the EPA's ERT as listed on the EPA's ERT website at the time of the test. The results of the performance test must be included as an attachment in the ERT or an alternate electronic file consistent with the XML schema listed on the EPA's ERT website. Submit the ERT generated package or alternative file to the EPA via CEDRI.</w:t>
      </w:r>
    </w:p>
    <w:p w14:paraId="24E7A82A" w14:textId="77777777" w:rsidR="00054BF0" w:rsidRDefault="00000000">
      <w:pPr>
        <w:spacing w:before="200" w:line="260" w:lineRule="atLeast"/>
        <w:jc w:val="both"/>
      </w:pPr>
      <w:r>
        <w:rPr>
          <w:rFonts w:ascii="Arial" w:eastAsia="Arial" w:hAnsi="Arial" w:cs="Arial"/>
          <w:color w:val="000000"/>
          <w:sz w:val="20"/>
        </w:rPr>
        <w:t>(3) Confidential business information (CBI). If you claim some of the information submitted under this paragraph (i) is CBI, you must submit a complete file, including information claimed to be CBI, to the EPA. The file must be generated through the use of the EPA's ERT or an alternate electronic file consistent with the XML schema listed on the EPA's ERT website. Submit the file on a compact disc, flash drive, or other commonly used electronic storage medium and clearly mark the medium as CBI. Mail the electronic medium to U.S EPA/OAQPS/CORE CBI Office, Attention: Group Leader, Measurement Policy Group, MD C404-02, 4930 Old Page Rd., Durham, NC 27703. The same file with the CBI omitted must be submitted to the EPA via the EPA's CDX as described in paragraph (i) of this section.</w:t>
      </w:r>
    </w:p>
    <w:p w14:paraId="662B0E4D" w14:textId="77777777" w:rsidR="00054BF0" w:rsidRDefault="00000000">
      <w:pPr>
        <w:spacing w:before="200" w:line="260" w:lineRule="atLeast"/>
        <w:jc w:val="both"/>
      </w:pPr>
      <w:r>
        <w:rPr>
          <w:rFonts w:ascii="Arial" w:eastAsia="Arial" w:hAnsi="Arial" w:cs="Arial"/>
          <w:color w:val="000000"/>
          <w:sz w:val="20"/>
        </w:rPr>
        <w:t>(j) Performance evaluations. Within 60 days after the date of completing each continuous monitoring system (CMS) performance evaluation (as defined in § 63.2), you must submit the results of the performance evaluation following the procedures specified in paragraphs (j)(1) through (3) of this section.</w:t>
      </w:r>
    </w:p>
    <w:p w14:paraId="1CD07EE9" w14:textId="77777777" w:rsidR="00054BF0" w:rsidRDefault="00000000">
      <w:pPr>
        <w:spacing w:before="200" w:line="260" w:lineRule="atLeast"/>
        <w:jc w:val="both"/>
      </w:pPr>
      <w:r>
        <w:rPr>
          <w:rFonts w:ascii="Arial" w:eastAsia="Arial" w:hAnsi="Arial" w:cs="Arial"/>
          <w:color w:val="000000"/>
          <w:sz w:val="20"/>
        </w:rPr>
        <w:t>(1) Performance evaluations of CMS measuring relative accuracy test audit (RATA) pollutants that are supported by the EPA's ERT as listed on the EPA's ERT website at the time of the evaluation. Submit the results of the performance evaluation to the EPA via CEDRI, which can be accessed through the EPA's CDX. The data must be submitted in a file format generated through the use of the EPA's ERT. Alternatively, you may submit an electronic file consistent with the XML schema listed on the EPA's ERT website.</w:t>
      </w:r>
    </w:p>
    <w:p w14:paraId="05A16972" w14:textId="77777777" w:rsidR="00054BF0" w:rsidRDefault="00000000">
      <w:pPr>
        <w:spacing w:before="200" w:line="260" w:lineRule="atLeast"/>
        <w:jc w:val="both"/>
      </w:pPr>
      <w:r>
        <w:rPr>
          <w:rFonts w:ascii="Arial" w:eastAsia="Arial" w:hAnsi="Arial" w:cs="Arial"/>
          <w:color w:val="000000"/>
          <w:sz w:val="20"/>
        </w:rPr>
        <w:t>(2) Performance evaluations of CMS measuring RATA pollutants that are not supported by the EPA's ERT as listed on the EPA's ERT website at the time of the evaluation. The results of the performance evaluation must be included as an attachment in the ERT or an alternate electronic file consistent with the XML schema listed on the EPA's ERT website. Submit the ERT generated package or alternative file to the EPA via CEDRI.</w:t>
      </w:r>
    </w:p>
    <w:p w14:paraId="1C56E1C1" w14:textId="77777777" w:rsidR="00054BF0" w:rsidRDefault="00000000">
      <w:pPr>
        <w:spacing w:before="200" w:line="260" w:lineRule="atLeast"/>
        <w:jc w:val="both"/>
      </w:pPr>
      <w:r>
        <w:rPr>
          <w:rFonts w:ascii="Arial" w:eastAsia="Arial" w:hAnsi="Arial" w:cs="Arial"/>
          <w:color w:val="000000"/>
          <w:sz w:val="20"/>
        </w:rPr>
        <w:t>(3) Confidential business information (CBI). If you claim some of the information submitted under this paragraph (j) is CBI, you must submit a complete file, including information claimed to be CBI, to the EPA. The file must be generated through the use of the EPA's ERT or an alternate electronic file consistent with the XML schema listed on the EPA's ERT website. Submit the file on a compact disc, flash drive, or other commonly used electronic storage medium and clearly mark the medium as CBI. Mail the electronic medium to U.S EPA/OAQPS/CORE CBI Office, Attention: Group Leader, Measurement Policy Group, MD C404-02, 4930 Old Page Rd., Durham, NC 27703. The same file with the CBI omitted must be submitted to the EPA via the EPA's CDX as described in paragraph (j) of this section.</w:t>
      </w:r>
    </w:p>
    <w:p w14:paraId="4C1F6A73" w14:textId="77777777" w:rsidR="00054BF0" w:rsidRDefault="00000000">
      <w:pPr>
        <w:spacing w:before="200" w:line="260" w:lineRule="atLeast"/>
        <w:jc w:val="both"/>
      </w:pPr>
      <w:r>
        <w:rPr>
          <w:rFonts w:ascii="Arial" w:eastAsia="Arial" w:hAnsi="Arial" w:cs="Arial"/>
          <w:color w:val="000000"/>
          <w:sz w:val="20"/>
        </w:rPr>
        <w:lastRenderedPageBreak/>
        <w:t xml:space="preserve">(k) Claims of EPA system outage. If you are required to electronically submit a report or notification through CEDRI in the EPA's CDX, you may assert a claim of EPA system outage for </w:t>
      </w:r>
      <w:r>
        <w:rPr>
          <w:rFonts w:ascii="Arial" w:eastAsia="Arial" w:hAnsi="Arial" w:cs="Arial"/>
          <w:b/>
          <w:i/>
          <w:color w:val="000000"/>
          <w:sz w:val="20"/>
          <w:u w:val="single"/>
        </w:rPr>
        <w:t>failure</w:t>
      </w:r>
      <w:r>
        <w:rPr>
          <w:rFonts w:ascii="Arial" w:eastAsia="Arial" w:hAnsi="Arial" w:cs="Arial"/>
          <w:color w:val="000000"/>
          <w:sz w:val="20"/>
        </w:rPr>
        <w:t xml:space="preserve"> to timely comply with the reporting requirement. To assert a claim of EPA system outage, you must meet the requirements outlined in paragraphs (k)(1) through (7) of this section.</w:t>
      </w:r>
    </w:p>
    <w:p w14:paraId="6C43A69A" w14:textId="77777777" w:rsidR="00054BF0" w:rsidRDefault="00000000">
      <w:pPr>
        <w:spacing w:before="200" w:line="260" w:lineRule="atLeast"/>
        <w:jc w:val="both"/>
      </w:pPr>
      <w:r>
        <w:rPr>
          <w:rFonts w:ascii="Arial" w:eastAsia="Arial" w:hAnsi="Arial" w:cs="Arial"/>
          <w:color w:val="000000"/>
          <w:sz w:val="20"/>
        </w:rPr>
        <w:t>(1) You must have been or will be precluded from accessing CEDRI and submitting a required report within the time prescribed due to an outage of either the EPA's CEDRI or CDX systems.</w:t>
      </w:r>
    </w:p>
    <w:p w14:paraId="7A5B4034" w14:textId="77777777" w:rsidR="00054BF0" w:rsidRDefault="00000000">
      <w:pPr>
        <w:spacing w:before="200" w:line="260" w:lineRule="atLeast"/>
        <w:jc w:val="both"/>
      </w:pPr>
      <w:r>
        <w:rPr>
          <w:rFonts w:ascii="Arial" w:eastAsia="Arial" w:hAnsi="Arial" w:cs="Arial"/>
          <w:color w:val="000000"/>
          <w:sz w:val="20"/>
        </w:rPr>
        <w:t>(2) The outage must have occurred within the period of time beginning 5 business days prior to the date that the submission is due.</w:t>
      </w:r>
    </w:p>
    <w:p w14:paraId="19BAF837" w14:textId="77777777" w:rsidR="00054BF0" w:rsidRDefault="00000000">
      <w:pPr>
        <w:spacing w:before="200" w:line="260" w:lineRule="atLeast"/>
        <w:jc w:val="both"/>
      </w:pPr>
      <w:r>
        <w:rPr>
          <w:rFonts w:ascii="Arial" w:eastAsia="Arial" w:hAnsi="Arial" w:cs="Arial"/>
          <w:color w:val="000000"/>
          <w:sz w:val="20"/>
        </w:rPr>
        <w:t>(3) The outage may be planned or unplanned.</w:t>
      </w:r>
    </w:p>
    <w:p w14:paraId="34D10A0F" w14:textId="77777777" w:rsidR="00054BF0" w:rsidRDefault="00000000">
      <w:pPr>
        <w:spacing w:before="200" w:line="260" w:lineRule="atLeast"/>
        <w:jc w:val="both"/>
      </w:pPr>
      <w:r>
        <w:rPr>
          <w:rFonts w:ascii="Arial" w:eastAsia="Arial" w:hAnsi="Arial" w:cs="Arial"/>
          <w:color w:val="000000"/>
          <w:sz w:val="20"/>
        </w:rPr>
        <w:t>(4) You must submit notification to the Administrator in writing as soon as possible following the date you first knew, or through due diligence should have known, that the event may cause or has caused a delay in reporting.</w:t>
      </w:r>
    </w:p>
    <w:p w14:paraId="527B9E24" w14:textId="77777777" w:rsidR="00054BF0" w:rsidRDefault="00000000">
      <w:pPr>
        <w:spacing w:before="200" w:line="260" w:lineRule="atLeast"/>
        <w:jc w:val="both"/>
      </w:pPr>
      <w:r>
        <w:rPr>
          <w:rFonts w:ascii="Arial" w:eastAsia="Arial" w:hAnsi="Arial" w:cs="Arial"/>
          <w:color w:val="000000"/>
          <w:sz w:val="20"/>
        </w:rPr>
        <w:t>(5) You must provide to the Administrator a written description identifying:</w:t>
      </w:r>
    </w:p>
    <w:p w14:paraId="6B6EA9DC" w14:textId="77777777" w:rsidR="00054BF0" w:rsidRDefault="00000000">
      <w:pPr>
        <w:spacing w:before="200" w:line="260" w:lineRule="atLeast"/>
        <w:jc w:val="both"/>
      </w:pPr>
      <w:r>
        <w:rPr>
          <w:rFonts w:ascii="Arial" w:eastAsia="Arial" w:hAnsi="Arial" w:cs="Arial"/>
          <w:color w:val="000000"/>
          <w:sz w:val="20"/>
        </w:rPr>
        <w:t>(i) The date(s) and time(s) when CDX or CEDRI was accessed and the system was unavailable;</w:t>
      </w:r>
    </w:p>
    <w:p w14:paraId="0F775483" w14:textId="77777777" w:rsidR="00054BF0" w:rsidRDefault="00000000">
      <w:pPr>
        <w:spacing w:before="200" w:line="260" w:lineRule="atLeast"/>
        <w:jc w:val="both"/>
      </w:pPr>
      <w:r>
        <w:rPr>
          <w:rFonts w:ascii="Arial" w:eastAsia="Arial" w:hAnsi="Arial" w:cs="Arial"/>
          <w:color w:val="000000"/>
          <w:sz w:val="20"/>
        </w:rPr>
        <w:t>(ii) A rationale for attributing the delay in reporting beyond the regulatory deadline to EPA system outage;</w:t>
      </w:r>
    </w:p>
    <w:p w14:paraId="6FF1D52B" w14:textId="77777777" w:rsidR="00054BF0" w:rsidRDefault="00000000">
      <w:pPr>
        <w:spacing w:before="200" w:line="260" w:lineRule="atLeast"/>
        <w:jc w:val="both"/>
      </w:pPr>
      <w:r>
        <w:rPr>
          <w:rFonts w:ascii="Arial" w:eastAsia="Arial" w:hAnsi="Arial" w:cs="Arial"/>
          <w:color w:val="000000"/>
          <w:sz w:val="20"/>
        </w:rPr>
        <w:t>(iii) Measures taken or to be taken to minimize the delay in reporting; and</w:t>
      </w:r>
    </w:p>
    <w:p w14:paraId="2B8BB993" w14:textId="77777777" w:rsidR="00054BF0" w:rsidRDefault="00000000">
      <w:pPr>
        <w:spacing w:before="200" w:line="260" w:lineRule="atLeast"/>
        <w:jc w:val="both"/>
      </w:pPr>
      <w:r>
        <w:rPr>
          <w:rFonts w:ascii="Arial" w:eastAsia="Arial" w:hAnsi="Arial" w:cs="Arial"/>
          <w:color w:val="000000"/>
          <w:sz w:val="20"/>
        </w:rPr>
        <w:t>(iv) The date by which you propose to report, or if you have already met the reporting requirement at the time of the notification, the date you reported.</w:t>
      </w:r>
    </w:p>
    <w:p w14:paraId="2A5B060F" w14:textId="77777777" w:rsidR="00054BF0" w:rsidRDefault="00000000">
      <w:pPr>
        <w:spacing w:before="200" w:line="260" w:lineRule="atLeast"/>
        <w:jc w:val="both"/>
      </w:pPr>
      <w:r>
        <w:rPr>
          <w:rFonts w:ascii="Arial" w:eastAsia="Arial" w:hAnsi="Arial" w:cs="Arial"/>
          <w:color w:val="000000"/>
          <w:sz w:val="20"/>
        </w:rPr>
        <w:t>(6) The decision to accept the claim of EPA system outage and allow an extension to the reporting deadline is solely within the discretion of the Administrator.</w:t>
      </w:r>
    </w:p>
    <w:p w14:paraId="01043622" w14:textId="77777777" w:rsidR="00054BF0" w:rsidRDefault="00000000">
      <w:pPr>
        <w:spacing w:before="200" w:line="260" w:lineRule="atLeast"/>
        <w:jc w:val="both"/>
      </w:pPr>
      <w:r>
        <w:rPr>
          <w:rFonts w:ascii="Arial" w:eastAsia="Arial" w:hAnsi="Arial" w:cs="Arial"/>
          <w:color w:val="000000"/>
          <w:sz w:val="20"/>
        </w:rPr>
        <w:t>(7) In any circumstance, the report must be submitted electronically as soon as possible after the outage is resolved.</w:t>
      </w:r>
    </w:p>
    <w:p w14:paraId="199D712C" w14:textId="77777777" w:rsidR="00054BF0" w:rsidRDefault="00000000">
      <w:pPr>
        <w:spacing w:before="200" w:line="260" w:lineRule="atLeast"/>
        <w:jc w:val="both"/>
      </w:pPr>
      <w:r>
        <w:rPr>
          <w:rFonts w:ascii="Arial" w:eastAsia="Arial" w:hAnsi="Arial" w:cs="Arial"/>
          <w:color w:val="000000"/>
          <w:sz w:val="20"/>
        </w:rPr>
        <w:t xml:space="preserve">(l) Claims of force majeure. If you are required to electronically submit a report through CEDRI in the EPA's CDX, you may assert a claim of force majeure for </w:t>
      </w:r>
      <w:r>
        <w:rPr>
          <w:rFonts w:ascii="Arial" w:eastAsia="Arial" w:hAnsi="Arial" w:cs="Arial"/>
          <w:b/>
          <w:i/>
          <w:color w:val="000000"/>
          <w:sz w:val="20"/>
          <w:u w:val="single"/>
        </w:rPr>
        <w:t>failure</w:t>
      </w:r>
      <w:r>
        <w:rPr>
          <w:rFonts w:ascii="Arial" w:eastAsia="Arial" w:hAnsi="Arial" w:cs="Arial"/>
          <w:color w:val="000000"/>
          <w:sz w:val="20"/>
        </w:rPr>
        <w:t xml:space="preserve"> to timely comply with the reporting requirement. To assert a claim of force majuere, you must meet the requirements outlined in paragraphs (l)(1) through (5) of this section.</w:t>
      </w:r>
    </w:p>
    <w:p w14:paraId="480B6F04" w14:textId="77777777" w:rsidR="00054BF0" w:rsidRDefault="00000000">
      <w:pPr>
        <w:spacing w:before="200" w:line="260" w:lineRule="atLeast"/>
        <w:jc w:val="both"/>
      </w:pPr>
      <w:r>
        <w:rPr>
          <w:rFonts w:ascii="Arial" w:eastAsia="Arial" w:hAnsi="Arial" w:cs="Arial"/>
          <w:color w:val="000000"/>
          <w:sz w:val="20"/>
        </w:rPr>
        <w:t xml:space="preserve">(1) You may submit a claim if a force majeure event is about to occur, occurs, or has occurred or there are lingering effects from such an event within the period of time beginning five business days prior to the date the submission is due. For the purposes of this section, a force majeure event is defined as an event that will be or has been caused by circumstances beyond the control of the affected facility, its contractors, or any entity controlled by the affected facility that prevents you from complying with the requirement to submit a report electronically within the time period prescribed. Examples of such events are acts of nature (e.g , hurricanes, earthquakes, or floods), acts of war or terrorism, or equipment </w:t>
      </w:r>
      <w:r>
        <w:rPr>
          <w:rFonts w:ascii="Arial" w:eastAsia="Arial" w:hAnsi="Arial" w:cs="Arial"/>
          <w:b/>
          <w:i/>
          <w:color w:val="000000"/>
          <w:sz w:val="20"/>
          <w:u w:val="single"/>
        </w:rPr>
        <w:t>failure</w:t>
      </w:r>
      <w:r>
        <w:rPr>
          <w:rFonts w:ascii="Arial" w:eastAsia="Arial" w:hAnsi="Arial" w:cs="Arial"/>
          <w:color w:val="000000"/>
          <w:sz w:val="20"/>
        </w:rPr>
        <w:t xml:space="preserve"> or safety hazard beyond the control of the affected facility (e.g , large scale power outage).</w:t>
      </w:r>
    </w:p>
    <w:p w14:paraId="79AEBD1C" w14:textId="77777777" w:rsidR="00054BF0" w:rsidRDefault="00000000">
      <w:pPr>
        <w:spacing w:before="200" w:line="260" w:lineRule="atLeast"/>
        <w:jc w:val="both"/>
      </w:pPr>
      <w:r>
        <w:rPr>
          <w:rFonts w:ascii="Arial" w:eastAsia="Arial" w:hAnsi="Arial" w:cs="Arial"/>
          <w:color w:val="000000"/>
          <w:sz w:val="20"/>
        </w:rPr>
        <w:t>(2) You must submit notification to the Administrator in writing as soon as possible following the date you first knew, or through due diligence should have known, that the event may cause or has caused a delay in reporting.</w:t>
      </w:r>
    </w:p>
    <w:p w14:paraId="3F99DCCC" w14:textId="77777777" w:rsidR="00054BF0" w:rsidRDefault="00000000">
      <w:pPr>
        <w:spacing w:before="200" w:line="260" w:lineRule="atLeast"/>
        <w:jc w:val="both"/>
      </w:pPr>
      <w:r>
        <w:rPr>
          <w:rFonts w:ascii="Arial" w:eastAsia="Arial" w:hAnsi="Arial" w:cs="Arial"/>
          <w:color w:val="000000"/>
          <w:sz w:val="20"/>
        </w:rPr>
        <w:t>(3) You must provide to the Administrator:</w:t>
      </w:r>
    </w:p>
    <w:p w14:paraId="0CB8613E" w14:textId="77777777" w:rsidR="00054BF0" w:rsidRDefault="00000000">
      <w:pPr>
        <w:spacing w:before="200" w:line="260" w:lineRule="atLeast"/>
        <w:jc w:val="both"/>
      </w:pPr>
      <w:r>
        <w:rPr>
          <w:rFonts w:ascii="Arial" w:eastAsia="Arial" w:hAnsi="Arial" w:cs="Arial"/>
          <w:color w:val="000000"/>
          <w:sz w:val="20"/>
        </w:rPr>
        <w:t>(i) A written description of the force majeure event;</w:t>
      </w:r>
    </w:p>
    <w:p w14:paraId="187746EA" w14:textId="77777777" w:rsidR="00054BF0" w:rsidRDefault="00000000">
      <w:pPr>
        <w:spacing w:before="200" w:line="260" w:lineRule="atLeast"/>
        <w:jc w:val="both"/>
      </w:pPr>
      <w:r>
        <w:rPr>
          <w:rFonts w:ascii="Arial" w:eastAsia="Arial" w:hAnsi="Arial" w:cs="Arial"/>
          <w:color w:val="000000"/>
          <w:sz w:val="20"/>
        </w:rPr>
        <w:t>(ii) A rationale for attributing the delay in reporting beyond the regulatory deadline to the force majeure event;</w:t>
      </w:r>
    </w:p>
    <w:p w14:paraId="32E84C1C" w14:textId="77777777" w:rsidR="00054BF0" w:rsidRDefault="00000000">
      <w:pPr>
        <w:spacing w:before="200" w:line="260" w:lineRule="atLeast"/>
        <w:jc w:val="both"/>
      </w:pPr>
      <w:r>
        <w:rPr>
          <w:rFonts w:ascii="Arial" w:eastAsia="Arial" w:hAnsi="Arial" w:cs="Arial"/>
          <w:color w:val="000000"/>
          <w:sz w:val="20"/>
        </w:rPr>
        <w:t>(iii) Measures taken or to be taken to minimize the delay in reporting; and</w:t>
      </w:r>
    </w:p>
    <w:p w14:paraId="14BCA47E" w14:textId="77777777" w:rsidR="00054BF0" w:rsidRDefault="00000000">
      <w:pPr>
        <w:spacing w:before="200" w:line="260" w:lineRule="atLeast"/>
        <w:jc w:val="both"/>
      </w:pPr>
      <w:r>
        <w:rPr>
          <w:rFonts w:ascii="Arial" w:eastAsia="Arial" w:hAnsi="Arial" w:cs="Arial"/>
          <w:color w:val="000000"/>
          <w:sz w:val="20"/>
        </w:rPr>
        <w:lastRenderedPageBreak/>
        <w:t>(iv) The date by which you propose to report, or if you have already met the reporting requirement at the time of the notification, the date you reported.</w:t>
      </w:r>
    </w:p>
    <w:p w14:paraId="23FF32D8" w14:textId="77777777" w:rsidR="00054BF0" w:rsidRDefault="00000000">
      <w:pPr>
        <w:spacing w:before="200" w:line="260" w:lineRule="atLeast"/>
        <w:jc w:val="both"/>
      </w:pPr>
      <w:r>
        <w:rPr>
          <w:rFonts w:ascii="Arial" w:eastAsia="Arial" w:hAnsi="Arial" w:cs="Arial"/>
          <w:color w:val="000000"/>
          <w:sz w:val="20"/>
        </w:rPr>
        <w:t>(4) The decision to accept the claim of force majeure and allow an extension to the reporting deadline is solely within the discretion of the Administrator.</w:t>
      </w:r>
    </w:p>
    <w:p w14:paraId="104E3D5F" w14:textId="77777777" w:rsidR="00054BF0" w:rsidRDefault="00000000">
      <w:pPr>
        <w:spacing w:before="200" w:line="260" w:lineRule="atLeast"/>
        <w:jc w:val="both"/>
      </w:pPr>
      <w:r>
        <w:rPr>
          <w:rFonts w:ascii="Arial" w:eastAsia="Arial" w:hAnsi="Arial" w:cs="Arial"/>
          <w:color w:val="000000"/>
          <w:sz w:val="20"/>
        </w:rPr>
        <w:t>(5) In any circumstance, the reporting must occur as soon as possible after the force majeure event occurs.</w:t>
      </w:r>
    </w:p>
    <w:p w14:paraId="24952221" w14:textId="77777777" w:rsidR="00054BF0" w:rsidRDefault="00000000">
      <w:pPr>
        <w:spacing w:before="200" w:line="260" w:lineRule="atLeast"/>
        <w:jc w:val="both"/>
      </w:pPr>
      <w:r>
        <w:rPr>
          <w:rFonts w:ascii="Arial" w:eastAsia="Arial" w:hAnsi="Arial" w:cs="Arial"/>
          <w:color w:val="000000"/>
          <w:sz w:val="20"/>
        </w:rPr>
        <w:t>13. Section 63.2282 is amended by:</w:t>
      </w:r>
    </w:p>
    <w:p w14:paraId="084B23CF" w14:textId="77777777" w:rsidR="00054BF0" w:rsidRDefault="00000000">
      <w:pPr>
        <w:spacing w:before="200" w:line="260" w:lineRule="atLeast"/>
        <w:jc w:val="both"/>
      </w:pPr>
      <w:r>
        <w:rPr>
          <w:rFonts w:ascii="Arial" w:eastAsia="Arial" w:hAnsi="Arial" w:cs="Arial"/>
          <w:color w:val="000000"/>
          <w:sz w:val="20"/>
        </w:rPr>
        <w:t>a. Revising paragraph (a)(2);</w:t>
      </w:r>
    </w:p>
    <w:p w14:paraId="45A96B2E" w14:textId="77777777" w:rsidR="00054BF0" w:rsidRDefault="00000000">
      <w:pPr>
        <w:spacing w:before="200" w:line="260" w:lineRule="atLeast"/>
        <w:jc w:val="both"/>
      </w:pPr>
      <w:r>
        <w:rPr>
          <w:rFonts w:ascii="Arial" w:eastAsia="Arial" w:hAnsi="Arial" w:cs="Arial"/>
          <w:color w:val="000000"/>
          <w:sz w:val="20"/>
        </w:rPr>
        <w:t>b. Revising paragraph (c)(2); and</w:t>
      </w:r>
    </w:p>
    <w:p w14:paraId="0F819948" w14:textId="77777777" w:rsidR="00054BF0" w:rsidRDefault="00000000">
      <w:pPr>
        <w:spacing w:before="200" w:line="260" w:lineRule="atLeast"/>
        <w:jc w:val="both"/>
      </w:pPr>
      <w:r>
        <w:rPr>
          <w:rFonts w:ascii="Arial" w:eastAsia="Arial" w:hAnsi="Arial" w:cs="Arial"/>
          <w:color w:val="000000"/>
          <w:sz w:val="20"/>
        </w:rPr>
        <w:t>c. Adding paragraph (f).</w:t>
      </w:r>
    </w:p>
    <w:p w14:paraId="79E22343" w14:textId="77777777" w:rsidR="00054BF0" w:rsidRDefault="00000000">
      <w:pPr>
        <w:spacing w:before="200" w:line="260" w:lineRule="atLeast"/>
        <w:jc w:val="both"/>
      </w:pPr>
      <w:r>
        <w:rPr>
          <w:rFonts w:ascii="Arial" w:eastAsia="Arial" w:hAnsi="Arial" w:cs="Arial"/>
          <w:color w:val="000000"/>
          <w:sz w:val="20"/>
        </w:rPr>
        <w:t>The revisions and additions read as follows:§ 63.2282What records must I keep?</w:t>
      </w:r>
    </w:p>
    <w:p w14:paraId="736FC5CF" w14:textId="77777777" w:rsidR="00054BF0" w:rsidRDefault="00000000">
      <w:pPr>
        <w:spacing w:before="200" w:line="260" w:lineRule="atLeast"/>
        <w:jc w:val="both"/>
      </w:pPr>
      <w:r>
        <w:rPr>
          <w:rFonts w:ascii="Arial" w:eastAsia="Arial" w:hAnsi="Arial" w:cs="Arial"/>
          <w:color w:val="000000"/>
          <w:sz w:val="20"/>
        </w:rPr>
        <w:t>(a) * * *</w:t>
      </w:r>
    </w:p>
    <w:p w14:paraId="22049BCC" w14:textId="77777777" w:rsidR="00054BF0" w:rsidRDefault="00000000">
      <w:pPr>
        <w:spacing w:before="200" w:line="260" w:lineRule="atLeast"/>
        <w:jc w:val="both"/>
      </w:pPr>
      <w:r>
        <w:rPr>
          <w:rFonts w:ascii="Arial" w:eastAsia="Arial" w:hAnsi="Arial" w:cs="Arial"/>
          <w:color w:val="000000"/>
          <w:sz w:val="20"/>
        </w:rPr>
        <w:t xml:space="preserve">(2) Before [DATE 181 DAYS AFTER DATE OF PUBLICATION OF FINAL RULE IN THE Federal Register], the records in § 63.6(e)(3)(iii) through (v) related to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for affected sources that commenced construction or reconstruction before September 6, 2019. After [DATE OF PUBLICATION OF FINAL RULE IN THE Federal Register] for affected sources that commenced construction or reconstruction after September 6, 2019 and on and after [DATE 181 DAYS AFTER DATE OF PUBLICATION OF FINAL RULE IN THE Federal Register] for all other affected sources, the records related to </w:t>
      </w:r>
      <w:r>
        <w:rPr>
          <w:rFonts w:ascii="Arial" w:eastAsia="Arial" w:hAnsi="Arial" w:cs="Arial"/>
          <w:b/>
          <w:i/>
          <w:color w:val="000000"/>
          <w:sz w:val="20"/>
          <w:u w:val="single"/>
        </w:rPr>
        <w:t>startup</w:t>
      </w:r>
      <w:r>
        <w:rPr>
          <w:rFonts w:ascii="Arial" w:eastAsia="Arial" w:hAnsi="Arial" w:cs="Arial"/>
          <w:color w:val="000000"/>
          <w:sz w:val="20"/>
        </w:rPr>
        <w:t xml:space="preserve"> and shutdown, </w:t>
      </w:r>
      <w:r>
        <w:rPr>
          <w:rFonts w:ascii="Arial" w:eastAsia="Arial" w:hAnsi="Arial" w:cs="Arial"/>
          <w:b/>
          <w:i/>
          <w:color w:val="000000"/>
          <w:sz w:val="20"/>
          <w:u w:val="single"/>
        </w:rPr>
        <w:t>failures</w:t>
      </w:r>
      <w:r>
        <w:rPr>
          <w:rFonts w:ascii="Arial" w:eastAsia="Arial" w:hAnsi="Arial" w:cs="Arial"/>
          <w:color w:val="000000"/>
          <w:sz w:val="20"/>
        </w:rPr>
        <w:t xml:space="preserve"> to meet the standard, and actions taken to minimize emissions, specified in paragraphs (a)(2)(i) through (iv) of this section.</w:t>
      </w:r>
    </w:p>
    <w:p w14:paraId="25D9B5DB" w14:textId="77777777" w:rsidR="00054BF0" w:rsidRDefault="00000000">
      <w:pPr>
        <w:spacing w:before="200" w:line="260" w:lineRule="atLeast"/>
        <w:jc w:val="both"/>
      </w:pPr>
      <w:r>
        <w:rPr>
          <w:rFonts w:ascii="Arial" w:eastAsia="Arial" w:hAnsi="Arial" w:cs="Arial"/>
          <w:color w:val="000000"/>
          <w:sz w:val="20"/>
        </w:rPr>
        <w:t xml:space="preserve">(i) Record the date, time, and duration of each </w:t>
      </w:r>
      <w:r>
        <w:rPr>
          <w:rFonts w:ascii="Arial" w:eastAsia="Arial" w:hAnsi="Arial" w:cs="Arial"/>
          <w:b/>
          <w:i/>
          <w:color w:val="000000"/>
          <w:sz w:val="20"/>
          <w:u w:val="single"/>
        </w:rPr>
        <w:t>startup</w:t>
      </w:r>
      <w:r>
        <w:rPr>
          <w:rFonts w:ascii="Arial" w:eastAsia="Arial" w:hAnsi="Arial" w:cs="Arial"/>
          <w:color w:val="000000"/>
          <w:sz w:val="20"/>
        </w:rPr>
        <w:t xml:space="preserve"> and/or shutdown period, including the periods when the affected source was subject to the standard applicable to </w:t>
      </w:r>
      <w:r>
        <w:rPr>
          <w:rFonts w:ascii="Arial" w:eastAsia="Arial" w:hAnsi="Arial" w:cs="Arial"/>
          <w:b/>
          <w:i/>
          <w:color w:val="000000"/>
          <w:sz w:val="20"/>
          <w:u w:val="single"/>
        </w:rPr>
        <w:t>startup</w:t>
      </w:r>
      <w:r>
        <w:rPr>
          <w:rFonts w:ascii="Arial" w:eastAsia="Arial" w:hAnsi="Arial" w:cs="Arial"/>
          <w:color w:val="000000"/>
          <w:sz w:val="20"/>
        </w:rPr>
        <w:t xml:space="preserve"> and shutdown;</w:t>
      </w:r>
    </w:p>
    <w:p w14:paraId="2C2256BF" w14:textId="77777777" w:rsidR="00054BF0" w:rsidRDefault="00000000">
      <w:pPr>
        <w:spacing w:before="200" w:line="260" w:lineRule="atLeast"/>
        <w:jc w:val="both"/>
      </w:pPr>
      <w:r>
        <w:rPr>
          <w:rFonts w:ascii="Arial" w:eastAsia="Arial" w:hAnsi="Arial" w:cs="Arial"/>
          <w:color w:val="000000"/>
          <w:sz w:val="20"/>
        </w:rPr>
        <w:t xml:space="preserve">(ii) In the event that an affected unit fails to meet an applicable standard, record the number of </w:t>
      </w:r>
      <w:r>
        <w:rPr>
          <w:rFonts w:ascii="Arial" w:eastAsia="Arial" w:hAnsi="Arial" w:cs="Arial"/>
          <w:b/>
          <w:i/>
          <w:color w:val="000000"/>
          <w:sz w:val="20"/>
          <w:u w:val="single"/>
        </w:rPr>
        <w:t>failures</w:t>
      </w:r>
      <w:r>
        <w:rPr>
          <w:rFonts w:ascii="Arial" w:eastAsia="Arial" w:hAnsi="Arial" w:cs="Arial"/>
          <w:color w:val="000000"/>
          <w:sz w:val="20"/>
        </w:rPr>
        <w:t xml:space="preserve">; for each </w:t>
      </w:r>
      <w:r>
        <w:rPr>
          <w:rFonts w:ascii="Arial" w:eastAsia="Arial" w:hAnsi="Arial" w:cs="Arial"/>
          <w:b/>
          <w:i/>
          <w:color w:val="000000"/>
          <w:sz w:val="20"/>
          <w:u w:val="single"/>
        </w:rPr>
        <w:t>failure</w:t>
      </w:r>
      <w:r>
        <w:rPr>
          <w:rFonts w:ascii="Arial" w:eastAsia="Arial" w:hAnsi="Arial" w:cs="Arial"/>
          <w:color w:val="000000"/>
          <w:sz w:val="20"/>
        </w:rPr>
        <w:t xml:space="preserve">, record the date, time, cause and duration of each </w:t>
      </w:r>
      <w:r>
        <w:rPr>
          <w:rFonts w:ascii="Arial" w:eastAsia="Arial" w:hAnsi="Arial" w:cs="Arial"/>
          <w:b/>
          <w:i/>
          <w:color w:val="000000"/>
          <w:sz w:val="20"/>
          <w:u w:val="single"/>
        </w:rPr>
        <w:t>failure</w:t>
      </w:r>
      <w:r>
        <w:rPr>
          <w:rFonts w:ascii="Arial" w:eastAsia="Arial" w:hAnsi="Arial" w:cs="Arial"/>
          <w:color w:val="000000"/>
          <w:sz w:val="20"/>
        </w:rPr>
        <w:t>;</w:t>
      </w:r>
    </w:p>
    <w:p w14:paraId="3C669C1A" w14:textId="77777777" w:rsidR="00054BF0" w:rsidRDefault="00000000">
      <w:pPr>
        <w:spacing w:before="200" w:line="260" w:lineRule="atLeast"/>
        <w:jc w:val="both"/>
      </w:pPr>
      <w:r>
        <w:rPr>
          <w:rFonts w:ascii="Arial" w:eastAsia="Arial" w:hAnsi="Arial" w:cs="Arial"/>
          <w:color w:val="000000"/>
          <w:sz w:val="20"/>
        </w:rPr>
        <w:t xml:space="preserve">(iii) For each </w:t>
      </w:r>
      <w:r>
        <w:rPr>
          <w:rFonts w:ascii="Arial" w:eastAsia="Arial" w:hAnsi="Arial" w:cs="Arial"/>
          <w:b/>
          <w:i/>
          <w:color w:val="000000"/>
          <w:sz w:val="20"/>
          <w:u w:val="single"/>
        </w:rPr>
        <w:t>failure</w:t>
      </w:r>
      <w:r>
        <w:rPr>
          <w:rFonts w:ascii="Arial" w:eastAsia="Arial" w:hAnsi="Arial" w:cs="Arial"/>
          <w:color w:val="000000"/>
          <w:sz w:val="20"/>
        </w:rPr>
        <w:t xml:space="preserve"> to meet an applicable standard, record and retain a list of the affected sources or equipment, an estimate of the quantity of each regulated pollutant emitted over any emission limit and a description of the method used to estimate the emissions; and</w:t>
      </w:r>
    </w:p>
    <w:p w14:paraId="477F6C8F" w14:textId="77777777" w:rsidR="00054BF0" w:rsidRDefault="00000000">
      <w:pPr>
        <w:spacing w:before="200" w:line="260" w:lineRule="atLeast"/>
        <w:jc w:val="both"/>
      </w:pPr>
      <w:r>
        <w:rPr>
          <w:rFonts w:ascii="Arial" w:eastAsia="Arial" w:hAnsi="Arial" w:cs="Arial"/>
          <w:color w:val="000000"/>
          <w:sz w:val="20"/>
        </w:rPr>
        <w:t>(iv) Record actions taken to minimize emissions in accordance with § 63.2250(g), and any corrective actions taken to return the affected unit to its normal or usual manner of operation.</w:t>
      </w:r>
    </w:p>
    <w:p w14:paraId="7E747EFD" w14:textId="77777777" w:rsidR="00054BF0" w:rsidRDefault="00000000">
      <w:pPr>
        <w:spacing w:before="200" w:line="260" w:lineRule="atLeast"/>
        <w:jc w:val="both"/>
      </w:pPr>
      <w:r>
        <w:rPr>
          <w:rFonts w:ascii="Arial" w:eastAsia="Arial" w:hAnsi="Arial" w:cs="Arial"/>
          <w:color w:val="000000"/>
          <w:sz w:val="20"/>
        </w:rPr>
        <w:t>* * * * *</w:t>
      </w:r>
    </w:p>
    <w:p w14:paraId="5638B655" w14:textId="77777777" w:rsidR="00054BF0" w:rsidRDefault="00000000">
      <w:pPr>
        <w:spacing w:before="200" w:line="260" w:lineRule="atLeast"/>
        <w:jc w:val="both"/>
      </w:pPr>
      <w:r>
        <w:rPr>
          <w:rFonts w:ascii="Arial" w:eastAsia="Arial" w:hAnsi="Arial" w:cs="Arial"/>
          <w:color w:val="000000"/>
          <w:sz w:val="20"/>
        </w:rPr>
        <w:t>(c) * * *</w:t>
      </w:r>
    </w:p>
    <w:p w14:paraId="58B7AF9F" w14:textId="77777777" w:rsidR="00054BF0" w:rsidRDefault="00000000">
      <w:pPr>
        <w:spacing w:before="200" w:line="260" w:lineRule="atLeast"/>
        <w:jc w:val="both"/>
      </w:pPr>
      <w:r>
        <w:rPr>
          <w:rFonts w:ascii="Arial" w:eastAsia="Arial" w:hAnsi="Arial" w:cs="Arial"/>
          <w:color w:val="000000"/>
          <w:sz w:val="20"/>
        </w:rPr>
        <w:t>(2) Previous (i.e , superseded) versions of the performance evaluation plan, with the program of corrective action included in the plan required under § 63.8(d)(2).</w:t>
      </w:r>
    </w:p>
    <w:p w14:paraId="19D95150" w14:textId="77777777" w:rsidR="00054BF0" w:rsidRDefault="00000000">
      <w:pPr>
        <w:spacing w:before="200" w:line="260" w:lineRule="atLeast"/>
        <w:jc w:val="both"/>
      </w:pPr>
      <w:r>
        <w:rPr>
          <w:rFonts w:ascii="Arial" w:eastAsia="Arial" w:hAnsi="Arial" w:cs="Arial"/>
          <w:color w:val="000000"/>
          <w:sz w:val="20"/>
        </w:rPr>
        <w:t>* * * * *</w:t>
      </w:r>
    </w:p>
    <w:p w14:paraId="411128C7" w14:textId="77777777" w:rsidR="00054BF0" w:rsidRDefault="00000000">
      <w:pPr>
        <w:spacing w:before="200" w:line="260" w:lineRule="atLeast"/>
        <w:jc w:val="both"/>
      </w:pPr>
      <w:r>
        <w:rPr>
          <w:rFonts w:ascii="Arial" w:eastAsia="Arial" w:hAnsi="Arial" w:cs="Arial"/>
          <w:color w:val="000000"/>
          <w:sz w:val="20"/>
        </w:rPr>
        <w:t>(f) You must keep the written CMS quality control procedures required by § 63.8(d)(2) on record for the life of the affected source or until the affected source is no longer subject to the provisions of this subpart, to be made available for inspection, upon request, by the Administrator. If the performance evaluation plan is revised, you must keep previous (i.e , superseded) versions of the performance evaluation plan on record to be made available for inspection, upon request, by the Administrator, for a period of 5 years after each revision to the plan. The program of corrective action should be included in the plan required under § 63.8(d)(2).</w:t>
      </w:r>
    </w:p>
    <w:p w14:paraId="4A563568" w14:textId="77777777" w:rsidR="00054BF0" w:rsidRDefault="00000000">
      <w:pPr>
        <w:spacing w:before="200" w:line="260" w:lineRule="atLeast"/>
        <w:jc w:val="both"/>
      </w:pPr>
      <w:r>
        <w:rPr>
          <w:rFonts w:ascii="Arial" w:eastAsia="Arial" w:hAnsi="Arial" w:cs="Arial"/>
          <w:color w:val="000000"/>
          <w:sz w:val="20"/>
        </w:rPr>
        <w:lastRenderedPageBreak/>
        <w:t>14. Section 63.2283 is amended by adding paragraph (d) to read as follows:§ 63.2283In what form and how long must I keep my records?</w:t>
      </w:r>
    </w:p>
    <w:p w14:paraId="684BABD3" w14:textId="77777777" w:rsidR="00054BF0" w:rsidRDefault="00000000">
      <w:pPr>
        <w:spacing w:before="200" w:line="260" w:lineRule="atLeast"/>
        <w:jc w:val="both"/>
      </w:pPr>
      <w:r>
        <w:rPr>
          <w:rFonts w:ascii="Arial" w:eastAsia="Arial" w:hAnsi="Arial" w:cs="Arial"/>
          <w:color w:val="000000"/>
          <w:sz w:val="20"/>
        </w:rPr>
        <w:t>* * * * *</w:t>
      </w:r>
    </w:p>
    <w:p w14:paraId="3A0B9DB6" w14:textId="77777777" w:rsidR="00054BF0" w:rsidRDefault="00000000">
      <w:pPr>
        <w:spacing w:before="200" w:line="260" w:lineRule="atLeast"/>
        <w:jc w:val="both"/>
      </w:pPr>
      <w:r>
        <w:rPr>
          <w:rFonts w:ascii="Arial" w:eastAsia="Arial" w:hAnsi="Arial" w:cs="Arial"/>
          <w:color w:val="000000"/>
          <w:sz w:val="20"/>
        </w:rPr>
        <w:t>(d) Any records required to be maintained by this part that are submitted electronically via the EPA's CEDRI may be maintained in electronic format. This ability to maintain electronic copies does not affect the requirement for facilities to make records, data, and reports available upon request to a delegated air agency or the EPA as part of an on-site compliance evaluation.</w:t>
      </w:r>
    </w:p>
    <w:p w14:paraId="6AAE23B5" w14:textId="77777777" w:rsidR="00054BF0" w:rsidRDefault="00000000">
      <w:pPr>
        <w:spacing w:before="200" w:line="260" w:lineRule="atLeast"/>
        <w:jc w:val="both"/>
      </w:pPr>
      <w:r>
        <w:rPr>
          <w:rFonts w:ascii="Arial" w:eastAsia="Arial" w:hAnsi="Arial" w:cs="Arial"/>
          <w:color w:val="000000"/>
          <w:sz w:val="20"/>
        </w:rPr>
        <w:t>15. Section 63.2290 is revised to read as follows:§ 63.2290What parts of the General Provisions apply to me?</w:t>
      </w:r>
    </w:p>
    <w:p w14:paraId="359CD9BB" w14:textId="77777777" w:rsidR="00054BF0" w:rsidRDefault="00000000">
      <w:pPr>
        <w:spacing w:before="200" w:line="260" w:lineRule="atLeast"/>
        <w:jc w:val="both"/>
      </w:pPr>
      <w:r>
        <w:rPr>
          <w:rFonts w:ascii="Arial" w:eastAsia="Arial" w:hAnsi="Arial" w:cs="Arial"/>
          <w:color w:val="000000"/>
          <w:sz w:val="20"/>
        </w:rPr>
        <w:t>Table 10 to this subpart shows which parts of the General Provisions in §§ 63.1 through 63.16 apply to you.</w:t>
      </w:r>
    </w:p>
    <w:p w14:paraId="5D59A1E4" w14:textId="77777777" w:rsidR="00054BF0" w:rsidRDefault="00000000">
      <w:pPr>
        <w:spacing w:before="200" w:line="260" w:lineRule="atLeast"/>
        <w:jc w:val="both"/>
      </w:pPr>
      <w:r>
        <w:rPr>
          <w:rFonts w:ascii="Arial" w:eastAsia="Arial" w:hAnsi="Arial" w:cs="Arial"/>
          <w:color w:val="000000"/>
          <w:sz w:val="20"/>
        </w:rPr>
        <w:t>16. Section 63.2291 is amended by revising paragraph (c) introductory text and adding paragraph (c)(5) to read as follows:§ 63.2291Who implements and enforces this subpart?</w:t>
      </w:r>
    </w:p>
    <w:p w14:paraId="52A48231" w14:textId="77777777" w:rsidR="00054BF0" w:rsidRDefault="00000000">
      <w:pPr>
        <w:spacing w:before="200" w:line="260" w:lineRule="atLeast"/>
        <w:jc w:val="both"/>
      </w:pPr>
      <w:r>
        <w:rPr>
          <w:rFonts w:ascii="Arial" w:eastAsia="Arial" w:hAnsi="Arial" w:cs="Arial"/>
          <w:color w:val="000000"/>
          <w:sz w:val="20"/>
        </w:rPr>
        <w:t>* * * * *</w:t>
      </w:r>
    </w:p>
    <w:p w14:paraId="0C236DE4" w14:textId="77777777" w:rsidR="00054BF0" w:rsidRDefault="00000000">
      <w:pPr>
        <w:spacing w:before="200" w:line="260" w:lineRule="atLeast"/>
        <w:jc w:val="both"/>
      </w:pPr>
      <w:r>
        <w:rPr>
          <w:rFonts w:ascii="Arial" w:eastAsia="Arial" w:hAnsi="Arial" w:cs="Arial"/>
          <w:color w:val="000000"/>
          <w:sz w:val="20"/>
        </w:rPr>
        <w:t>(c) The authorities that will not be delegated to State, local, or tribal agencies are listed in paragraphs (c)(1) through (5) of this section.</w:t>
      </w:r>
    </w:p>
    <w:p w14:paraId="463B805F" w14:textId="77777777" w:rsidR="00054BF0" w:rsidRDefault="00000000">
      <w:pPr>
        <w:spacing w:before="200" w:line="260" w:lineRule="atLeast"/>
        <w:jc w:val="both"/>
      </w:pPr>
      <w:r>
        <w:rPr>
          <w:rFonts w:ascii="Arial" w:eastAsia="Arial" w:hAnsi="Arial" w:cs="Arial"/>
          <w:color w:val="000000"/>
          <w:sz w:val="20"/>
        </w:rPr>
        <w:t>* * * * *</w:t>
      </w:r>
    </w:p>
    <w:p w14:paraId="73B88D5B" w14:textId="77777777" w:rsidR="00054BF0" w:rsidRDefault="00000000">
      <w:pPr>
        <w:spacing w:before="200" w:line="260" w:lineRule="atLeast"/>
        <w:jc w:val="both"/>
      </w:pPr>
      <w:r>
        <w:rPr>
          <w:rFonts w:ascii="Arial" w:eastAsia="Arial" w:hAnsi="Arial" w:cs="Arial"/>
          <w:color w:val="000000"/>
          <w:sz w:val="20"/>
        </w:rPr>
        <w:t>(5) Approval of an alternative to any electronic reporting to the EPA required by this subpart.</w:t>
      </w:r>
    </w:p>
    <w:p w14:paraId="0A13DBE4" w14:textId="77777777" w:rsidR="00054BF0" w:rsidRDefault="00000000">
      <w:pPr>
        <w:spacing w:before="200" w:line="260" w:lineRule="atLeast"/>
        <w:jc w:val="both"/>
      </w:pPr>
      <w:r>
        <w:rPr>
          <w:rFonts w:ascii="Arial" w:eastAsia="Arial" w:hAnsi="Arial" w:cs="Arial"/>
          <w:color w:val="000000"/>
          <w:sz w:val="20"/>
        </w:rPr>
        <w:t>17. Section 63.2292 is amended by:</w:t>
      </w:r>
    </w:p>
    <w:p w14:paraId="36E768CF" w14:textId="77777777" w:rsidR="00054BF0" w:rsidRDefault="00000000">
      <w:pPr>
        <w:spacing w:before="200" w:line="260" w:lineRule="atLeast"/>
        <w:jc w:val="both"/>
      </w:pPr>
      <w:r>
        <w:rPr>
          <w:rFonts w:ascii="Arial" w:eastAsia="Arial" w:hAnsi="Arial" w:cs="Arial"/>
          <w:color w:val="000000"/>
          <w:sz w:val="20"/>
        </w:rPr>
        <w:t>a. Revising the definitions of “MSF,” “non-HAP coating” and “representative operating conditions”;</w:t>
      </w:r>
    </w:p>
    <w:p w14:paraId="66ACA2C4" w14:textId="77777777" w:rsidR="00054BF0" w:rsidRDefault="00000000">
      <w:pPr>
        <w:spacing w:before="200" w:line="260" w:lineRule="atLeast"/>
        <w:jc w:val="both"/>
      </w:pPr>
      <w:r>
        <w:rPr>
          <w:rFonts w:ascii="Arial" w:eastAsia="Arial" w:hAnsi="Arial" w:cs="Arial"/>
          <w:color w:val="000000"/>
          <w:sz w:val="20"/>
        </w:rPr>
        <w:t>b. Adding the definition of “safety-related shutdown” in alphabetical order; and</w:t>
      </w:r>
    </w:p>
    <w:p w14:paraId="07ED23AE" w14:textId="77777777" w:rsidR="00054BF0" w:rsidRDefault="00000000">
      <w:pPr>
        <w:spacing w:before="200" w:line="260" w:lineRule="atLeast"/>
        <w:jc w:val="both"/>
      </w:pPr>
      <w:r>
        <w:rPr>
          <w:rFonts w:ascii="Arial" w:eastAsia="Arial" w:hAnsi="Arial" w:cs="Arial"/>
          <w:color w:val="000000"/>
          <w:sz w:val="20"/>
        </w:rPr>
        <w:t>c. Removing the definition of “</w:t>
      </w:r>
      <w:r>
        <w:rPr>
          <w:rFonts w:ascii="Arial" w:eastAsia="Arial" w:hAnsi="Arial" w:cs="Arial"/>
          <w:b/>
          <w:i/>
          <w:color w:val="000000"/>
          <w:sz w:val="20"/>
          <w:u w:val="single"/>
        </w:rPr>
        <w:t>startup</w:t>
      </w:r>
      <w:r>
        <w:rPr>
          <w:rFonts w:ascii="Arial" w:eastAsia="Arial" w:hAnsi="Arial" w:cs="Arial"/>
          <w:color w:val="000000"/>
          <w:sz w:val="20"/>
        </w:rPr>
        <w:t>, shutdown, and malfunction plan.”</w:t>
      </w:r>
    </w:p>
    <w:p w14:paraId="2F7E81F5" w14:textId="77777777" w:rsidR="00054BF0" w:rsidRDefault="00000000">
      <w:pPr>
        <w:spacing w:before="200" w:line="260" w:lineRule="atLeast"/>
        <w:jc w:val="both"/>
      </w:pPr>
      <w:r>
        <w:rPr>
          <w:rFonts w:ascii="Arial" w:eastAsia="Arial" w:hAnsi="Arial" w:cs="Arial"/>
          <w:color w:val="000000"/>
          <w:sz w:val="20"/>
        </w:rPr>
        <w:t>The revisions and additions read as follows:§ 63.2292What definitions apply to this subpart?</w:t>
      </w:r>
    </w:p>
    <w:p w14:paraId="234C733D" w14:textId="77777777" w:rsidR="00054BF0" w:rsidRDefault="00000000">
      <w:pPr>
        <w:spacing w:before="200" w:line="260" w:lineRule="atLeast"/>
        <w:jc w:val="both"/>
      </w:pPr>
      <w:r>
        <w:rPr>
          <w:rFonts w:ascii="Arial" w:eastAsia="Arial" w:hAnsi="Arial" w:cs="Arial"/>
          <w:color w:val="000000"/>
          <w:sz w:val="20"/>
        </w:rPr>
        <w:t>* * * * *</w:t>
      </w:r>
    </w:p>
    <w:p w14:paraId="46EDBFD4" w14:textId="77777777" w:rsidR="00054BF0" w:rsidRDefault="00000000">
      <w:pPr>
        <w:spacing w:before="200" w:line="260" w:lineRule="atLeast"/>
        <w:jc w:val="both"/>
      </w:pPr>
      <w:r>
        <w:rPr>
          <w:rFonts w:ascii="Arial" w:eastAsia="Arial" w:hAnsi="Arial" w:cs="Arial"/>
          <w:color w:val="000000"/>
          <w:sz w:val="20"/>
        </w:rPr>
        <w:t>MSF means thousand square feet (92.9 square meters). Square footage of panels is usually measured on a thickness basis, such as 3/8-inch, to define the total volume of panels. Equation 3 of § 63.2262(j) shows how to convert from one thickness basis to another.</w:t>
      </w:r>
    </w:p>
    <w:p w14:paraId="29E50B99" w14:textId="77777777" w:rsidR="00054BF0" w:rsidRDefault="00000000">
      <w:pPr>
        <w:spacing w:before="200" w:line="260" w:lineRule="atLeast"/>
        <w:jc w:val="both"/>
      </w:pPr>
      <w:r>
        <w:rPr>
          <w:rFonts w:ascii="Arial" w:eastAsia="Arial" w:hAnsi="Arial" w:cs="Arial"/>
          <w:color w:val="000000"/>
          <w:sz w:val="20"/>
        </w:rPr>
        <w:t>* * * * *</w:t>
      </w:r>
    </w:p>
    <w:p w14:paraId="52FAAF6B" w14:textId="77777777" w:rsidR="00054BF0" w:rsidRDefault="00000000">
      <w:pPr>
        <w:spacing w:before="200" w:line="260" w:lineRule="atLeast"/>
        <w:jc w:val="both"/>
      </w:pPr>
      <w:r>
        <w:rPr>
          <w:rFonts w:ascii="Arial" w:eastAsia="Arial" w:hAnsi="Arial" w:cs="Arial"/>
          <w:color w:val="000000"/>
          <w:sz w:val="20"/>
        </w:rPr>
        <w:t>Non-HAP coating means a coating with HAP contents below 0.1 percent by mass for the carcinogenic HAP compounds listed in Appendix B to this subpart and below 1.0 percent by mass for other HAP compounds.</w:t>
      </w:r>
    </w:p>
    <w:p w14:paraId="7628769B" w14:textId="77777777" w:rsidR="00054BF0" w:rsidRDefault="00000000">
      <w:pPr>
        <w:spacing w:before="200" w:line="260" w:lineRule="atLeast"/>
        <w:jc w:val="both"/>
      </w:pPr>
      <w:r>
        <w:rPr>
          <w:rFonts w:ascii="Arial" w:eastAsia="Arial" w:hAnsi="Arial" w:cs="Arial"/>
          <w:color w:val="000000"/>
          <w:sz w:val="20"/>
        </w:rPr>
        <w:t>* * * * *</w:t>
      </w:r>
    </w:p>
    <w:p w14:paraId="095B173E" w14:textId="77777777" w:rsidR="00054BF0" w:rsidRDefault="00000000">
      <w:pPr>
        <w:spacing w:before="200" w:line="260" w:lineRule="atLeast"/>
        <w:jc w:val="both"/>
      </w:pPr>
      <w:r>
        <w:rPr>
          <w:rFonts w:ascii="Arial" w:eastAsia="Arial" w:hAnsi="Arial" w:cs="Arial"/>
          <w:color w:val="000000"/>
          <w:sz w:val="20"/>
        </w:rPr>
        <w:t xml:space="preserve">Representative operating conditions means operation of a process unit during performance testing under the conditions that the process unit will typically be operating in the future, including use of a representative range of materials (e.g , wood material of a typical species mix and moisture content or typical resin formulation) and representative operating temperature range. Representative operating conditions exclude periods of </w:t>
      </w:r>
      <w:r>
        <w:rPr>
          <w:rFonts w:ascii="Arial" w:eastAsia="Arial" w:hAnsi="Arial" w:cs="Arial"/>
          <w:b/>
          <w:i/>
          <w:color w:val="000000"/>
          <w:sz w:val="20"/>
          <w:u w:val="single"/>
        </w:rPr>
        <w:t>startup</w:t>
      </w:r>
      <w:r>
        <w:rPr>
          <w:rFonts w:ascii="Arial" w:eastAsia="Arial" w:hAnsi="Arial" w:cs="Arial"/>
          <w:color w:val="000000"/>
          <w:sz w:val="20"/>
        </w:rPr>
        <w:t xml:space="preserve"> and shutdown.</w:t>
      </w:r>
    </w:p>
    <w:p w14:paraId="06974D9D" w14:textId="77777777" w:rsidR="00054BF0" w:rsidRDefault="00000000">
      <w:pPr>
        <w:spacing w:before="200" w:line="260" w:lineRule="atLeast"/>
        <w:jc w:val="both"/>
      </w:pPr>
      <w:r>
        <w:rPr>
          <w:rFonts w:ascii="Arial" w:eastAsia="Arial" w:hAnsi="Arial" w:cs="Arial"/>
          <w:color w:val="000000"/>
          <w:sz w:val="20"/>
        </w:rPr>
        <w:t>* * * * *</w:t>
      </w:r>
    </w:p>
    <w:p w14:paraId="75893A54" w14:textId="77777777" w:rsidR="00054BF0" w:rsidRDefault="00000000">
      <w:pPr>
        <w:spacing w:before="200" w:line="260" w:lineRule="atLeast"/>
        <w:jc w:val="both"/>
      </w:pPr>
      <w:r>
        <w:rPr>
          <w:rFonts w:ascii="Arial" w:eastAsia="Arial" w:hAnsi="Arial" w:cs="Arial"/>
          <w:color w:val="000000"/>
          <w:sz w:val="20"/>
        </w:rPr>
        <w:lastRenderedPageBreak/>
        <w:t>Safety-related shutdown means an unscheduled shutdown of a process unit subject to a compliance option in Table 1B to this subpart (or a process unit with HAP control under an emissions averaging plan developed according to § 63.2240(c)) during which time emissions from the process unit cannot be safely routed to the control system in place to meet the compliance options or operating requirements in this subpart without imminent danger to the process, control system, or system operator.</w:t>
      </w:r>
    </w:p>
    <w:p w14:paraId="2C8F8E7F" w14:textId="77777777" w:rsidR="00054BF0" w:rsidRDefault="00000000">
      <w:pPr>
        <w:spacing w:before="200" w:line="260" w:lineRule="atLeast"/>
        <w:jc w:val="both"/>
      </w:pPr>
      <w:r>
        <w:rPr>
          <w:rFonts w:ascii="Arial" w:eastAsia="Arial" w:hAnsi="Arial" w:cs="Arial"/>
          <w:color w:val="000000"/>
          <w:sz w:val="20"/>
        </w:rPr>
        <w:t>* * * * *</w:t>
      </w:r>
    </w:p>
    <w:p w14:paraId="1A5A59DB" w14:textId="77777777" w:rsidR="00054BF0" w:rsidRDefault="00000000">
      <w:pPr>
        <w:spacing w:before="200" w:line="260" w:lineRule="atLeast"/>
        <w:jc w:val="both"/>
      </w:pPr>
      <w:r>
        <w:rPr>
          <w:rFonts w:ascii="Arial" w:eastAsia="Arial" w:hAnsi="Arial" w:cs="Arial"/>
          <w:color w:val="000000"/>
          <w:sz w:val="20"/>
        </w:rPr>
        <w:t xml:space="preserve">18. Table 3 to Subpart DDDD is revised to read as follows:Table 3 to Subpart DDDD of Part 63—Work Practice Requirements For the following process units at existing or new affected sources . . . You must . . .(1) Dry rotary dryers Process furnish with a 24-hour block average inlet moisture content of less than or equal to 30 percent (by weight, dry basis); AND operate with a 24-hour block average inlet dryer temperature of less than or equal to 600 °F.(2) Hardwood veneer dryers Process less than 30 volume percent softwood species on an annual basis.(3) Softwood veneer dryers Minimize fugitive emissions from the dryer doors through (proper maintenance procedures) and the green end of the dryers (through proper balancing of the heated zone exhausts).(4) Veneer redryers Process veneer that has been previously dried, such that the 24-hour block average inlet moisture content of the veneer is less than or equal to 25 percent (by weight, dry basis).(5) Group 1 miscellaneous coating operations Use non-HAP coatings as defined in § 63.2292 (6) Process units and control systems undergoing safety-related shutdown on and after [DATE 181 DAYS AFTER DATE OF PUBLICATION OF FINAL RULE IN THE FEDERAL REGISTER] except as noted in footnote “a” to this table Follow documented site-specific procedures such as use of automated controls or other measures that you have developed to protect workers and equipment to ensure that the flow of raw materials (such as furnish or resin) and fuel or process heat (as applicable) ceases and that material is removed from the process unit(s) as expeditiously as possible given the system design.(7) Pressurized refiners undergoing </w:t>
      </w:r>
      <w:r>
        <w:rPr>
          <w:rFonts w:ascii="Arial" w:eastAsia="Arial" w:hAnsi="Arial" w:cs="Arial"/>
          <w:b/>
          <w:i/>
          <w:color w:val="000000"/>
          <w:sz w:val="20"/>
          <w:u w:val="single"/>
        </w:rPr>
        <w:t>startup</w:t>
      </w:r>
      <w:r>
        <w:rPr>
          <w:rFonts w:ascii="Arial" w:eastAsia="Arial" w:hAnsi="Arial" w:cs="Arial"/>
          <w:color w:val="000000"/>
          <w:sz w:val="20"/>
        </w:rPr>
        <w:t xml:space="preserve"> or shutdown on and after [DATE 181 DAYS AFTER DATE OF PUBLICATION OF FINAL RULE IN THE FEDERAL REGISTER] except as noted in footnote “a” to this table Route exhaust gases from the pressurized refiner to its control system no later than 15 minutes after furnish is fed from the pressurized refiner to the tube dryer when </w:t>
      </w:r>
      <w:r>
        <w:rPr>
          <w:rFonts w:ascii="Arial" w:eastAsia="Arial" w:hAnsi="Arial" w:cs="Arial"/>
          <w:b/>
          <w:i/>
          <w:color w:val="000000"/>
          <w:sz w:val="20"/>
          <w:u w:val="single"/>
        </w:rPr>
        <w:t>starting up</w:t>
      </w:r>
      <w:r>
        <w:rPr>
          <w:rFonts w:ascii="Arial" w:eastAsia="Arial" w:hAnsi="Arial" w:cs="Arial"/>
          <w:color w:val="000000"/>
          <w:sz w:val="20"/>
        </w:rPr>
        <w:t>, and no more than 15 minutes after furnish ceases to be fed to the pressurized refiner when shutting down.</w:t>
      </w:r>
    </w:p>
    <w:p w14:paraId="1735F77C" w14:textId="77777777" w:rsidR="00054BF0" w:rsidRDefault="00000000">
      <w:pPr>
        <w:spacing w:before="200" w:line="260" w:lineRule="atLeast"/>
        <w:jc w:val="both"/>
      </w:pPr>
      <w:r>
        <w:rPr>
          <w:rFonts w:ascii="Arial" w:eastAsia="Arial" w:hAnsi="Arial" w:cs="Arial"/>
          <w:color w:val="000000"/>
          <w:sz w:val="20"/>
        </w:rPr>
        <w:t>19. Table 4 to Subpart DDDD is revised to read as follows:Table 4 to Subpart DDDD of Part 63—Requirements for Performance Tests For . . . You must . . . Using . . .(1) each process unit subject to a compliance option in table 1A or 1B to this subpart or used in calculation of an emissions average under § 63.2240(c) select sampling port's location and the number of traverse ports Method 1 or 1A of 40 CFR part 60, appendix A-1 (as appropriate).(2) each process unit subject to a compliance option in table 1A or 1B to this subpart or used in calculation of an emissions average under § 63.2240(c) determine velocity and volumetric flow rate Method 2 in addition to Method 2A, 2C, 2D, 2F, or 2G in appendix A-1 and A-2 to 40 CFR part 60 (as appropriate).(3) each process unit subject to a compliance option in table 1A or 1B to this subpart or used in calculation of an emissions average under § 63.2240(c) conduct gas molecular weight analysis Method 3, 3A, or 3B in appendix A-2 to 40 CFR part 60 (as appropriate).(4) each process unit subject to a compliance option in table 1A or 1B to this subpart or used in calculation of an emissions average under § 63.2240(c) measure moisture content of the stack gas Method 4 in appendix A-3 to 40 CFR part 60; OR Method 320 in appendix A to 40 CFR part 63; OR ASTM D6348-03 (IBR, see § 63.14).(5) each process unit subject to a compliance option in table 1B to this subpart for which you choose to demonstrate compliance using a total HAP as THC compliance option measure emissions of total HAP as THC Method 25A in appendix A-7 to 40 CFR part 60. You may measure emissions of methane using EPA Method 18 in appendix A-6 to 40 CFR part 60 and subtract the methane emissions from the emissions of total HAP as THC.(6) each process unit subject to a compliance option in table 1A to this subpart; OR for each process unit used in calculation of an emissions average under § 63.2240(c) measure emissions of total HAP (as defined in § 63.2292) Method 320 in appendix A to 40 CFR part 63; OR the NCASI Method IM/CAN/WP-99.02 (IBR, see § 63.14); OR the NCASI Method ISS/FP-A105.01 (IBR, see § 63.14); OR ASTM D6348-03 (IBR, see § 63.14) provided that percent R as determined in Annex A5 of ASTM D6348-03 is equal or greater than 70 percent and less than or equal to 130 percent.(7) each process unit subject to a compliance option in table 1B to this subpart for which you choose to demonstrate compliance using a methanol compliance option measure emissions of methanol Method 308 in appendix A to 40 CFR part 63; OR Method 320 in appendix A to 40 CFR part 63; OR the NCASI Method CI/WP-</w:t>
      </w:r>
      <w:r>
        <w:rPr>
          <w:rFonts w:ascii="Arial" w:eastAsia="Arial" w:hAnsi="Arial" w:cs="Arial"/>
          <w:color w:val="000000"/>
          <w:sz w:val="20"/>
        </w:rPr>
        <w:lastRenderedPageBreak/>
        <w:t>98.01 (IBR, see § 63.14); OR the NCASI Method IM/CAN/WP-99.02 (IBR, see § 63.14); OR the NCASI Method ISS/FP-A105.01 (IBR, see § 63.14).(8) each process unit subject to a compliance option in table 1B to this subpart for which you choose to demonstrate compliance using a formaldehyde compliance option measure emissions of formaldehyde Method 316 in appendix A to 40 CFR part 63; OR Method 320 in appendix A to 40 CFR part 63; OR Method 0011 in “Test Methods for Evaluating Solid Waste, Physical/Chemical Methods” (EPA Publication No. SW-846) for formaldehyde (IBR, see § 63.14); OR the NCASI Method CI/WP-98.01 (IBR, see § 63.14); OR the NCASI Method IM/CAN/WP-99.02 (IBR, see § 63.14); OR the NCASI Method ISS/FP-A105.01 (IBR, see § 63.14).(9) each reconstituted wood product press at a new or existing affected source or reconstituted wood product board cooler at a new affected source subject to a compliance option in table 1B to this subpart or used in calculation of an emissions average under § 63.2240(c) meet the design specifications included in the definition of wood products enclosure in § 63.2292; or determine the percent capture efficiency of the enclosure directing emissions to an add-on control device Methods 204 and 204A through 204F of 40 CFR part 51, appendix M, to determine capture efficiency (except for wood products enclosures as defined in § 63.2292). Enclosures that meet the definition of wood products enclosure or that meet Method 204 requirements for a permanent total enclosure (PTE) are assumed to have a capture efficiency of 100 percent. Enclosures that do not meet either the PTE requirements or design criteria for a wood products enclosure must determine the capture efficiency by constructing a TTE according to the requirements of Method 204 and applying Methods 204A through 204F (as appropriate). As an alternative to Methods 204 and 204A through 204F, you may use the tracer gas method contained in appendix A to this subpart.(10) each reconstituted wood product press at a new or existing affected source or reconstituted wood product board cooler at a new affected source subject to a compliance option in table 1A to this subpart determine the percent capture efficiency a TTE and Methods 204 and 204A through 204F (as appropriate) of 40 CFR part 51, appendix M. As an alternative to installing a TTE and using Methods 204 and 204A through 204F, you may use the tracer gas method contained in appendix A to this subpart. Enclosures that meet the design criteria (1) through (4) in the definition of wood products enclosure, or that meet Method 204 requirements for a PTE (except for the criteria specified in section 6.2 of Method 204) are assumed to have a capture efficiency of 100 percent. Measured emissions divided by the capture efficiency provides the emission rate.(11) each process unit subject to a compliance option in tables 1A and 1B to this subpart or used in calculation of an emissions average under § 63.2240(c) establish the site-specific operating requirements (including the parameter limits or THC concentration limits) in Table 2 to this subpart data from the parameter monitoring system or THC CEMS and the applicable performance test method(s).</w:t>
      </w:r>
    </w:p>
    <w:p w14:paraId="0C640A1F" w14:textId="77777777" w:rsidR="00054BF0" w:rsidRDefault="00000000">
      <w:pPr>
        <w:spacing w:before="200" w:line="260" w:lineRule="atLeast"/>
        <w:jc w:val="both"/>
      </w:pPr>
      <w:r>
        <w:rPr>
          <w:rFonts w:ascii="Arial" w:eastAsia="Arial" w:hAnsi="Arial" w:cs="Arial"/>
          <w:color w:val="000000"/>
          <w:sz w:val="20"/>
        </w:rPr>
        <w:t xml:space="preserve">20. Table 7 to Subpart DDDD is revised to read as follows:Table 7 to Subpart DDDD of Part 63—Continuous Compliance With the Compliance Options and Operating Requirements For . . . For the following compliance options and operating requirements . . . You must demonstrate continuous compliance by . . .(1) Each process unit listed in Table 1B to this subpart or used in calculation of an emissions average under § 63.2240(c) Compliance options in Table 1B to this subpart or the emissions averaging compliance option in § 63.2240(c) and the operating requirements in Table 2 to this subpart based on monitoring of operating parameters Collecting and recording the operating parameter monitoring system data listed in Table 2 to this subpart for the process unit according to § 63.2269(a) through (b) and § 63.2270; AND reducing the operating parameter monitoring system data to the specified averages in units of the applicable requirement according to calculations in § 63.2270; AND maintaining the average operating parameter at or above the minimum, at or below the maximum, or within the range (whichever applies) established according to § 63.2262 (2) Each process unit listed in Tables 1A and 1B to this subpart or used in calculation of an emissions average under § 63.2240(c) Compliance options in Tables 1A and 1B to this subpart or the emissions averaging compliance option in § 63.2240(c) and the operating requirements in Table 2 of this subpart based on THC CEMS data Collecting and recording the THC monitoring data listed in Table 2 to this subpart for the process unit according to § 63.2269(d); AND reducing the CEMS data to 3-hour block averages according to calculations in § 63.2269(d); AND maintaining the 3-hour block average THC concentration in the exhaust gases less than or equal to the THC concentration established according to § 63.2262 (3) Each process unit using a biofilter Compliance options in Tables 1B to this subpart or the emissions averaging compliance option in § 63.2240(c) Conducting a repeat performance test using the applicable method(s) specified in Table 4 to this subpart within 2 years following the previous performance test and within 180 days after each replacement of any portion of the biofilter bed media with a different type of media or each replacement of more </w:t>
      </w:r>
      <w:r>
        <w:rPr>
          <w:rFonts w:ascii="Arial" w:eastAsia="Arial" w:hAnsi="Arial" w:cs="Arial"/>
          <w:color w:val="000000"/>
          <w:sz w:val="20"/>
        </w:rPr>
        <w:lastRenderedPageBreak/>
        <w:t>than 50 percent (by volume) of the biofilter bed media with the same type of media.(4) Each process unit using a catalytic oxidizer Compliance options in Table 1B to this subpart or the emissions averaging compliance option in § 63.2240(c) Checking the activity level of a representative sample of the catalyst at least every 12 months and taking any necessary corrective action to ensure that the catalyst is performing within its design range.(5) Each process unit listed in Table 1A to this subpart, or each process unit without a control device used in calculation of an emissions averaging debit under § 63.2240(c) Compliance options in Table 1A to this subpart or the emissions averaging compliance option in § 63.2240(c) and the operating requirements in Table 2 to this subpart based on monitoring of process unit controlling operating parameters Collecting and recording on a daily basis process unit controlling operating parameter data; AND maintaining the operating parameter at or above the minimum, at or below the maximum, or within the range (whichever applies) established according to § 63.2262 (6) Each Process unit listed in Table 1B to this subpart using a wet control device as the sole means of reducing HAP emissions Compliance options in Table 1B to this subpart or the emissions averaging compliance option in § 63.2240(c) Implementing your plan to address how organic HAP captured in the wastewater from the wet control device is contained or destroyed to minimize re-release to the atmosphere.(7) Each process unit listed in Table 1B to this subpart using a control device other than a biofilter Compliance options in Tables 1B to this subpart Conducting a repeat performance test using the applicable method(s) specified in Table 4 to this subpart by [DATE 3 YEARS AFTER DATE OF PUBLICATION OF FINAL RULE IN THE FEDERAL REGISTER] or within 60 months following the previous performance test, whichever is later, and thereafter within 60 months following the previous performance test.</w:t>
      </w:r>
    </w:p>
    <w:p w14:paraId="74E4F1F8" w14:textId="77777777" w:rsidR="00054BF0" w:rsidRDefault="00000000">
      <w:pPr>
        <w:spacing w:before="200" w:line="260" w:lineRule="atLeast"/>
        <w:jc w:val="both"/>
      </w:pPr>
      <w:r>
        <w:rPr>
          <w:rFonts w:ascii="Arial" w:eastAsia="Arial" w:hAnsi="Arial" w:cs="Arial"/>
          <w:color w:val="000000"/>
          <w:sz w:val="20"/>
        </w:rPr>
        <w:t xml:space="preserve">21. Table 9 to Subpart DDDD is revised to read as follows:Table 9 to Subpart DDDD of Part 63—Requirements for Reports You must submit a(n) . . . The report must contain . . . You must submit the report . . .(1) Compliance report The information in § 63.2281(c) through (g) Semiannually according to the requirements in § 63.2281(b).(2) immediate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report if you had a </w:t>
      </w:r>
      <w:r>
        <w:rPr>
          <w:rFonts w:ascii="Arial" w:eastAsia="Arial" w:hAnsi="Arial" w:cs="Arial"/>
          <w:b/>
          <w:i/>
          <w:color w:val="000000"/>
          <w:sz w:val="20"/>
          <w:u w:val="single"/>
        </w:rPr>
        <w:t>startup</w:t>
      </w:r>
      <w:r>
        <w:rPr>
          <w:rFonts w:ascii="Arial" w:eastAsia="Arial" w:hAnsi="Arial" w:cs="Arial"/>
          <w:color w:val="000000"/>
          <w:sz w:val="20"/>
        </w:rPr>
        <w:t xml:space="preserve">, shutdown, or malfunction during the reporting period that is not consistent with your SSMP before [DATE 181 DAYS AFTER DATE OF PUBLICATION OF FINAL RULE IN THE Federal Register]a (i) Actions taken for the event By fax or telephone within 2 working days after </w:t>
      </w:r>
      <w:r>
        <w:rPr>
          <w:rFonts w:ascii="Arial" w:eastAsia="Arial" w:hAnsi="Arial" w:cs="Arial"/>
          <w:b/>
          <w:i/>
          <w:color w:val="000000"/>
          <w:sz w:val="20"/>
          <w:u w:val="single"/>
        </w:rPr>
        <w:t>starting</w:t>
      </w:r>
      <w:r>
        <w:rPr>
          <w:rFonts w:ascii="Arial" w:eastAsia="Arial" w:hAnsi="Arial" w:cs="Arial"/>
          <w:color w:val="000000"/>
          <w:sz w:val="20"/>
        </w:rPr>
        <w:t xml:space="preserve"> actions inconsistent with the plan. (ii) The information in § 63.10(d)(5)(ii) By letter within 7 working days after the end of the event unless you have made alternative arrangements with the permitting authority.(3) Performance test report The information required in § 63.7(g) According to the requirements of § 63.2281(i).(4) CMS performance evaluation The information required in § 63.7(g) According to the requirements of § 63.2281(j).</w:t>
      </w:r>
    </w:p>
    <w:p w14:paraId="0E23A577" w14:textId="77777777" w:rsidR="00054BF0" w:rsidRDefault="00000000">
      <w:pPr>
        <w:spacing w:before="200" w:line="260" w:lineRule="atLeast"/>
        <w:jc w:val="both"/>
      </w:pPr>
      <w:r>
        <w:rPr>
          <w:rFonts w:ascii="Arial" w:eastAsia="Arial" w:hAnsi="Arial" w:cs="Arial"/>
          <w:color w:val="000000"/>
          <w:sz w:val="20"/>
        </w:rPr>
        <w:t xml:space="preserve">22. Table 10 to Subpart DDDD is revised to read as follows:Table 10 to Subpart DDDD of Part 63—Applicability of General Provisions to Subpart DDDD Citation Subject Brief description Applies to subpart DDDD before [DATE 181 DAYS AFTER DATE OF PUBLICATION OF FINAL RULE IN THE Federal Register] except as noted in footnote “a” to this table Applies to subpart DDDD on and after [DATE 181 DAYS AFTER DATE OF PUBLICATION OF FINAL RULE IN THE Federal Register] except as noted in footnote “a” to this table§ 63.1 Applicability Initial applicability determination; applicability after standard established; permit requirements; extensions, notifications Yes Yes.§ 63.2 Definitions Definitions for part 63 standards Yes Yes.§ 63.3 Units and Abbreviations Units and abbreviations for part 63 standards Yes Yes.§ 63.4 Prohibited Activities and Circumvention Prohibited activities; compliance date; circumvention, fragmentation Yes. Yes.§ 63.5 Preconstruction Review and Notification Requirements Preconstruction review requirements of section 112(i)(1) Yes Yes.§ 63.6(a) Applicability GP apply unless compliance extension; GP apply to area sources that become major Yes Yes.§ 63.6(b)(1)-(4) Compliance Dates for New and Reconstructed Sources Standards apply at effective date; 3 years after effective date; upon </w:t>
      </w:r>
      <w:r>
        <w:rPr>
          <w:rFonts w:ascii="Arial" w:eastAsia="Arial" w:hAnsi="Arial" w:cs="Arial"/>
          <w:b/>
          <w:i/>
          <w:color w:val="000000"/>
          <w:sz w:val="20"/>
          <w:u w:val="single"/>
        </w:rPr>
        <w:t>startup</w:t>
      </w:r>
      <w:r>
        <w:rPr>
          <w:rFonts w:ascii="Arial" w:eastAsia="Arial" w:hAnsi="Arial" w:cs="Arial"/>
          <w:color w:val="000000"/>
          <w:sz w:val="20"/>
        </w:rPr>
        <w:t xml:space="preserve">; 10 years after construction or reconstruction commences for section 112(f) Yes Yes.§ 63.6(b)(5) Notification Must notify if commenced construction or reconstruction after proposal Yes Yes.§ 63.6(b)(6) [Reserved] § 63.6(b)(7) Compliance Dates for New and Reconstructed Area Sources that Become Major Area sources that become major must comply with major source standards immediately upon becoming major, regardless of whether required to comply when they were an area source Yes Yes.§ 63.6(c)(1)-(2) Compliance Dates for Existing Sources Comply according to date in subpart, which must be no later than 3 years after effective date; for section 112(f) standards, comply within 90 days of effective date unless compliance extension Yes Yes.§ 63.6(c)(3)-(4) [Reserved] § 63.6(c)(5) Compliance Dates for Existing Area Sources that Become Major Area sources that become major must </w:t>
      </w:r>
      <w:r>
        <w:rPr>
          <w:rFonts w:ascii="Arial" w:eastAsia="Arial" w:hAnsi="Arial" w:cs="Arial"/>
          <w:color w:val="000000"/>
          <w:sz w:val="20"/>
        </w:rPr>
        <w:lastRenderedPageBreak/>
        <w:t xml:space="preserve">comply with major source standards by date indicated in subpart or by equivalent time period (e.g , 3 years) Yes Yes.§ 63.6(d) [Reserved] § 63.6(e)(1)(i) General Duty to Minimize Emissions. You must operate and maintain affected source in a manner consistent with safety and good air pollution control practices for minimizing emissions Yes No, see § 63.2250 for general duty requirement.§ 63.6(e)(1)(ii) Requirement to Correct Malfunctions ASAP You must correct malfunctions as soon as practicable after their occurrence Yes No.§ 63.6(e)(1)(iii) Operation and Maintenance Requirements Operation and maintenance requirements are enforceable independent of emissions limitations or other requirements in relevant standards Yes Yes.§ 63.6(e)(2) [Reserved] § 63.6(e)(3) </w:t>
      </w:r>
      <w:r>
        <w:rPr>
          <w:rFonts w:ascii="Arial" w:eastAsia="Arial" w:hAnsi="Arial" w:cs="Arial"/>
          <w:b/>
          <w:i/>
          <w:color w:val="000000"/>
          <w:sz w:val="20"/>
          <w:u w:val="single"/>
        </w:rPr>
        <w:t>Startup</w:t>
      </w:r>
      <w:r>
        <w:rPr>
          <w:rFonts w:ascii="Arial" w:eastAsia="Arial" w:hAnsi="Arial" w:cs="Arial"/>
          <w:color w:val="000000"/>
          <w:sz w:val="20"/>
        </w:rPr>
        <w:t xml:space="preserve">, Shutdown, and Malfunction Plan (SSMP) Requirement for SSM and SSMP; content of SSMP Yes No.§ 63.6(f)(1) SSM Exemption You must comply with emission standards at all times except during SSM Yes No.§ 63.6(f)(2)-(3) Methods for Determining Compliance/Finding of Compliance Compliance based on performance test, operation and maintenance plans, records, inspection Yes Yes.§ 63.6(g)(1)-(3) Alternative Standard Procedures for getting an alternative standard Yes Yes.§ 63.6(h)(1) SSM Exemption You must comply with opacity and visible emission standards at all times except during SSM NA No.§ 63.6(h)(2)-(9) Opacity/Visible Emission (VE) Standards Requirements for opacity and visible emission standards NA NA.§ 63.6(i)(1)-(14) Compliance Extension Procedures and criteria for Administrator to grant compliance extension Yes Yes.§ 63.6(i)(15) [Reserved] § 63.6(i)(16) Compliance Extension Compliance extension and Administrator's authority Yes Yes.§ 63.6(j) Presidential Compliance Exemption President may exempt source category from requirement to comply with rule Yes Yes.§ 63.7(a)(1)-(2) Performance Test Dates Dates for conducting initial performance testing and other compliance demonstrations; must conduct 180 days after first subject to rule Yes Yes.§ 63.7(a)(3) Section 114 Authority Administrator may require a performance test under CAA section 114 at any time Yes Yes.§ 63.7(b)(1) Notification of Performance Test Must notify Administrator 60 days before the test Yes Yes.§ 63.7(b)(2) Notification of Rescheduling If have to reschedule performance test, must notify Administrator as soon as practicable Yes Yes.§ 63.7(c) Quality Assurance/Test Plan Requirement to submit site-specific test plan 60 days before the test or on date Administrator agrees with; test plan approval procedures; performance audit requirements; internal and external QA procedures for testing Yes Yes.§ 63.7(d) Testing Facilities Requirements for testing facilities Yes Yes.§ 63.7(e)(1) Performance Testing Performance tests must be conducted under representative conditions; cannot conduct performance tests during SSM; not a violation to exceed standard during SSM Yes No, see § 63.2262(a)-(b).§ 63.7(e)(2) Conditions for Conducting Performance Tests Must conduct according to rule and EPA test methods unless Administrator approves alternative Yes Yes.§ 63.7(e)(3) Test Run Duration Must have three test runs for at least the time specified in the relevant standard; compliance is based on arithmetic mean of three runs; specifies conditions when data from an additional test run can be used Yes Yes.§ 63.7(f) Alternative Test Method Procedures by which Administrator can grant approval to use an alternative test method Yes Yes.§ 63.7(g) Performance Test Data Analysis Must include raw data in performance test report; must submit performance test data 60 days after end of test with the notification of compliance status; keep data for 5 years Yes Yes.§ 63.7(h) Waiver of Tests Procedures for Administrator to waive performance test Yes Yes.§ 63.8(a)(1) Applicability of Monitoring Requirements Subject to all monitoring requirements in standard Yes Yes.§ 63.8(a)(2) Performance Specifications Performance specifications in appendix B of part 60 apply Yes Yes.§ 63.8(a)(3) [Reserved] § 63.8(a)(4) Monitoring with Flares Requirements for flares in § 63.11 apply NA NA.§ 63.8(b)(1) Monitoring Must conduct monitoring according to standard unless Administrator approves alternative Yes Yes.§ 63.8(b)(2)-(3) Multiple Effluents and Multiple Monitoring Systems Specific requirements for installing monitoring systems; must install on each effluent before it is combined and before it is released to the atmosphere unless Administrator approves otherwise; if more than one monitoring system on an emission point, must report all monitoring system results, unless one monitoring system is a backup Yes Yes.§ 63.8(c)(1) Monitoring System Operation and Maintenance Maintain monitoring system in a manner consistent with and good air pollution control practices Yes Yes.§ 63.8(c)(1)(i) Operation and Maintenance of CMS Must maintain and operate CMS in accordance with § 63.6(e)(1) Yes No.§ 63.8(c)(1)(ii) Spare Parts for CMS Must maintain spare parts for routine CMS repairs Yes Yes.§ 63.8(c)(1)(iii) Requirements to Develop SSMP for CMS Must develop and implement SSMP for CMS Yes No.§ 63.8(c)(2)-(3) Monitoring System Installation Must install to get representative emission of parameter measurements; must verify operational status before or at performance test Yes Yes.§ 63.8(c)(4) Continuous Monitoring System (CMS) Requirements CMS must be operating except during breakdown, out-of-control, repair, maintenance, and high-level calibration drifts; COMS must have a minimum of one cycle of sampling and analysis for each successive 10-second period and one cycle of data recording for each successive 6-minute period; CEMS must have a minimum of one cycle of operation for </w:t>
      </w:r>
      <w:r>
        <w:rPr>
          <w:rFonts w:ascii="Arial" w:eastAsia="Arial" w:hAnsi="Arial" w:cs="Arial"/>
          <w:color w:val="000000"/>
          <w:sz w:val="20"/>
        </w:rPr>
        <w:lastRenderedPageBreak/>
        <w:t xml:space="preserve">each successive 15-minute period Yes Yes.§ 63.8(c)(5) Continuous Opacity Monitoring System (COMS) Minimum Procedures COMS minimum procedures NA NA.§ 63.8(c)(6)-(8) CMS Requirements Zero and high-level calibration check requirements; out-of-control periods Yes Yes.§ 63.8(d)(1)-(2) CMS Quality Control Requirements for CMS quality control, including calibration, etc. Yes Yes.§ 63.8(d)(3) Written Procedures for CMS Must keep quality control plan on record for 5 years. Keep old versions for 5 years after revisions. May incorporate as part of SSMP to avoid duplication. Yes No, see § 63.2282(f).§ 63.8(e) CMS Performance Evaluation Notification, performance evaluation test plan, reports Yes Yes.§ 63.8(f)(1)-(5) Alternative Monitoring Method Procedures for Administrator to approve alternative monitoring Yes Yes.§ 63.8(f)(6) Alternative to Relative Accuracy Test Procedures for Administrator to approve alternative relative accuracy tests for CEMS Yes Yes.§ 63.8(g) Data Reduction COMS 6-minute averages calculated over at least 36 evenly spaced data points; CEMS 1 hour averages computed over at least 4 equally spaced data points; data that can't be used in average; rounding of data Yes Yes.§ 63.9(a) Notification Requirements Applicability and State delegation Yes Yes.§ 63.9(b)(1)-(2) Initial Notifications Submit notification 120 days after effective date; contents of notification Yes Yes.§ 63.9(b)(3) [Reserved] § 63.9(b)(4)-(5) Initial Notifications Submit notification 120 days after effective date; notification of intent to construct/reconstruct; notification of commencement of construct/reconstruct; notification of </w:t>
      </w:r>
      <w:r>
        <w:rPr>
          <w:rFonts w:ascii="Arial" w:eastAsia="Arial" w:hAnsi="Arial" w:cs="Arial"/>
          <w:b/>
          <w:i/>
          <w:color w:val="000000"/>
          <w:sz w:val="20"/>
          <w:u w:val="single"/>
        </w:rPr>
        <w:t>startup</w:t>
      </w:r>
      <w:r>
        <w:rPr>
          <w:rFonts w:ascii="Arial" w:eastAsia="Arial" w:hAnsi="Arial" w:cs="Arial"/>
          <w:color w:val="000000"/>
          <w:sz w:val="20"/>
        </w:rPr>
        <w:t xml:space="preserve">; contents of each Yes Yes.§ 63.9(c) Request for Compliance Extension Can request if cannot comply by date or if installed best available control technology/lowest achievable emission rate Yes Yes.§ 63.9(d) Notification of Special Compliance Requirements for New Source For sources that commence construction between proposal and promulgation and want to comply 3 years after effective date Yes Yes.§ 63.9(e) Notification of Performance Test Notify EPA Administrator 60 days prior Yes Yes.§ 63.9(f) Notification of Visible Emissions/Opacity Test Notify EPA Administrator 30 days prior No No.§ 63.9(g) Additional Notifications When Using CMS Notification of performance evaluation; notification using COMS data; notification that exceeded criterion for relative accuracy Yes Yes.§ 63.9(h)(1)-(6) Notification of Compliance Status Contents; due 60 days after end of performance test or other compliance demonstration, except for opacity/VE, which are due 30 days after; when to submit to Federal vs. State authority Yes Yes.§ 63.9(i) Adjustment of Submittal Deadlines Procedures for Administrator to approve change in when notifications must be submitted Yes Yes.§ 63.9(j) Change in Previous Information Must submit within 15 days after the change Yes Yes.§ 63.10(a) Recordkeeping/Reporting Applies to all, unless compliance extension; when to submit to Federal vs. State authority; procedures for owners of more than one source Yes Yes.§ 63.10(b)(1) Recordkeeping/Reporting General Requirements; keep all records readily available; keep for 5 years Yes Yes.§ 63.10(b)(2)(i) Recordkeeping of Occurrence and Duration of </w:t>
      </w:r>
      <w:r>
        <w:rPr>
          <w:rFonts w:ascii="Arial" w:eastAsia="Arial" w:hAnsi="Arial" w:cs="Arial"/>
          <w:b/>
          <w:i/>
          <w:color w:val="000000"/>
          <w:sz w:val="20"/>
          <w:u w:val="single"/>
        </w:rPr>
        <w:t>Startups</w:t>
      </w:r>
      <w:r>
        <w:rPr>
          <w:rFonts w:ascii="Arial" w:eastAsia="Arial" w:hAnsi="Arial" w:cs="Arial"/>
          <w:color w:val="000000"/>
          <w:sz w:val="20"/>
        </w:rPr>
        <w:t xml:space="preserve"> and Shutdowns Records of occurrence and duration of each </w:t>
      </w:r>
      <w:r>
        <w:rPr>
          <w:rFonts w:ascii="Arial" w:eastAsia="Arial" w:hAnsi="Arial" w:cs="Arial"/>
          <w:b/>
          <w:i/>
          <w:color w:val="000000"/>
          <w:sz w:val="20"/>
          <w:u w:val="single"/>
        </w:rPr>
        <w:t>startup</w:t>
      </w:r>
      <w:r>
        <w:rPr>
          <w:rFonts w:ascii="Arial" w:eastAsia="Arial" w:hAnsi="Arial" w:cs="Arial"/>
          <w:color w:val="000000"/>
          <w:sz w:val="20"/>
        </w:rPr>
        <w:t xml:space="preserve"> or shutdown that causes source to exceed emission limitation Yes No, see § 63.2282(a).§ 63.10(b)(2)(ii) Recordkeeping of </w:t>
      </w:r>
      <w:r>
        <w:rPr>
          <w:rFonts w:ascii="Arial" w:eastAsia="Arial" w:hAnsi="Arial" w:cs="Arial"/>
          <w:b/>
          <w:i/>
          <w:color w:val="000000"/>
          <w:sz w:val="20"/>
          <w:u w:val="single"/>
        </w:rPr>
        <w:t>Failures</w:t>
      </w:r>
      <w:r>
        <w:rPr>
          <w:rFonts w:ascii="Arial" w:eastAsia="Arial" w:hAnsi="Arial" w:cs="Arial"/>
          <w:color w:val="000000"/>
          <w:sz w:val="20"/>
        </w:rPr>
        <w:t xml:space="preserve"> to Meet a Standard Records of occurrence and duration of each malfunction of operation or air pollution control and monitoring equipment Yes No, see § 63.2282(a) for recordkeeping of (1) date, time and duration; (2) listing of affected source or equipment, and an estimate of the quantity of each regulated pollutant emitted over the standard; and (3) actions to minimize emissions and correct the </w:t>
      </w:r>
      <w:r>
        <w:rPr>
          <w:rFonts w:ascii="Arial" w:eastAsia="Arial" w:hAnsi="Arial" w:cs="Arial"/>
          <w:b/>
          <w:i/>
          <w:color w:val="000000"/>
          <w:sz w:val="20"/>
          <w:u w:val="single"/>
        </w:rPr>
        <w:t>failure</w:t>
      </w:r>
      <w:r>
        <w:rPr>
          <w:rFonts w:ascii="Arial" w:eastAsia="Arial" w:hAnsi="Arial" w:cs="Arial"/>
          <w:color w:val="000000"/>
          <w:sz w:val="20"/>
        </w:rPr>
        <w:t xml:space="preserve">.§ 63.10(b)(2)(iii) Maintenance Records Records of maintenance performed on air pollution control and monitoring equipment Yes Yes.§ 63.10(b)(2)(iv)-(v) Actions Taken to Minimize Emissions During SSM Records of actions taken during SSM to minimize emissions Yes No.§ 63.10(b)(2)(vi) and (x)-(xi) CMS Records Malfunctions, inoperative, out-of-control Yes Yes.§ 63.10(b)(2)(vii)-(ix) Records Measurements to demonstrate compliance with compliance options and operating requirements; performance test, performance evaluation, and visible emission observation results; measurements to determine conditions of performance tests and performance evaluations Yes Yes.§ 63.10(b)(2)(xii) Records Records when under waiver Yes Yes.§ 63.10(b)(2)(xiii) Records Records when using alternative to relative accuracy test Yes Yes.§ 63.10(b)(2)(xiv) Records All documentation supporting initial notification and notification of compliance status Yes Yes.§ 63.10(b)(3) Records Applicability determinations Yes Yes.§ 63.10(c)(1)-(6), (9)-(14) Records Additional records for CMS Yes Yes.§ 63.10(c)(7)-(8) Records Records of excess emissions and parameter monitoring exceedances for CMS No No.§ 63.10(c)(15) Use of SSMP Use SSMP to satisfy recordkeeping requirements for identification of malfunction, correction action taken, and nature of repairs to CMS Yes No.§ 63.10(d)(1) General Reporting Requirements Requirement to report Yes Yes.§ 63.10(d)(2) Report of Performance Test Results When to submit to Federal or State authority Yes Yes.§ 63.10(d)(3) Reporting Opacity or VE Observations What to report and when NA NA.§ 63.10(d)(4) Progress Reports Must submit progress reports on schedule if under compliance extension Yes Yes.§ 63.10(d)(5)(i) Periodic SSM Reports Contents and submission of periodic SSM reports Yes No, see § 63.2281(d)-(e) for malfunction reporting requirements.§ </w:t>
      </w:r>
      <w:r>
        <w:rPr>
          <w:rFonts w:ascii="Arial" w:eastAsia="Arial" w:hAnsi="Arial" w:cs="Arial"/>
          <w:color w:val="000000"/>
          <w:sz w:val="20"/>
        </w:rPr>
        <w:lastRenderedPageBreak/>
        <w:t>63.10(d)(5)(ii) Immediate SSM Reports Contents and submission of immediate SSM reports Yes No.§ 63.10(e)(1)-(2) Additional CMS Reports Must report results for each CEM on a unit; written copy of performance evaluation; 3 copies of COMS performance evaluation Yes Yes.§ 63.10(e)(3) Reports Excess emission reports No No.§ 63.10(e)(4) Reporting COMS Data Must submit COMS data with performance test data NA NA.§ 63.10(f) Waiver for Recordkeeping/Reporting Procedures for EPA Administrator to waive Yes Yes.§ 63.11 Control Device and Work Practice Requirements Requirements for flares and alternative work practice for equipment leaks NA NA.§ 63.12 State Authority and Delegations State authority to enforce standards Yes Yes.§ 63.13 Addresses Addresses where reports, notifications, and requests are sent Yes Yes.§ 63.14 Incorporations by Reference Test methods incorporated by reference Yes Yes.§ 63.15 Availability of Information and Confidentiality Public and confidential information Yes Yes.§ 63.16 Performance Track Provisions Requirements for Performance Track member facilities Yes Yes.</w:t>
      </w:r>
    </w:p>
    <w:p w14:paraId="088F8F24" w14:textId="77777777" w:rsidR="00054BF0" w:rsidRDefault="00000000">
      <w:pPr>
        <w:spacing w:before="200" w:line="260" w:lineRule="atLeast"/>
        <w:jc w:val="both"/>
      </w:pPr>
      <w:r>
        <w:rPr>
          <w:rFonts w:ascii="Arial" w:eastAsia="Arial" w:hAnsi="Arial" w:cs="Arial"/>
          <w:color w:val="000000"/>
          <w:sz w:val="20"/>
        </w:rPr>
        <w:t>23. Subpart DDDD is amended by adding Appendix B to read as follows:Appendix B to Subpart DDDD of Part 63—List of Hazardous Air Pollutants That Must Be Counted Relative to the Plywood and Composite Wood Products “Non-HAP Coating” Definition if Present at 0.1 Percent or More by Mass Chemical name CAS No.1,1,2,2-Tetrachloroethane 79-34-51,1,2-Trichloroethane 79-00-51,1-Dimethylhydrazine 57-14-71,2-Dibromo-3-chloropropane 96-12-81,2-Diphenylhydrazine 122-66-71,3-Butadiene 106-99-01,3-Dichloropropene 542-75-61,4-Dioxane 123-91-12,4,6-Trichlorophenol 88-06-22,4/2,6-Dinitrotoluene (mixture) 25321-14-62,4-Dinitrotoluene 121-14-22,4-Toluene diamine 95-80-72-Nitropropane 79-46-93,3′-Dichlorobenzidine 91-94-13,3′-Dimethoxybenzidine 119-90-43,3′-Dimethylbenzidine 119-93-74,4′-Methylene bis(2-chloroaniline) 101-14-4Acetaldehyde 75-07-0Acrylamide 79-06-1Acrylonitrile 107-13-1Allyl chloride 107-05-1alpha-Hexachlorocyclohexane (a-HCH) 319-84-6Aniline 62-53-3Benzene 71-43-2Benzidine 92-87-5Benzotrichloride 98-07-7Benzyl chloride 100-44-7beta-Hexachlorocyclohexane (b-HCH) 319-85-7Bis(2-ethylhexyl)phthalate 117-81-7Bis(chloromethyl)ether 542-88-1Bromoform 75-25-2Captan 133-06-2Carbon tetrachloride 56-23-5Chlordane 57-74-9Chlorobenzilate 510-15-6Chloroform 67-66-3Chloroprene 126-99-8Cresols (mixed) 1319-77-3DDE 3547-04-4Dichloroethyl ether 111-44-4Dichlorvos 62-73-7Epichlorohydrin 106-89-8Ethyl acrylate 140-88-5Ethylene dibromide 106-93-4Ethylene dichloride 107-06-2Ethylene oxide 75-21-8Ethylene thiourea 96-45-7Ethylidene dichloride (1,1-Dichloroethane) 75-34-3Formaldehyde 50-00-0Heptachlor 76-44-8Hexachlorobenzene 118-74-1Hexachlorobutadiene 87-68-3Hexachloroethane 67-72-1Hydrazine 302-01-2Isophorone 78-59-1Lindane (hexachlorocyclohexane, all isomers) 58-89-9m-Cresol 108-39-4Methylene chloride 75-09-2Naphthalene 91-20-3Nitrobenzene 98-95-3Nitrosodimethylamine 62-75-9o-Cresol 95-48-7o-Toluidine 95-53-4Parathion 56-38-2p-Cresol 106-44-5p-Dichlorobenzene 106-46-7Pentachloronitrobenzene 82-68-8Pentachlorophenol 87-86-5Propoxur 114-26-1Propylene dichloride 78-87-5Propylene oxide 75-56-9Quinoline 91-22-5Tetrachloroethene 127-18-4Toxaphene 8001-35-2Trichloroethylene 79-01-6Trifluralin 1582-09-8Vinyl bromide 593-60-2Vinyl chloride 75-01-4Vinylidene chloride 75-35-4[FR Doc. 2019-18827 Filed 9-5-19; 8:45 am]BILLING CODE 6560-50-P</w:t>
      </w:r>
    </w:p>
    <w:p w14:paraId="06730171"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8, 2019</w:t>
      </w:r>
    </w:p>
    <w:p w14:paraId="050B09B8" w14:textId="77777777" w:rsidR="00054BF0" w:rsidRDefault="00054BF0"/>
    <w:p w14:paraId="13809E21" w14:textId="77777777" w:rsidR="00054BF0" w:rsidRDefault="00000000">
      <w:pPr>
        <w:ind w:left="200"/>
        <w:sectPr w:rsidR="00054BF0">
          <w:type w:val="continuous"/>
          <w:pgSz w:w="12240" w:h="15840"/>
          <w:pgMar w:top="840" w:right="1000" w:bottom="840" w:left="1000" w:header="400" w:footer="400" w:gutter="0"/>
          <w:cols w:space="720"/>
        </w:sectPr>
      </w:pPr>
      <w:r>
        <w:br/>
      </w:r>
      <w:r>
        <w:pict w14:anchorId="75C30AD2">
          <v:line id="_x0000_s2137" style="position:absolute;left:0;text-align:left;z-index:251711488;mso-position-horizontal-relative:text;mso-position-vertical-relative:text" from="0,10pt" to="512pt,10pt" strokeweight="1pt"/>
        </w:pict>
      </w:r>
      <w:r>
        <w:rPr>
          <w:rFonts w:ascii="Arial" w:eastAsia="Arial" w:hAnsi="Arial" w:cs="Arial"/>
          <w:b/>
          <w:color w:val="767676"/>
          <w:sz w:val="16"/>
        </w:rPr>
        <w:t>End of Document</w:t>
      </w:r>
    </w:p>
    <w:p w14:paraId="483F1A00" w14:textId="77777777" w:rsidR="00054BF0" w:rsidRDefault="00054BF0">
      <w:pPr>
        <w:sectPr w:rsidR="00054BF0">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gutter="0"/>
          <w:cols w:space="720"/>
          <w:titlePg/>
        </w:sectPr>
      </w:pPr>
    </w:p>
    <w:p w14:paraId="37D54CD0" w14:textId="77777777" w:rsidR="00054BF0" w:rsidRDefault="00054BF0">
      <w:bookmarkStart w:id="52" w:name="Bookmark_27"/>
      <w:bookmarkEnd w:id="52"/>
    </w:p>
    <w:p w14:paraId="0CF0A719" w14:textId="77777777" w:rsidR="00054BF0" w:rsidRDefault="00BE2275">
      <w:r>
        <w:pict w14:anchorId="56830104">
          <v:shape id="_x0000_i1062" type="#_x0000_t75" alt="LexisNexis®" style="width:148pt;height:30pt">
            <v:imagedata r:id="rId6" o:title=""/>
          </v:shape>
        </w:pict>
      </w:r>
      <w:r w:rsidR="00A540D1">
        <w:cr/>
      </w:r>
    </w:p>
    <w:p w14:paraId="07473444" w14:textId="77777777" w:rsidR="00054BF0" w:rsidRDefault="00000000">
      <w:pPr>
        <w:spacing w:before="240" w:after="200" w:line="340" w:lineRule="atLeast"/>
        <w:jc w:val="center"/>
        <w:outlineLvl w:val="0"/>
        <w:rPr>
          <w:rFonts w:ascii="Arial" w:hAnsi="Arial" w:cs="Arial"/>
          <w:b/>
          <w:bCs/>
          <w:kern w:val="32"/>
          <w:sz w:val="32"/>
          <w:szCs w:val="32"/>
        </w:rPr>
      </w:pPr>
      <w:hyperlink r:id="rId486" w:history="1">
        <w:r>
          <w:rPr>
            <w:rFonts w:ascii="Arial" w:eastAsia="Arial" w:hAnsi="Arial" w:cs="Arial"/>
            <w:b/>
            <w:bCs/>
            <w:i/>
            <w:color w:val="0077CC"/>
            <w:kern w:val="32"/>
            <w:sz w:val="28"/>
            <w:szCs w:val="32"/>
            <w:u w:val="single"/>
            <w:shd w:val="clear" w:color="auto" w:fill="FFFFFF"/>
          </w:rPr>
          <w:t>Celebrating the superhero in every dad</w:t>
        </w:r>
      </w:hyperlink>
    </w:p>
    <w:p w14:paraId="51ACC16F" w14:textId="77777777" w:rsidR="00054BF0" w:rsidRDefault="00000000">
      <w:pPr>
        <w:spacing w:before="120" w:line="260" w:lineRule="atLeast"/>
        <w:jc w:val="center"/>
      </w:pPr>
      <w:r>
        <w:rPr>
          <w:rFonts w:ascii="Arial" w:eastAsia="Arial" w:hAnsi="Arial" w:cs="Arial"/>
          <w:color w:val="000000"/>
          <w:sz w:val="20"/>
        </w:rPr>
        <w:t>Himalayan Times</w:t>
      </w:r>
    </w:p>
    <w:p w14:paraId="6B85AA05" w14:textId="77777777" w:rsidR="00054BF0" w:rsidRDefault="00000000">
      <w:pPr>
        <w:spacing w:before="120" w:line="260" w:lineRule="atLeast"/>
        <w:jc w:val="center"/>
      </w:pPr>
      <w:r>
        <w:rPr>
          <w:rFonts w:ascii="Arial" w:eastAsia="Arial" w:hAnsi="Arial" w:cs="Arial"/>
          <w:color w:val="000000"/>
          <w:sz w:val="20"/>
        </w:rPr>
        <w:t>September 2, 2018 Sunday</w:t>
      </w:r>
    </w:p>
    <w:p w14:paraId="01D874D6" w14:textId="77777777" w:rsidR="00054BF0" w:rsidRDefault="00054BF0">
      <w:pPr>
        <w:spacing w:line="240" w:lineRule="atLeast"/>
        <w:jc w:val="both"/>
      </w:pPr>
    </w:p>
    <w:p w14:paraId="6806E253" w14:textId="77777777" w:rsidR="00054BF0" w:rsidRDefault="00000000">
      <w:pPr>
        <w:spacing w:before="120" w:line="220" w:lineRule="atLeast"/>
      </w:pPr>
      <w:r>
        <w:br/>
      </w:r>
      <w:r>
        <w:rPr>
          <w:rFonts w:ascii="Arial" w:eastAsia="Arial" w:hAnsi="Arial" w:cs="Arial"/>
          <w:color w:val="000000"/>
          <w:sz w:val="16"/>
        </w:rPr>
        <w:t>Copyright 2018 Himalayan Times, distributed by Contify.com All Rights Reserved</w:t>
      </w:r>
    </w:p>
    <w:p w14:paraId="6B2566EA"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2861 words</w:t>
      </w:r>
    </w:p>
    <w:p w14:paraId="14EA0AE8" w14:textId="77777777" w:rsidR="00054BF0" w:rsidRDefault="00000000">
      <w:pPr>
        <w:keepNext/>
        <w:spacing w:before="240" w:line="340" w:lineRule="atLeast"/>
      </w:pPr>
      <w:bookmarkStart w:id="53" w:name="Body_25"/>
      <w:bookmarkEnd w:id="53"/>
      <w:r>
        <w:rPr>
          <w:rFonts w:ascii="Arial" w:eastAsia="Arial" w:hAnsi="Arial" w:cs="Arial"/>
          <w:b/>
          <w:color w:val="000000"/>
          <w:sz w:val="28"/>
        </w:rPr>
        <w:t>Body</w:t>
      </w:r>
    </w:p>
    <w:p w14:paraId="71B12F55" w14:textId="77777777" w:rsidR="00054BF0" w:rsidRDefault="00000000">
      <w:pPr>
        <w:spacing w:line="60" w:lineRule="exact"/>
      </w:pPr>
      <w:r>
        <w:pict w14:anchorId="7ACAD17D">
          <v:line id="_x0000_s2139" style="position:absolute;z-index:251712512" from="0,2pt" to="512pt,2pt" strokecolor="#009ddb" strokeweight="2pt">
            <w10:wrap type="topAndBottom"/>
          </v:line>
        </w:pict>
      </w:r>
    </w:p>
    <w:p w14:paraId="3571D3E7" w14:textId="77777777" w:rsidR="00054BF0" w:rsidRDefault="00054BF0"/>
    <w:p w14:paraId="6ADB20DA" w14:textId="77777777" w:rsidR="00054BF0" w:rsidRDefault="00000000">
      <w:pPr>
        <w:spacing w:before="200" w:line="260" w:lineRule="atLeast"/>
        <w:jc w:val="both"/>
      </w:pPr>
      <w:r>
        <w:rPr>
          <w:rFonts w:ascii="Arial" w:eastAsia="Arial" w:hAnsi="Arial" w:cs="Arial"/>
          <w:color w:val="000000"/>
          <w:sz w:val="20"/>
        </w:rPr>
        <w:t>Our readers are greatly influenced by their fathers, mostly in a positive manner, and wish to resemble them or be their better versions as a parent themselves</w:t>
      </w:r>
    </w:p>
    <w:p w14:paraId="73884686" w14:textId="77777777" w:rsidR="00054BF0" w:rsidRDefault="00000000">
      <w:pPr>
        <w:spacing w:before="200" w:line="260" w:lineRule="atLeast"/>
        <w:jc w:val="both"/>
      </w:pPr>
      <w:r>
        <w:rPr>
          <w:rFonts w:ascii="Arial" w:eastAsia="Arial" w:hAnsi="Arial" w:cs="Arial"/>
          <w:color w:val="000000"/>
          <w:sz w:val="20"/>
        </w:rPr>
        <w:t xml:space="preserve">* My father has influenced me in a positive manner. He is a good dad, good husband, and a good son. But if I were to be a father, I would not want to be a replica of him - I would choose to be a better revised version. He fulfils all my demands and that makes me happy. He </w:t>
      </w:r>
      <w:r>
        <w:rPr>
          <w:rFonts w:ascii="Arial" w:eastAsia="Arial" w:hAnsi="Arial" w:cs="Arial"/>
          <w:b/>
          <w:i/>
          <w:color w:val="000000"/>
          <w:sz w:val="20"/>
          <w:u w:val="single"/>
        </w:rPr>
        <w:t>started</w:t>
      </w:r>
      <w:r>
        <w:rPr>
          <w:rFonts w:ascii="Arial" w:eastAsia="Arial" w:hAnsi="Arial" w:cs="Arial"/>
          <w:color w:val="000000"/>
          <w:sz w:val="20"/>
        </w:rPr>
        <w:t xml:space="preserve"> his career from scratch and now is capable of meeting our needs. He is my inspiration too. Yet there are certain habits of my dad that I do not like. One of them being that he gets too busy with his work and does not manage time for us. He is really hard working and spends his holidays working. So, though I love my dad a lot, I would want him to spend more time with us.</w:t>
      </w:r>
    </w:p>
    <w:p w14:paraId="4E068248" w14:textId="77777777" w:rsidR="00054BF0" w:rsidRDefault="00054BF0"/>
    <w:p w14:paraId="6AC0EAE1" w14:textId="77777777" w:rsidR="00054BF0" w:rsidRDefault="00000000">
      <w:pPr>
        <w:spacing w:line="260" w:lineRule="atLeast"/>
        <w:jc w:val="both"/>
      </w:pPr>
      <w:r>
        <w:rPr>
          <w:rFonts w:ascii="Arial" w:eastAsia="Arial" w:hAnsi="Arial" w:cs="Arial"/>
          <w:color w:val="000000"/>
          <w:sz w:val="20"/>
        </w:rPr>
        <w:t>- Suja Baral, Pokhara</w:t>
      </w:r>
    </w:p>
    <w:p w14:paraId="05FFBB12" w14:textId="77777777" w:rsidR="00054BF0" w:rsidRDefault="00054BF0"/>
    <w:p w14:paraId="3EB84248" w14:textId="77777777" w:rsidR="00054BF0" w:rsidRDefault="00000000">
      <w:pPr>
        <w:spacing w:before="200" w:line="260" w:lineRule="atLeast"/>
        <w:jc w:val="both"/>
      </w:pPr>
      <w:r>
        <w:rPr>
          <w:rFonts w:ascii="Arial" w:eastAsia="Arial" w:hAnsi="Arial" w:cs="Arial"/>
          <w:color w:val="000000"/>
          <w:sz w:val="20"/>
        </w:rPr>
        <w:t xml:space="preserve">* My father has always influenced me in positive ways. He is the only person that I look </w:t>
      </w:r>
      <w:r>
        <w:rPr>
          <w:rFonts w:ascii="Arial" w:eastAsia="Arial" w:hAnsi="Arial" w:cs="Arial"/>
          <w:b/>
          <w:i/>
          <w:color w:val="000000"/>
          <w:sz w:val="20"/>
          <w:u w:val="single"/>
        </w:rPr>
        <w:t>up</w:t>
      </w:r>
      <w:r>
        <w:rPr>
          <w:rFonts w:ascii="Arial" w:eastAsia="Arial" w:hAnsi="Arial" w:cs="Arial"/>
          <w:color w:val="000000"/>
          <w:sz w:val="20"/>
        </w:rPr>
        <w:t xml:space="preserve"> to. From him, I have learned to be honest, punctual, and hardworking. I do not know if I will ever be able to become a good human being and parent like him, but I will definitely walk his paths and lessons. To resemble my father would be my biggest wish as a parent, but I do not believe that I will be as great as him. I still remember those difficult days we went through in our childhood. He sacrificed luxurious goods for us, he did not wear expensive clothes and he never bought a vehicle for himself, only to pay for our school's bus fares. He has compromised on his dreams to fulfil our needs and I will be always indebted to my father.</w:t>
      </w:r>
    </w:p>
    <w:p w14:paraId="3DD3AC75" w14:textId="77777777" w:rsidR="00054BF0" w:rsidRDefault="00054BF0"/>
    <w:p w14:paraId="7C8BD858" w14:textId="77777777" w:rsidR="00054BF0" w:rsidRDefault="00000000">
      <w:pPr>
        <w:spacing w:line="260" w:lineRule="atLeast"/>
        <w:jc w:val="both"/>
      </w:pPr>
      <w:r>
        <w:rPr>
          <w:rFonts w:ascii="Arial" w:eastAsia="Arial" w:hAnsi="Arial" w:cs="Arial"/>
          <w:color w:val="000000"/>
          <w:sz w:val="20"/>
        </w:rPr>
        <w:t>- Indira Gurmachhan Magar</w:t>
      </w:r>
    </w:p>
    <w:p w14:paraId="1BF7B1FD" w14:textId="77777777" w:rsidR="00054BF0" w:rsidRDefault="00054BF0"/>
    <w:p w14:paraId="087400DE" w14:textId="77777777" w:rsidR="00054BF0" w:rsidRDefault="00000000">
      <w:pPr>
        <w:spacing w:before="200" w:line="260" w:lineRule="atLeast"/>
        <w:jc w:val="both"/>
      </w:pPr>
      <w:r>
        <w:rPr>
          <w:rFonts w:ascii="Arial" w:eastAsia="Arial" w:hAnsi="Arial" w:cs="Arial"/>
          <w:color w:val="000000"/>
          <w:sz w:val="20"/>
        </w:rPr>
        <w:t xml:space="preserve">* I have grown </w:t>
      </w:r>
      <w:r>
        <w:rPr>
          <w:rFonts w:ascii="Arial" w:eastAsia="Arial" w:hAnsi="Arial" w:cs="Arial"/>
          <w:b/>
          <w:i/>
          <w:color w:val="000000"/>
          <w:sz w:val="20"/>
          <w:u w:val="single"/>
        </w:rPr>
        <w:t>up</w:t>
      </w:r>
      <w:r>
        <w:rPr>
          <w:rFonts w:ascii="Arial" w:eastAsia="Arial" w:hAnsi="Arial" w:cs="Arial"/>
          <w:color w:val="000000"/>
          <w:sz w:val="20"/>
        </w:rPr>
        <w:t xml:space="preserve"> watching my father being more than just a parent. He is my very first friend, teacher, motivator and a role model. And yes I am influenced by his uniqueness, intelligence, great sense of humour - most importantly his honesty and loyalty influences me. I do wish to resemble my father as a parent because of his calm and smart nature. The way he treats me as a friend gives me comfort. His childhood memories help me to cope with obstacles. His hard work to bring the best in me gives me good vibes to be a responsible parent.</w:t>
      </w:r>
    </w:p>
    <w:p w14:paraId="655202D6" w14:textId="77777777" w:rsidR="00054BF0" w:rsidRDefault="00054BF0"/>
    <w:p w14:paraId="1643C2CE" w14:textId="77777777" w:rsidR="00054BF0" w:rsidRDefault="00000000">
      <w:pPr>
        <w:spacing w:line="260" w:lineRule="atLeast"/>
        <w:jc w:val="both"/>
      </w:pPr>
      <w:r>
        <w:rPr>
          <w:rFonts w:ascii="Arial" w:eastAsia="Arial" w:hAnsi="Arial" w:cs="Arial"/>
          <w:color w:val="000000"/>
          <w:sz w:val="20"/>
        </w:rPr>
        <w:t>- Prativa Poudel, Pokhara</w:t>
      </w:r>
    </w:p>
    <w:p w14:paraId="4095245D" w14:textId="77777777" w:rsidR="00054BF0" w:rsidRDefault="00054BF0"/>
    <w:p w14:paraId="34A0E139" w14:textId="77777777" w:rsidR="00054BF0" w:rsidRDefault="00000000">
      <w:pPr>
        <w:spacing w:line="260" w:lineRule="atLeast"/>
        <w:jc w:val="both"/>
      </w:pPr>
      <w:r>
        <w:rPr>
          <w:rFonts w:ascii="Arial" w:eastAsia="Arial" w:hAnsi="Arial" w:cs="Arial"/>
          <w:color w:val="000000"/>
          <w:sz w:val="20"/>
        </w:rPr>
        <w:t xml:space="preserve">* My father has always been my hero and idol. I am able to stand on my own feet because of my father. He has always ensured that I am not deprived of anything. I always got the best of everything, be it my education, clothes, </w:t>
      </w:r>
      <w:r>
        <w:rPr>
          <w:rFonts w:ascii="Arial" w:eastAsia="Arial" w:hAnsi="Arial" w:cs="Arial"/>
          <w:color w:val="000000"/>
          <w:sz w:val="20"/>
        </w:rPr>
        <w:lastRenderedPageBreak/>
        <w:t>food or pocket money. He has always helped me achieve my bucket list. I am highly influenced by him and his life. He always handles things in a very positive way. A engineer by profession, he is also a yoga teacher. Despite being a 70-year-old, he looks young in comparison to people of his age due to his healthy lifestyle. He never stood second in his education and always topped his class. This motivates me. It is said that we can only understand our parents when we become parents ourselves. I wish to be a good father like him. He taught me that no matter how rich a person is, he should always work and earn for himself and his family.</w:t>
      </w:r>
    </w:p>
    <w:p w14:paraId="1AED0E97" w14:textId="77777777" w:rsidR="00054BF0" w:rsidRDefault="00054BF0"/>
    <w:p w14:paraId="13558A41" w14:textId="77777777" w:rsidR="00054BF0" w:rsidRDefault="00000000">
      <w:pPr>
        <w:spacing w:line="260" w:lineRule="atLeast"/>
        <w:jc w:val="both"/>
      </w:pPr>
      <w:r>
        <w:rPr>
          <w:rFonts w:ascii="Arial" w:eastAsia="Arial" w:hAnsi="Arial" w:cs="Arial"/>
          <w:color w:val="000000"/>
          <w:sz w:val="20"/>
        </w:rPr>
        <w:t>- Sailesh Chaudhary</w:t>
      </w:r>
    </w:p>
    <w:p w14:paraId="53A59975" w14:textId="77777777" w:rsidR="00054BF0" w:rsidRDefault="00054BF0"/>
    <w:p w14:paraId="12FD000A" w14:textId="77777777" w:rsidR="00054BF0" w:rsidRDefault="00000000">
      <w:pPr>
        <w:spacing w:line="260" w:lineRule="atLeast"/>
        <w:jc w:val="both"/>
      </w:pPr>
      <w:r>
        <w:rPr>
          <w:rFonts w:ascii="Arial" w:eastAsia="Arial" w:hAnsi="Arial" w:cs="Arial"/>
          <w:color w:val="000000"/>
          <w:sz w:val="20"/>
        </w:rPr>
        <w:t>* I am one of the luckiest of children for getting a positive and influential father. I was the second child of my parents and we were really poor. My father worked as a farmer but he always inspired me and stressed on the value of education. For him education was one of the most powerful weapons to defeat the world. He admitted me to a school and paid my fees - he wore only a pair of ragged clothes and walked bare feet for years. Now, after completing my Master's degree and working as an English language trainer, I see that my father's struggles and dream have come true. It is obvious that I would like to reflect my father in my fatherhood and will emphasise on education. I will try to never let him down. I wish I could be better as my father in future.</w:t>
      </w:r>
    </w:p>
    <w:p w14:paraId="0EF72DA4" w14:textId="77777777" w:rsidR="00054BF0" w:rsidRDefault="00054BF0"/>
    <w:p w14:paraId="3B9EB449" w14:textId="77777777" w:rsidR="00054BF0" w:rsidRDefault="00000000">
      <w:pPr>
        <w:spacing w:line="260" w:lineRule="atLeast"/>
        <w:jc w:val="both"/>
      </w:pPr>
      <w:r>
        <w:rPr>
          <w:rFonts w:ascii="Arial" w:eastAsia="Arial" w:hAnsi="Arial" w:cs="Arial"/>
          <w:color w:val="000000"/>
          <w:sz w:val="20"/>
        </w:rPr>
        <w:t>- Shiv Prasad Jaishi, Kathmandu</w:t>
      </w:r>
    </w:p>
    <w:p w14:paraId="527727D7" w14:textId="77777777" w:rsidR="00054BF0" w:rsidRDefault="00054BF0"/>
    <w:p w14:paraId="40403C58" w14:textId="77777777" w:rsidR="00054BF0" w:rsidRDefault="00000000">
      <w:pPr>
        <w:spacing w:line="260" w:lineRule="atLeast"/>
        <w:jc w:val="both"/>
      </w:pPr>
      <w:r>
        <w:rPr>
          <w:rFonts w:ascii="Arial" w:eastAsia="Arial" w:hAnsi="Arial" w:cs="Arial"/>
          <w:color w:val="000000"/>
          <w:sz w:val="20"/>
        </w:rPr>
        <w:t>* My childhood was spent in my village and for further studies, my parents sent me to Kathmandu. My father was very conscious about providing us quality education. He himself graduated from India. It was due to our father's wish and support that all of us brothers got Master's degrees as well as good jobs - it has made our life easy. He was a role model for us to be good parents. I wish to resemble my father as a parent. Belonging to a middle-class family, my father always thought about his children's future. My father had a deep intuition that his sons can stand on their own.</w:t>
      </w:r>
    </w:p>
    <w:p w14:paraId="7B57E29E" w14:textId="77777777" w:rsidR="00054BF0" w:rsidRDefault="00054BF0"/>
    <w:p w14:paraId="759DC1C1" w14:textId="77777777" w:rsidR="00054BF0" w:rsidRDefault="00000000">
      <w:pPr>
        <w:spacing w:line="260" w:lineRule="atLeast"/>
        <w:jc w:val="both"/>
      </w:pPr>
      <w:r>
        <w:rPr>
          <w:rFonts w:ascii="Arial" w:eastAsia="Arial" w:hAnsi="Arial" w:cs="Arial"/>
          <w:color w:val="000000"/>
          <w:sz w:val="20"/>
        </w:rPr>
        <w:t>- Shreeram Aryal, Biratnagar</w:t>
      </w:r>
    </w:p>
    <w:p w14:paraId="401EFAC8" w14:textId="77777777" w:rsidR="00054BF0" w:rsidRDefault="00054BF0"/>
    <w:p w14:paraId="7F879342" w14:textId="77777777" w:rsidR="00054BF0" w:rsidRDefault="00000000">
      <w:pPr>
        <w:spacing w:line="260" w:lineRule="atLeast"/>
        <w:jc w:val="both"/>
      </w:pPr>
      <w:r>
        <w:rPr>
          <w:rFonts w:ascii="Arial" w:eastAsia="Arial" w:hAnsi="Arial" w:cs="Arial"/>
          <w:color w:val="000000"/>
          <w:sz w:val="20"/>
        </w:rPr>
        <w:t>* When I am around my dad, motivation flows. He has always influenced me to understand the good and bad aspects of my life and taught me to handle them well. He is my support system who tells me to value myself. His honesty and determination to carry the responsibilities along with our family, is what inspires me. He has taught me to live my life with gratitude and he always believes in me. He has taught me to become a fearless warrior. He has always stood beside me. He has influenced me to become better every day. Yes, I would love to resemble my dad as a parent because he is the best person a child would want. His love, care, innocence, honesty and determination is something I want bring out in me as a parent.</w:t>
      </w:r>
    </w:p>
    <w:p w14:paraId="0F294B8F" w14:textId="77777777" w:rsidR="00054BF0" w:rsidRDefault="00054BF0"/>
    <w:p w14:paraId="3E4454BD" w14:textId="77777777" w:rsidR="00054BF0" w:rsidRDefault="00000000">
      <w:pPr>
        <w:spacing w:line="260" w:lineRule="atLeast"/>
        <w:jc w:val="both"/>
      </w:pPr>
      <w:r>
        <w:rPr>
          <w:rFonts w:ascii="Arial" w:eastAsia="Arial" w:hAnsi="Arial" w:cs="Arial"/>
          <w:color w:val="000000"/>
          <w:sz w:val="20"/>
        </w:rPr>
        <w:t>- Rejina KC, Pokhara</w:t>
      </w:r>
    </w:p>
    <w:p w14:paraId="5E739B71" w14:textId="77777777" w:rsidR="00054BF0" w:rsidRDefault="00054BF0"/>
    <w:p w14:paraId="141F3484" w14:textId="77777777" w:rsidR="00054BF0" w:rsidRDefault="00000000">
      <w:pPr>
        <w:spacing w:line="260" w:lineRule="atLeast"/>
        <w:jc w:val="both"/>
      </w:pPr>
      <w:r>
        <w:rPr>
          <w:rFonts w:ascii="Arial" w:eastAsia="Arial" w:hAnsi="Arial" w:cs="Arial"/>
          <w:color w:val="000000"/>
          <w:sz w:val="20"/>
        </w:rPr>
        <w:t>* My father has both negative and positive traits. He is short-tempered at times but still he has been a great influence on me. As a child I was always creative. I used to love my own company and do things that fascinated me like writing, reading, playing teacher, or stealing my mother's accessories. I imitated the people I saw on a daily basis. My father always bought me stationery items. And he encouraged me to read newspapers and books so that I could learn more to enhance my skills in a better way. I have a father who has a broad thinking in terms of trusting his daughter, so whatever I will do in life, I would not let him down. This trust makes me feel blessed and responsible as well. We talk and discuss every issue related to my life, career, or relationships in a friendly way. My parents are the strongest pillars of my life who always influence me. So, I would love to be a lot like them.</w:t>
      </w:r>
    </w:p>
    <w:p w14:paraId="0C2E661A" w14:textId="77777777" w:rsidR="00054BF0" w:rsidRDefault="00054BF0"/>
    <w:p w14:paraId="6B0FA51F" w14:textId="77777777" w:rsidR="00054BF0" w:rsidRDefault="00000000">
      <w:pPr>
        <w:spacing w:line="260" w:lineRule="atLeast"/>
        <w:jc w:val="both"/>
      </w:pPr>
      <w:r>
        <w:rPr>
          <w:rFonts w:ascii="Arial" w:eastAsia="Arial" w:hAnsi="Arial" w:cs="Arial"/>
          <w:color w:val="000000"/>
          <w:sz w:val="20"/>
        </w:rPr>
        <w:t>- Tejaswi Pahari, Jawalakhel, Lalitpur.</w:t>
      </w:r>
    </w:p>
    <w:p w14:paraId="523E8082" w14:textId="77777777" w:rsidR="00054BF0" w:rsidRDefault="00054BF0"/>
    <w:p w14:paraId="42D4EAF2" w14:textId="77777777" w:rsidR="00054BF0" w:rsidRDefault="00000000">
      <w:pPr>
        <w:spacing w:line="260" w:lineRule="atLeast"/>
        <w:jc w:val="both"/>
      </w:pPr>
      <w:r>
        <w:rPr>
          <w:rFonts w:ascii="Arial" w:eastAsia="Arial" w:hAnsi="Arial" w:cs="Arial"/>
          <w:color w:val="000000"/>
          <w:sz w:val="20"/>
        </w:rPr>
        <w:t xml:space="preserve">* I am 25 but my father still thinks that I am a child. I am okay with that because I get his support whenever I am in trouble. I think about him during my difficult times and just a thought of him refreshes me and allows me to view the world in a beautiful way. I honour his way of living and disciplined nature even though we are not so rich. It makes </w:t>
      </w:r>
      <w:r>
        <w:rPr>
          <w:rFonts w:ascii="Arial" w:eastAsia="Arial" w:hAnsi="Arial" w:cs="Arial"/>
          <w:color w:val="000000"/>
          <w:sz w:val="20"/>
        </w:rPr>
        <w:lastRenderedPageBreak/>
        <w:t xml:space="preserve">me feel good and motivates me to know my limits and accept whoever I am. I would certainly like to resemble my father as a parent as I feel lucky to be his son and I would want my son to feel the same about me. He does have some bad habits like drinking alcohol and chewing tobacco, but these things are overshadowed by his radiance of honesty and grace. </w:t>
      </w:r>
    </w:p>
    <w:p w14:paraId="7D461915" w14:textId="77777777" w:rsidR="00054BF0" w:rsidRDefault="00054BF0"/>
    <w:p w14:paraId="053D2C4D" w14:textId="77777777" w:rsidR="00054BF0" w:rsidRDefault="00000000">
      <w:pPr>
        <w:spacing w:line="260" w:lineRule="atLeast"/>
        <w:jc w:val="both"/>
      </w:pPr>
      <w:r>
        <w:rPr>
          <w:rFonts w:ascii="Arial" w:eastAsia="Arial" w:hAnsi="Arial" w:cs="Arial"/>
          <w:color w:val="000000"/>
          <w:sz w:val="20"/>
        </w:rPr>
        <w:t>- Shreejan Pokharel, Sukedhara, Kathmandu</w:t>
      </w:r>
    </w:p>
    <w:p w14:paraId="16D92838" w14:textId="77777777" w:rsidR="00054BF0" w:rsidRDefault="00054BF0"/>
    <w:p w14:paraId="23E8A032" w14:textId="77777777" w:rsidR="00054BF0" w:rsidRDefault="00000000">
      <w:pPr>
        <w:spacing w:line="260" w:lineRule="atLeast"/>
        <w:jc w:val="both"/>
      </w:pPr>
      <w:r>
        <w:rPr>
          <w:rFonts w:ascii="Arial" w:eastAsia="Arial" w:hAnsi="Arial" w:cs="Arial"/>
          <w:color w:val="000000"/>
          <w:sz w:val="20"/>
        </w:rPr>
        <w:t>* Being a successful businessman, his optimistic and influential side that triggers me is the encouragement and patience my father possesses. Similarly, like everyone my father has some negative sides as well. In addition, parents are always careful about us so we must do good deeds and meet their expectations. The 90's children are very vulnerable to bad habits and influence which is why these things are less understood by educated parents. My father always gave positive vibes during my early teenage. So, I gradually matured in the same way. I would not opt to be like my father as a parent because of the need for adaptation.</w:t>
      </w:r>
    </w:p>
    <w:p w14:paraId="2E566C51" w14:textId="77777777" w:rsidR="00054BF0" w:rsidRDefault="00054BF0"/>
    <w:p w14:paraId="44862436" w14:textId="77777777" w:rsidR="00054BF0" w:rsidRDefault="00000000">
      <w:pPr>
        <w:spacing w:line="260" w:lineRule="atLeast"/>
        <w:jc w:val="both"/>
      </w:pPr>
      <w:r>
        <w:rPr>
          <w:rFonts w:ascii="Arial" w:eastAsia="Arial" w:hAnsi="Arial" w:cs="Arial"/>
          <w:color w:val="000000"/>
          <w:sz w:val="20"/>
        </w:rPr>
        <w:t>- Sulav Karki</w:t>
      </w:r>
    </w:p>
    <w:p w14:paraId="6927FBB7" w14:textId="77777777" w:rsidR="00054BF0" w:rsidRDefault="00054BF0"/>
    <w:p w14:paraId="3DF07BFD" w14:textId="77777777" w:rsidR="00054BF0" w:rsidRDefault="00000000">
      <w:pPr>
        <w:spacing w:before="200" w:line="260" w:lineRule="atLeast"/>
        <w:jc w:val="both"/>
      </w:pPr>
      <w:r>
        <w:rPr>
          <w:rFonts w:ascii="Arial" w:eastAsia="Arial" w:hAnsi="Arial" w:cs="Arial"/>
          <w:color w:val="000000"/>
          <w:sz w:val="20"/>
        </w:rPr>
        <w:t xml:space="preserve">* Every son wants his father to be his inspiration, every daughter wants her father to be her superhero. Likewise, my father who I admire the most and have spent the most fruitful and inspiring years with, has always influenced me. Some of his qualities that I wish to learn are - he bears all the pains for our happiness, and he never gives </w:t>
      </w:r>
      <w:r>
        <w:rPr>
          <w:rFonts w:ascii="Arial" w:eastAsia="Arial" w:hAnsi="Arial" w:cs="Arial"/>
          <w:b/>
          <w:i/>
          <w:color w:val="000000"/>
          <w:sz w:val="20"/>
          <w:u w:val="single"/>
        </w:rPr>
        <w:t>up</w:t>
      </w:r>
      <w:r>
        <w:rPr>
          <w:rFonts w:ascii="Arial" w:eastAsia="Arial" w:hAnsi="Arial" w:cs="Arial"/>
          <w:color w:val="000000"/>
          <w:sz w:val="20"/>
        </w:rPr>
        <w:t xml:space="preserve"> on things before getting results. He is always there for me no matter how difficult the situation. Obviously, I always want to resemble him as he is the only person who understands me before I even say something.</w:t>
      </w:r>
    </w:p>
    <w:p w14:paraId="4DD170F3" w14:textId="77777777" w:rsidR="00054BF0" w:rsidRDefault="00054BF0"/>
    <w:p w14:paraId="76E70486" w14:textId="77777777" w:rsidR="00054BF0" w:rsidRDefault="00000000">
      <w:pPr>
        <w:spacing w:line="260" w:lineRule="atLeast"/>
        <w:jc w:val="both"/>
      </w:pPr>
      <w:r>
        <w:rPr>
          <w:rFonts w:ascii="Arial" w:eastAsia="Arial" w:hAnsi="Arial" w:cs="Arial"/>
          <w:color w:val="000000"/>
          <w:sz w:val="20"/>
        </w:rPr>
        <w:t>- Suresh Bhattarai, Pokhara</w:t>
      </w:r>
    </w:p>
    <w:p w14:paraId="17A57840" w14:textId="77777777" w:rsidR="00054BF0" w:rsidRDefault="00054BF0"/>
    <w:p w14:paraId="4202F48F" w14:textId="77777777" w:rsidR="00054BF0" w:rsidRDefault="00000000">
      <w:pPr>
        <w:spacing w:line="260" w:lineRule="atLeast"/>
        <w:jc w:val="both"/>
      </w:pPr>
      <w:r>
        <w:rPr>
          <w:rFonts w:ascii="Arial" w:eastAsia="Arial" w:hAnsi="Arial" w:cs="Arial"/>
          <w:color w:val="000000"/>
          <w:sz w:val="20"/>
        </w:rPr>
        <w:t>* My father is like a god to me. His parents left him as he is disabled. But he made through all the hindrances and difficulties in life. I am completely influenced by him. He always encourages me to do my best in the field of my interest. Being a teacher, he helps me in my studies and helps me remember things. He suggests me to become a good member of society. In my progress and improvements, he has always given positive remarks - it provides me strong willpower to do things. My progress lies in my father's hands. That is why with his wish, support, love and care I have found my way to a bright future. I wish to resemble him as a parent in order to remember him all my life.</w:t>
      </w:r>
    </w:p>
    <w:p w14:paraId="066CEC77" w14:textId="77777777" w:rsidR="00054BF0" w:rsidRDefault="00054BF0"/>
    <w:p w14:paraId="1BB854E5" w14:textId="77777777" w:rsidR="00054BF0" w:rsidRDefault="00000000">
      <w:pPr>
        <w:spacing w:line="260" w:lineRule="atLeast"/>
        <w:jc w:val="both"/>
      </w:pPr>
      <w:r>
        <w:rPr>
          <w:rFonts w:ascii="Arial" w:eastAsia="Arial" w:hAnsi="Arial" w:cs="Arial"/>
          <w:color w:val="000000"/>
          <w:sz w:val="20"/>
        </w:rPr>
        <w:t>- Kamal Aryal, Pokhara</w:t>
      </w:r>
    </w:p>
    <w:p w14:paraId="099D897F" w14:textId="77777777" w:rsidR="00054BF0" w:rsidRDefault="00054BF0"/>
    <w:p w14:paraId="7BB0785E" w14:textId="77777777" w:rsidR="00054BF0" w:rsidRDefault="00000000">
      <w:pPr>
        <w:spacing w:before="200" w:line="260" w:lineRule="atLeast"/>
        <w:jc w:val="both"/>
      </w:pPr>
      <w:r>
        <w:rPr>
          <w:rFonts w:ascii="Arial" w:eastAsia="Arial" w:hAnsi="Arial" w:cs="Arial"/>
          <w:color w:val="000000"/>
          <w:sz w:val="20"/>
        </w:rPr>
        <w:t xml:space="preserve">* My father has always encouraged me to work harder. He has risen </w:t>
      </w:r>
      <w:r>
        <w:rPr>
          <w:rFonts w:ascii="Arial" w:eastAsia="Arial" w:hAnsi="Arial" w:cs="Arial"/>
          <w:b/>
          <w:i/>
          <w:color w:val="000000"/>
          <w:sz w:val="20"/>
          <w:u w:val="single"/>
        </w:rPr>
        <w:t>up</w:t>
      </w:r>
      <w:r>
        <w:rPr>
          <w:rFonts w:ascii="Arial" w:eastAsia="Arial" w:hAnsi="Arial" w:cs="Arial"/>
          <w:color w:val="000000"/>
          <w:sz w:val="20"/>
        </w:rPr>
        <w:t xml:space="preserve"> after a lot of </w:t>
      </w:r>
      <w:r>
        <w:rPr>
          <w:rFonts w:ascii="Arial" w:eastAsia="Arial" w:hAnsi="Arial" w:cs="Arial"/>
          <w:b/>
          <w:i/>
          <w:color w:val="000000"/>
          <w:sz w:val="20"/>
          <w:u w:val="single"/>
        </w:rPr>
        <w:t>failures</w:t>
      </w:r>
      <w:r>
        <w:rPr>
          <w:rFonts w:ascii="Arial" w:eastAsia="Arial" w:hAnsi="Arial" w:cs="Arial"/>
          <w:color w:val="000000"/>
          <w:sz w:val="20"/>
        </w:rPr>
        <w:t xml:space="preserve"> in his life and is a self-made man. I cannot imagine to be even an inch like my father. The struggles, pains and problems he has gone through in life make him different from me. I would rather wish to resemble my father as a parent. He is a person everyone would love to have as their father. He is supportive, humorous, understanding and loving. He understands that we all are humans and making mistakes is a part of growing </w:t>
      </w:r>
      <w:r>
        <w:rPr>
          <w:rFonts w:ascii="Arial" w:eastAsia="Arial" w:hAnsi="Arial" w:cs="Arial"/>
          <w:b/>
          <w:i/>
          <w:color w:val="000000"/>
          <w:sz w:val="20"/>
          <w:u w:val="single"/>
        </w:rPr>
        <w:t>up</w:t>
      </w:r>
      <w:r>
        <w:rPr>
          <w:rFonts w:ascii="Arial" w:eastAsia="Arial" w:hAnsi="Arial" w:cs="Arial"/>
          <w:color w:val="000000"/>
          <w:sz w:val="20"/>
        </w:rPr>
        <w:t>.</w:t>
      </w:r>
    </w:p>
    <w:p w14:paraId="3C06A6EF" w14:textId="77777777" w:rsidR="00054BF0" w:rsidRDefault="00054BF0"/>
    <w:p w14:paraId="663EF12B" w14:textId="77777777" w:rsidR="00054BF0" w:rsidRDefault="00000000">
      <w:pPr>
        <w:spacing w:line="260" w:lineRule="atLeast"/>
        <w:jc w:val="both"/>
      </w:pPr>
      <w:r>
        <w:rPr>
          <w:rFonts w:ascii="Arial" w:eastAsia="Arial" w:hAnsi="Arial" w:cs="Arial"/>
          <w:color w:val="000000"/>
          <w:sz w:val="20"/>
        </w:rPr>
        <w:t>- Pragyan Swarnkar</w:t>
      </w:r>
    </w:p>
    <w:p w14:paraId="17B6F05D" w14:textId="77777777" w:rsidR="00054BF0" w:rsidRDefault="00054BF0"/>
    <w:p w14:paraId="602FEF48" w14:textId="77777777" w:rsidR="00054BF0" w:rsidRDefault="00000000">
      <w:pPr>
        <w:spacing w:line="260" w:lineRule="atLeast"/>
        <w:jc w:val="both"/>
      </w:pPr>
      <w:r>
        <w:rPr>
          <w:rFonts w:ascii="Arial" w:eastAsia="Arial" w:hAnsi="Arial" w:cs="Arial"/>
          <w:color w:val="000000"/>
          <w:sz w:val="20"/>
        </w:rPr>
        <w:t>* I rejoice the favours my father has made for me. I was the seventh child of my parents. My father took care of me from my childhood. He used to help me wash my clothes and bathe. His continued care about my education and health has made a huge impact in my life. I label my father as Karma Yogi. He has lived a life of integrity to the fullest. As a typical Brahmin, he never touched alcoholic substances and is never swayed by it. Whether it is prosperity or adversity, he is always the same - he neither gets pampered nor panicked. He does not believe in untouchability, which is quite rare for the people of his time. Moreover, he never hesitates to do the household chores which are typically labelled to be a woman's domain. His attitude for the value of work and equity has made me wish to resemble my father as a parent.</w:t>
      </w:r>
    </w:p>
    <w:p w14:paraId="29FB92A5" w14:textId="77777777" w:rsidR="00054BF0" w:rsidRDefault="00054BF0"/>
    <w:p w14:paraId="33359697" w14:textId="77777777" w:rsidR="00054BF0" w:rsidRDefault="00000000">
      <w:pPr>
        <w:spacing w:line="260" w:lineRule="atLeast"/>
        <w:jc w:val="both"/>
      </w:pPr>
      <w:r>
        <w:rPr>
          <w:rFonts w:ascii="Arial" w:eastAsia="Arial" w:hAnsi="Arial" w:cs="Arial"/>
          <w:color w:val="000000"/>
          <w:sz w:val="20"/>
        </w:rPr>
        <w:t>- Shyam Uprety, Nijgadh, Bara</w:t>
      </w:r>
    </w:p>
    <w:p w14:paraId="29DEDFBF" w14:textId="77777777" w:rsidR="00054BF0" w:rsidRDefault="00054BF0"/>
    <w:p w14:paraId="663A6166" w14:textId="77777777" w:rsidR="00054BF0" w:rsidRDefault="00000000">
      <w:pPr>
        <w:spacing w:before="200" w:line="260" w:lineRule="atLeast"/>
        <w:jc w:val="both"/>
      </w:pPr>
      <w:r>
        <w:rPr>
          <w:rFonts w:ascii="Arial" w:eastAsia="Arial" w:hAnsi="Arial" w:cs="Arial"/>
          <w:color w:val="000000"/>
          <w:sz w:val="20"/>
        </w:rPr>
        <w:t xml:space="preserve">* If there is one crucial life lesson I have learned from my father it is to respect diverse opinions of people. And I wish to resemble my father as a parent as it is not easy for a child to naturally open </w:t>
      </w:r>
      <w:r>
        <w:rPr>
          <w:rFonts w:ascii="Arial" w:eastAsia="Arial" w:hAnsi="Arial" w:cs="Arial"/>
          <w:b/>
          <w:i/>
          <w:color w:val="000000"/>
          <w:sz w:val="20"/>
          <w:u w:val="single"/>
        </w:rPr>
        <w:t>up</w:t>
      </w:r>
      <w:r>
        <w:rPr>
          <w:rFonts w:ascii="Arial" w:eastAsia="Arial" w:hAnsi="Arial" w:cs="Arial"/>
          <w:color w:val="000000"/>
          <w:sz w:val="20"/>
        </w:rPr>
        <w:t xml:space="preserve"> and share things with their parents, much less with their fathers. But I can. My dad has this humble and gentle personality to which even my friends can be open. While around him, I can act as crazy as I want. This is how I envision myself as a parent when I become one and will consider myself successful if I can be half as good to my child as my father is with me.</w:t>
      </w:r>
    </w:p>
    <w:p w14:paraId="68B77D0A" w14:textId="77777777" w:rsidR="00054BF0" w:rsidRDefault="00054BF0"/>
    <w:p w14:paraId="6244D38E" w14:textId="77777777" w:rsidR="00054BF0" w:rsidRDefault="00000000">
      <w:pPr>
        <w:spacing w:line="260" w:lineRule="atLeast"/>
        <w:jc w:val="both"/>
      </w:pPr>
      <w:r>
        <w:rPr>
          <w:rFonts w:ascii="Arial" w:eastAsia="Arial" w:hAnsi="Arial" w:cs="Arial"/>
          <w:color w:val="000000"/>
          <w:sz w:val="20"/>
        </w:rPr>
        <w:t>- Subrishti Karki</w:t>
      </w:r>
    </w:p>
    <w:p w14:paraId="0574D025" w14:textId="77777777" w:rsidR="00054BF0" w:rsidRDefault="00054BF0"/>
    <w:p w14:paraId="6D61E1F2" w14:textId="77777777" w:rsidR="00054BF0" w:rsidRDefault="00000000">
      <w:pPr>
        <w:spacing w:before="200" w:line="260" w:lineRule="atLeast"/>
        <w:jc w:val="both"/>
      </w:pPr>
      <w:r>
        <w:rPr>
          <w:rFonts w:ascii="Arial" w:eastAsia="Arial" w:hAnsi="Arial" w:cs="Arial"/>
          <w:color w:val="000000"/>
          <w:sz w:val="20"/>
        </w:rPr>
        <w:t xml:space="preserve">* My father has taught me a lot of lessons in my life, but the one that stood above them all was the importance of education. He always told me that if I wanted to be successful I would need to study hard. My dad saved every single penny he earned from his work to buy things for me. He always encourages me. Due to this, I admire him and think of him as my idol. My dad has had a huge impact on how I am today. He has influenced my life by teaching me lessons and showing me the right and wrong direction. Through my father's hard work, he has influenced me to become a better person. He is my inspiration to keep me motivated to become a scientist. When I grow </w:t>
      </w:r>
      <w:r>
        <w:rPr>
          <w:rFonts w:ascii="Arial" w:eastAsia="Arial" w:hAnsi="Arial" w:cs="Arial"/>
          <w:b/>
          <w:i/>
          <w:color w:val="000000"/>
          <w:sz w:val="20"/>
          <w:u w:val="single"/>
        </w:rPr>
        <w:t>up</w:t>
      </w:r>
      <w:r>
        <w:rPr>
          <w:rFonts w:ascii="Arial" w:eastAsia="Arial" w:hAnsi="Arial" w:cs="Arial"/>
          <w:color w:val="000000"/>
          <w:sz w:val="20"/>
        </w:rPr>
        <w:t>, I hope to be just as hard working as my father and to be a father just as motivating and loving as him.</w:t>
      </w:r>
    </w:p>
    <w:p w14:paraId="5F25FE31" w14:textId="77777777" w:rsidR="00054BF0" w:rsidRDefault="00054BF0"/>
    <w:p w14:paraId="4F95929D" w14:textId="77777777" w:rsidR="00054BF0" w:rsidRDefault="00000000">
      <w:pPr>
        <w:spacing w:line="260" w:lineRule="atLeast"/>
        <w:jc w:val="both"/>
      </w:pPr>
      <w:r>
        <w:rPr>
          <w:rFonts w:ascii="Arial" w:eastAsia="Arial" w:hAnsi="Arial" w:cs="Arial"/>
          <w:color w:val="000000"/>
          <w:sz w:val="20"/>
        </w:rPr>
        <w:t>- Darshan Aryal</w:t>
      </w:r>
    </w:p>
    <w:p w14:paraId="382671B2" w14:textId="77777777" w:rsidR="00054BF0" w:rsidRDefault="00054BF0"/>
    <w:p w14:paraId="35E47947" w14:textId="77777777" w:rsidR="00054BF0" w:rsidRDefault="00000000">
      <w:pPr>
        <w:spacing w:line="260" w:lineRule="atLeast"/>
        <w:jc w:val="both"/>
      </w:pPr>
      <w:r>
        <w:rPr>
          <w:rFonts w:ascii="Arial" w:eastAsia="Arial" w:hAnsi="Arial" w:cs="Arial"/>
          <w:color w:val="000000"/>
          <w:sz w:val="20"/>
        </w:rPr>
        <w:t>* A father is an inspiration for every child. My father is a prime example of hard work, determination, struggle, honesty, and humbleness. He has taught me about important factors that lead to success - studies, behaviour, career opportunities and family. He spreads positive vibes in our family, encourages us to work hard, and motivates us to become an ideal human being.</w:t>
      </w:r>
    </w:p>
    <w:p w14:paraId="190D7ACD" w14:textId="77777777" w:rsidR="00054BF0" w:rsidRDefault="00054BF0"/>
    <w:p w14:paraId="352CD46E" w14:textId="77777777" w:rsidR="00054BF0" w:rsidRDefault="00000000">
      <w:pPr>
        <w:spacing w:line="260" w:lineRule="atLeast"/>
        <w:jc w:val="both"/>
      </w:pPr>
      <w:r>
        <w:rPr>
          <w:rFonts w:ascii="Arial" w:eastAsia="Arial" w:hAnsi="Arial" w:cs="Arial"/>
          <w:color w:val="000000"/>
          <w:sz w:val="20"/>
        </w:rPr>
        <w:t>- Tulip Gyawali, Minbhawan</w:t>
      </w:r>
    </w:p>
    <w:p w14:paraId="13DE3E28" w14:textId="77777777" w:rsidR="00054BF0" w:rsidRDefault="00054BF0"/>
    <w:p w14:paraId="50032EDD" w14:textId="77777777" w:rsidR="00054BF0" w:rsidRDefault="00000000">
      <w:pPr>
        <w:spacing w:line="260" w:lineRule="atLeast"/>
        <w:jc w:val="both"/>
      </w:pPr>
      <w:r>
        <w:rPr>
          <w:rFonts w:ascii="Arial" w:eastAsia="Arial" w:hAnsi="Arial" w:cs="Arial"/>
          <w:color w:val="000000"/>
          <w:sz w:val="20"/>
        </w:rPr>
        <w:t>* The quality that I greatly adore and treasure about my father is his ability to forgive. He holds no grudges, and easily forgives even those people who misbehaved with him. He also taught me to practice forgiving those individuals and incidents from our lives and move forward with courage and determination. I do not know how much I have been able to follow this in my life though I would wish to imbibe this quality.</w:t>
      </w:r>
    </w:p>
    <w:p w14:paraId="2529C62E" w14:textId="77777777" w:rsidR="00054BF0" w:rsidRDefault="00054BF0"/>
    <w:p w14:paraId="4EA489C8" w14:textId="77777777" w:rsidR="00054BF0" w:rsidRDefault="00000000">
      <w:pPr>
        <w:spacing w:line="260" w:lineRule="atLeast"/>
        <w:jc w:val="both"/>
      </w:pPr>
      <w:r>
        <w:rPr>
          <w:rFonts w:ascii="Arial" w:eastAsia="Arial" w:hAnsi="Arial" w:cs="Arial"/>
          <w:color w:val="000000"/>
          <w:sz w:val="20"/>
        </w:rPr>
        <w:t>- Saikat Kumar Basu, Lethbridge, Canada</w:t>
      </w:r>
    </w:p>
    <w:p w14:paraId="1946AAE8" w14:textId="77777777" w:rsidR="00054BF0" w:rsidRDefault="00054BF0"/>
    <w:p w14:paraId="47173350" w14:textId="77777777" w:rsidR="00054BF0" w:rsidRDefault="00000000">
      <w:pPr>
        <w:spacing w:before="200" w:line="260" w:lineRule="atLeast"/>
        <w:jc w:val="both"/>
      </w:pPr>
      <w:r>
        <w:rPr>
          <w:rFonts w:ascii="Arial" w:eastAsia="Arial" w:hAnsi="Arial" w:cs="Arial"/>
          <w:color w:val="000000"/>
          <w:sz w:val="20"/>
        </w:rPr>
        <w:t xml:space="preserve">* My father is a kind person. He does whatever I tell him to do, and I also do whatever he tells me. He buys me expensive goodies when I perform well in my exams and I impress him by paying him back for what he does for me. This week, he bought me a set of markers that had 50 different colours. Father's Day is coming and I am planning a big surprise for him. There will be cards for him made by my sisters and me. I hope my father will have a nice time on Father's Day, not like last time when he had to go to work. When I grow </w:t>
      </w:r>
      <w:r>
        <w:rPr>
          <w:rFonts w:ascii="Arial" w:eastAsia="Arial" w:hAnsi="Arial" w:cs="Arial"/>
          <w:b/>
          <w:i/>
          <w:color w:val="000000"/>
          <w:sz w:val="20"/>
          <w:u w:val="single"/>
        </w:rPr>
        <w:t>up</w:t>
      </w:r>
      <w:r>
        <w:rPr>
          <w:rFonts w:ascii="Arial" w:eastAsia="Arial" w:hAnsi="Arial" w:cs="Arial"/>
          <w:color w:val="000000"/>
          <w:sz w:val="20"/>
        </w:rPr>
        <w:t>, I wish to be as kind as him.</w:t>
      </w:r>
    </w:p>
    <w:p w14:paraId="60186445" w14:textId="77777777" w:rsidR="00054BF0" w:rsidRDefault="00054BF0"/>
    <w:p w14:paraId="22CB8D99" w14:textId="77777777" w:rsidR="00054BF0" w:rsidRDefault="00000000">
      <w:pPr>
        <w:spacing w:line="260" w:lineRule="atLeast"/>
        <w:jc w:val="both"/>
      </w:pPr>
      <w:r>
        <w:rPr>
          <w:rFonts w:ascii="Arial" w:eastAsia="Arial" w:hAnsi="Arial" w:cs="Arial"/>
          <w:color w:val="000000"/>
          <w:sz w:val="20"/>
        </w:rPr>
        <w:t>- Dipti Gurung</w:t>
      </w:r>
    </w:p>
    <w:p w14:paraId="7603FAF3" w14:textId="77777777" w:rsidR="00054BF0" w:rsidRDefault="00054BF0"/>
    <w:p w14:paraId="11BF2A5A" w14:textId="77777777" w:rsidR="00054BF0" w:rsidRDefault="00000000">
      <w:pPr>
        <w:spacing w:line="260" w:lineRule="atLeast"/>
        <w:jc w:val="both"/>
      </w:pPr>
      <w:r>
        <w:rPr>
          <w:rFonts w:ascii="Arial" w:eastAsia="Arial" w:hAnsi="Arial" w:cs="Arial"/>
          <w:color w:val="000000"/>
          <w:sz w:val="20"/>
        </w:rPr>
        <w:t>* I have learnt from my father to be honest, polite, being myself, smile a lot, and cherish our potential. Whatever I am today, and all of my satisfaction in life is all because of my father. I strongly believe that he is a special gift as a parent to everyone.</w:t>
      </w:r>
    </w:p>
    <w:p w14:paraId="6DC86BBA" w14:textId="77777777" w:rsidR="00054BF0" w:rsidRDefault="00054BF0"/>
    <w:p w14:paraId="3CD99EC7" w14:textId="77777777" w:rsidR="00054BF0" w:rsidRDefault="00000000">
      <w:pPr>
        <w:spacing w:line="260" w:lineRule="atLeast"/>
        <w:jc w:val="both"/>
      </w:pPr>
      <w:r>
        <w:rPr>
          <w:rFonts w:ascii="Arial" w:eastAsia="Arial" w:hAnsi="Arial" w:cs="Arial"/>
          <w:color w:val="000000"/>
          <w:sz w:val="20"/>
        </w:rPr>
        <w:t>- Dikshya Giri</w:t>
      </w:r>
    </w:p>
    <w:p w14:paraId="03AD1AD4" w14:textId="77777777" w:rsidR="00054BF0" w:rsidRDefault="00054BF0"/>
    <w:p w14:paraId="22EAE506" w14:textId="77777777" w:rsidR="00054BF0" w:rsidRDefault="00000000">
      <w:pPr>
        <w:spacing w:line="260" w:lineRule="atLeast"/>
        <w:jc w:val="both"/>
      </w:pPr>
      <w:r>
        <w:rPr>
          <w:rFonts w:ascii="Arial" w:eastAsia="Arial" w:hAnsi="Arial" w:cs="Arial"/>
          <w:color w:val="000000"/>
          <w:sz w:val="20"/>
        </w:rPr>
        <w:t xml:space="preserve">* I feel proud of my father as he has a positive influence in shaping my career. He has always been by my side whenever I have wanted to march ahead to become a successful person. He also teaches me to be serious in what I do, without being lazy. On top of that, he has always remained practical and not emotional in terms of making me </w:t>
      </w:r>
      <w:r>
        <w:rPr>
          <w:rFonts w:ascii="Arial" w:eastAsia="Arial" w:hAnsi="Arial" w:cs="Arial"/>
          <w:color w:val="000000"/>
          <w:sz w:val="20"/>
        </w:rPr>
        <w:lastRenderedPageBreak/>
        <w:t>a person who I really am. I am blessed to have such a father who has been my role model throughout my life. Hence, I appreciate my father for whatever he has done for me.</w:t>
      </w:r>
    </w:p>
    <w:p w14:paraId="2860DEE3" w14:textId="77777777" w:rsidR="00054BF0" w:rsidRDefault="00054BF0"/>
    <w:p w14:paraId="27537DC9" w14:textId="77777777" w:rsidR="00054BF0" w:rsidRDefault="00000000">
      <w:pPr>
        <w:spacing w:line="260" w:lineRule="atLeast"/>
        <w:jc w:val="both"/>
      </w:pPr>
      <w:r>
        <w:rPr>
          <w:rFonts w:ascii="Arial" w:eastAsia="Arial" w:hAnsi="Arial" w:cs="Arial"/>
          <w:color w:val="000000"/>
          <w:sz w:val="20"/>
        </w:rPr>
        <w:t>- Pratik Shrestha, Buddhanagar, Baneshwore</w:t>
      </w:r>
    </w:p>
    <w:p w14:paraId="490D6142" w14:textId="77777777" w:rsidR="00054BF0" w:rsidRDefault="00054BF0"/>
    <w:p w14:paraId="215907A1" w14:textId="77777777" w:rsidR="00054BF0" w:rsidRDefault="00000000">
      <w:pPr>
        <w:spacing w:before="200" w:line="260" w:lineRule="atLeast"/>
        <w:jc w:val="both"/>
      </w:pPr>
      <w:r>
        <w:rPr>
          <w:rFonts w:ascii="Arial" w:eastAsia="Arial" w:hAnsi="Arial" w:cs="Arial"/>
          <w:color w:val="000000"/>
          <w:sz w:val="20"/>
        </w:rPr>
        <w:t xml:space="preserve">* I cannot imagine my life without my father - our bond is beyond special. My father is my role model, teacher, friend and whatever I can say him. He struggles and works hard for our family. After growing </w:t>
      </w:r>
      <w:r>
        <w:rPr>
          <w:rFonts w:ascii="Arial" w:eastAsia="Arial" w:hAnsi="Arial" w:cs="Arial"/>
          <w:b/>
          <w:i/>
          <w:color w:val="000000"/>
          <w:sz w:val="20"/>
          <w:u w:val="single"/>
        </w:rPr>
        <w:t>up</w:t>
      </w:r>
      <w:r>
        <w:rPr>
          <w:rFonts w:ascii="Arial" w:eastAsia="Arial" w:hAnsi="Arial" w:cs="Arial"/>
          <w:color w:val="000000"/>
          <w:sz w:val="20"/>
        </w:rPr>
        <w:t>, I wish to be like him. My father has always inspired me to work hard and achieve success. I believe that I am the luckiest person to have my father with me. If I could imitate him in the future and keep my family happy, I would consider my life to be a success.</w:t>
      </w:r>
    </w:p>
    <w:p w14:paraId="6F867F7B" w14:textId="77777777" w:rsidR="00054BF0" w:rsidRDefault="00054BF0"/>
    <w:p w14:paraId="15D58347" w14:textId="77777777" w:rsidR="00054BF0" w:rsidRDefault="00000000">
      <w:pPr>
        <w:spacing w:line="260" w:lineRule="atLeast"/>
        <w:jc w:val="both"/>
      </w:pPr>
      <w:r>
        <w:rPr>
          <w:rFonts w:ascii="Arial" w:eastAsia="Arial" w:hAnsi="Arial" w:cs="Arial"/>
          <w:color w:val="000000"/>
          <w:sz w:val="20"/>
        </w:rPr>
        <w:t>- Smriti Dumre</w:t>
      </w:r>
    </w:p>
    <w:p w14:paraId="3B19FC5B" w14:textId="77777777" w:rsidR="00054BF0" w:rsidRDefault="00054BF0"/>
    <w:p w14:paraId="6EF3066C" w14:textId="77777777" w:rsidR="00054BF0" w:rsidRDefault="00000000">
      <w:pPr>
        <w:spacing w:line="260" w:lineRule="atLeast"/>
        <w:jc w:val="both"/>
      </w:pPr>
      <w:r>
        <w:rPr>
          <w:rFonts w:ascii="Arial" w:eastAsia="Arial" w:hAnsi="Arial" w:cs="Arial"/>
          <w:color w:val="000000"/>
          <w:sz w:val="20"/>
        </w:rPr>
        <w:t>* My father understands my every grief and pats my head as encouragement. He is my role model forever. I vividly remember those days when I was in Class V and I was terrible at drawing. But he always helped me through all of my sketches. I am always grateful for his efforts to push me towards becoming a better person. So, every second of my life is influenced by my dad's optimistic ideas.</w:t>
      </w:r>
    </w:p>
    <w:p w14:paraId="7C4A557E" w14:textId="77777777" w:rsidR="00054BF0" w:rsidRDefault="00054BF0"/>
    <w:p w14:paraId="4ABEB124" w14:textId="77777777" w:rsidR="00054BF0" w:rsidRDefault="00000000">
      <w:pPr>
        <w:spacing w:line="260" w:lineRule="atLeast"/>
        <w:jc w:val="both"/>
      </w:pPr>
      <w:r>
        <w:rPr>
          <w:rFonts w:ascii="Arial" w:eastAsia="Arial" w:hAnsi="Arial" w:cs="Arial"/>
          <w:color w:val="000000"/>
          <w:sz w:val="20"/>
        </w:rPr>
        <w:t>- Shristi Parajuli, Pokhara</w:t>
      </w:r>
    </w:p>
    <w:p w14:paraId="109EA15A" w14:textId="77777777" w:rsidR="00054BF0" w:rsidRDefault="00054BF0"/>
    <w:p w14:paraId="30A0A30F" w14:textId="77777777" w:rsidR="00054BF0" w:rsidRDefault="00000000">
      <w:pPr>
        <w:spacing w:before="200" w:line="260" w:lineRule="atLeast"/>
        <w:jc w:val="both"/>
      </w:pPr>
      <w:r>
        <w:rPr>
          <w:rFonts w:ascii="Arial" w:eastAsia="Arial" w:hAnsi="Arial" w:cs="Arial"/>
          <w:color w:val="000000"/>
          <w:sz w:val="20"/>
        </w:rPr>
        <w:t xml:space="preserve">* My father has influenced me in a positive way. I failed in five subjects of second terminal exams when I was in the tenth grade. My mother scolded me and was nasty to me. But my father came into my room after a few hours and asked me to find the list of world's successful people on Google. I followed his instructions and realised that those people also had failed several times. One thing I realised then is that they never stopped learning. My father motivated me that I should never give </w:t>
      </w:r>
      <w:r>
        <w:rPr>
          <w:rFonts w:ascii="Arial" w:eastAsia="Arial" w:hAnsi="Arial" w:cs="Arial"/>
          <w:b/>
          <w:i/>
          <w:color w:val="000000"/>
          <w:sz w:val="20"/>
          <w:u w:val="single"/>
        </w:rPr>
        <w:t>up</w:t>
      </w:r>
      <w:r>
        <w:rPr>
          <w:rFonts w:ascii="Arial" w:eastAsia="Arial" w:hAnsi="Arial" w:cs="Arial"/>
          <w:color w:val="000000"/>
          <w:sz w:val="20"/>
        </w:rPr>
        <w:t xml:space="preserve"> despite </w:t>
      </w:r>
      <w:r>
        <w:rPr>
          <w:rFonts w:ascii="Arial" w:eastAsia="Arial" w:hAnsi="Arial" w:cs="Arial"/>
          <w:b/>
          <w:i/>
          <w:color w:val="000000"/>
          <w:sz w:val="20"/>
          <w:u w:val="single"/>
        </w:rPr>
        <w:t>failures</w:t>
      </w:r>
      <w:r>
        <w:rPr>
          <w:rFonts w:ascii="Arial" w:eastAsia="Arial" w:hAnsi="Arial" w:cs="Arial"/>
          <w:color w:val="000000"/>
          <w:sz w:val="20"/>
        </w:rPr>
        <w:t xml:space="preserve">. I </w:t>
      </w:r>
      <w:r>
        <w:rPr>
          <w:rFonts w:ascii="Arial" w:eastAsia="Arial" w:hAnsi="Arial" w:cs="Arial"/>
          <w:b/>
          <w:i/>
          <w:color w:val="000000"/>
          <w:sz w:val="20"/>
          <w:u w:val="single"/>
        </w:rPr>
        <w:t>started</w:t>
      </w:r>
      <w:r>
        <w:rPr>
          <w:rFonts w:ascii="Arial" w:eastAsia="Arial" w:hAnsi="Arial" w:cs="Arial"/>
          <w:color w:val="000000"/>
          <w:sz w:val="20"/>
        </w:rPr>
        <w:t xml:space="preserve"> to study well and have never failed since then. My dad always exudes positive vibes. I think children will become more close to their parents if they try to understand them or else they get demotivated, depressed and introverted in nature. Parents should be friendly with their us. I am happy that my father is just like my best friend and he understands me.</w:t>
      </w:r>
    </w:p>
    <w:p w14:paraId="1D9C341E" w14:textId="77777777" w:rsidR="00054BF0" w:rsidRDefault="00054BF0"/>
    <w:p w14:paraId="0C88292F" w14:textId="77777777" w:rsidR="00054BF0" w:rsidRDefault="00000000">
      <w:pPr>
        <w:spacing w:line="260" w:lineRule="atLeast"/>
        <w:jc w:val="both"/>
      </w:pPr>
      <w:r>
        <w:rPr>
          <w:rFonts w:ascii="Arial" w:eastAsia="Arial" w:hAnsi="Arial" w:cs="Arial"/>
          <w:color w:val="000000"/>
          <w:sz w:val="20"/>
        </w:rPr>
        <w:t>- Tanupa Patel, Birgunj</w:t>
      </w:r>
    </w:p>
    <w:p w14:paraId="5EA0B216" w14:textId="77777777" w:rsidR="00054BF0" w:rsidRDefault="00054BF0"/>
    <w:p w14:paraId="55DCD0CE" w14:textId="77777777" w:rsidR="00054BF0" w:rsidRDefault="00000000">
      <w:pPr>
        <w:spacing w:before="200" w:line="260" w:lineRule="atLeast"/>
        <w:jc w:val="both"/>
      </w:pPr>
      <w:r>
        <w:rPr>
          <w:rFonts w:ascii="Arial" w:eastAsia="Arial" w:hAnsi="Arial" w:cs="Arial"/>
          <w:color w:val="000000"/>
          <w:sz w:val="20"/>
        </w:rPr>
        <w:t xml:space="preserve">* My father has always been my support. He tells me to do things of my interest and give my best. He advises me to keep moving forward in life. He is full of qualities of a good father and a great human being. What I like about him is that he is hardworking and helpful. So, I wish to resemble him. He works a lot in order to keep us happy and comfortable. He helps others in need selflessly. He has influenced me to be independent. He says that he can guide me and support my needs but it is </w:t>
      </w:r>
      <w:r>
        <w:rPr>
          <w:rFonts w:ascii="Arial" w:eastAsia="Arial" w:hAnsi="Arial" w:cs="Arial"/>
          <w:b/>
          <w:i/>
          <w:color w:val="000000"/>
          <w:sz w:val="20"/>
          <w:u w:val="single"/>
        </w:rPr>
        <w:t>up</w:t>
      </w:r>
      <w:r>
        <w:rPr>
          <w:rFonts w:ascii="Arial" w:eastAsia="Arial" w:hAnsi="Arial" w:cs="Arial"/>
          <w:color w:val="000000"/>
          <w:sz w:val="20"/>
        </w:rPr>
        <w:t xml:space="preserve"> to me to fulfil my dreams.</w:t>
      </w:r>
    </w:p>
    <w:p w14:paraId="13434E5F" w14:textId="77777777" w:rsidR="00054BF0" w:rsidRDefault="00054BF0"/>
    <w:p w14:paraId="18225CB2" w14:textId="77777777" w:rsidR="00054BF0" w:rsidRDefault="00000000">
      <w:pPr>
        <w:spacing w:line="260" w:lineRule="atLeast"/>
        <w:jc w:val="both"/>
      </w:pPr>
      <w:r>
        <w:rPr>
          <w:rFonts w:ascii="Arial" w:eastAsia="Arial" w:hAnsi="Arial" w:cs="Arial"/>
          <w:color w:val="000000"/>
          <w:sz w:val="20"/>
        </w:rPr>
        <w:t>- Shiksha Pokhrel</w:t>
      </w:r>
    </w:p>
    <w:p w14:paraId="794AC565" w14:textId="77777777" w:rsidR="00054BF0" w:rsidRDefault="00054BF0"/>
    <w:p w14:paraId="44839E64" w14:textId="77777777" w:rsidR="00054BF0" w:rsidRDefault="00000000">
      <w:pPr>
        <w:spacing w:line="260" w:lineRule="atLeast"/>
        <w:jc w:val="both"/>
      </w:pPr>
      <w:r>
        <w:rPr>
          <w:rFonts w:ascii="Arial" w:eastAsia="Arial" w:hAnsi="Arial" w:cs="Arial"/>
          <w:color w:val="000000"/>
          <w:sz w:val="20"/>
        </w:rPr>
        <w:t>* My father was the best person I have ever known in my life. He was so generous that everyone liked him. He was so cool and understanding. I do not remember him raising hand on me ever. When I committed mistakes, he used to help me realise my mistake and make sure that I do not repeat it again. He helped me a lot in my studies. I will always consider his words and lessons even though he is not here with us physically now. My memories with my father are still fresh within me. He is forever alive in my heart.</w:t>
      </w:r>
    </w:p>
    <w:p w14:paraId="08602EFC" w14:textId="77777777" w:rsidR="00054BF0" w:rsidRDefault="00054BF0"/>
    <w:p w14:paraId="6CF7260D" w14:textId="77777777" w:rsidR="00054BF0" w:rsidRDefault="00000000">
      <w:pPr>
        <w:spacing w:line="260" w:lineRule="atLeast"/>
        <w:jc w:val="both"/>
      </w:pPr>
      <w:r>
        <w:rPr>
          <w:rFonts w:ascii="Arial" w:eastAsia="Arial" w:hAnsi="Arial" w:cs="Arial"/>
          <w:color w:val="000000"/>
          <w:sz w:val="20"/>
        </w:rPr>
        <w:t>- Subhamitta</w:t>
      </w:r>
    </w:p>
    <w:p w14:paraId="607BBCE1" w14:textId="77777777" w:rsidR="00054BF0" w:rsidRDefault="00054BF0"/>
    <w:p w14:paraId="0609DCD5" w14:textId="77777777" w:rsidR="00054BF0" w:rsidRDefault="00000000">
      <w:pPr>
        <w:spacing w:line="260" w:lineRule="atLeast"/>
        <w:jc w:val="both"/>
      </w:pPr>
      <w:r>
        <w:rPr>
          <w:rFonts w:ascii="Arial" w:eastAsia="Arial" w:hAnsi="Arial" w:cs="Arial"/>
          <w:color w:val="000000"/>
          <w:sz w:val="20"/>
        </w:rPr>
        <w:t xml:space="preserve">* My dad is an amazing man. He is a strong soldier. And we are like friends. I enjoy listening to his struggles and getting inspired. He holds a lot of dignity and is a self-made man. He retired three years go and due to his influence, </w:t>
      </w:r>
      <w:r>
        <w:rPr>
          <w:rFonts w:ascii="Arial" w:eastAsia="Arial" w:hAnsi="Arial" w:cs="Arial"/>
          <w:color w:val="000000"/>
          <w:sz w:val="20"/>
        </w:rPr>
        <w:lastRenderedPageBreak/>
        <w:t>I also wish to be an army officer of Nepal. I have a strong feeling of patriotism due to him. I wish to make him proud one day. He motivates us to be better every day.</w:t>
      </w:r>
    </w:p>
    <w:p w14:paraId="436989BB" w14:textId="77777777" w:rsidR="00054BF0" w:rsidRDefault="00054BF0"/>
    <w:p w14:paraId="42D5A72C" w14:textId="77777777" w:rsidR="00054BF0" w:rsidRDefault="00000000">
      <w:pPr>
        <w:spacing w:line="260" w:lineRule="atLeast"/>
        <w:jc w:val="both"/>
      </w:pPr>
      <w:r>
        <w:rPr>
          <w:rFonts w:ascii="Arial" w:eastAsia="Arial" w:hAnsi="Arial" w:cs="Arial"/>
          <w:color w:val="000000"/>
          <w:sz w:val="20"/>
        </w:rPr>
        <w:t>- Sumitra Magrati, Aahale, Gorkha</w:t>
      </w:r>
    </w:p>
    <w:p w14:paraId="197B0D77"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 2018</w:t>
      </w:r>
    </w:p>
    <w:p w14:paraId="20C056D7" w14:textId="77777777" w:rsidR="00054BF0" w:rsidRDefault="00054BF0"/>
    <w:p w14:paraId="0DD029F6" w14:textId="77777777" w:rsidR="00054BF0" w:rsidRDefault="00000000">
      <w:pPr>
        <w:ind w:left="200"/>
        <w:sectPr w:rsidR="00054BF0">
          <w:type w:val="continuous"/>
          <w:pgSz w:w="12240" w:h="15840"/>
          <w:pgMar w:top="840" w:right="1000" w:bottom="840" w:left="1000" w:header="400" w:footer="400" w:gutter="0"/>
          <w:cols w:space="720"/>
        </w:sectPr>
      </w:pPr>
      <w:r>
        <w:br/>
      </w:r>
      <w:r>
        <w:pict w14:anchorId="51D39CD9">
          <v:line id="_x0000_s2140" style="position:absolute;left:0;text-align:left;z-index:251713536;mso-position-horizontal-relative:text;mso-position-vertical-relative:text" from="0,10pt" to="512pt,10pt" strokeweight="1pt"/>
        </w:pict>
      </w:r>
      <w:r>
        <w:rPr>
          <w:rFonts w:ascii="Arial" w:eastAsia="Arial" w:hAnsi="Arial" w:cs="Arial"/>
          <w:b/>
          <w:color w:val="767676"/>
          <w:sz w:val="16"/>
        </w:rPr>
        <w:t>End of Document</w:t>
      </w:r>
    </w:p>
    <w:p w14:paraId="05E66A28" w14:textId="77777777" w:rsidR="00054BF0" w:rsidRDefault="00054BF0">
      <w:pPr>
        <w:sectPr w:rsidR="00054BF0">
          <w:headerReference w:type="even" r:id="rId487"/>
          <w:headerReference w:type="default" r:id="rId488"/>
          <w:footerReference w:type="even" r:id="rId489"/>
          <w:footerReference w:type="default" r:id="rId490"/>
          <w:headerReference w:type="first" r:id="rId491"/>
          <w:footerReference w:type="first" r:id="rId492"/>
          <w:pgSz w:w="12240" w:h="15840"/>
          <w:pgMar w:top="840" w:right="1000" w:bottom="840" w:left="1000" w:header="400" w:footer="400" w:gutter="0"/>
          <w:cols w:space="720"/>
          <w:titlePg/>
        </w:sectPr>
      </w:pPr>
    </w:p>
    <w:p w14:paraId="73834550" w14:textId="77777777" w:rsidR="00054BF0" w:rsidRDefault="00054BF0">
      <w:bookmarkStart w:id="54" w:name="Bookmark_28"/>
      <w:bookmarkEnd w:id="54"/>
    </w:p>
    <w:p w14:paraId="0E070487" w14:textId="77777777" w:rsidR="00054BF0" w:rsidRDefault="00BE2275">
      <w:r>
        <w:pict w14:anchorId="3E351529">
          <v:shape id="_x0000_i1063" type="#_x0000_t75" alt="LexisNexis®" style="width:148pt;height:30pt">
            <v:imagedata r:id="rId6" o:title=""/>
          </v:shape>
        </w:pict>
      </w:r>
      <w:r w:rsidR="00A540D1">
        <w:cr/>
      </w:r>
    </w:p>
    <w:p w14:paraId="3E456943" w14:textId="77777777" w:rsidR="00054BF0" w:rsidRDefault="00000000">
      <w:pPr>
        <w:spacing w:before="240" w:after="200" w:line="340" w:lineRule="atLeast"/>
        <w:jc w:val="center"/>
        <w:outlineLvl w:val="0"/>
        <w:rPr>
          <w:rFonts w:ascii="Arial" w:hAnsi="Arial" w:cs="Arial"/>
          <w:b/>
          <w:bCs/>
          <w:kern w:val="32"/>
          <w:sz w:val="32"/>
          <w:szCs w:val="32"/>
        </w:rPr>
      </w:pPr>
      <w:hyperlink r:id="rId493" w:history="1">
        <w:r>
          <w:rPr>
            <w:rFonts w:ascii="Arial" w:eastAsia="Arial" w:hAnsi="Arial" w:cs="Arial"/>
            <w:b/>
            <w:bCs/>
            <w:i/>
            <w:color w:val="0077CC"/>
            <w:kern w:val="32"/>
            <w:sz w:val="28"/>
            <w:szCs w:val="32"/>
            <w:u w:val="single"/>
            <w:shd w:val="clear" w:color="auto" w:fill="FFFFFF"/>
          </w:rPr>
          <w:t>You are senior in spreading lies, making money, PM Narendra Modi mocks Chandrababu Naidu</w:t>
        </w:r>
      </w:hyperlink>
    </w:p>
    <w:p w14:paraId="07E40E5A" w14:textId="77777777" w:rsidR="00054BF0" w:rsidRDefault="00000000">
      <w:pPr>
        <w:spacing w:before="120" w:line="260" w:lineRule="atLeast"/>
        <w:jc w:val="center"/>
      </w:pPr>
      <w:r>
        <w:rPr>
          <w:rFonts w:ascii="Arial" w:eastAsia="Arial" w:hAnsi="Arial" w:cs="Arial"/>
          <w:color w:val="000000"/>
          <w:sz w:val="20"/>
        </w:rPr>
        <w:t>The Times of India (TOI)</w:t>
      </w:r>
    </w:p>
    <w:p w14:paraId="53075275" w14:textId="77777777" w:rsidR="00054BF0" w:rsidRDefault="00000000">
      <w:pPr>
        <w:spacing w:before="120" w:line="260" w:lineRule="atLeast"/>
        <w:jc w:val="center"/>
      </w:pPr>
      <w:r>
        <w:rPr>
          <w:rFonts w:ascii="Arial" w:eastAsia="Arial" w:hAnsi="Arial" w:cs="Arial"/>
          <w:color w:val="000000"/>
          <w:sz w:val="20"/>
        </w:rPr>
        <w:t>February 11, 2019 Monday</w:t>
      </w:r>
    </w:p>
    <w:p w14:paraId="5AF34272" w14:textId="77777777" w:rsidR="00054BF0" w:rsidRDefault="00054BF0">
      <w:pPr>
        <w:spacing w:line="240" w:lineRule="atLeast"/>
        <w:jc w:val="both"/>
      </w:pPr>
    </w:p>
    <w:p w14:paraId="4148F77D" w14:textId="77777777" w:rsidR="00054BF0" w:rsidRDefault="00000000">
      <w:pPr>
        <w:spacing w:before="120" w:line="220" w:lineRule="atLeast"/>
      </w:pPr>
      <w:r>
        <w:br/>
      </w:r>
      <w:r>
        <w:rPr>
          <w:rFonts w:ascii="Arial" w:eastAsia="Arial" w:hAnsi="Arial" w:cs="Arial"/>
          <w:color w:val="000000"/>
          <w:sz w:val="16"/>
        </w:rPr>
        <w:t>Copyright 2019 Bennett Coleman &amp; Co. Ltd. All Rights Reserved</w:t>
      </w:r>
    </w:p>
    <w:p w14:paraId="274B5BB7"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w:t>
      </w:r>
    </w:p>
    <w:p w14:paraId="110A4523"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722 words</w:t>
      </w:r>
    </w:p>
    <w:p w14:paraId="520B1865"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MN Samdani</w:t>
      </w:r>
    </w:p>
    <w:p w14:paraId="0EB3BBE0" w14:textId="77777777" w:rsidR="00054BF0" w:rsidRDefault="00000000">
      <w:pPr>
        <w:keepNext/>
        <w:spacing w:before="240" w:line="340" w:lineRule="atLeast"/>
      </w:pPr>
      <w:bookmarkStart w:id="55" w:name="Body_26"/>
      <w:bookmarkEnd w:id="55"/>
      <w:r>
        <w:rPr>
          <w:rFonts w:ascii="Arial" w:eastAsia="Arial" w:hAnsi="Arial" w:cs="Arial"/>
          <w:b/>
          <w:color w:val="000000"/>
          <w:sz w:val="28"/>
        </w:rPr>
        <w:t>Body</w:t>
      </w:r>
    </w:p>
    <w:p w14:paraId="203B4A68" w14:textId="77777777" w:rsidR="00054BF0" w:rsidRDefault="00000000">
      <w:pPr>
        <w:spacing w:line="60" w:lineRule="exact"/>
      </w:pPr>
      <w:r>
        <w:pict w14:anchorId="1579A80E">
          <v:line id="_x0000_s2142" style="position:absolute;z-index:251714560" from="0,2pt" to="512pt,2pt" strokecolor="#009ddb" strokeweight="2pt">
            <w10:wrap type="topAndBottom"/>
          </v:line>
        </w:pict>
      </w:r>
    </w:p>
    <w:p w14:paraId="1DA23CF1" w14:textId="77777777" w:rsidR="00054BF0" w:rsidRDefault="00054BF0"/>
    <w:p w14:paraId="7408B620" w14:textId="77777777" w:rsidR="00054BF0" w:rsidRDefault="00000000">
      <w:pPr>
        <w:spacing w:before="200" w:line="260" w:lineRule="atLeast"/>
        <w:jc w:val="both"/>
      </w:pPr>
      <w:r>
        <w:rPr>
          <w:rFonts w:ascii="Arial" w:eastAsia="Arial" w:hAnsi="Arial" w:cs="Arial"/>
          <w:color w:val="000000"/>
          <w:sz w:val="20"/>
        </w:rPr>
        <w:t xml:space="preserve">GUNTUR: A day before chief minister N Chandrababu Naidu sits on a 'deeksha' in New Delhi, Prime Minister Narendra Modi on Sunday accused him of splurging public funds for political gains. He demanded that Naidu should make public the accounts of his spending before reaching Delhi for the agitation against the Centre.Modi, who was in Guntur on a whirlwind tour amidst criticism by the ruling TDP of neglecting Andhra Pradesh, launched Rs 9200 crore projects in the state. The Prime Minister faced protocol breach as the state administration ignored him. Chief minister N Chandrababu Naidu decided to stay away from extending the protocol courtesies to PM Modi. </w:t>
      </w:r>
    </w:p>
    <w:p w14:paraId="0D3FDBE5" w14:textId="77777777" w:rsidR="00054BF0" w:rsidRDefault="00000000">
      <w:pPr>
        <w:spacing w:before="200" w:line="260" w:lineRule="atLeast"/>
        <w:jc w:val="both"/>
      </w:pPr>
      <w:r>
        <w:rPr>
          <w:rFonts w:ascii="Arial" w:eastAsia="Arial" w:hAnsi="Arial" w:cs="Arial"/>
          <w:color w:val="000000"/>
          <w:sz w:val="20"/>
        </w:rPr>
        <w:t xml:space="preserve">Officials too joined Naidu. Chief secretary Anil Chandra Punetha and other senior officials confined themselves to according welcome to PM Narendra Modi at Vijayawada airport, and skipped the official programme in Guntur.In a scathing attack on Naidu, Modi said that TDP supremo is literally spending sleepless nights for the past few months as he had indulged in large-scale misuse of central funds. The fight between Modi and Naidu, which was at a political level, took a personal turn on Sunday. While Modi preferred to address Naidu as the father of Nara Lokesh, Naidu retorted wondering if Modi would admit Jashodaben as his wife. The TDP and Left parties observed a black day and organised protests with black pots symbolising empty promises. Modi had brought two pots - one with earth and other with Yamuna water - during the foundation stone laying ceremony of Amaravati four years ago.During his maiden visit to the state after TDP walking out of the NDA, Prime Minister Narendra Modi declared that Naidu is going to lose the next election for sure. Modi completely dedicated his address to undress his former ally's untrustworthy attitude.Addressing a public meeting here on Sunday, Narendra Modi dubbed Naidu as the most opportunistic leader on the earth. He ripped through Naidu's strategies and u-turns during his long political career. "Naidu has never won a second term in succession in his life. Fearing a certain defeat in the next elections, Naidu had decided to join Congress-led Mahakutami by burying the party founder NTR's ideals on fighting with Congress," Modi said. He said that NTR had vowed to make the country Congress Mukth Bharath, but Naidu had gone to the Naamdars (referring to the famed Congress family) and bowed down his head for political gains.Referring to Naidu's comments on seniority, Modi said that, there was no dispute about the issue. "We have given him due respect as a senior leader. But, Naidu proved that he is more senior in switching sides, speaking lies, back-stabbing his own father-in-law, losing elections and making monies." The Prime Minister said that Naidu promised to build a world class capital city in Amaravati but engaged in building his own son Lokesh's career. He said that he took another u-turn to make the "sun rise" state into "son rise" state.Modi said that people have realized the gimmicks of Naidu and decided to send him home packed. He charged that Naidu was misleading the people </w:t>
      </w:r>
      <w:r>
        <w:rPr>
          <w:rFonts w:ascii="Arial" w:eastAsia="Arial" w:hAnsi="Arial" w:cs="Arial"/>
          <w:color w:val="000000"/>
          <w:sz w:val="20"/>
        </w:rPr>
        <w:lastRenderedPageBreak/>
        <w:t xml:space="preserve">on Centre's assistance to the state and spreading lies against the Centre. "Naidu had only put the TDP's stickers on Central funds," criticized Modi.He said that Naidu is worried about giving accounts of every paise released from the Centre as Chowkidar (Modi) would never allow leaders to pocket public money. He said that Naidu spoke the truth on only one issue where he said that Modi does not know how to create wealth. "Yes, Naidu is right because I have never engaged in creation of my own wealth. Naidu is busy in building his own wealth right from Amaravati to Polavaram," fumed Modi.The Prime Minister predicted that Naidu losing the next election is certain and the state would be made corruption free once after ousting Naidu from power. Referring to the Special Category Status (SCS), Modi said that Centre had sanctioned special financial assistance package to Andhra Pradesh after consulting the state government way back in 2016. He said that the state government had also appreciated the package and thanked the Centre through a resolution in the Assembly for giving the package."Naidu took u-turn and </w:t>
      </w:r>
      <w:r>
        <w:rPr>
          <w:rFonts w:ascii="Arial" w:eastAsia="Arial" w:hAnsi="Arial" w:cs="Arial"/>
          <w:b/>
          <w:i/>
          <w:color w:val="000000"/>
          <w:sz w:val="20"/>
          <w:u w:val="single"/>
        </w:rPr>
        <w:t>started</w:t>
      </w:r>
      <w:r>
        <w:rPr>
          <w:rFonts w:ascii="Arial" w:eastAsia="Arial" w:hAnsi="Arial" w:cs="Arial"/>
          <w:color w:val="000000"/>
          <w:sz w:val="20"/>
        </w:rPr>
        <w:t xml:space="preserve"> demanding SCS to cover </w:t>
      </w:r>
      <w:r>
        <w:rPr>
          <w:rFonts w:ascii="Arial" w:eastAsia="Arial" w:hAnsi="Arial" w:cs="Arial"/>
          <w:b/>
          <w:i/>
          <w:color w:val="000000"/>
          <w:sz w:val="20"/>
          <w:u w:val="single"/>
        </w:rPr>
        <w:t>up</w:t>
      </w:r>
      <w:r>
        <w:rPr>
          <w:rFonts w:ascii="Arial" w:eastAsia="Arial" w:hAnsi="Arial" w:cs="Arial"/>
          <w:color w:val="000000"/>
          <w:sz w:val="20"/>
        </w:rPr>
        <w:t xml:space="preserve"> his </w:t>
      </w:r>
      <w:r>
        <w:rPr>
          <w:rFonts w:ascii="Arial" w:eastAsia="Arial" w:hAnsi="Arial" w:cs="Arial"/>
          <w:b/>
          <w:i/>
          <w:color w:val="000000"/>
          <w:sz w:val="20"/>
          <w:u w:val="single"/>
        </w:rPr>
        <w:t>failures</w:t>
      </w:r>
      <w:r>
        <w:rPr>
          <w:rFonts w:ascii="Arial" w:eastAsia="Arial" w:hAnsi="Arial" w:cs="Arial"/>
          <w:color w:val="000000"/>
          <w:sz w:val="20"/>
        </w:rPr>
        <w:t>," said PM Modi. For Reprint Rights: timescontent.com</w:t>
      </w:r>
    </w:p>
    <w:p w14:paraId="65E393D1"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10, 2019</w:t>
      </w:r>
    </w:p>
    <w:p w14:paraId="66AA9888" w14:textId="77777777" w:rsidR="00054BF0" w:rsidRDefault="00054BF0"/>
    <w:p w14:paraId="39AA90EB" w14:textId="77777777" w:rsidR="00054BF0" w:rsidRDefault="00000000">
      <w:pPr>
        <w:ind w:left="200"/>
        <w:sectPr w:rsidR="00054BF0">
          <w:type w:val="continuous"/>
          <w:pgSz w:w="12240" w:h="15840"/>
          <w:pgMar w:top="840" w:right="1000" w:bottom="840" w:left="1000" w:header="400" w:footer="400" w:gutter="0"/>
          <w:cols w:space="720"/>
        </w:sectPr>
      </w:pPr>
      <w:r>
        <w:br/>
      </w:r>
      <w:r>
        <w:pict w14:anchorId="7730D29C">
          <v:line id="_x0000_s2143" style="position:absolute;left:0;text-align:left;z-index:251715584;mso-position-horizontal-relative:text;mso-position-vertical-relative:text" from="0,10pt" to="512pt,10pt" strokeweight="1pt"/>
        </w:pict>
      </w:r>
      <w:r>
        <w:rPr>
          <w:rFonts w:ascii="Arial" w:eastAsia="Arial" w:hAnsi="Arial" w:cs="Arial"/>
          <w:b/>
          <w:color w:val="767676"/>
          <w:sz w:val="16"/>
        </w:rPr>
        <w:t>End of Document</w:t>
      </w:r>
    </w:p>
    <w:p w14:paraId="5F865658" w14:textId="77777777" w:rsidR="00054BF0" w:rsidRDefault="00054BF0">
      <w:pPr>
        <w:sectPr w:rsidR="00054BF0">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gutter="0"/>
          <w:cols w:space="720"/>
          <w:titlePg/>
        </w:sectPr>
      </w:pPr>
    </w:p>
    <w:p w14:paraId="3FAB590B" w14:textId="77777777" w:rsidR="00054BF0" w:rsidRDefault="00054BF0">
      <w:bookmarkStart w:id="56" w:name="Bookmark_29"/>
      <w:bookmarkEnd w:id="56"/>
    </w:p>
    <w:p w14:paraId="2B83C421" w14:textId="77777777" w:rsidR="00054BF0" w:rsidRDefault="00BE2275">
      <w:r>
        <w:pict w14:anchorId="270CAD59">
          <v:shape id="_x0000_i1064" type="#_x0000_t75" alt="LexisNexis®" style="width:148pt;height:30pt">
            <v:imagedata r:id="rId6" o:title=""/>
          </v:shape>
        </w:pict>
      </w:r>
      <w:r w:rsidR="00A540D1">
        <w:cr/>
      </w:r>
    </w:p>
    <w:p w14:paraId="7907E440" w14:textId="77777777" w:rsidR="00054BF0" w:rsidRDefault="00000000">
      <w:pPr>
        <w:spacing w:before="240" w:after="200" w:line="340" w:lineRule="atLeast"/>
        <w:jc w:val="center"/>
        <w:outlineLvl w:val="0"/>
        <w:rPr>
          <w:rFonts w:ascii="Arial" w:hAnsi="Arial" w:cs="Arial"/>
          <w:b/>
          <w:bCs/>
          <w:kern w:val="32"/>
          <w:sz w:val="32"/>
          <w:szCs w:val="32"/>
        </w:rPr>
      </w:pPr>
      <w:hyperlink r:id="rId500" w:history="1">
        <w:r>
          <w:rPr>
            <w:rFonts w:ascii="Arial" w:eastAsia="Arial" w:hAnsi="Arial" w:cs="Arial"/>
            <w:b/>
            <w:bCs/>
            <w:i/>
            <w:color w:val="0077CC"/>
            <w:kern w:val="32"/>
            <w:sz w:val="28"/>
            <w:szCs w:val="32"/>
            <w:u w:val="single"/>
            <w:shd w:val="clear" w:color="auto" w:fill="FFFFFF"/>
          </w:rPr>
          <w:t xml:space="preserve">SAARC CCI launches free webinar series for </w:t>
        </w:r>
      </w:hyperlink>
      <w:hyperlink r:id="rId501" w:history="1">
        <w:r>
          <w:rPr>
            <w:rFonts w:ascii="Arial" w:eastAsia="Arial" w:hAnsi="Arial" w:cs="Arial"/>
            <w:b/>
            <w:bCs/>
            <w:i/>
            <w:color w:val="0077CC"/>
            <w:kern w:val="32"/>
            <w:sz w:val="28"/>
            <w:szCs w:val="32"/>
            <w:u w:val="single"/>
            <w:shd w:val="clear" w:color="auto" w:fill="FFFFFF"/>
          </w:rPr>
          <w:t>startups</w:t>
        </w:r>
      </w:hyperlink>
      <w:hyperlink r:id="rId502" w:history="1">
        <w:r>
          <w:rPr>
            <w:rFonts w:ascii="Arial" w:eastAsia="Arial" w:hAnsi="Arial" w:cs="Arial"/>
            <w:b/>
            <w:bCs/>
            <w:i/>
            <w:color w:val="0077CC"/>
            <w:kern w:val="32"/>
            <w:sz w:val="28"/>
            <w:szCs w:val="32"/>
            <w:u w:val="single"/>
            <w:shd w:val="clear" w:color="auto" w:fill="FFFFFF"/>
          </w:rPr>
          <w:t xml:space="preserve"> in South Asia</w:t>
        </w:r>
      </w:hyperlink>
    </w:p>
    <w:p w14:paraId="3ECC6948" w14:textId="77777777" w:rsidR="00054BF0" w:rsidRDefault="00000000">
      <w:pPr>
        <w:spacing w:before="120" w:line="260" w:lineRule="atLeast"/>
        <w:jc w:val="center"/>
      </w:pPr>
      <w:r>
        <w:rPr>
          <w:rFonts w:ascii="Arial" w:eastAsia="Arial" w:hAnsi="Arial" w:cs="Arial"/>
          <w:color w:val="000000"/>
          <w:sz w:val="20"/>
        </w:rPr>
        <w:t>Daily Financial Times</w:t>
      </w:r>
    </w:p>
    <w:p w14:paraId="42EFB6B7" w14:textId="77777777" w:rsidR="00054BF0" w:rsidRDefault="00000000">
      <w:pPr>
        <w:spacing w:before="120" w:line="260" w:lineRule="atLeast"/>
        <w:jc w:val="center"/>
      </w:pPr>
      <w:r>
        <w:rPr>
          <w:rFonts w:ascii="Arial" w:eastAsia="Arial" w:hAnsi="Arial" w:cs="Arial"/>
          <w:color w:val="000000"/>
          <w:sz w:val="20"/>
        </w:rPr>
        <w:t>June 10, 2020 Wednesday</w:t>
      </w:r>
    </w:p>
    <w:p w14:paraId="01414FDE" w14:textId="77777777" w:rsidR="00054BF0" w:rsidRDefault="00054BF0">
      <w:pPr>
        <w:spacing w:line="240" w:lineRule="atLeast"/>
        <w:jc w:val="both"/>
      </w:pPr>
    </w:p>
    <w:p w14:paraId="41A1B2C4" w14:textId="77777777" w:rsidR="00054BF0" w:rsidRDefault="00000000">
      <w:pPr>
        <w:spacing w:before="120" w:line="220" w:lineRule="atLeast"/>
      </w:pPr>
      <w:r>
        <w:br/>
      </w:r>
      <w:r>
        <w:rPr>
          <w:rFonts w:ascii="Arial" w:eastAsia="Arial" w:hAnsi="Arial" w:cs="Arial"/>
          <w:color w:val="000000"/>
          <w:sz w:val="16"/>
        </w:rPr>
        <w:t>Copyright 2020 Wijeya Newspapers Limited All Rights Reserved</w:t>
      </w:r>
    </w:p>
    <w:p w14:paraId="7353EF1B"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594 words</w:t>
      </w:r>
    </w:p>
    <w:p w14:paraId="7608C54F" w14:textId="77777777" w:rsidR="00054BF0" w:rsidRDefault="00000000">
      <w:pPr>
        <w:keepNext/>
        <w:spacing w:before="240" w:line="340" w:lineRule="atLeast"/>
      </w:pPr>
      <w:bookmarkStart w:id="57" w:name="Body_27"/>
      <w:bookmarkEnd w:id="57"/>
      <w:r>
        <w:rPr>
          <w:rFonts w:ascii="Arial" w:eastAsia="Arial" w:hAnsi="Arial" w:cs="Arial"/>
          <w:b/>
          <w:color w:val="000000"/>
          <w:sz w:val="28"/>
        </w:rPr>
        <w:t>Body</w:t>
      </w:r>
    </w:p>
    <w:p w14:paraId="4986541F" w14:textId="77777777" w:rsidR="00054BF0" w:rsidRDefault="00000000">
      <w:pPr>
        <w:spacing w:line="60" w:lineRule="exact"/>
      </w:pPr>
      <w:r>
        <w:pict w14:anchorId="2C6300C8">
          <v:line id="_x0000_s2145" style="position:absolute;z-index:251716608" from="0,2pt" to="512pt,2pt" strokecolor="#009ddb" strokeweight="2pt">
            <w10:wrap type="topAndBottom"/>
          </v:line>
        </w:pict>
      </w:r>
    </w:p>
    <w:p w14:paraId="4155FCCF" w14:textId="77777777" w:rsidR="00054BF0" w:rsidRDefault="00054BF0"/>
    <w:p w14:paraId="1AD058FC" w14:textId="77777777" w:rsidR="00054BF0" w:rsidRDefault="00000000">
      <w:pPr>
        <w:spacing w:before="200" w:line="260" w:lineRule="atLeast"/>
        <w:jc w:val="both"/>
      </w:pPr>
      <w:r>
        <w:rPr>
          <w:rFonts w:ascii="Arial" w:eastAsia="Arial" w:hAnsi="Arial" w:cs="Arial"/>
          <w:color w:val="000000"/>
          <w:sz w:val="20"/>
        </w:rPr>
        <w:t xml:space="preserve"> As physical distancing occurs, virtual intimacy emerges. Transition from physical to virtual reality is the great demand of the new normal. Young entrepreneurs, </w:t>
      </w:r>
      <w:r>
        <w:rPr>
          <w:rFonts w:ascii="Arial" w:eastAsia="Arial" w:hAnsi="Arial" w:cs="Arial"/>
          <w:b/>
          <w:i/>
          <w:color w:val="000000"/>
          <w:sz w:val="20"/>
          <w:u w:val="single"/>
        </w:rPr>
        <w:t>startups</w:t>
      </w:r>
      <w:r>
        <w:rPr>
          <w:rFonts w:ascii="Arial" w:eastAsia="Arial" w:hAnsi="Arial" w:cs="Arial"/>
          <w:color w:val="000000"/>
          <w:sz w:val="20"/>
        </w:rPr>
        <w:t>, micro, small and medium scale enterprises are deeply affected by the global pandemic situation of COVID-19.</w:t>
      </w:r>
    </w:p>
    <w:p w14:paraId="45F26F79" w14:textId="77777777" w:rsidR="00054BF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and young entrepreneurs are the most inexperienced in the business world. They are working hard and struggling to face the new harsh realities of the new era. As the renowned </w:t>
      </w:r>
      <w:r>
        <w:rPr>
          <w:rFonts w:ascii="Arial" w:eastAsia="Arial" w:hAnsi="Arial" w:cs="Arial"/>
          <w:b/>
          <w:i/>
          <w:color w:val="000000"/>
          <w:sz w:val="20"/>
          <w:u w:val="single"/>
        </w:rPr>
        <w:t>startups</w:t>
      </w:r>
      <w:r>
        <w:rPr>
          <w:rFonts w:ascii="Arial" w:eastAsia="Arial" w:hAnsi="Arial" w:cs="Arial"/>
          <w:color w:val="000000"/>
          <w:sz w:val="20"/>
        </w:rPr>
        <w:t xml:space="preserve"> leader and mentor Seth Bannon says, lessons learnt from the past and guidance from mentors are truly essential for these young entrepreneurs and </w:t>
      </w:r>
      <w:r>
        <w:rPr>
          <w:rFonts w:ascii="Arial" w:eastAsia="Arial" w:hAnsi="Arial" w:cs="Arial"/>
          <w:b/>
          <w:i/>
          <w:color w:val="000000"/>
          <w:sz w:val="20"/>
          <w:u w:val="single"/>
        </w:rPr>
        <w:t>startups</w:t>
      </w:r>
      <w:r>
        <w:rPr>
          <w:rFonts w:ascii="Arial" w:eastAsia="Arial" w:hAnsi="Arial" w:cs="Arial"/>
          <w:color w:val="000000"/>
          <w:sz w:val="20"/>
        </w:rPr>
        <w:t xml:space="preserve"> to overcome the tough problems and take advantage of the emerging opportunities in the new normal phenomenon.</w:t>
      </w:r>
    </w:p>
    <w:p w14:paraId="00AB4A14" w14:textId="77777777" w:rsidR="00054BF0" w:rsidRDefault="00000000">
      <w:pPr>
        <w:spacing w:before="200" w:line="260" w:lineRule="atLeast"/>
        <w:jc w:val="both"/>
      </w:pPr>
      <w:r>
        <w:rPr>
          <w:rFonts w:ascii="Arial" w:eastAsia="Arial" w:hAnsi="Arial" w:cs="Arial"/>
          <w:color w:val="000000"/>
          <w:sz w:val="20"/>
        </w:rPr>
        <w:t xml:space="preserve">In light of this background, the SAARC Chamber of Commerce and Industry (SAARC CCI) has embarked upon a free webinar series for </w:t>
      </w:r>
      <w:r>
        <w:rPr>
          <w:rFonts w:ascii="Arial" w:eastAsia="Arial" w:hAnsi="Arial" w:cs="Arial"/>
          <w:b/>
          <w:i/>
          <w:color w:val="000000"/>
          <w:sz w:val="20"/>
          <w:u w:val="single"/>
        </w:rPr>
        <w:t>startups</w:t>
      </w:r>
      <w:r>
        <w:rPr>
          <w:rFonts w:ascii="Arial" w:eastAsia="Arial" w:hAnsi="Arial" w:cs="Arial"/>
          <w:color w:val="000000"/>
          <w:sz w:val="20"/>
        </w:rPr>
        <w:t xml:space="preserve"> and young entrepreneurs to help them overcome deep challenges, effectively face the economic shocks, recover from </w:t>
      </w:r>
      <w:r>
        <w:rPr>
          <w:rFonts w:ascii="Arial" w:eastAsia="Arial" w:hAnsi="Arial" w:cs="Arial"/>
          <w:b/>
          <w:i/>
          <w:color w:val="000000"/>
          <w:sz w:val="20"/>
          <w:u w:val="single"/>
        </w:rPr>
        <w:t>failures</w:t>
      </w:r>
      <w:r>
        <w:rPr>
          <w:rFonts w:ascii="Arial" w:eastAsia="Arial" w:hAnsi="Arial" w:cs="Arial"/>
          <w:color w:val="000000"/>
          <w:sz w:val="20"/>
        </w:rPr>
        <w:t xml:space="preserve"> and improve their </w:t>
      </w:r>
      <w:r>
        <w:rPr>
          <w:rFonts w:ascii="Arial" w:eastAsia="Arial" w:hAnsi="Arial" w:cs="Arial"/>
          <w:b/>
          <w:i/>
          <w:color w:val="000000"/>
          <w:sz w:val="20"/>
          <w:u w:val="single"/>
        </w:rPr>
        <w:t>startups</w:t>
      </w:r>
      <w:r>
        <w:rPr>
          <w:rFonts w:ascii="Arial" w:eastAsia="Arial" w:hAnsi="Arial" w:cs="Arial"/>
          <w:color w:val="000000"/>
          <w:sz w:val="20"/>
        </w:rPr>
        <w:t xml:space="preserve"> in the new economic realities of the new normal.</w:t>
      </w:r>
    </w:p>
    <w:p w14:paraId="4645A1EE" w14:textId="77777777" w:rsidR="00054BF0" w:rsidRDefault="00000000">
      <w:pPr>
        <w:spacing w:before="200" w:line="260" w:lineRule="atLeast"/>
        <w:jc w:val="both"/>
      </w:pPr>
      <w:r>
        <w:rPr>
          <w:rFonts w:ascii="Arial" w:eastAsia="Arial" w:hAnsi="Arial" w:cs="Arial"/>
          <w:color w:val="000000"/>
          <w:sz w:val="20"/>
        </w:rPr>
        <w:t xml:space="preserve">The first webinar in the series was held on 18 May and the second webinar was held on 2 June. The third and fourth webinars will be held on 10 and 17 June respectively. Above all, a number of important webinars are in the pipeline covering all major aspects of </w:t>
      </w:r>
      <w:r>
        <w:rPr>
          <w:rFonts w:ascii="Arial" w:eastAsia="Arial" w:hAnsi="Arial" w:cs="Arial"/>
          <w:b/>
          <w:i/>
          <w:color w:val="000000"/>
          <w:sz w:val="20"/>
          <w:u w:val="single"/>
        </w:rPr>
        <w:t>startups</w:t>
      </w:r>
      <w:r>
        <w:rPr>
          <w:rFonts w:ascii="Arial" w:eastAsia="Arial" w:hAnsi="Arial" w:cs="Arial"/>
          <w:color w:val="000000"/>
          <w:sz w:val="20"/>
        </w:rPr>
        <w:t xml:space="preserve"> from theoretical perspectives to practical dimensions along with innovative strategies to deal with difficult situations like novel corona.</w:t>
      </w:r>
    </w:p>
    <w:p w14:paraId="7861F7EF" w14:textId="77777777" w:rsidR="00054BF0" w:rsidRDefault="00000000">
      <w:pPr>
        <w:spacing w:before="200" w:line="260" w:lineRule="atLeast"/>
        <w:jc w:val="both"/>
      </w:pPr>
      <w:r>
        <w:rPr>
          <w:rFonts w:ascii="Arial" w:eastAsia="Arial" w:hAnsi="Arial" w:cs="Arial"/>
          <w:color w:val="000000"/>
          <w:sz w:val="20"/>
        </w:rPr>
        <w:t xml:space="preserve">The webinar series is organised in collaboration with the Friedrich Naumann Foundation for Freedom (FNF). Renowned mentors from India, Subramanian Chandramouli, International Sales Trainer, and Saravana Mani, Global Head of Innovation Kmart Group Australia, are conducting the webinar sessions for </w:t>
      </w:r>
      <w:r>
        <w:rPr>
          <w:rFonts w:ascii="Arial" w:eastAsia="Arial" w:hAnsi="Arial" w:cs="Arial"/>
          <w:b/>
          <w:i/>
          <w:color w:val="000000"/>
          <w:sz w:val="20"/>
          <w:u w:val="single"/>
        </w:rPr>
        <w:t>startups</w:t>
      </w:r>
      <w:r>
        <w:rPr>
          <w:rFonts w:ascii="Arial" w:eastAsia="Arial" w:hAnsi="Arial" w:cs="Arial"/>
          <w:color w:val="000000"/>
          <w:sz w:val="20"/>
        </w:rPr>
        <w:t xml:space="preserve">. Young entrepreneurs from Afghanistan, Bangladesh, Bhutan, India, Maldives, Nepal, Pakistan and Sri Lanka are taking part in the series of </w:t>
      </w:r>
      <w:r>
        <w:rPr>
          <w:rFonts w:ascii="Arial" w:eastAsia="Arial" w:hAnsi="Arial" w:cs="Arial"/>
          <w:b/>
          <w:i/>
          <w:color w:val="000000"/>
          <w:sz w:val="20"/>
          <w:u w:val="single"/>
        </w:rPr>
        <w:t>startup</w:t>
      </w:r>
      <w:r>
        <w:rPr>
          <w:rFonts w:ascii="Arial" w:eastAsia="Arial" w:hAnsi="Arial" w:cs="Arial"/>
          <w:color w:val="000000"/>
          <w:sz w:val="20"/>
        </w:rPr>
        <w:t xml:space="preserve"> webinars.</w:t>
      </w:r>
    </w:p>
    <w:p w14:paraId="61717446" w14:textId="77777777" w:rsidR="00054BF0" w:rsidRDefault="00000000">
      <w:pPr>
        <w:spacing w:before="200" w:line="260" w:lineRule="atLeast"/>
        <w:jc w:val="both"/>
      </w:pPr>
      <w:r>
        <w:rPr>
          <w:rFonts w:ascii="Arial" w:eastAsia="Arial" w:hAnsi="Arial" w:cs="Arial"/>
          <w:color w:val="000000"/>
          <w:sz w:val="20"/>
        </w:rPr>
        <w:t xml:space="preserve">Prior to this webinar series for </w:t>
      </w:r>
      <w:r>
        <w:rPr>
          <w:rFonts w:ascii="Arial" w:eastAsia="Arial" w:hAnsi="Arial" w:cs="Arial"/>
          <w:b/>
          <w:i/>
          <w:color w:val="000000"/>
          <w:sz w:val="20"/>
          <w:u w:val="single"/>
        </w:rPr>
        <w:t>startups</w:t>
      </w:r>
      <w:r>
        <w:rPr>
          <w:rFonts w:ascii="Arial" w:eastAsia="Arial" w:hAnsi="Arial" w:cs="Arial"/>
          <w:color w:val="000000"/>
          <w:sz w:val="20"/>
        </w:rPr>
        <w:t xml:space="preserve">, SAARC CCI had already organised a series of </w:t>
      </w:r>
      <w:r>
        <w:rPr>
          <w:rFonts w:ascii="Arial" w:eastAsia="Arial" w:hAnsi="Arial" w:cs="Arial"/>
          <w:b/>
          <w:i/>
          <w:color w:val="000000"/>
          <w:sz w:val="20"/>
          <w:u w:val="single"/>
        </w:rPr>
        <w:t>startup</w:t>
      </w:r>
      <w:r>
        <w:rPr>
          <w:rFonts w:ascii="Arial" w:eastAsia="Arial" w:hAnsi="Arial" w:cs="Arial"/>
          <w:color w:val="000000"/>
          <w:sz w:val="20"/>
        </w:rPr>
        <w:t xml:space="preserve"> boot camps in various countries of South Asia, i.e. Nepal, Bangladesh, Maldives, Pakistan and Sri Lanka, stating from April to December 2019.</w:t>
      </w:r>
    </w:p>
    <w:p w14:paraId="5886835C" w14:textId="77777777" w:rsidR="00054BF0" w:rsidRDefault="00000000">
      <w:pPr>
        <w:spacing w:before="200" w:line="260" w:lineRule="atLeast"/>
        <w:jc w:val="both"/>
      </w:pPr>
      <w:r>
        <w:rPr>
          <w:rFonts w:ascii="Arial" w:eastAsia="Arial" w:hAnsi="Arial" w:cs="Arial"/>
          <w:color w:val="000000"/>
          <w:sz w:val="20"/>
        </w:rPr>
        <w:t xml:space="preserve">In line with the recommendations of SAARC </w:t>
      </w:r>
      <w:r>
        <w:rPr>
          <w:rFonts w:ascii="Arial" w:eastAsia="Arial" w:hAnsi="Arial" w:cs="Arial"/>
          <w:b/>
          <w:i/>
          <w:color w:val="000000"/>
          <w:sz w:val="20"/>
          <w:u w:val="single"/>
        </w:rPr>
        <w:t>Startup</w:t>
      </w:r>
      <w:r>
        <w:rPr>
          <w:rFonts w:ascii="Arial" w:eastAsia="Arial" w:hAnsi="Arial" w:cs="Arial"/>
          <w:color w:val="000000"/>
          <w:sz w:val="20"/>
        </w:rPr>
        <w:t xml:space="preserve"> Vision Summit 2018, held in India, the series of SAARC CCI boot camps and the webinar series are being organised with the intention of developing a mechanism to ensure cross border learning, exposure and mentoring for </w:t>
      </w:r>
      <w:r>
        <w:rPr>
          <w:rFonts w:ascii="Arial" w:eastAsia="Arial" w:hAnsi="Arial" w:cs="Arial"/>
          <w:b/>
          <w:i/>
          <w:color w:val="000000"/>
          <w:sz w:val="20"/>
          <w:u w:val="single"/>
        </w:rPr>
        <w:t>startups</w:t>
      </w:r>
      <w:r>
        <w:rPr>
          <w:rFonts w:ascii="Arial" w:eastAsia="Arial" w:hAnsi="Arial" w:cs="Arial"/>
          <w:color w:val="000000"/>
          <w:sz w:val="20"/>
        </w:rPr>
        <w:t xml:space="preserve"> and to strengthen </w:t>
      </w:r>
      <w:r>
        <w:rPr>
          <w:rFonts w:ascii="Arial" w:eastAsia="Arial" w:hAnsi="Arial" w:cs="Arial"/>
          <w:b/>
          <w:i/>
          <w:color w:val="000000"/>
          <w:sz w:val="20"/>
          <w:u w:val="single"/>
        </w:rPr>
        <w:t>startup</w:t>
      </w:r>
      <w:r>
        <w:rPr>
          <w:rFonts w:ascii="Arial" w:eastAsia="Arial" w:hAnsi="Arial" w:cs="Arial"/>
          <w:color w:val="000000"/>
          <w:sz w:val="20"/>
        </w:rPr>
        <w:t xml:space="preserve"> ecosystems across South Asia, especially in the South Asian countries with no </w:t>
      </w:r>
      <w:r>
        <w:rPr>
          <w:rFonts w:ascii="Arial" w:eastAsia="Arial" w:hAnsi="Arial" w:cs="Arial"/>
          <w:b/>
          <w:i/>
          <w:color w:val="000000"/>
          <w:sz w:val="20"/>
          <w:u w:val="single"/>
        </w:rPr>
        <w:t>startup</w:t>
      </w:r>
      <w:r>
        <w:rPr>
          <w:rFonts w:ascii="Arial" w:eastAsia="Arial" w:hAnsi="Arial" w:cs="Arial"/>
          <w:color w:val="000000"/>
          <w:sz w:val="20"/>
        </w:rPr>
        <w:t xml:space="preserve"> ecosystems or least developed </w:t>
      </w:r>
      <w:r>
        <w:rPr>
          <w:rFonts w:ascii="Arial" w:eastAsia="Arial" w:hAnsi="Arial" w:cs="Arial"/>
          <w:b/>
          <w:i/>
          <w:color w:val="000000"/>
          <w:sz w:val="20"/>
          <w:u w:val="single"/>
        </w:rPr>
        <w:t>startup</w:t>
      </w:r>
      <w:r>
        <w:rPr>
          <w:rFonts w:ascii="Arial" w:eastAsia="Arial" w:hAnsi="Arial" w:cs="Arial"/>
          <w:color w:val="000000"/>
          <w:sz w:val="20"/>
        </w:rPr>
        <w:t xml:space="preserve"> ecosystems.</w:t>
      </w:r>
    </w:p>
    <w:p w14:paraId="3B6A49C6" w14:textId="77777777" w:rsidR="00054BF0" w:rsidRDefault="00000000">
      <w:pPr>
        <w:spacing w:before="200" w:line="260" w:lineRule="atLeast"/>
        <w:jc w:val="both"/>
      </w:pPr>
      <w:r>
        <w:rPr>
          <w:rFonts w:ascii="Arial" w:eastAsia="Arial" w:hAnsi="Arial" w:cs="Arial"/>
          <w:color w:val="000000"/>
          <w:sz w:val="20"/>
        </w:rPr>
        <w:lastRenderedPageBreak/>
        <w:t xml:space="preserve">It has been significant that SAARC CCI has so far been trained and mentored over 350 young entrepreneurs from South Asian countries during the series of </w:t>
      </w:r>
      <w:r>
        <w:rPr>
          <w:rFonts w:ascii="Arial" w:eastAsia="Arial" w:hAnsi="Arial" w:cs="Arial"/>
          <w:b/>
          <w:i/>
          <w:color w:val="000000"/>
          <w:sz w:val="20"/>
          <w:u w:val="single"/>
        </w:rPr>
        <w:t>startup</w:t>
      </w:r>
      <w:r>
        <w:rPr>
          <w:rFonts w:ascii="Arial" w:eastAsia="Arial" w:hAnsi="Arial" w:cs="Arial"/>
          <w:color w:val="000000"/>
          <w:sz w:val="20"/>
        </w:rPr>
        <w:t xml:space="preserve"> webinars and boot camps. All these young ventures are extremely happy about the training programs and continue to take part in SAARC CCI activities.</w:t>
      </w:r>
    </w:p>
    <w:p w14:paraId="779CF33D" w14:textId="77777777" w:rsidR="00054BF0"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plays a pivotal role in an economy significantly contributing to the economic growth. </w:t>
      </w:r>
      <w:r>
        <w:rPr>
          <w:rFonts w:ascii="Arial" w:eastAsia="Arial" w:hAnsi="Arial" w:cs="Arial"/>
          <w:b/>
          <w:i/>
          <w:color w:val="000000"/>
          <w:sz w:val="20"/>
          <w:u w:val="single"/>
        </w:rPr>
        <w:t>Startups</w:t>
      </w:r>
      <w:r>
        <w:rPr>
          <w:rFonts w:ascii="Arial" w:eastAsia="Arial" w:hAnsi="Arial" w:cs="Arial"/>
          <w:color w:val="000000"/>
          <w:sz w:val="20"/>
        </w:rPr>
        <w:t xml:space="preserve"> generate new employment opportunities for passionate young people.</w:t>
      </w:r>
    </w:p>
    <w:p w14:paraId="5B2C61D8" w14:textId="77777777" w:rsidR="00054BF0" w:rsidRDefault="00000000">
      <w:pPr>
        <w:spacing w:before="200" w:line="260" w:lineRule="atLeast"/>
        <w:jc w:val="both"/>
      </w:pPr>
      <w:r>
        <w:rPr>
          <w:rFonts w:ascii="Arial" w:eastAsia="Arial" w:hAnsi="Arial" w:cs="Arial"/>
          <w:color w:val="000000"/>
          <w:sz w:val="20"/>
        </w:rPr>
        <w:t xml:space="preserve">Moreover, </w:t>
      </w:r>
      <w:r>
        <w:rPr>
          <w:rFonts w:ascii="Arial" w:eastAsia="Arial" w:hAnsi="Arial" w:cs="Arial"/>
          <w:b/>
          <w:i/>
          <w:color w:val="000000"/>
          <w:sz w:val="20"/>
          <w:u w:val="single"/>
        </w:rPr>
        <w:t>startups</w:t>
      </w:r>
      <w:r>
        <w:rPr>
          <w:rFonts w:ascii="Arial" w:eastAsia="Arial" w:hAnsi="Arial" w:cs="Arial"/>
          <w:color w:val="000000"/>
          <w:sz w:val="20"/>
        </w:rPr>
        <w:t xml:space="preserve"> are a salient component of economic dynamism stimulating innovation and injecting competition. It is apparent that </w:t>
      </w:r>
      <w:r>
        <w:rPr>
          <w:rFonts w:ascii="Arial" w:eastAsia="Arial" w:hAnsi="Arial" w:cs="Arial"/>
          <w:b/>
          <w:i/>
          <w:color w:val="000000"/>
          <w:sz w:val="20"/>
          <w:u w:val="single"/>
        </w:rPr>
        <w:t>startups</w:t>
      </w:r>
      <w:r>
        <w:rPr>
          <w:rFonts w:ascii="Arial" w:eastAsia="Arial" w:hAnsi="Arial" w:cs="Arial"/>
          <w:color w:val="000000"/>
          <w:sz w:val="20"/>
        </w:rPr>
        <w:t xml:space="preserve"> are the driving force behind structural change in South Asian countries.</w:t>
      </w:r>
    </w:p>
    <w:p w14:paraId="50B290E1" w14:textId="77777777" w:rsidR="00054BF0" w:rsidRDefault="00000000">
      <w:pPr>
        <w:spacing w:before="200" w:line="260" w:lineRule="atLeast"/>
        <w:jc w:val="both"/>
      </w:pPr>
      <w:r>
        <w:rPr>
          <w:rFonts w:ascii="Arial" w:eastAsia="Arial" w:hAnsi="Arial" w:cs="Arial"/>
          <w:color w:val="000000"/>
          <w:sz w:val="20"/>
        </w:rPr>
        <w:t xml:space="preserve">Therefore, it is expected that the series of SAARC CCI webinars and boot camps will indeed be instrumental in developing effective </w:t>
      </w:r>
      <w:r>
        <w:rPr>
          <w:rFonts w:ascii="Arial" w:eastAsia="Arial" w:hAnsi="Arial" w:cs="Arial"/>
          <w:b/>
          <w:i/>
          <w:color w:val="000000"/>
          <w:sz w:val="20"/>
          <w:u w:val="single"/>
        </w:rPr>
        <w:t>startup</w:t>
      </w:r>
      <w:r>
        <w:rPr>
          <w:rFonts w:ascii="Arial" w:eastAsia="Arial" w:hAnsi="Arial" w:cs="Arial"/>
          <w:color w:val="000000"/>
          <w:sz w:val="20"/>
        </w:rPr>
        <w:t xml:space="preserve"> ecosystems in South Asian nations thereby contributing to the economic dynamism and progressive changes in the region.</w:t>
      </w:r>
    </w:p>
    <w:p w14:paraId="6D6CF9C7"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18, 2020</w:t>
      </w:r>
    </w:p>
    <w:p w14:paraId="08B732AB" w14:textId="77777777" w:rsidR="00054BF0" w:rsidRDefault="00054BF0"/>
    <w:p w14:paraId="771F88D5" w14:textId="77777777" w:rsidR="00054BF0" w:rsidRDefault="00000000">
      <w:pPr>
        <w:ind w:left="200"/>
        <w:sectPr w:rsidR="00054BF0">
          <w:type w:val="continuous"/>
          <w:pgSz w:w="12240" w:h="15840"/>
          <w:pgMar w:top="840" w:right="1000" w:bottom="840" w:left="1000" w:header="400" w:footer="400" w:gutter="0"/>
          <w:cols w:space="720"/>
        </w:sectPr>
      </w:pPr>
      <w:r>
        <w:br/>
      </w:r>
      <w:r>
        <w:pict w14:anchorId="6D21BD23">
          <v:line id="_x0000_s2146" style="position:absolute;left:0;text-align:left;z-index:251717632;mso-position-horizontal-relative:text;mso-position-vertical-relative:text" from="0,10pt" to="512pt,10pt" strokeweight="1pt"/>
        </w:pict>
      </w:r>
      <w:r>
        <w:rPr>
          <w:rFonts w:ascii="Arial" w:eastAsia="Arial" w:hAnsi="Arial" w:cs="Arial"/>
          <w:b/>
          <w:color w:val="767676"/>
          <w:sz w:val="16"/>
        </w:rPr>
        <w:t>End of Document</w:t>
      </w:r>
    </w:p>
    <w:p w14:paraId="0FD154DC" w14:textId="77777777" w:rsidR="00054BF0" w:rsidRDefault="00054BF0">
      <w:pPr>
        <w:sectPr w:rsidR="00054BF0">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gutter="0"/>
          <w:cols w:space="720"/>
          <w:titlePg/>
        </w:sectPr>
      </w:pPr>
    </w:p>
    <w:p w14:paraId="6CB12A9A" w14:textId="77777777" w:rsidR="00054BF0" w:rsidRDefault="00054BF0">
      <w:bookmarkStart w:id="58" w:name="Bookmark_30"/>
      <w:bookmarkEnd w:id="58"/>
    </w:p>
    <w:p w14:paraId="63BC3600" w14:textId="77777777" w:rsidR="00054BF0" w:rsidRDefault="00BE2275">
      <w:r>
        <w:pict w14:anchorId="4261E8AB">
          <v:shape id="_x0000_i1065" type="#_x0000_t75" alt="LexisNexis®" style="width:148pt;height:30pt">
            <v:imagedata r:id="rId6" o:title=""/>
          </v:shape>
        </w:pict>
      </w:r>
      <w:r w:rsidR="00A540D1">
        <w:cr/>
      </w:r>
    </w:p>
    <w:p w14:paraId="4670991B" w14:textId="77777777" w:rsidR="00054BF0" w:rsidRDefault="00000000">
      <w:pPr>
        <w:spacing w:before="240" w:after="200" w:line="340" w:lineRule="atLeast"/>
        <w:jc w:val="center"/>
        <w:outlineLvl w:val="0"/>
        <w:rPr>
          <w:rFonts w:ascii="Arial" w:hAnsi="Arial" w:cs="Arial"/>
          <w:b/>
          <w:bCs/>
          <w:kern w:val="32"/>
          <w:sz w:val="32"/>
          <w:szCs w:val="32"/>
        </w:rPr>
      </w:pPr>
      <w:hyperlink r:id="rId509" w:history="1">
        <w:r>
          <w:rPr>
            <w:rFonts w:ascii="Arial" w:eastAsia="Arial" w:hAnsi="Arial" w:cs="Arial"/>
            <w:b/>
            <w:bCs/>
            <w:i/>
            <w:color w:val="0077CC"/>
            <w:kern w:val="32"/>
            <w:sz w:val="28"/>
            <w:szCs w:val="32"/>
            <w:u w:val="single"/>
            <w:shd w:val="clear" w:color="auto" w:fill="FFFFFF"/>
          </w:rPr>
          <w:t>Vulnerabilities of BOT Scheme and Ways to Overcome Them Under PPP: Cross-Country Comparison of PPP Systems Among Selected Countries</w:t>
        </w:r>
      </w:hyperlink>
    </w:p>
    <w:p w14:paraId="68AE8B5B" w14:textId="77777777" w:rsidR="00054BF0" w:rsidRDefault="00000000">
      <w:pPr>
        <w:spacing w:before="120" w:line="260" w:lineRule="atLeast"/>
        <w:jc w:val="center"/>
      </w:pPr>
      <w:r>
        <w:rPr>
          <w:rFonts w:ascii="Arial" w:eastAsia="Arial" w:hAnsi="Arial" w:cs="Arial"/>
          <w:color w:val="000000"/>
          <w:sz w:val="20"/>
        </w:rPr>
        <w:t>Public Works Management &amp; Policy</w:t>
      </w:r>
    </w:p>
    <w:p w14:paraId="0B250724" w14:textId="77777777" w:rsidR="00054BF0" w:rsidRDefault="00000000">
      <w:pPr>
        <w:spacing w:before="120" w:line="260" w:lineRule="atLeast"/>
        <w:jc w:val="center"/>
      </w:pPr>
      <w:r>
        <w:rPr>
          <w:rFonts w:ascii="Arial" w:eastAsia="Arial" w:hAnsi="Arial" w:cs="Arial"/>
          <w:color w:val="000000"/>
          <w:sz w:val="20"/>
        </w:rPr>
        <w:t>July 2019</w:t>
      </w:r>
    </w:p>
    <w:p w14:paraId="268FA4D4" w14:textId="77777777" w:rsidR="00054BF0" w:rsidRDefault="00054BF0">
      <w:pPr>
        <w:spacing w:line="240" w:lineRule="atLeast"/>
        <w:jc w:val="both"/>
      </w:pPr>
    </w:p>
    <w:p w14:paraId="6FB32E0F" w14:textId="77777777" w:rsidR="00054BF0" w:rsidRDefault="00000000">
      <w:pPr>
        <w:spacing w:before="120" w:line="220" w:lineRule="atLeast"/>
      </w:pPr>
      <w:r>
        <w:br/>
      </w:r>
      <w:r>
        <w:rPr>
          <w:rFonts w:ascii="Arial" w:eastAsia="Arial" w:hAnsi="Arial" w:cs="Arial"/>
          <w:color w:val="000000"/>
          <w:sz w:val="16"/>
        </w:rPr>
        <w:t>Copyright 2019 Sage Publications, Inc. All Rights Reserved</w:t>
      </w:r>
    </w:p>
    <w:p w14:paraId="47FAD582" w14:textId="77777777" w:rsidR="00054BF0" w:rsidRDefault="00000000">
      <w:pPr>
        <w:spacing w:before="120" w:line="220" w:lineRule="atLeast"/>
      </w:pPr>
      <w:r>
        <w:br/>
      </w:r>
      <w:r w:rsidR="00BE2275">
        <w:pict w14:anchorId="4127B2D3">
          <v:shape id="_x0000_i1066" type="#_x0000_t75" style="width:129pt;height:50.5pt">
            <v:imagedata r:id="rId510" o:title=""/>
          </v:shape>
        </w:pict>
      </w:r>
    </w:p>
    <w:p w14:paraId="7CDDB0F8"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284-300; ISSN: 1087-724X, 1552-7549</w:t>
      </w:r>
    </w:p>
    <w:p w14:paraId="5FDB04A4"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6889 words</w:t>
      </w:r>
    </w:p>
    <w:p w14:paraId="704DECCE" w14:textId="77777777" w:rsidR="00054BF0" w:rsidRDefault="00000000">
      <w:pPr>
        <w:keepNext/>
        <w:spacing w:before="240" w:line="340" w:lineRule="atLeast"/>
      </w:pPr>
      <w:bookmarkStart w:id="59" w:name="Body_28"/>
      <w:bookmarkEnd w:id="59"/>
      <w:r>
        <w:rPr>
          <w:rFonts w:ascii="Arial" w:eastAsia="Arial" w:hAnsi="Arial" w:cs="Arial"/>
          <w:b/>
          <w:color w:val="000000"/>
          <w:sz w:val="28"/>
        </w:rPr>
        <w:t>Body</w:t>
      </w:r>
    </w:p>
    <w:p w14:paraId="788283E2" w14:textId="77777777" w:rsidR="00054BF0" w:rsidRDefault="00000000">
      <w:pPr>
        <w:spacing w:line="60" w:lineRule="exact"/>
      </w:pPr>
      <w:r>
        <w:pict w14:anchorId="2B04262A">
          <v:line id="_x0000_s2149" style="position:absolute;z-index:251718656" from="0,2pt" to="512pt,2pt" strokecolor="#009ddb" strokeweight="2pt">
            <w10:wrap type="topAndBottom"/>
          </v:line>
        </w:pict>
      </w:r>
    </w:p>
    <w:p w14:paraId="420A686B" w14:textId="77777777" w:rsidR="00054BF0" w:rsidRDefault="00054BF0"/>
    <w:p w14:paraId="24549954" w14:textId="77777777" w:rsidR="00054BF0" w:rsidRDefault="00000000">
      <w:pPr>
        <w:spacing w:before="240" w:line="260" w:lineRule="atLeast"/>
      </w:pPr>
      <w:r>
        <w:rPr>
          <w:rFonts w:ascii="Arial" w:eastAsia="Arial" w:hAnsi="Arial" w:cs="Arial"/>
          <w:b/>
          <w:color w:val="000000"/>
          <w:sz w:val="20"/>
        </w:rPr>
        <w:t>ABSTRACT</w:t>
      </w:r>
    </w:p>
    <w:p w14:paraId="5C8AF7CB" w14:textId="77777777" w:rsidR="00054BF0" w:rsidRDefault="00000000">
      <w:pPr>
        <w:spacing w:before="200" w:line="260" w:lineRule="atLeast"/>
        <w:jc w:val="both"/>
      </w:pPr>
      <w:r>
        <w:rPr>
          <w:rFonts w:ascii="Arial" w:eastAsia="Arial" w:hAnsi="Arial" w:cs="Arial"/>
          <w:color w:val="000000"/>
          <w:sz w:val="20"/>
        </w:rPr>
        <w:t xml:space="preserve">Many developing countries have resorted to BOT (build–operate–transfer) scheme for infrastructure development. Although BOT scheme would bring significant benefits to developing countries, it conceals structural vulnerabilities. This has made the private sector hesitant in investing in BOT projects unless key risks are covered by governments under public private partnership (PPP) arrangements. Having seen this problem, developing countries have offered overly lucrative guarantees to private investors, which have ended </w:t>
      </w:r>
      <w:r>
        <w:rPr>
          <w:rFonts w:ascii="Arial" w:eastAsia="Arial" w:hAnsi="Arial" w:cs="Arial"/>
          <w:b/>
          <w:i/>
          <w:color w:val="000000"/>
          <w:sz w:val="20"/>
          <w:u w:val="single"/>
        </w:rPr>
        <w:t>up</w:t>
      </w:r>
      <w:r>
        <w:rPr>
          <w:rFonts w:ascii="Arial" w:eastAsia="Arial" w:hAnsi="Arial" w:cs="Arial"/>
          <w:color w:val="000000"/>
          <w:sz w:val="20"/>
        </w:rPr>
        <w:t xml:space="preserve"> with huge payments at a later stage. The purpose of this study is to find a kind of PPP measures which would be effective in getting the private sector to participate in BOT projects with little public-sector support being offered. For this purpose, a cross-country comparison was conducted, which has identified that some of PPP measures adopted in India are effective. Although their applicability to other developing countries is limited, it was found possible if combined with appropriate measures and confined to right sectors.</w:t>
      </w:r>
    </w:p>
    <w:p w14:paraId="5A50FD23" w14:textId="77777777" w:rsidR="00054BF0" w:rsidRDefault="00000000">
      <w:pPr>
        <w:spacing w:before="240" w:line="260" w:lineRule="atLeast"/>
      </w:pPr>
      <w:r>
        <w:rPr>
          <w:rFonts w:ascii="Arial" w:eastAsia="Arial" w:hAnsi="Arial" w:cs="Arial"/>
          <w:b/>
          <w:color w:val="000000"/>
          <w:sz w:val="20"/>
        </w:rPr>
        <w:t>FULL TEXT</w:t>
      </w:r>
    </w:p>
    <w:p w14:paraId="700C121C" w14:textId="77777777" w:rsidR="00054BF0" w:rsidRDefault="00000000">
      <w:pPr>
        <w:spacing w:before="240" w:line="260" w:lineRule="atLeast"/>
      </w:pPr>
      <w:r>
        <w:rPr>
          <w:rFonts w:ascii="Arial" w:eastAsia="Arial" w:hAnsi="Arial" w:cs="Arial"/>
          <w:b/>
          <w:color w:val="000000"/>
          <w:sz w:val="20"/>
        </w:rPr>
        <w:t>Introduction</w:t>
      </w:r>
    </w:p>
    <w:p w14:paraId="1A1FB9AE" w14:textId="77777777" w:rsidR="00054BF0" w:rsidRDefault="00000000">
      <w:pPr>
        <w:spacing w:before="200" w:line="260" w:lineRule="atLeast"/>
        <w:jc w:val="both"/>
      </w:pPr>
      <w:r>
        <w:rPr>
          <w:rFonts w:ascii="Arial" w:eastAsia="Arial" w:hAnsi="Arial" w:cs="Arial"/>
          <w:color w:val="000000"/>
          <w:sz w:val="20"/>
        </w:rPr>
        <w:t>Faced with chronic capacity shortage of infrastructure, a number of developing countries have resorted to the public private partnership (PPP) for infrastructure development. The specific type of PPP widely used in developing countries is build–operate–transfer (BOT), rather than “Unitary Payment” or “Annuity” Scheme. This is due in part to the fact that the BOT type arrangement is more suited for large investment projects for economic infrastructure, while the unitary payment or annuity scheme is more suited for social infrastructure such as hospitals or schools. In developing countries, a higher priority has often been given to economic infrastructure, rather than social infrastructure.</w:t>
      </w:r>
    </w:p>
    <w:p w14:paraId="4E230547" w14:textId="77777777" w:rsidR="00054BF0" w:rsidRDefault="00000000">
      <w:pPr>
        <w:spacing w:before="200" w:line="260" w:lineRule="atLeast"/>
        <w:jc w:val="both"/>
      </w:pPr>
      <w:r>
        <w:rPr>
          <w:rFonts w:ascii="Arial" w:eastAsia="Arial" w:hAnsi="Arial" w:cs="Arial"/>
          <w:color w:val="000000"/>
          <w:sz w:val="20"/>
        </w:rPr>
        <w:lastRenderedPageBreak/>
        <w:t>Although the BOT plays an important role for infrastructure development, private investors are reluctant in investing in BOT projects in developing countries because of greater risks associated with BOT arrangements. Unless commercial risks are substantially covered by the governments, the private sector is unwilling to invest in BOT type projects. This trend has become even clearer after Asian Financial Crisis of 1997, which had made foreign investors more cautious about investing in risky projects in developing countries.</w:t>
      </w:r>
    </w:p>
    <w:p w14:paraId="308E500F" w14:textId="77777777" w:rsidR="00054BF0" w:rsidRDefault="00000000">
      <w:pPr>
        <w:spacing w:before="200" w:line="260" w:lineRule="atLeast"/>
        <w:jc w:val="both"/>
      </w:pPr>
      <w:r>
        <w:rPr>
          <w:rFonts w:ascii="Arial" w:eastAsia="Arial" w:hAnsi="Arial" w:cs="Arial"/>
          <w:color w:val="000000"/>
          <w:sz w:val="20"/>
        </w:rPr>
        <w:t xml:space="preserve">Cognizant of this problem, developing countries have </w:t>
      </w:r>
      <w:r>
        <w:rPr>
          <w:rFonts w:ascii="Arial" w:eastAsia="Arial" w:hAnsi="Arial" w:cs="Arial"/>
          <w:b/>
          <w:i/>
          <w:color w:val="000000"/>
          <w:sz w:val="20"/>
          <w:u w:val="single"/>
        </w:rPr>
        <w:t>started</w:t>
      </w:r>
      <w:r>
        <w:rPr>
          <w:rFonts w:ascii="Arial" w:eastAsia="Arial" w:hAnsi="Arial" w:cs="Arial"/>
          <w:color w:val="000000"/>
          <w:sz w:val="20"/>
        </w:rPr>
        <w:t xml:space="preserve"> offering leniently structured guarantees to the private investors. As these guarantees are often very extensive, the BOT scheme is now known as PPP. As guarantees provide an easy way-out of deadlocked negotiation with investors, the developing countries can overly resort to the guarantees. Although these offers may initially help the developing governments to get the contracts concluded faster, this approach may haunt later the governments by huge obligations to pay for the losses to be suffered by the private sector. There have been a number of cases in which developing countries have ended </w:t>
      </w:r>
      <w:r>
        <w:rPr>
          <w:rFonts w:ascii="Arial" w:eastAsia="Arial" w:hAnsi="Arial" w:cs="Arial"/>
          <w:b/>
          <w:i/>
          <w:color w:val="000000"/>
          <w:sz w:val="20"/>
          <w:u w:val="single"/>
        </w:rPr>
        <w:t>up</w:t>
      </w:r>
      <w:r>
        <w:rPr>
          <w:rFonts w:ascii="Arial" w:eastAsia="Arial" w:hAnsi="Arial" w:cs="Arial"/>
          <w:color w:val="000000"/>
          <w:sz w:val="20"/>
        </w:rPr>
        <w:t xml:space="preserve"> with a huge amount of payments having been made to the private sector. A typical case is Mexican highway development program implemented under the BOT scheme from 1989 to 1994, which had paid $7 billion of bailout for the program of $13 billion.</w:t>
      </w:r>
    </w:p>
    <w:p w14:paraId="5EA20C11" w14:textId="77777777" w:rsidR="00054BF0" w:rsidRDefault="00000000">
      <w:pPr>
        <w:spacing w:before="200" w:line="260" w:lineRule="atLeast"/>
        <w:jc w:val="both"/>
      </w:pPr>
      <w:r>
        <w:rPr>
          <w:rFonts w:ascii="Arial" w:eastAsia="Arial" w:hAnsi="Arial" w:cs="Arial"/>
          <w:color w:val="000000"/>
          <w:sz w:val="20"/>
        </w:rPr>
        <w:t>This experience clearly indicates the need to pay an attention not only to the incentive side of BOT investments but also to their consequence on the fiscal balance of the future. The real challenge facing developing countries is how to secure private sector participation in BOT projects without committing too much for future losses to be suffered by the private sector.</w:t>
      </w:r>
    </w:p>
    <w:p w14:paraId="09B5BFFF" w14:textId="77777777" w:rsidR="00054BF0" w:rsidRDefault="00000000">
      <w:pPr>
        <w:spacing w:before="240" w:line="260" w:lineRule="atLeast"/>
      </w:pPr>
      <w:r>
        <w:rPr>
          <w:rFonts w:ascii="Arial" w:eastAsia="Arial" w:hAnsi="Arial" w:cs="Arial"/>
          <w:b/>
          <w:color w:val="000000"/>
          <w:sz w:val="20"/>
        </w:rPr>
        <w:t>Scope of the Study</w:t>
      </w:r>
    </w:p>
    <w:p w14:paraId="1C93489F" w14:textId="77777777" w:rsidR="00054BF0" w:rsidRDefault="00000000">
      <w:pPr>
        <w:spacing w:before="200" w:line="260" w:lineRule="atLeast"/>
        <w:jc w:val="both"/>
      </w:pPr>
      <w:r>
        <w:rPr>
          <w:rFonts w:ascii="Arial" w:eastAsia="Arial" w:hAnsi="Arial" w:cs="Arial"/>
          <w:color w:val="000000"/>
          <w:sz w:val="20"/>
        </w:rPr>
        <w:t>Before getting into the detailed analysis, it is useful to clarify what type of PPP is primarily discussed in this article. When referring to PPP, it encompasses several types of PPP, including (a) unitary-payment scheme which are often applied to public service concession, (b) availability-payment scheme (or annuity scheme), (c) PPP arrangement which supplements the vulnerabilities of BOT scheme, and (d) a straightforward BOT scheme.</w:t>
      </w:r>
    </w:p>
    <w:p w14:paraId="5955AAF7" w14:textId="77777777" w:rsidR="00054BF0" w:rsidRDefault="00000000">
      <w:pPr>
        <w:spacing w:before="200" w:line="260" w:lineRule="atLeast"/>
        <w:jc w:val="both"/>
      </w:pPr>
      <w:r>
        <w:rPr>
          <w:rFonts w:ascii="Arial" w:eastAsia="Arial" w:hAnsi="Arial" w:cs="Arial"/>
          <w:color w:val="000000"/>
          <w:sz w:val="20"/>
        </w:rPr>
        <w:t>PPP can be schematically categorized by two sets of criteria. The first criterion is whether it is investment-oriented or service-oriented. The second criterion is which side of the parties would primarily cover commercial risks, between the government and the private sector. Based on these two criteria, the relative positions of the above four types of PPP can be illustrated as follows (Figure 1). Among these four types of PPP, this article will primarily focus on the BOT type PPP which is indicated by the dark red.</w:t>
      </w:r>
    </w:p>
    <w:p w14:paraId="468CB034" w14:textId="77777777" w:rsidR="00054BF0" w:rsidRDefault="00000000">
      <w:pPr>
        <w:spacing w:before="240" w:line="260" w:lineRule="atLeast"/>
      </w:pPr>
      <w:r>
        <w:rPr>
          <w:rFonts w:ascii="Arial" w:eastAsia="Arial" w:hAnsi="Arial" w:cs="Arial"/>
          <w:b/>
          <w:color w:val="000000"/>
          <w:sz w:val="20"/>
        </w:rPr>
        <w:t>Figure 1.</w:t>
      </w:r>
    </w:p>
    <w:p w14:paraId="1E509901" w14:textId="77777777" w:rsidR="00054BF0" w:rsidRDefault="00000000">
      <w:pPr>
        <w:spacing w:before="200" w:line="260" w:lineRule="atLeast"/>
        <w:jc w:val="both"/>
      </w:pPr>
      <w:r>
        <w:rPr>
          <w:rFonts w:ascii="Arial" w:eastAsia="Arial" w:hAnsi="Arial" w:cs="Arial"/>
          <w:color w:val="000000"/>
          <w:sz w:val="20"/>
        </w:rPr>
        <w:t>Relative positions of various types of PPP.</w:t>
      </w:r>
    </w:p>
    <w:p w14:paraId="150A743D"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Prepared by S. Tsukada.</w:t>
      </w:r>
    </w:p>
    <w:p w14:paraId="4D19F677"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 BOT = build–operate–transfer.</w:t>
      </w:r>
    </w:p>
    <w:p w14:paraId="781116CF" w14:textId="77777777" w:rsidR="00054BF0" w:rsidRDefault="00000000">
      <w:pPr>
        <w:spacing w:before="240" w:line="260" w:lineRule="atLeast"/>
      </w:pPr>
      <w:r>
        <w:rPr>
          <w:rFonts w:ascii="Arial" w:eastAsia="Arial" w:hAnsi="Arial" w:cs="Arial"/>
          <w:b/>
          <w:color w:val="000000"/>
          <w:sz w:val="20"/>
        </w:rPr>
        <w:t>Purpose of the Research</w:t>
      </w:r>
    </w:p>
    <w:p w14:paraId="42A4EC66" w14:textId="77777777" w:rsidR="00054BF0" w:rsidRDefault="00000000">
      <w:pPr>
        <w:spacing w:before="200" w:line="260" w:lineRule="atLeast"/>
        <w:jc w:val="both"/>
      </w:pPr>
      <w:r>
        <w:rPr>
          <w:rFonts w:ascii="Arial" w:eastAsia="Arial" w:hAnsi="Arial" w:cs="Arial"/>
          <w:color w:val="000000"/>
          <w:sz w:val="20"/>
        </w:rPr>
        <w:t>The primary purpose of the research is to identify a kind of PPP measures which will be effective in securing private sector participation, but do not necessitate the large amount of later payments to cover future losses to be incurred by the private investors.</w:t>
      </w:r>
    </w:p>
    <w:p w14:paraId="4C0DDFCB" w14:textId="77777777" w:rsidR="00054BF0" w:rsidRDefault="00000000">
      <w:pPr>
        <w:spacing w:before="200" w:line="260" w:lineRule="atLeast"/>
        <w:jc w:val="both"/>
      </w:pPr>
      <w:r>
        <w:rPr>
          <w:rFonts w:ascii="Arial" w:eastAsia="Arial" w:hAnsi="Arial" w:cs="Arial"/>
          <w:color w:val="000000"/>
          <w:sz w:val="20"/>
        </w:rPr>
        <w:t>To achieve this objective, the research will be conducted in the following sequence:</w:t>
      </w:r>
    </w:p>
    <w:p w14:paraId="4B4F4750" w14:textId="77777777" w:rsidR="00054BF0" w:rsidRDefault="00000000">
      <w:pPr>
        <w:spacing w:before="200" w:line="260" w:lineRule="atLeast"/>
        <w:jc w:val="both"/>
      </w:pPr>
      <w:r>
        <w:rPr>
          <w:rFonts w:ascii="Arial" w:eastAsia="Arial" w:hAnsi="Arial" w:cs="Arial"/>
          <w:color w:val="000000"/>
          <w:sz w:val="20"/>
        </w:rPr>
        <w:t>Identification of structural vulnerabilities of BOT scheme</w:t>
      </w:r>
    </w:p>
    <w:p w14:paraId="3B6F965D" w14:textId="77777777" w:rsidR="00054BF0" w:rsidRDefault="00000000">
      <w:pPr>
        <w:spacing w:before="200" w:line="260" w:lineRule="atLeast"/>
        <w:jc w:val="both"/>
      </w:pPr>
      <w:r>
        <w:rPr>
          <w:rFonts w:ascii="Arial" w:eastAsia="Arial" w:hAnsi="Arial" w:cs="Arial"/>
          <w:color w:val="000000"/>
          <w:sz w:val="20"/>
        </w:rPr>
        <w:t>Cross-country comparison to find those PPP measures which were designed to address these vulnerabilities identified through the above analysis</w:t>
      </w:r>
    </w:p>
    <w:p w14:paraId="42E84082" w14:textId="77777777" w:rsidR="00054BF0" w:rsidRDefault="00000000">
      <w:pPr>
        <w:spacing w:before="200" w:line="260" w:lineRule="atLeast"/>
        <w:jc w:val="both"/>
      </w:pPr>
      <w:r>
        <w:rPr>
          <w:rFonts w:ascii="Arial" w:eastAsia="Arial" w:hAnsi="Arial" w:cs="Arial"/>
          <w:color w:val="000000"/>
          <w:sz w:val="20"/>
        </w:rPr>
        <w:lastRenderedPageBreak/>
        <w:t>Examination of cost-effectiveness of each of the PPP measures thus identified through the above exercise</w:t>
      </w:r>
    </w:p>
    <w:p w14:paraId="62FF8315" w14:textId="77777777" w:rsidR="00054BF0" w:rsidRDefault="00000000">
      <w:pPr>
        <w:spacing w:before="200" w:line="260" w:lineRule="atLeast"/>
        <w:jc w:val="both"/>
      </w:pPr>
      <w:r>
        <w:rPr>
          <w:rFonts w:ascii="Arial" w:eastAsia="Arial" w:hAnsi="Arial" w:cs="Arial"/>
          <w:color w:val="000000"/>
          <w:sz w:val="20"/>
        </w:rPr>
        <w:t>Comparison of several countries in terms of cost-effectiveness of each PPP system so as to identify what country is comparatively successful in this endeavor</w:t>
      </w:r>
    </w:p>
    <w:p w14:paraId="7F549DE2" w14:textId="77777777" w:rsidR="00054BF0" w:rsidRDefault="00000000">
      <w:pPr>
        <w:spacing w:before="200" w:line="260" w:lineRule="atLeast"/>
        <w:jc w:val="both"/>
      </w:pPr>
      <w:r>
        <w:rPr>
          <w:rFonts w:ascii="Arial" w:eastAsia="Arial" w:hAnsi="Arial" w:cs="Arial"/>
          <w:color w:val="000000"/>
          <w:sz w:val="20"/>
        </w:rPr>
        <w:t>If one country is found successful in introducing cost-effective PPP system, the identification of the underlying factors which have enabled that specific country to develop such a PPP system.</w:t>
      </w:r>
    </w:p>
    <w:p w14:paraId="6C39DE76" w14:textId="77777777" w:rsidR="00054BF0" w:rsidRDefault="00000000">
      <w:pPr>
        <w:spacing w:before="240" w:line="260" w:lineRule="atLeast"/>
      </w:pPr>
      <w:r>
        <w:rPr>
          <w:rFonts w:ascii="Arial" w:eastAsia="Arial" w:hAnsi="Arial" w:cs="Arial"/>
          <w:b/>
          <w:color w:val="000000"/>
          <w:sz w:val="20"/>
        </w:rPr>
        <w:t>Significance of the Study</w:t>
      </w:r>
    </w:p>
    <w:p w14:paraId="03183C59" w14:textId="77777777" w:rsidR="00054BF0" w:rsidRDefault="00000000">
      <w:pPr>
        <w:spacing w:before="200" w:line="260" w:lineRule="atLeast"/>
        <w:jc w:val="both"/>
      </w:pPr>
      <w:r>
        <w:rPr>
          <w:rFonts w:ascii="Arial" w:eastAsia="Arial" w:hAnsi="Arial" w:cs="Arial"/>
          <w:color w:val="000000"/>
          <w:sz w:val="20"/>
        </w:rPr>
        <w:t>Although there are a number of studies on the PPP, most of the studies have focused on the evaluation of performance of PPP projects/programs with an aim to learn lessons from failed or success projects/programs (Cuttaree, 2008). A general evaluation of the BOT scheme is positive because combining construction to operation has provided BOT developers with a stronger incentive for higher efficiency and reduction of the life cycle costs of projects/programs (Fisher &amp; Babbar, 2002). Papers also indicated that, in spite of this advantage, many projects failed due to overly concessional contractual agreements or unrealistic implementation schedule.</w:t>
      </w:r>
    </w:p>
    <w:p w14:paraId="53CFCFF6" w14:textId="77777777" w:rsidR="00054BF0" w:rsidRDefault="00000000">
      <w:pPr>
        <w:spacing w:before="200" w:line="260" w:lineRule="atLeast"/>
        <w:jc w:val="both"/>
      </w:pPr>
      <w:r>
        <w:rPr>
          <w:rFonts w:ascii="Arial" w:eastAsia="Arial" w:hAnsi="Arial" w:cs="Arial"/>
          <w:color w:val="000000"/>
          <w:sz w:val="20"/>
        </w:rPr>
        <w:t>Another type of the studies which have been carried out on the PPP is an analysis of the PPP system of a specific country, discussing legal frameworks, risk allocation, and/or institutional arrangements. These studies have stressed the importance of creating such legal frameworks or institutional environments which are conducive to the private sector investments, but few papers exist that look into the negative side of pro-investment policy or incentive measures.</w:t>
      </w:r>
    </w:p>
    <w:p w14:paraId="666A01F5" w14:textId="77777777" w:rsidR="00054BF0" w:rsidRDefault="00000000">
      <w:pPr>
        <w:spacing w:before="200" w:line="260" w:lineRule="atLeast"/>
        <w:jc w:val="both"/>
      </w:pPr>
      <w:r>
        <w:rPr>
          <w:rFonts w:ascii="Arial" w:eastAsia="Arial" w:hAnsi="Arial" w:cs="Arial"/>
          <w:color w:val="000000"/>
          <w:sz w:val="20"/>
        </w:rPr>
        <w:t>Although relatively rare, there are some studies conducting cross-country comparisons of PPP systems, but most of them are merely descriptive so as to help their audience gain insight on varying features of the PPP systems employed (PricewaterhouseCoopers, 2007). In contrast, this article focuses on finding how those countries which have been selected for cross-country comparison have dealt with the vulnerability issue of the BOT scheme under PPP arrangements, which clearly goes further that previous research, which typically was just descriptions of PPP systems of various countries.</w:t>
      </w:r>
    </w:p>
    <w:p w14:paraId="0BDA12F0" w14:textId="77777777" w:rsidR="00054BF0" w:rsidRDefault="00000000">
      <w:pPr>
        <w:spacing w:before="200" w:line="260" w:lineRule="atLeast"/>
        <w:jc w:val="both"/>
      </w:pPr>
      <w:r>
        <w:rPr>
          <w:rFonts w:ascii="Arial" w:eastAsia="Arial" w:hAnsi="Arial" w:cs="Arial"/>
          <w:color w:val="000000"/>
          <w:sz w:val="20"/>
        </w:rPr>
        <w:t>The main contribution of this study is shedding light on the possible consequences of a variety of incentive measures, which could require a major outlay of compensation by the government in later stages. The article is intended to provide governments with some ideas on possible measures that would enable them to avoid being trapped in this manner. A further contribution of this study is that an increasing number of governments can be in a better negotiating position with possible private sector investors in the finalization of contracts.</w:t>
      </w:r>
    </w:p>
    <w:p w14:paraId="48152920" w14:textId="77777777" w:rsidR="00054BF0" w:rsidRDefault="00000000">
      <w:pPr>
        <w:spacing w:before="240" w:line="260" w:lineRule="atLeast"/>
      </w:pPr>
      <w:r>
        <w:rPr>
          <w:rFonts w:ascii="Arial" w:eastAsia="Arial" w:hAnsi="Arial" w:cs="Arial"/>
          <w:b/>
          <w:color w:val="000000"/>
          <w:sz w:val="20"/>
        </w:rPr>
        <w:t>Identification of Vulnerabilities of BOT</w:t>
      </w:r>
    </w:p>
    <w:p w14:paraId="6ED78358" w14:textId="77777777" w:rsidR="00054BF0" w:rsidRDefault="00000000">
      <w:pPr>
        <w:spacing w:before="200" w:line="260" w:lineRule="atLeast"/>
        <w:jc w:val="both"/>
      </w:pPr>
      <w:r>
        <w:rPr>
          <w:rFonts w:ascii="Arial" w:eastAsia="Arial" w:hAnsi="Arial" w:cs="Arial"/>
          <w:color w:val="000000"/>
          <w:sz w:val="20"/>
        </w:rPr>
        <w:t>Although the BOT offers a potentially lucrative option for both governments and developers, it conceals structural vulnerabilities. These vulnerabilities are stemmed from the original design f the BOT scheme.</w:t>
      </w:r>
    </w:p>
    <w:p w14:paraId="5CD6B530" w14:textId="77777777" w:rsidR="00054BF0" w:rsidRDefault="00000000">
      <w:pPr>
        <w:spacing w:before="240" w:line="260" w:lineRule="atLeast"/>
      </w:pPr>
      <w:r>
        <w:rPr>
          <w:rFonts w:ascii="Arial" w:eastAsia="Arial" w:hAnsi="Arial" w:cs="Arial"/>
          <w:b/>
          <w:color w:val="000000"/>
          <w:sz w:val="20"/>
        </w:rPr>
        <w:t>Genesis of BOT Scheme</w:t>
      </w:r>
    </w:p>
    <w:p w14:paraId="33F1D3C5" w14:textId="77777777" w:rsidR="00054BF0" w:rsidRDefault="00000000">
      <w:pPr>
        <w:spacing w:before="200" w:line="260" w:lineRule="atLeast"/>
        <w:jc w:val="both"/>
      </w:pPr>
      <w:r>
        <w:rPr>
          <w:rFonts w:ascii="Arial" w:eastAsia="Arial" w:hAnsi="Arial" w:cs="Arial"/>
          <w:color w:val="000000"/>
          <w:sz w:val="20"/>
        </w:rPr>
        <w:t>In 1983, Motherland Party of Turkey led by Turgut Ozal won the general election with a promise of delivering infrastructure in an accelerated manner, but Ozal Administration found it difficult to deliver this promise due to the lack of national budget for this purpose. Having seen the situation, European construction industry extended a helping hand to the Administration with a proposal that, instead of the Government, they would build infrastructure without charging the government for the cost. Furthermore, they would maintain and operate for decades and eventually transfer back those infrastructure facilities to the government. Only condition attached to his proposal is they should be allowed to charge users for their use of infrastructure facilities they constructed.</w:t>
      </w:r>
    </w:p>
    <w:p w14:paraId="5F560488" w14:textId="77777777" w:rsidR="00054BF0" w:rsidRDefault="00000000">
      <w:pPr>
        <w:spacing w:before="200" w:line="260" w:lineRule="atLeast"/>
        <w:jc w:val="both"/>
      </w:pPr>
      <w:r>
        <w:rPr>
          <w:rFonts w:ascii="Arial" w:eastAsia="Arial" w:hAnsi="Arial" w:cs="Arial"/>
          <w:color w:val="000000"/>
          <w:sz w:val="20"/>
        </w:rPr>
        <w:t xml:space="preserve">This proposal was very attractive for the Government, but how this enticing proposal has been made possible? Before answering this question, the above concept of BOT would be rephrased in the following manner so as to link it to the arguments to be developed later: Once a winner for the project is selected through the competitive bidding </w:t>
      </w:r>
      <w:r>
        <w:rPr>
          <w:rFonts w:ascii="Arial" w:eastAsia="Arial" w:hAnsi="Arial" w:cs="Arial"/>
          <w:color w:val="000000"/>
          <w:sz w:val="20"/>
        </w:rPr>
        <w:lastRenderedPageBreak/>
        <w:t>or on a sole source basis, the private investors would be given an exclusive right (</w:t>
      </w:r>
      <w:r>
        <w:rPr>
          <w:rFonts w:ascii="Arial" w:eastAsia="Arial" w:hAnsi="Arial" w:cs="Arial"/>
          <w:i/>
          <w:color w:val="000000"/>
          <w:sz w:val="20"/>
        </w:rPr>
        <w:t>concession</w:t>
      </w:r>
      <w:r>
        <w:rPr>
          <w:rFonts w:ascii="Arial" w:eastAsia="Arial" w:hAnsi="Arial" w:cs="Arial"/>
          <w:color w:val="000000"/>
          <w:sz w:val="20"/>
        </w:rPr>
        <w:t xml:space="preserve">) to operate infrastructure facilities in a monopolistic or semi-monopolistic manner with permission to charge users for their services. Once the concession is awarded, these private investors, i.e. a consortium of private investors, would form a legal entity, </w:t>
      </w:r>
      <w:r>
        <w:rPr>
          <w:rFonts w:ascii="Arial" w:eastAsia="Arial" w:hAnsi="Arial" w:cs="Arial"/>
          <w:i/>
          <w:color w:val="000000"/>
          <w:sz w:val="20"/>
        </w:rPr>
        <w:t>Special Purpose Vehicle (SPV)</w:t>
      </w:r>
      <w:r>
        <w:rPr>
          <w:rFonts w:ascii="Arial" w:eastAsia="Arial" w:hAnsi="Arial" w:cs="Arial"/>
          <w:color w:val="000000"/>
          <w:sz w:val="20"/>
        </w:rPr>
        <w:t>, which is solely dedicated for the development and subsequent operation of the project. The SPV would then secure loans by themselves from financiers without offering collateral or any other securities to financiers, but only through the business plan which demonstrates financial viability of the project, more exactly positive free cash flow (</w:t>
      </w:r>
      <w:r>
        <w:rPr>
          <w:rFonts w:ascii="Arial" w:eastAsia="Arial" w:hAnsi="Arial" w:cs="Arial"/>
          <w:i/>
          <w:color w:val="000000"/>
          <w:sz w:val="20"/>
        </w:rPr>
        <w:t>non-recourse finance</w:t>
      </w:r>
      <w:r>
        <w:rPr>
          <w:rFonts w:ascii="Arial" w:eastAsia="Arial" w:hAnsi="Arial" w:cs="Arial"/>
          <w:color w:val="000000"/>
          <w:sz w:val="20"/>
        </w:rPr>
        <w:t>).1</w:t>
      </w:r>
    </w:p>
    <w:p w14:paraId="01F8B8B1" w14:textId="77777777" w:rsidR="00054BF0" w:rsidRDefault="00000000">
      <w:pPr>
        <w:spacing w:before="200" w:line="260" w:lineRule="atLeast"/>
        <w:jc w:val="both"/>
      </w:pPr>
      <w:r>
        <w:rPr>
          <w:rFonts w:ascii="Arial" w:eastAsia="Arial" w:hAnsi="Arial" w:cs="Arial"/>
          <w:color w:val="000000"/>
          <w:sz w:val="20"/>
        </w:rPr>
        <w:t>The above definition is intended to elucidate three key elements of BOT, namely, (a) nonrecourse finance, (b) public service concession, and (c) special purpose vehicle (SPV). These three elements constitute the essential elements of the BOT scheme, but at the same time, they form as root causes of vulnerabilities.</w:t>
      </w:r>
    </w:p>
    <w:p w14:paraId="3DD20544" w14:textId="77777777" w:rsidR="00054BF0" w:rsidRDefault="00000000">
      <w:pPr>
        <w:spacing w:before="240" w:line="260" w:lineRule="atLeast"/>
      </w:pPr>
      <w:r>
        <w:rPr>
          <w:rFonts w:ascii="Arial" w:eastAsia="Arial" w:hAnsi="Arial" w:cs="Arial"/>
          <w:b/>
          <w:color w:val="000000"/>
          <w:sz w:val="20"/>
        </w:rPr>
        <w:t>Nonrecourse finance</w:t>
      </w:r>
    </w:p>
    <w:p w14:paraId="3D20C691" w14:textId="77777777" w:rsidR="00054BF0" w:rsidRDefault="00000000">
      <w:pPr>
        <w:spacing w:before="200" w:line="260" w:lineRule="atLeast"/>
        <w:jc w:val="both"/>
      </w:pPr>
      <w:r>
        <w:rPr>
          <w:rFonts w:ascii="Arial" w:eastAsia="Arial" w:hAnsi="Arial" w:cs="Arial"/>
          <w:color w:val="000000"/>
          <w:sz w:val="20"/>
        </w:rPr>
        <w:t>A central trick to the BOT concept was the application of the concept of “project finance,” or “nonrecourse finance” to infrastructure projects. The project finance has been fitted well for energy projects, but not for other infrastructure projects such as ports, rail, or toll roads, as the former has off-takers for those products to be delivered later by the projects. Long term contracts to be concluded with off-takers would help BOT operators reduce commercial risks entailing the future revenue stream. A real world example for the application of the project finance approach is North Sea Oil Projects explored in 1970s to which BP, Shell, and other oil majors had committed to purchase all of the products to be delivered by the Project. In contrast, typical infrastructure projects such as toll road projects do not have any committed purchaser for the services to be delivered by those infrastructure facilities. This twisted application of the project finance concept to infrastructure projects is the main factor which has enabled this enticing arrangement to be materialized.</w:t>
      </w:r>
    </w:p>
    <w:p w14:paraId="2D6E7062" w14:textId="77777777" w:rsidR="00054BF0" w:rsidRDefault="00000000">
      <w:pPr>
        <w:spacing w:before="240" w:line="260" w:lineRule="atLeast"/>
      </w:pPr>
      <w:r>
        <w:rPr>
          <w:rFonts w:ascii="Arial" w:eastAsia="Arial" w:hAnsi="Arial" w:cs="Arial"/>
          <w:b/>
          <w:color w:val="000000"/>
          <w:sz w:val="20"/>
        </w:rPr>
        <w:t>Public service concession</w:t>
      </w:r>
    </w:p>
    <w:p w14:paraId="00DA32ED" w14:textId="77777777" w:rsidR="00054BF0" w:rsidRDefault="00000000">
      <w:pPr>
        <w:spacing w:before="200" w:line="260" w:lineRule="atLeast"/>
        <w:jc w:val="both"/>
      </w:pPr>
      <w:r>
        <w:rPr>
          <w:rFonts w:ascii="Arial" w:eastAsia="Arial" w:hAnsi="Arial" w:cs="Arial"/>
          <w:color w:val="000000"/>
          <w:sz w:val="20"/>
        </w:rPr>
        <w:t>Public service concession is another key element enabling the BOT scheme to take off. The concession scheme has long been employed when the government decides to delegate the provision of the public services to the private sector. The first recorded example of the public service concession was a water distribution project for the City of Paris in which concession was granted to Perier Brothers in 1782 (Walker &amp; Smith, 1995). This project was followed by dozens of similar projects in 19th century in France, Spain, Italy, Belgium, and Germany.</w:t>
      </w:r>
    </w:p>
    <w:p w14:paraId="4DE060F9" w14:textId="77777777" w:rsidR="00054BF0" w:rsidRDefault="00000000">
      <w:pPr>
        <w:spacing w:before="200" w:line="260" w:lineRule="atLeast"/>
        <w:jc w:val="both"/>
      </w:pPr>
      <w:r>
        <w:rPr>
          <w:rFonts w:ascii="Arial" w:eastAsia="Arial" w:hAnsi="Arial" w:cs="Arial"/>
          <w:color w:val="000000"/>
          <w:sz w:val="20"/>
        </w:rPr>
        <w:t>Under the public concession scheme, the private sector is given an exclusive right to operate government’s facilities for the provision of service to the general public. As this type of service falls under the public domain, the private operator is requested to provide services in accordance with public service obligations as stipulated in concession agreements. When the above concession comes to an end, the facilities must be returned to the government. This concept of returning the assets to the government appears to have been incorporated in the BOT scheme under the term “Transfer.”</w:t>
      </w:r>
    </w:p>
    <w:p w14:paraId="33F5171C" w14:textId="77777777" w:rsidR="00054BF0" w:rsidRDefault="00000000">
      <w:pPr>
        <w:spacing w:before="200" w:line="260" w:lineRule="atLeast"/>
        <w:jc w:val="both"/>
      </w:pPr>
      <w:r>
        <w:rPr>
          <w:rFonts w:ascii="Arial" w:eastAsia="Arial" w:hAnsi="Arial" w:cs="Arial"/>
          <w:color w:val="000000"/>
          <w:sz w:val="20"/>
        </w:rPr>
        <w:t>The difference between traditional public service concession and BOT concession is the shift of emphasis from service-orientation to investment-orientation. Under the BOT scheme, while the private sector is obliged to construct facilities, the private sector is, in turn, allowed to charge users with fees for the service provision of infrastructure thus constructed. Although the private sector would be able to set prices at their preferred level, this pricing freedom would often be compromised by the intervention of the public authority. If the concessionaire charges users beyond the deemed affordability, the government may intervene. Meanwhile, if the intervention by the authority is excessive, this can jeopardize the commercial viability of the private operation. This means that the pricing freedom would be always exposed to the potential risk of excessive regulation by the government, which is another source of the vulnerability of BOT operations.</w:t>
      </w:r>
    </w:p>
    <w:p w14:paraId="5C846CA1" w14:textId="77777777" w:rsidR="00054BF0" w:rsidRDefault="00000000">
      <w:pPr>
        <w:spacing w:before="240" w:line="260" w:lineRule="atLeast"/>
      </w:pPr>
      <w:r>
        <w:rPr>
          <w:rFonts w:ascii="Arial" w:eastAsia="Arial" w:hAnsi="Arial" w:cs="Arial"/>
          <w:b/>
          <w:color w:val="000000"/>
          <w:sz w:val="20"/>
        </w:rPr>
        <w:t>SPV</w:t>
      </w:r>
    </w:p>
    <w:p w14:paraId="5F484610" w14:textId="77777777" w:rsidR="00054BF0" w:rsidRDefault="00000000">
      <w:pPr>
        <w:spacing w:before="200" w:line="260" w:lineRule="atLeast"/>
        <w:jc w:val="both"/>
      </w:pPr>
      <w:r>
        <w:rPr>
          <w:rFonts w:ascii="Arial" w:eastAsia="Arial" w:hAnsi="Arial" w:cs="Arial"/>
          <w:color w:val="000000"/>
          <w:sz w:val="20"/>
        </w:rPr>
        <w:lastRenderedPageBreak/>
        <w:t>The above two concepts were wrapped by one legal device, that is, SPV. Once a SPV is established, it serves as a legal protection against financiers for immediate payback of the loans.</w:t>
      </w:r>
    </w:p>
    <w:p w14:paraId="72B4AB07" w14:textId="77777777" w:rsidR="00054BF0" w:rsidRDefault="00000000">
      <w:pPr>
        <w:spacing w:before="200" w:line="260" w:lineRule="atLeast"/>
        <w:jc w:val="both"/>
      </w:pPr>
      <w:r>
        <w:rPr>
          <w:rFonts w:ascii="Arial" w:eastAsia="Arial" w:hAnsi="Arial" w:cs="Arial"/>
          <w:color w:val="000000"/>
          <w:sz w:val="20"/>
        </w:rPr>
        <w:t>Procedurally, when a consortium of project proponents won a contract, they form a SPV to which project proponents (often called sponsors) would make equity investments; in other words, they would become shareholders of the SPV. A portion of initial capital expenditures (often 10%-30%) would come from equity investments, but the rest of capital expenditures would be covered by borrowing from banks and/or other financiers. Although real beneficiaries of these loans are project proponents or sponsors, they are not the borrowers, but the SPV is. When the project is feared to fail, the lenders would immediately request payback of outstanding balance of loans to SPV but not to project proponents or sponsors, as they are not borrowers legally.</w:t>
      </w:r>
    </w:p>
    <w:p w14:paraId="181215DE" w14:textId="77777777" w:rsidR="00054BF0" w:rsidRDefault="00000000">
      <w:pPr>
        <w:spacing w:before="200" w:line="260" w:lineRule="atLeast"/>
        <w:jc w:val="both"/>
      </w:pPr>
      <w:r>
        <w:rPr>
          <w:rFonts w:ascii="Arial" w:eastAsia="Arial" w:hAnsi="Arial" w:cs="Arial"/>
          <w:color w:val="000000"/>
          <w:sz w:val="20"/>
        </w:rPr>
        <w:t>A more important but often overlooked benefit of using the SPV is that it enables project proponents to be paid much faster than usual time table of the BOT project payments, that is, at the time of delivery of equipment/services (Note. One of the main purposes of getting involved in BOT project is that the project proponents intend to sell their equipment or system to the project and to be paid from the project). If the BOT project is executed directly by project proponents, they would not be paid soon, but need to wait for a while until the BOT project generates “free cash flow.” However, this SPV arrangement would enable project proponents to be paid, based on the subcontracts which had been concluded with the SPV. It should be noted that project sponsors are in a position to influence the procurement decision by the SPV.</w:t>
      </w:r>
    </w:p>
    <w:p w14:paraId="08DDB5E6" w14:textId="77777777" w:rsidR="00054BF0" w:rsidRDefault="00000000">
      <w:pPr>
        <w:spacing w:before="200" w:line="260" w:lineRule="atLeast"/>
        <w:jc w:val="both"/>
      </w:pPr>
      <w:r>
        <w:rPr>
          <w:rFonts w:ascii="Arial" w:eastAsia="Arial" w:hAnsi="Arial" w:cs="Arial"/>
          <w:color w:val="000000"/>
          <w:sz w:val="20"/>
        </w:rPr>
        <w:t xml:space="preserve">This structure is a reason why financiers would become extremely cautious about financing BOT projects. When the project has failed, the resultant default would directly hit lenders. Essence of financing is the willingness to take this risk in exchange of earning higher interest from the borrowers. To prevent this from happening, banks often insist on the inclusion of several clauses in the loan agreements, such as “step-in rights” clause, “claw-back” clause, and “escrow-account”. This extreme cautiousness of the financiers toward the SPV arrangement would make hard contract negotiation between SPV and financiers, which may lead to the </w:t>
      </w:r>
      <w:r>
        <w:rPr>
          <w:rFonts w:ascii="Arial" w:eastAsia="Arial" w:hAnsi="Arial" w:cs="Arial"/>
          <w:b/>
          <w:i/>
          <w:color w:val="000000"/>
          <w:sz w:val="20"/>
          <w:u w:val="single"/>
        </w:rPr>
        <w:t>failure</w:t>
      </w:r>
      <w:r>
        <w:rPr>
          <w:rFonts w:ascii="Arial" w:eastAsia="Arial" w:hAnsi="Arial" w:cs="Arial"/>
          <w:color w:val="000000"/>
          <w:sz w:val="20"/>
        </w:rPr>
        <w:t xml:space="preserve"> to reach financial closure in a reasonable time frame.</w:t>
      </w:r>
    </w:p>
    <w:p w14:paraId="3C9800A3" w14:textId="77777777" w:rsidR="00054BF0" w:rsidRDefault="00000000">
      <w:pPr>
        <w:spacing w:before="240" w:line="260" w:lineRule="atLeast"/>
      </w:pPr>
      <w:r>
        <w:rPr>
          <w:rFonts w:ascii="Arial" w:eastAsia="Arial" w:hAnsi="Arial" w:cs="Arial"/>
          <w:b/>
          <w:color w:val="000000"/>
          <w:sz w:val="20"/>
        </w:rPr>
        <w:t>Three vulnerabilities identified from the above analyses</w:t>
      </w:r>
    </w:p>
    <w:p w14:paraId="2E5D3D04" w14:textId="77777777" w:rsidR="00054BF0" w:rsidRDefault="00000000">
      <w:pPr>
        <w:spacing w:before="200" w:line="260" w:lineRule="atLeast"/>
        <w:jc w:val="both"/>
      </w:pPr>
      <w:r>
        <w:rPr>
          <w:rFonts w:ascii="Arial" w:eastAsia="Arial" w:hAnsi="Arial" w:cs="Arial"/>
          <w:color w:val="000000"/>
          <w:sz w:val="20"/>
        </w:rPr>
        <w:t>The above analysis has enabled us to identify the three root causes of vulnerability of BOT scheme as enumerated below.</w:t>
      </w:r>
    </w:p>
    <w:p w14:paraId="49FA8716" w14:textId="77777777" w:rsidR="00054BF0" w:rsidRDefault="00000000">
      <w:pPr>
        <w:spacing w:before="200" w:line="260" w:lineRule="atLeast"/>
        <w:jc w:val="both"/>
      </w:pPr>
      <w:r>
        <w:rPr>
          <w:rFonts w:ascii="Arial" w:eastAsia="Arial" w:hAnsi="Arial" w:cs="Arial"/>
          <w:color w:val="000000"/>
          <w:sz w:val="20"/>
        </w:rPr>
        <w:t>Uncertainty in future revenue of infrastructure projects</w:t>
      </w:r>
    </w:p>
    <w:p w14:paraId="2B1D3F85" w14:textId="77777777" w:rsidR="00054BF0" w:rsidRDefault="00000000">
      <w:pPr>
        <w:spacing w:before="200" w:line="260" w:lineRule="atLeast"/>
        <w:jc w:val="both"/>
      </w:pPr>
      <w:r>
        <w:rPr>
          <w:rFonts w:ascii="Arial" w:eastAsia="Arial" w:hAnsi="Arial" w:cs="Arial"/>
          <w:color w:val="000000"/>
          <w:sz w:val="20"/>
        </w:rPr>
        <w:t>Potential intervention by the government in pricing with resultant difficulty in cost recovery</w:t>
      </w:r>
    </w:p>
    <w:p w14:paraId="1C1A93B5" w14:textId="77777777" w:rsidR="00054BF0" w:rsidRDefault="00000000">
      <w:pPr>
        <w:spacing w:before="200" w:line="260" w:lineRule="atLeast"/>
        <w:jc w:val="both"/>
      </w:pPr>
      <w:r>
        <w:rPr>
          <w:rFonts w:ascii="Arial" w:eastAsia="Arial" w:hAnsi="Arial" w:cs="Arial"/>
          <w:color w:val="000000"/>
          <w:sz w:val="20"/>
        </w:rPr>
        <w:t>Difficulty in securing finance for BOT projects due to the tilted-structure of the SPV toward project proponents</w:t>
      </w:r>
    </w:p>
    <w:p w14:paraId="42A137AF" w14:textId="77777777" w:rsidR="00054BF0" w:rsidRDefault="00000000">
      <w:pPr>
        <w:spacing w:before="240" w:line="260" w:lineRule="atLeast"/>
      </w:pPr>
      <w:r>
        <w:rPr>
          <w:rFonts w:ascii="Arial" w:eastAsia="Arial" w:hAnsi="Arial" w:cs="Arial"/>
          <w:b/>
          <w:color w:val="000000"/>
          <w:sz w:val="20"/>
        </w:rPr>
        <w:t>Cross-Country Comparison of PPP Systems</w:t>
      </w:r>
    </w:p>
    <w:p w14:paraId="3DE1FF81" w14:textId="77777777" w:rsidR="00054BF0" w:rsidRDefault="00000000">
      <w:pPr>
        <w:spacing w:before="200" w:line="260" w:lineRule="atLeast"/>
        <w:jc w:val="both"/>
      </w:pPr>
      <w:r>
        <w:rPr>
          <w:rFonts w:ascii="Arial" w:eastAsia="Arial" w:hAnsi="Arial" w:cs="Arial"/>
          <w:color w:val="000000"/>
          <w:sz w:val="20"/>
        </w:rPr>
        <w:t>Having identified major vulnerabilities of the BOT scheme, these elements would be used as a basis for evaluating the effectiveness of the PPP systems of selected countries as the most important elements of the PPP scheme is how to overcome the vulnerabilities of the BOT scheme. The reason for taking this approach is author’s belief that the PPP was essentially devised to revitalize the BOT scheme by covering its vulnerabilities with government supports.</w:t>
      </w:r>
    </w:p>
    <w:p w14:paraId="2213C3EB" w14:textId="77777777" w:rsidR="00054BF0" w:rsidRDefault="00000000">
      <w:pPr>
        <w:spacing w:before="240" w:line="260" w:lineRule="atLeast"/>
      </w:pPr>
      <w:r>
        <w:rPr>
          <w:rFonts w:ascii="Arial" w:eastAsia="Arial" w:hAnsi="Arial" w:cs="Arial"/>
          <w:b/>
          <w:color w:val="000000"/>
          <w:sz w:val="20"/>
        </w:rPr>
        <w:t>Selection of Countries for Comparison</w:t>
      </w:r>
    </w:p>
    <w:p w14:paraId="6B4FCFDB" w14:textId="77777777" w:rsidR="00054BF0" w:rsidRDefault="00000000">
      <w:pPr>
        <w:spacing w:before="200" w:line="260" w:lineRule="atLeast"/>
        <w:jc w:val="both"/>
      </w:pPr>
      <w:r>
        <w:rPr>
          <w:rFonts w:ascii="Arial" w:eastAsia="Arial" w:hAnsi="Arial" w:cs="Arial"/>
          <w:color w:val="000000"/>
          <w:sz w:val="20"/>
        </w:rPr>
        <w:t xml:space="preserve">For conducting cross-country comparison of the PPP systems, three countries, Chile, Korea, and India, have been selected since these three countries register higher amount of PPP investments </w:t>
      </w:r>
      <w:r>
        <w:rPr>
          <w:rFonts w:ascii="Arial" w:eastAsia="Arial" w:hAnsi="Arial" w:cs="Arial"/>
          <w:i/>
          <w:color w:val="000000"/>
          <w:sz w:val="20"/>
        </w:rPr>
        <w:t>per GDP</w:t>
      </w:r>
      <w:r>
        <w:rPr>
          <w:rFonts w:ascii="Arial" w:eastAsia="Arial" w:hAnsi="Arial" w:cs="Arial"/>
          <w:color w:val="000000"/>
          <w:sz w:val="20"/>
        </w:rPr>
        <w:t xml:space="preserve"> (Figure 2). In addition, these three countries are well known for their excellent track-records of implementation of the PPP programs, together with policy frameworks.</w:t>
      </w:r>
    </w:p>
    <w:p w14:paraId="6FE5FB51" w14:textId="77777777" w:rsidR="00054BF0" w:rsidRDefault="00000000">
      <w:pPr>
        <w:spacing w:before="240" w:line="260" w:lineRule="atLeast"/>
      </w:pPr>
      <w:r>
        <w:rPr>
          <w:rFonts w:ascii="Arial" w:eastAsia="Arial" w:hAnsi="Arial" w:cs="Arial"/>
          <w:b/>
          <w:color w:val="000000"/>
          <w:sz w:val="20"/>
        </w:rPr>
        <w:lastRenderedPageBreak/>
        <w:t>Figure 2.</w:t>
      </w:r>
    </w:p>
    <w:p w14:paraId="64E74EE1" w14:textId="77777777" w:rsidR="00054BF0" w:rsidRDefault="00000000">
      <w:pPr>
        <w:spacing w:before="200" w:line="260" w:lineRule="atLeast"/>
        <w:jc w:val="both"/>
      </w:pPr>
      <w:r>
        <w:rPr>
          <w:rFonts w:ascii="Arial" w:eastAsia="Arial" w:hAnsi="Arial" w:cs="Arial"/>
          <w:color w:val="000000"/>
          <w:sz w:val="20"/>
        </w:rPr>
        <w:t>For PPP investments per GDP of several countries.</w:t>
      </w:r>
    </w:p>
    <w:p w14:paraId="18CA02B4"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Compiled by S. Tsukada based on PSI Database of the World Bank.</w:t>
      </w:r>
    </w:p>
    <w:p w14:paraId="18D67BA0"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7751607E" w14:textId="77777777" w:rsidR="00054BF0" w:rsidRDefault="00000000">
      <w:pPr>
        <w:spacing w:before="240" w:line="260" w:lineRule="atLeast"/>
      </w:pPr>
      <w:r>
        <w:rPr>
          <w:rFonts w:ascii="Arial" w:eastAsia="Arial" w:hAnsi="Arial" w:cs="Arial"/>
          <w:b/>
          <w:color w:val="000000"/>
          <w:sz w:val="20"/>
        </w:rPr>
        <w:t>Chilean PPP System</w:t>
      </w:r>
    </w:p>
    <w:p w14:paraId="07EFCAE5" w14:textId="77777777" w:rsidR="00054BF0" w:rsidRDefault="00000000">
      <w:pPr>
        <w:spacing w:before="240" w:line="260" w:lineRule="atLeast"/>
      </w:pPr>
      <w:r>
        <w:rPr>
          <w:rFonts w:ascii="Arial" w:eastAsia="Arial" w:hAnsi="Arial" w:cs="Arial"/>
          <w:b/>
          <w:color w:val="000000"/>
          <w:sz w:val="20"/>
        </w:rPr>
        <w:t>Overview</w:t>
      </w:r>
    </w:p>
    <w:p w14:paraId="15477641" w14:textId="77777777" w:rsidR="00054BF0" w:rsidRDefault="00000000">
      <w:pPr>
        <w:spacing w:before="200" w:line="260" w:lineRule="atLeast"/>
        <w:jc w:val="both"/>
      </w:pPr>
      <w:r>
        <w:rPr>
          <w:rFonts w:ascii="Arial" w:eastAsia="Arial" w:hAnsi="Arial" w:cs="Arial"/>
          <w:color w:val="000000"/>
          <w:sz w:val="20"/>
        </w:rPr>
        <w:t xml:space="preserve">Chile is the first developing country that has successfully implemented PPP programs (Although Mexico had </w:t>
      </w:r>
      <w:r>
        <w:rPr>
          <w:rFonts w:ascii="Arial" w:eastAsia="Arial" w:hAnsi="Arial" w:cs="Arial"/>
          <w:b/>
          <w:i/>
          <w:color w:val="000000"/>
          <w:sz w:val="20"/>
          <w:u w:val="single"/>
        </w:rPr>
        <w:t>started</w:t>
      </w:r>
      <w:r>
        <w:rPr>
          <w:rFonts w:ascii="Arial" w:eastAsia="Arial" w:hAnsi="Arial" w:cs="Arial"/>
          <w:color w:val="000000"/>
          <w:sz w:val="20"/>
        </w:rPr>
        <w:t xml:space="preserve"> earlier, it had ended </w:t>
      </w:r>
      <w:r>
        <w:rPr>
          <w:rFonts w:ascii="Arial" w:eastAsia="Arial" w:hAnsi="Arial" w:cs="Arial"/>
          <w:b/>
          <w:i/>
          <w:color w:val="000000"/>
          <w:sz w:val="20"/>
          <w:u w:val="single"/>
        </w:rPr>
        <w:t>up</w:t>
      </w:r>
      <w:r>
        <w:rPr>
          <w:rFonts w:ascii="Arial" w:eastAsia="Arial" w:hAnsi="Arial" w:cs="Arial"/>
          <w:color w:val="000000"/>
          <w:sz w:val="20"/>
        </w:rPr>
        <w:t xml:space="preserve"> with a major </w:t>
      </w:r>
      <w:r>
        <w:rPr>
          <w:rFonts w:ascii="Arial" w:eastAsia="Arial" w:hAnsi="Arial" w:cs="Arial"/>
          <w:b/>
          <w:i/>
          <w:color w:val="000000"/>
          <w:sz w:val="20"/>
          <w:u w:val="single"/>
        </w:rPr>
        <w:t>failure</w:t>
      </w:r>
      <w:r>
        <w:rPr>
          <w:rFonts w:ascii="Arial" w:eastAsia="Arial" w:hAnsi="Arial" w:cs="Arial"/>
          <w:color w:val="000000"/>
          <w:sz w:val="20"/>
        </w:rPr>
        <w:t xml:space="preserve"> with massive bailout extended to developers and financiers). Faced with huge investment needs for the development of highway networks, the Government of Chile (GoC) decided to get the private sector to participate in both development and operations. For this reason, Special Decree of No. 164 (called “Concession Law”) was enacted in 1991, which was supplemented by Special Decree of No. 900 in 1996 and later by Special Decree of No. 956 in 1997 (Lorenzen &amp; Barrientos, 2001). Having the legal framework been in place, GoC launched a major highway program on a PPP basis. It is a 2,000 km intercity concession program, which </w:t>
      </w:r>
      <w:r>
        <w:rPr>
          <w:rFonts w:ascii="Arial" w:eastAsia="Arial" w:hAnsi="Arial" w:cs="Arial"/>
          <w:b/>
          <w:i/>
          <w:color w:val="000000"/>
          <w:sz w:val="20"/>
          <w:u w:val="single"/>
        </w:rPr>
        <w:t>started</w:t>
      </w:r>
      <w:r>
        <w:rPr>
          <w:rFonts w:ascii="Arial" w:eastAsia="Arial" w:hAnsi="Arial" w:cs="Arial"/>
          <w:color w:val="000000"/>
          <w:sz w:val="20"/>
        </w:rPr>
        <w:t xml:space="preserve"> in 1994 with award of 12 contracts by 1998. The estimated amount of investment was US$3.3 billion.</w:t>
      </w:r>
    </w:p>
    <w:p w14:paraId="719064E4" w14:textId="77777777" w:rsidR="00054BF0" w:rsidRDefault="00000000">
      <w:pPr>
        <w:spacing w:before="200" w:line="260" w:lineRule="atLeast"/>
        <w:jc w:val="both"/>
      </w:pPr>
      <w:r>
        <w:rPr>
          <w:rFonts w:ascii="Arial" w:eastAsia="Arial" w:hAnsi="Arial" w:cs="Arial"/>
          <w:color w:val="000000"/>
          <w:sz w:val="20"/>
        </w:rPr>
        <w:t>A central feature of Chilean PPP is the active participation of foreign contractors. Attracted by the policy framework, together with procedural transparency with regard to bidding and bid evaluation, a number of foreign contractors from Spain and Mexico actively participated in the biddings. Among 12 winning bidders who had participated in the above 2,000 km intercity highway program, 11 were either foreign contractors or joint ventures.</w:t>
      </w:r>
    </w:p>
    <w:p w14:paraId="4B7B7165" w14:textId="77777777" w:rsidR="00054BF0" w:rsidRDefault="00000000">
      <w:pPr>
        <w:spacing w:before="240" w:line="260" w:lineRule="atLeast"/>
      </w:pPr>
      <w:r>
        <w:rPr>
          <w:rFonts w:ascii="Arial" w:eastAsia="Arial" w:hAnsi="Arial" w:cs="Arial"/>
          <w:b/>
          <w:color w:val="000000"/>
          <w:sz w:val="20"/>
        </w:rPr>
        <w:t>Ways to deal with these vulnerabilities under the Chilean PPP system</w:t>
      </w:r>
    </w:p>
    <w:p w14:paraId="59B9FF30" w14:textId="77777777" w:rsidR="00054BF0" w:rsidRDefault="00000000">
      <w:pPr>
        <w:spacing w:before="200" w:line="260" w:lineRule="atLeast"/>
        <w:jc w:val="both"/>
      </w:pPr>
      <w:r>
        <w:rPr>
          <w:rFonts w:ascii="Arial" w:eastAsia="Arial" w:hAnsi="Arial" w:cs="Arial"/>
          <w:color w:val="000000"/>
          <w:sz w:val="20"/>
        </w:rPr>
        <w:t>This section would describe how those vulnerabilities identified earlier have been handled under the PPP system of the GoC.</w:t>
      </w:r>
    </w:p>
    <w:p w14:paraId="4F7FC9ED" w14:textId="77777777" w:rsidR="00054BF0" w:rsidRDefault="00000000">
      <w:pPr>
        <w:spacing w:before="240" w:line="260" w:lineRule="atLeast"/>
      </w:pPr>
      <w:r>
        <w:rPr>
          <w:rFonts w:ascii="Arial" w:eastAsia="Arial" w:hAnsi="Arial" w:cs="Arial"/>
          <w:b/>
          <w:color w:val="000000"/>
          <w:sz w:val="20"/>
        </w:rPr>
        <w:t>Uncertainty in demand</w:t>
      </w:r>
    </w:p>
    <w:p w14:paraId="74725BBE" w14:textId="77777777" w:rsidR="00054BF0" w:rsidRDefault="00000000">
      <w:pPr>
        <w:spacing w:before="200" w:line="260" w:lineRule="atLeast"/>
        <w:jc w:val="both"/>
      </w:pPr>
      <w:r>
        <w:rPr>
          <w:rFonts w:ascii="Arial" w:eastAsia="Arial" w:hAnsi="Arial" w:cs="Arial"/>
          <w:color w:val="000000"/>
          <w:sz w:val="20"/>
        </w:rPr>
        <w:t>To deal with demand uncertainty, GoC has introduced minimum income guarantee (MIC). MIC was that, if the actual income to be raised from the project has failed to reach the originally projected target of income, the Government would pay the difference between the projected and actual income. It should be, however, noted that the Government would not pay the entire difference between the projected income and the actual income, but only pay the difference of 70% of the projected income and the actual income. This means that the Chilean MIC is primarily intended to provide lenders with assurance for the payment of debt services as the loans usually cover 70% of the project cost similar amount.</w:t>
      </w:r>
    </w:p>
    <w:p w14:paraId="62366F46" w14:textId="77777777" w:rsidR="00054BF0" w:rsidRDefault="00000000">
      <w:pPr>
        <w:spacing w:before="200" w:line="260" w:lineRule="atLeast"/>
        <w:jc w:val="both"/>
      </w:pPr>
      <w:r>
        <w:rPr>
          <w:rFonts w:ascii="Arial" w:eastAsia="Arial" w:hAnsi="Arial" w:cs="Arial"/>
          <w:color w:val="000000"/>
          <w:sz w:val="20"/>
        </w:rPr>
        <w:t>Another mitigation measure the GoC has taken was least present value of the revenue (LPVR). The LPVR is that the concession would end when the project has generated the expected present value of the accumulated revenue discounted by the predetermined discount rate. Under the LPVR, when the traffic is lower than projected, the period of concession would be extended longer than the originally agreed. This would enable the project company to recover the cost of the project.</w:t>
      </w:r>
    </w:p>
    <w:p w14:paraId="5D57B5F5" w14:textId="77777777" w:rsidR="00054BF0" w:rsidRDefault="00000000">
      <w:pPr>
        <w:spacing w:before="240" w:line="260" w:lineRule="atLeast"/>
      </w:pPr>
      <w:r>
        <w:rPr>
          <w:rFonts w:ascii="Arial" w:eastAsia="Arial" w:hAnsi="Arial" w:cs="Arial"/>
          <w:b/>
          <w:color w:val="000000"/>
          <w:sz w:val="20"/>
        </w:rPr>
        <w:t>Difficulty in cost recovery</w:t>
      </w:r>
    </w:p>
    <w:p w14:paraId="08EC5691" w14:textId="77777777" w:rsidR="00054BF0" w:rsidRDefault="00000000">
      <w:pPr>
        <w:spacing w:before="200" w:line="260" w:lineRule="atLeast"/>
        <w:jc w:val="both"/>
      </w:pPr>
      <w:r>
        <w:rPr>
          <w:rFonts w:ascii="Arial" w:eastAsia="Arial" w:hAnsi="Arial" w:cs="Arial"/>
          <w:color w:val="000000"/>
          <w:sz w:val="20"/>
        </w:rPr>
        <w:t xml:space="preserve">The possible restriction by the government on price setting is one of the major concerns for the private sector, particularly in those countries with high inflation. The GoC has come </w:t>
      </w:r>
      <w:r>
        <w:rPr>
          <w:rFonts w:ascii="Arial" w:eastAsia="Arial" w:hAnsi="Arial" w:cs="Arial"/>
          <w:b/>
          <w:i/>
          <w:color w:val="000000"/>
          <w:sz w:val="20"/>
          <w:u w:val="single"/>
        </w:rPr>
        <w:t>up</w:t>
      </w:r>
      <w:r>
        <w:rPr>
          <w:rFonts w:ascii="Arial" w:eastAsia="Arial" w:hAnsi="Arial" w:cs="Arial"/>
          <w:color w:val="000000"/>
          <w:sz w:val="20"/>
        </w:rPr>
        <w:t xml:space="preserve"> with such an indexation system which would allow the project company to increase user charges in proportion to the speed of inflation (measured by Consumer Price Index [CPI]).</w:t>
      </w:r>
    </w:p>
    <w:p w14:paraId="6DC1B4FE" w14:textId="77777777" w:rsidR="00054BF0" w:rsidRDefault="00000000">
      <w:pPr>
        <w:spacing w:before="240" w:line="260" w:lineRule="atLeast"/>
      </w:pPr>
      <w:r>
        <w:rPr>
          <w:rFonts w:ascii="Arial" w:eastAsia="Arial" w:hAnsi="Arial" w:cs="Arial"/>
          <w:b/>
          <w:color w:val="000000"/>
          <w:sz w:val="20"/>
        </w:rPr>
        <w:lastRenderedPageBreak/>
        <w:t>Difficulty in securing long-term loans</w:t>
      </w:r>
    </w:p>
    <w:p w14:paraId="3B495694" w14:textId="77777777" w:rsidR="00054BF0" w:rsidRDefault="00000000">
      <w:pPr>
        <w:spacing w:before="200" w:line="260" w:lineRule="atLeast"/>
        <w:jc w:val="both"/>
      </w:pPr>
      <w:r>
        <w:rPr>
          <w:rFonts w:ascii="Arial" w:eastAsia="Arial" w:hAnsi="Arial" w:cs="Arial"/>
          <w:color w:val="000000"/>
          <w:sz w:val="20"/>
        </w:rPr>
        <w:t xml:space="preserve">As seen above, one of the feature of Chilean PPP is the dominance of foreign contractors. For those contractors, a major stumbling block is the currency mismatch. Although the road project would earn its revenue from local currency, foreign project companies often mobilize funds from foreign financiers or through Euro-currency markets. Cognizant of the importance of mitigating the adverse impact of FX fluctuation, the GoC has come </w:t>
      </w:r>
      <w:r>
        <w:rPr>
          <w:rFonts w:ascii="Arial" w:eastAsia="Arial" w:hAnsi="Arial" w:cs="Arial"/>
          <w:b/>
          <w:i/>
          <w:color w:val="000000"/>
          <w:sz w:val="20"/>
          <w:u w:val="single"/>
        </w:rPr>
        <w:t>up</w:t>
      </w:r>
      <w:r>
        <w:rPr>
          <w:rFonts w:ascii="Arial" w:eastAsia="Arial" w:hAnsi="Arial" w:cs="Arial"/>
          <w:color w:val="000000"/>
          <w:sz w:val="20"/>
        </w:rPr>
        <w:t xml:space="preserve"> with an exchange-risk guarantee system. If local currency has been depreciated more than 10%, the government would cover the difference.</w:t>
      </w:r>
    </w:p>
    <w:p w14:paraId="078B5199" w14:textId="77777777" w:rsidR="00054BF0" w:rsidRDefault="00000000">
      <w:pPr>
        <w:spacing w:before="200" w:line="260" w:lineRule="atLeast"/>
        <w:jc w:val="both"/>
      </w:pPr>
      <w:r>
        <w:rPr>
          <w:rFonts w:ascii="Arial" w:eastAsia="Arial" w:hAnsi="Arial" w:cs="Arial"/>
          <w:color w:val="000000"/>
          <w:sz w:val="20"/>
        </w:rPr>
        <w:t xml:space="preserve">Another different financing system was </w:t>
      </w:r>
      <w:r>
        <w:rPr>
          <w:rFonts w:ascii="Arial" w:eastAsia="Arial" w:hAnsi="Arial" w:cs="Arial"/>
          <w:i/>
          <w:color w:val="000000"/>
          <w:sz w:val="20"/>
        </w:rPr>
        <w:t>mono-line service</w:t>
      </w:r>
      <w:r>
        <w:rPr>
          <w:rFonts w:ascii="Arial" w:eastAsia="Arial" w:hAnsi="Arial" w:cs="Arial"/>
          <w:color w:val="000000"/>
          <w:sz w:val="20"/>
        </w:rPr>
        <w:t xml:space="preserve">. Although this is not direct support by the government, its system has facilitated the project company to mobilize the fund from the capital market. Its basic mechanism is that internationally reputed financial insurance companies such as MBIA or XL Capital would provide subscribers of project bonds with unconditional and irrevocable guarantees for the payment of interests and principle in the case of default of bonds. As these financial insurance companies are often rated AAA, project bonds themselves would also be rated similarly. An underlying factor for the use of this system is the Government policy on banking sector. In Chile, banks were not allowed to lend more than 15% of the total cost of green field projects. Instead of relaxing banking regulation, the GoC has chosen to allow project developers to raise funds from capital markets through issuance of </w:t>
      </w:r>
      <w:r>
        <w:rPr>
          <w:rFonts w:ascii="Arial" w:eastAsia="Arial" w:hAnsi="Arial" w:cs="Arial"/>
          <w:i/>
          <w:color w:val="000000"/>
          <w:sz w:val="20"/>
        </w:rPr>
        <w:t>infrastructure bonds</w:t>
      </w:r>
      <w:r>
        <w:rPr>
          <w:rFonts w:ascii="Arial" w:eastAsia="Arial" w:hAnsi="Arial" w:cs="Arial"/>
          <w:color w:val="000000"/>
          <w:sz w:val="20"/>
        </w:rPr>
        <w:t>. Since then, infrastructure bonds have become a popular method for raising funds from capital markets. In the case of the abovementioned 2,000 km intercity road program, seven out of 12 projects secured funds through issuance of bonds wrapped by “mono-line services.”</w:t>
      </w:r>
    </w:p>
    <w:p w14:paraId="06C6084B" w14:textId="77777777" w:rsidR="00054BF0" w:rsidRDefault="00000000">
      <w:pPr>
        <w:spacing w:before="240" w:line="260" w:lineRule="atLeast"/>
      </w:pPr>
      <w:r>
        <w:rPr>
          <w:rFonts w:ascii="Arial" w:eastAsia="Arial" w:hAnsi="Arial" w:cs="Arial"/>
          <w:b/>
          <w:color w:val="000000"/>
          <w:sz w:val="20"/>
        </w:rPr>
        <w:t>Korean PPP System</w:t>
      </w:r>
    </w:p>
    <w:p w14:paraId="7638D113" w14:textId="77777777" w:rsidR="00054BF0" w:rsidRDefault="00000000">
      <w:pPr>
        <w:spacing w:before="240" w:line="260" w:lineRule="atLeast"/>
      </w:pPr>
      <w:r>
        <w:rPr>
          <w:rFonts w:ascii="Arial" w:eastAsia="Arial" w:hAnsi="Arial" w:cs="Arial"/>
          <w:b/>
          <w:color w:val="000000"/>
          <w:sz w:val="20"/>
        </w:rPr>
        <w:t>Overview</w:t>
      </w:r>
    </w:p>
    <w:p w14:paraId="7CB9D011" w14:textId="77777777" w:rsidR="00054BF0" w:rsidRDefault="00000000">
      <w:pPr>
        <w:spacing w:before="200" w:line="260" w:lineRule="atLeast"/>
        <w:jc w:val="both"/>
      </w:pPr>
      <w:r>
        <w:rPr>
          <w:rFonts w:ascii="Arial" w:eastAsia="Arial" w:hAnsi="Arial" w:cs="Arial"/>
          <w:color w:val="000000"/>
          <w:sz w:val="20"/>
        </w:rPr>
        <w:t xml:space="preserve">Although Korea has </w:t>
      </w:r>
      <w:r>
        <w:rPr>
          <w:rFonts w:ascii="Arial" w:eastAsia="Arial" w:hAnsi="Arial" w:cs="Arial"/>
          <w:b/>
          <w:i/>
          <w:color w:val="000000"/>
          <w:sz w:val="20"/>
          <w:u w:val="single"/>
        </w:rPr>
        <w:t>started</w:t>
      </w:r>
      <w:r>
        <w:rPr>
          <w:rFonts w:ascii="Arial" w:eastAsia="Arial" w:hAnsi="Arial" w:cs="Arial"/>
          <w:color w:val="000000"/>
          <w:sz w:val="20"/>
        </w:rPr>
        <w:t xml:space="preserve"> its PPP scheme later than Chile, its scale of investment has surpassed that of Chile and other developing countries by a large margin. The legal framework of Korean PPP system has evolved over years through the enactment of a series of legislations, </w:t>
      </w:r>
      <w:r>
        <w:rPr>
          <w:rFonts w:ascii="Arial" w:eastAsia="Arial" w:hAnsi="Arial" w:cs="Arial"/>
          <w:b/>
          <w:i/>
          <w:color w:val="000000"/>
          <w:sz w:val="20"/>
          <w:u w:val="single"/>
        </w:rPr>
        <w:t>starting</w:t>
      </w:r>
      <w:r>
        <w:rPr>
          <w:rFonts w:ascii="Arial" w:eastAsia="Arial" w:hAnsi="Arial" w:cs="Arial"/>
          <w:color w:val="000000"/>
          <w:sz w:val="20"/>
        </w:rPr>
        <w:t xml:space="preserve"> from the “1994 Act for Private Capital Inducement Promotion” through the “1998 Act for Private Participation in Infrastructure” to the “2005 Act for Public Private Partnership in Infrastructure (often referred to as PPP Act).” According to Korean Development Institute (KDI; 2014), the PPP investment peaked in 2007 both in terms of the amount of investments and the number of projects.</w:t>
      </w:r>
    </w:p>
    <w:p w14:paraId="7F701A47" w14:textId="77777777" w:rsidR="00054BF0" w:rsidRDefault="00000000">
      <w:pPr>
        <w:spacing w:before="200" w:line="260" w:lineRule="atLeast"/>
        <w:jc w:val="both"/>
      </w:pPr>
      <w:r>
        <w:rPr>
          <w:rFonts w:ascii="Arial" w:eastAsia="Arial" w:hAnsi="Arial" w:cs="Arial"/>
          <w:color w:val="000000"/>
          <w:sz w:val="20"/>
        </w:rPr>
        <w:t>Having established a legal framework, PPP has now become a mainstream method of infrastructure development in Korea, covering 17% of the total investment for nation’s infrastructure. Transition from the conventional public procurement to the PPP-based procurement has been underpinned by the strong institutional support provided by Private Infrastructure Investment Management Center (PIMAC). PIMAC, which was established in 1998, has played an instrumental role in popularizing the PPP scheme in Korea. Its main functions include (a) conducting researches associated with PPP, together with provision of advice on structuring PPP; (b) assessment/appraisal of the government-sponsored PPP projects; and (c) provision of assistance to government agencies in negotiation with the private sector PPP developers.</w:t>
      </w:r>
    </w:p>
    <w:p w14:paraId="0AAD0A9C" w14:textId="77777777" w:rsidR="00054BF0" w:rsidRDefault="00000000">
      <w:pPr>
        <w:spacing w:before="200" w:line="260" w:lineRule="atLeast"/>
        <w:jc w:val="both"/>
      </w:pPr>
      <w:r>
        <w:rPr>
          <w:rFonts w:ascii="Arial" w:eastAsia="Arial" w:hAnsi="Arial" w:cs="Arial"/>
          <w:color w:val="000000"/>
          <w:sz w:val="20"/>
        </w:rPr>
        <w:t>Another feature of Korean PPP is the active participation of business conglomerates (Chaebols). Because of their involvement, the sizes of the PPP projects have been made much greater. The average size of contract packages of PPP projects in Korea is $450 million, which is much greater than those of Chile (which is $262 million) and India (which is $156 million). Participation of Chaebols has enabled the Government of Korea (GoK) to implement infrastructure programs in an expeditious manner, but it has disadvantage as well. The negotiation has been made much longer and more complicated, which is due to the tag of war between equally powerful two negotiating parties.</w:t>
      </w:r>
    </w:p>
    <w:p w14:paraId="2B7CBD0B" w14:textId="77777777" w:rsidR="00054BF0" w:rsidRDefault="00000000">
      <w:pPr>
        <w:spacing w:before="240" w:line="260" w:lineRule="atLeast"/>
      </w:pPr>
      <w:r>
        <w:rPr>
          <w:rFonts w:ascii="Arial" w:eastAsia="Arial" w:hAnsi="Arial" w:cs="Arial"/>
          <w:b/>
          <w:color w:val="000000"/>
          <w:sz w:val="20"/>
        </w:rPr>
        <w:t>Ways to deal with these vulnerabilities under the Korean PPP system</w:t>
      </w:r>
    </w:p>
    <w:p w14:paraId="6B6D1594" w14:textId="77777777" w:rsidR="00054BF0" w:rsidRDefault="00000000">
      <w:pPr>
        <w:spacing w:before="200" w:line="260" w:lineRule="atLeast"/>
        <w:jc w:val="both"/>
      </w:pPr>
      <w:r>
        <w:rPr>
          <w:rFonts w:ascii="Arial" w:eastAsia="Arial" w:hAnsi="Arial" w:cs="Arial"/>
          <w:color w:val="000000"/>
          <w:sz w:val="20"/>
        </w:rPr>
        <w:t>This section would describe how those vulnerabilities identified earlier have been handled under the PPP system of the GoK.</w:t>
      </w:r>
    </w:p>
    <w:p w14:paraId="52E1ACA6" w14:textId="77777777" w:rsidR="00054BF0" w:rsidRDefault="00000000">
      <w:pPr>
        <w:spacing w:before="240" w:line="260" w:lineRule="atLeast"/>
      </w:pPr>
      <w:r>
        <w:rPr>
          <w:rFonts w:ascii="Arial" w:eastAsia="Arial" w:hAnsi="Arial" w:cs="Arial"/>
          <w:b/>
          <w:color w:val="000000"/>
          <w:sz w:val="20"/>
        </w:rPr>
        <w:lastRenderedPageBreak/>
        <w:t>Uncertainty in demand</w:t>
      </w:r>
    </w:p>
    <w:p w14:paraId="36A94D13" w14:textId="77777777" w:rsidR="00054BF0" w:rsidRDefault="00000000">
      <w:pPr>
        <w:spacing w:before="200" w:line="260" w:lineRule="atLeast"/>
        <w:jc w:val="both"/>
      </w:pPr>
      <w:r>
        <w:rPr>
          <w:rFonts w:ascii="Arial" w:eastAsia="Arial" w:hAnsi="Arial" w:cs="Arial"/>
          <w:color w:val="000000"/>
          <w:sz w:val="20"/>
        </w:rPr>
        <w:t>To deal with demand uncertainty, Korea employed minimum revenue guarantee (MRG), a system similar to MIC in Chile, for the period of 1998 to 2009, but this was replaced by Investment Risk Sharing System (IRSS) because of the abuse of MRG by the private sector investors. Project proponents tend to overstate the forecasted level of demand so as to receive a greater amount of compensation at a later stage (KDI, 2014). The IRSS system was devised in 2009 based on this experience. Under the IRSS, the upper limit of compensation per year is set in advance at a level that would have been incurred if the project is implemented by the public sector. An important element of this approach is that this upper limit is determined by the procuring authority, but not by the bidder or by the private sector. Thus, there is no possibility for the private sector to maneuver or overstate the prospective level of demands. Since then, IRSS has become a main instrument for dealing with demand uncertainty in Korea.</w:t>
      </w:r>
    </w:p>
    <w:p w14:paraId="17FE938B" w14:textId="77777777" w:rsidR="00054BF0" w:rsidRDefault="00000000">
      <w:pPr>
        <w:spacing w:before="240" w:line="260" w:lineRule="atLeast"/>
      </w:pPr>
      <w:r>
        <w:rPr>
          <w:rFonts w:ascii="Arial" w:eastAsia="Arial" w:hAnsi="Arial" w:cs="Arial"/>
          <w:b/>
          <w:color w:val="000000"/>
          <w:sz w:val="20"/>
        </w:rPr>
        <w:t>Difficulty in cost recovery</w:t>
      </w:r>
    </w:p>
    <w:p w14:paraId="1C6EF378" w14:textId="77777777" w:rsidR="00054BF0" w:rsidRDefault="00000000">
      <w:pPr>
        <w:spacing w:before="200" w:line="260" w:lineRule="atLeast"/>
        <w:jc w:val="both"/>
      </w:pPr>
      <w:r>
        <w:rPr>
          <w:rFonts w:ascii="Arial" w:eastAsia="Arial" w:hAnsi="Arial" w:cs="Arial"/>
          <w:color w:val="000000"/>
          <w:sz w:val="20"/>
        </w:rPr>
        <w:t xml:space="preserve">To deal with price escalation, the GoK has instituted full indexation. Under the full indexation, if the costs are increased due to the inflation, the user charges or tolls are permitted to be increased at the same rate as that of inflation. This provides investors with comfort for committing their funds to the projects. Additional measure that the GoK has taken was to allow the project company to undertake </w:t>
      </w:r>
      <w:r>
        <w:rPr>
          <w:rFonts w:ascii="Arial" w:eastAsia="Arial" w:hAnsi="Arial" w:cs="Arial"/>
          <w:i/>
          <w:color w:val="000000"/>
          <w:sz w:val="20"/>
        </w:rPr>
        <w:t>side-business</w:t>
      </w:r>
      <w:r>
        <w:rPr>
          <w:rFonts w:ascii="Arial" w:eastAsia="Arial" w:hAnsi="Arial" w:cs="Arial"/>
          <w:color w:val="000000"/>
          <w:sz w:val="20"/>
        </w:rPr>
        <w:t xml:space="preserve"> as a part of the project. This has enabled the project company to supplement their revenue by real estate revenue. Korean standard concession agreements have incorporated this measure.</w:t>
      </w:r>
    </w:p>
    <w:p w14:paraId="677F105E" w14:textId="77777777" w:rsidR="00054BF0" w:rsidRDefault="00000000">
      <w:pPr>
        <w:spacing w:before="240" w:line="260" w:lineRule="atLeast"/>
      </w:pPr>
      <w:r>
        <w:rPr>
          <w:rFonts w:ascii="Arial" w:eastAsia="Arial" w:hAnsi="Arial" w:cs="Arial"/>
          <w:b/>
          <w:color w:val="000000"/>
          <w:sz w:val="20"/>
        </w:rPr>
        <w:t>Difficulty in securing the long-term loans</w:t>
      </w:r>
    </w:p>
    <w:p w14:paraId="10A3D4D2" w14:textId="77777777" w:rsidR="00054BF0" w:rsidRDefault="00000000">
      <w:pPr>
        <w:spacing w:before="200" w:line="260" w:lineRule="atLeast"/>
        <w:jc w:val="both"/>
      </w:pPr>
      <w:r>
        <w:rPr>
          <w:rFonts w:ascii="Arial" w:eastAsia="Arial" w:hAnsi="Arial" w:cs="Arial"/>
          <w:color w:val="000000"/>
          <w:sz w:val="20"/>
        </w:rPr>
        <w:t>To facilitate finance for PPP projects, the GoK has provided loan guarantees to financiers. Guarantees have been provided under a self-managed fund, called Infrastructure Credit Guarantee Fund. Although this fund is state-run, subscribers of guarantee have to pay premium or fee to the fund.</w:t>
      </w:r>
    </w:p>
    <w:p w14:paraId="78283AA0" w14:textId="77777777" w:rsidR="00054BF0" w:rsidRDefault="00000000">
      <w:pPr>
        <w:spacing w:before="240" w:line="260" w:lineRule="atLeast"/>
      </w:pPr>
      <w:r>
        <w:rPr>
          <w:rFonts w:ascii="Arial" w:eastAsia="Arial" w:hAnsi="Arial" w:cs="Arial"/>
          <w:b/>
          <w:color w:val="000000"/>
          <w:sz w:val="20"/>
        </w:rPr>
        <w:t>Indian PPP System</w:t>
      </w:r>
    </w:p>
    <w:p w14:paraId="3A5E1120" w14:textId="77777777" w:rsidR="00054BF0" w:rsidRDefault="00000000">
      <w:pPr>
        <w:spacing w:before="240" w:line="260" w:lineRule="atLeast"/>
      </w:pPr>
      <w:r>
        <w:rPr>
          <w:rFonts w:ascii="Arial" w:eastAsia="Arial" w:hAnsi="Arial" w:cs="Arial"/>
          <w:b/>
          <w:color w:val="000000"/>
          <w:sz w:val="20"/>
        </w:rPr>
        <w:t>Overview</w:t>
      </w:r>
    </w:p>
    <w:p w14:paraId="45C3BBFC" w14:textId="77777777" w:rsidR="00054BF0" w:rsidRDefault="00000000">
      <w:pPr>
        <w:spacing w:before="200" w:line="260" w:lineRule="atLeast"/>
        <w:jc w:val="both"/>
      </w:pPr>
      <w:r>
        <w:rPr>
          <w:rFonts w:ascii="Arial" w:eastAsia="Arial" w:hAnsi="Arial" w:cs="Arial"/>
          <w:color w:val="000000"/>
          <w:sz w:val="20"/>
        </w:rPr>
        <w:t>After several years of experiments on PPP projects in the road sector, the Government of India (GoI) decided in 2005 to introduce the PPP system as a principal modality of developing infrastructure. The decision was made by Committee of Infrastructure headed by the Prime Minister without formulation of relevant laws or acts. This is rather unique arrangement in the Indian decision-making system, in which the executive body of the government would play a major role. Many of the policy decisions have been made by bureaucrats called Indian Administrative Service (IAS) officers without seeking legislative endorsement or enactment by laws. The PPP system was also made in such as manner based on policy papers developed by IAS officers. Because of this feature, these officers were able to develop highly sophisticated and complicated policy scheme without considering possible political repercussions.</w:t>
      </w:r>
    </w:p>
    <w:p w14:paraId="010F97B4" w14:textId="77777777" w:rsidR="00054BF0" w:rsidRDefault="00000000">
      <w:pPr>
        <w:spacing w:before="200" w:line="260" w:lineRule="atLeast"/>
        <w:jc w:val="both"/>
      </w:pPr>
      <w:r>
        <w:rPr>
          <w:rFonts w:ascii="Arial" w:eastAsia="Arial" w:hAnsi="Arial" w:cs="Arial"/>
          <w:color w:val="000000"/>
          <w:sz w:val="20"/>
        </w:rPr>
        <w:t>Another unique element with the Indian PPP system is a strong banking sector. Unlike Chile and Korea, the Indian bond market has been underdeveloped, thus major providers of funds for infrastructure development has been the banking sector (51% of the necessary funds for infrastructure; Khan, 2012). Under such a circumstance, it would be more effective if the capacity of the banking sector is to be utilized to its fullest extent. “Take-out finance” reviewed earlier was exactly designed for this purpose.</w:t>
      </w:r>
    </w:p>
    <w:p w14:paraId="4E3B901C" w14:textId="77777777" w:rsidR="00054BF0" w:rsidRDefault="00000000">
      <w:pPr>
        <w:spacing w:before="200" w:line="260" w:lineRule="atLeast"/>
        <w:jc w:val="both"/>
      </w:pPr>
      <w:r>
        <w:rPr>
          <w:rFonts w:ascii="Arial" w:eastAsia="Arial" w:hAnsi="Arial" w:cs="Arial"/>
          <w:color w:val="000000"/>
          <w:sz w:val="20"/>
        </w:rPr>
        <w:t>Meanwhile, India’s PPP market is characterized by little participation of foreign contractors in the road sector. Although there is some foreign participation by foreign contractors, the extent of their participation is much less, compared with other countries. For the 10 years from 2003 to 2012, the number of projects with foreign contractor participation is 35, representing just 15% of the total national highway projects in India (226 projects), most of which are contractors from Malaysia, Russia, and China. This makes a keen contrast to Chile, where more than 90% of the projects have been implemented by foreign contractors.</w:t>
      </w:r>
    </w:p>
    <w:p w14:paraId="5E145318" w14:textId="77777777" w:rsidR="00054BF0" w:rsidRDefault="00000000">
      <w:pPr>
        <w:spacing w:before="240" w:line="260" w:lineRule="atLeast"/>
      </w:pPr>
      <w:r>
        <w:rPr>
          <w:rFonts w:ascii="Arial" w:eastAsia="Arial" w:hAnsi="Arial" w:cs="Arial"/>
          <w:b/>
          <w:color w:val="000000"/>
          <w:sz w:val="20"/>
        </w:rPr>
        <w:t>Ways to deal with these vulnerabilities under the Indian PPP system</w:t>
      </w:r>
    </w:p>
    <w:p w14:paraId="4CC4AB9D" w14:textId="77777777" w:rsidR="00054BF0" w:rsidRDefault="00000000">
      <w:pPr>
        <w:spacing w:before="200" w:line="260" w:lineRule="atLeast"/>
        <w:jc w:val="both"/>
      </w:pPr>
      <w:r>
        <w:rPr>
          <w:rFonts w:ascii="Arial" w:eastAsia="Arial" w:hAnsi="Arial" w:cs="Arial"/>
          <w:color w:val="000000"/>
          <w:sz w:val="20"/>
        </w:rPr>
        <w:lastRenderedPageBreak/>
        <w:t>This section would describe how those vulnerabilities identified earlier have been handled under the PPP system of the GoI.</w:t>
      </w:r>
    </w:p>
    <w:p w14:paraId="2FF89574" w14:textId="77777777" w:rsidR="00054BF0" w:rsidRDefault="00000000">
      <w:pPr>
        <w:spacing w:before="240" w:line="260" w:lineRule="atLeast"/>
      </w:pPr>
      <w:r>
        <w:rPr>
          <w:rFonts w:ascii="Arial" w:eastAsia="Arial" w:hAnsi="Arial" w:cs="Arial"/>
          <w:b/>
          <w:color w:val="000000"/>
          <w:sz w:val="20"/>
        </w:rPr>
        <w:t>Uncertainty in demand</w:t>
      </w:r>
    </w:p>
    <w:p w14:paraId="6E8A60CC" w14:textId="77777777" w:rsidR="00054BF0" w:rsidRDefault="00000000">
      <w:pPr>
        <w:spacing w:before="200" w:line="260" w:lineRule="atLeast"/>
        <w:jc w:val="both"/>
      </w:pPr>
      <w:r>
        <w:rPr>
          <w:rFonts w:ascii="Arial" w:eastAsia="Arial" w:hAnsi="Arial" w:cs="Arial"/>
          <w:color w:val="000000"/>
          <w:sz w:val="20"/>
        </w:rPr>
        <w:t>To deal with demand uncertainty, the GoI has introduced a “flexible concession period system.” This has enabled the Government to compensate possible losses to be suffered by the private project companies without spending their own money. This scheme is that, if the actual demand has failed to reach the projected level of demand, the concessionaire would be able to get the concession period to be extended. Model Concession Agreement (MCA) of India stipulated that, when “Actual Average Traffic has fallen short of the Target Traffic by more than 2.5%, the concession period is extended at the pace of 1.5% for every 1% shortfall.” An important element of this arrangement is that it would not incur any pecuniary obligation for the government to pay in case of revenue shortfall.</w:t>
      </w:r>
    </w:p>
    <w:p w14:paraId="4DB07442" w14:textId="77777777" w:rsidR="00054BF0" w:rsidRDefault="00000000">
      <w:pPr>
        <w:spacing w:before="240" w:line="260" w:lineRule="atLeast"/>
      </w:pPr>
      <w:r>
        <w:rPr>
          <w:rFonts w:ascii="Arial" w:eastAsia="Arial" w:hAnsi="Arial" w:cs="Arial"/>
          <w:b/>
          <w:color w:val="000000"/>
          <w:sz w:val="20"/>
        </w:rPr>
        <w:t>Difficulty in cost recovery</w:t>
      </w:r>
    </w:p>
    <w:p w14:paraId="0568F573" w14:textId="77777777" w:rsidR="00054BF0" w:rsidRDefault="00000000">
      <w:pPr>
        <w:spacing w:before="200" w:line="260" w:lineRule="atLeast"/>
        <w:jc w:val="both"/>
      </w:pPr>
      <w:r>
        <w:rPr>
          <w:rFonts w:ascii="Arial" w:eastAsia="Arial" w:hAnsi="Arial" w:cs="Arial"/>
          <w:color w:val="000000"/>
          <w:sz w:val="20"/>
        </w:rPr>
        <w:t>To deal with price escalation, India has introduced Indian version of indexation (partial indexation). Under this system, the extent of the price adjustment is confined to absorb the changes of variable costs, but not the changes of the entire costs. More specifically, it would allow only 40% of the inflation to be covered by the increase of tolls, or user charges. The rationale for this approach is that inflation only affects variable costs, but not capital expenditures or debt-service, both of which are sunk costs.</w:t>
      </w:r>
    </w:p>
    <w:p w14:paraId="269CFEB7" w14:textId="77777777" w:rsidR="00054BF0" w:rsidRDefault="00000000">
      <w:pPr>
        <w:spacing w:before="240" w:line="260" w:lineRule="atLeast"/>
      </w:pPr>
      <w:r>
        <w:rPr>
          <w:rFonts w:ascii="Arial" w:eastAsia="Arial" w:hAnsi="Arial" w:cs="Arial"/>
          <w:b/>
          <w:color w:val="000000"/>
          <w:sz w:val="20"/>
        </w:rPr>
        <w:t>Difficulty in securing the long-term loans</w:t>
      </w:r>
    </w:p>
    <w:p w14:paraId="6FE48653" w14:textId="77777777" w:rsidR="00054BF0" w:rsidRDefault="00000000">
      <w:pPr>
        <w:spacing w:before="200" w:line="260" w:lineRule="atLeast"/>
        <w:jc w:val="both"/>
      </w:pPr>
      <w:r>
        <w:rPr>
          <w:rFonts w:ascii="Arial" w:eastAsia="Arial" w:hAnsi="Arial" w:cs="Arial"/>
          <w:color w:val="000000"/>
          <w:sz w:val="20"/>
        </w:rPr>
        <w:t>To deal with the difficulties in financing, India introduced the “take-out financing” system, which was primarily designed to resolve a potential asset/liability mismatch problem, one of the deterrents for the provision of long-term loan to the project companies. Although borrower needs to have money of long maturity, commercial banks would not be able to provide such a loan because of the higher risk associated with long-term loans. India Infrastructure Finance Company Incorporated (IIFCL) was established to fill this gap by taking out (refinance) near-the-end-of-tenure loans earlier provided by commercial banks. If commercial banks were able to combine their loans with the funds committed to be provided later by the IIFCL, commercial banks would be able to provide project companies with “virtual” longer term loans.</w:t>
      </w:r>
    </w:p>
    <w:p w14:paraId="2D0201CF" w14:textId="77777777" w:rsidR="00054BF0" w:rsidRDefault="00000000">
      <w:pPr>
        <w:spacing w:before="200" w:line="260" w:lineRule="atLeast"/>
        <w:jc w:val="both"/>
      </w:pPr>
      <w:r>
        <w:rPr>
          <w:rFonts w:ascii="Arial" w:eastAsia="Arial" w:hAnsi="Arial" w:cs="Arial"/>
          <w:color w:val="000000"/>
          <w:sz w:val="20"/>
        </w:rPr>
        <w:t>A unique element of this arrangement is that the IIFCL will not conduct separate appraisal by themselves. IIFCL will simply “take out” earlier loans, trusting on the validity of the earlier appraisal by commercial banks. This arrangement would enable IIFCL to extend the huge amount of refinance with a very small number of staff (actually, the current number of IIFCL staff is less than 100). The provision of refinancing without appraisal by IIFCL’s own appraisal may appear precarious, but it makes sense when considered the lack of experience of the newly recruited IIFCL staff or former government officers with regard to appraisal of financial viability of projects.</w:t>
      </w:r>
    </w:p>
    <w:p w14:paraId="410C2C27" w14:textId="77777777" w:rsidR="00054BF0" w:rsidRDefault="00000000">
      <w:pPr>
        <w:spacing w:before="240" w:line="260" w:lineRule="atLeast"/>
      </w:pPr>
      <w:r>
        <w:rPr>
          <w:rFonts w:ascii="Arial" w:eastAsia="Arial" w:hAnsi="Arial" w:cs="Arial"/>
          <w:b/>
          <w:color w:val="000000"/>
          <w:sz w:val="20"/>
        </w:rPr>
        <w:t>Assessment of Cost-Effectiveness</w:t>
      </w:r>
    </w:p>
    <w:p w14:paraId="0B06B8BA" w14:textId="77777777" w:rsidR="00054BF0" w:rsidRDefault="00000000">
      <w:pPr>
        <w:spacing w:before="200" w:line="260" w:lineRule="atLeast"/>
        <w:jc w:val="both"/>
      </w:pPr>
      <w:r>
        <w:rPr>
          <w:rFonts w:ascii="Arial" w:eastAsia="Arial" w:hAnsi="Arial" w:cs="Arial"/>
          <w:color w:val="000000"/>
          <w:sz w:val="20"/>
        </w:rPr>
        <w:t>The above cross-country comparison has identified what kinds of PPP measures have been adopted by each of these countries in dealing with three vulnerabilities. Having conducted these analyses, this section would proceed to the assessment of cost-effectiveness of PPP measures. “Cost-effectiveness” referred here is how little the government needs to pay to get the private sector to stay in, or participate in, the PPP projects.</w:t>
      </w:r>
    </w:p>
    <w:p w14:paraId="1BE961E8" w14:textId="77777777" w:rsidR="00054BF0" w:rsidRDefault="00000000">
      <w:pPr>
        <w:spacing w:before="240" w:line="260" w:lineRule="atLeast"/>
      </w:pPr>
      <w:r>
        <w:rPr>
          <w:rFonts w:ascii="Arial" w:eastAsia="Arial" w:hAnsi="Arial" w:cs="Arial"/>
          <w:b/>
          <w:color w:val="000000"/>
          <w:sz w:val="20"/>
        </w:rPr>
        <w:t>Cost-Effectiveness of Individual PPP Measures</w:t>
      </w:r>
    </w:p>
    <w:p w14:paraId="635DCCCF" w14:textId="77777777" w:rsidR="00054BF0" w:rsidRDefault="00000000">
      <w:pPr>
        <w:spacing w:before="200" w:line="260" w:lineRule="atLeast"/>
        <w:jc w:val="both"/>
      </w:pPr>
      <w:r>
        <w:rPr>
          <w:rFonts w:ascii="Arial" w:eastAsia="Arial" w:hAnsi="Arial" w:cs="Arial"/>
          <w:color w:val="000000"/>
          <w:sz w:val="20"/>
        </w:rPr>
        <w:t xml:space="preserve">The cost-effectiveness of individual PPP measures would be assessed in two steps. The first-step is conducted by measuring the type of loss to be covered by a specific PPP measure, in other words, whether the entire assets/obligations would be covered by the guarantee, or only the difference between “before and after” a specific event would be covered. If the entire assets/obligations would be covered, a score of 3 is given. If the coverage is given only to the difference, a score of 2 is given. For the loss smaller than the above two cases, a score of 1 is </w:t>
      </w:r>
      <w:r>
        <w:rPr>
          <w:rFonts w:ascii="Arial" w:eastAsia="Arial" w:hAnsi="Arial" w:cs="Arial"/>
          <w:color w:val="000000"/>
          <w:sz w:val="20"/>
        </w:rPr>
        <w:lastRenderedPageBreak/>
        <w:t>given. The second step is related to the extent of coverage of the loss. If the 100% of the loss would be covered by the guarantee, a scale of 1.0 is given. If only a part of the losses is covered, a scale of 0.5 is given. The results of this two-step assessment were indicated in Table 1.</w:t>
      </w:r>
    </w:p>
    <w:p w14:paraId="2086FEA3" w14:textId="77777777" w:rsidR="00054BF0" w:rsidRDefault="00000000">
      <w:pPr>
        <w:spacing w:before="240" w:line="260" w:lineRule="atLeast"/>
      </w:pPr>
      <w:r>
        <w:rPr>
          <w:rFonts w:ascii="Arial" w:eastAsia="Arial" w:hAnsi="Arial" w:cs="Arial"/>
          <w:b/>
          <w:color w:val="000000"/>
          <w:sz w:val="20"/>
        </w:rPr>
        <w:t>Table 1.</w:t>
      </w:r>
    </w:p>
    <w:p w14:paraId="75E37A18" w14:textId="77777777" w:rsidR="00054BF0" w:rsidRDefault="00000000">
      <w:pPr>
        <w:spacing w:before="200" w:line="260" w:lineRule="atLeast"/>
        <w:jc w:val="both"/>
      </w:pPr>
      <w:r>
        <w:rPr>
          <w:rFonts w:ascii="Arial" w:eastAsia="Arial" w:hAnsi="Arial" w:cs="Arial"/>
          <w:color w:val="000000"/>
          <w:sz w:val="20"/>
        </w:rPr>
        <w:t>Effectiveness of PPP Measures for Three Countries.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1440"/>
        <w:gridCol w:w="1440"/>
        <w:gridCol w:w="1440"/>
        <w:gridCol w:w="720"/>
        <w:gridCol w:w="1440"/>
      </w:tblGrid>
      <w:tr w:rsidR="00054BF0" w14:paraId="1D0A6EEB" w14:textId="77777777">
        <w:trPr>
          <w:tblHeader/>
          <w:jc w:val="center"/>
        </w:trPr>
        <w:tc>
          <w:tcPr>
            <w:tcW w:w="2400" w:type="dxa"/>
            <w:tcBorders>
              <w:bottom w:val="nil"/>
              <w:right w:val="nil"/>
            </w:tcBorders>
            <w:tcMar>
              <w:top w:w="20" w:type="dxa"/>
              <w:bottom w:w="20" w:type="dxa"/>
            </w:tcMar>
          </w:tcPr>
          <w:p w14:paraId="32CFE47A" w14:textId="77777777" w:rsidR="00054BF0" w:rsidRDefault="00000000">
            <w:pPr>
              <w:spacing w:before="200" w:line="220" w:lineRule="atLeast"/>
            </w:pPr>
            <w:r>
              <w:rPr>
                <w:rFonts w:ascii="Arial" w:eastAsia="Arial" w:hAnsi="Arial" w:cs="Arial"/>
                <w:b/>
                <w:color w:val="000000"/>
                <w:sz w:val="18"/>
              </w:rPr>
              <w:t>PPP measures</w:t>
            </w:r>
          </w:p>
        </w:tc>
        <w:tc>
          <w:tcPr>
            <w:tcW w:w="1440" w:type="dxa"/>
            <w:tcBorders>
              <w:bottom w:val="nil"/>
              <w:right w:val="nil"/>
            </w:tcBorders>
            <w:tcMar>
              <w:top w:w="20" w:type="dxa"/>
              <w:bottom w:w="20" w:type="dxa"/>
            </w:tcMar>
          </w:tcPr>
          <w:p w14:paraId="6C7CFC9A" w14:textId="77777777" w:rsidR="00054BF0" w:rsidRDefault="00000000">
            <w:pPr>
              <w:spacing w:before="200" w:line="220" w:lineRule="atLeast"/>
            </w:pPr>
            <w:r>
              <w:rPr>
                <w:rFonts w:ascii="Arial" w:eastAsia="Arial" w:hAnsi="Arial" w:cs="Arial"/>
                <w:b/>
                <w:color w:val="000000"/>
                <w:sz w:val="18"/>
              </w:rPr>
              <w:t>Type of loss to be covered</w:t>
            </w:r>
          </w:p>
        </w:tc>
        <w:tc>
          <w:tcPr>
            <w:tcW w:w="1440" w:type="dxa"/>
            <w:tcBorders>
              <w:bottom w:val="nil"/>
              <w:right w:val="nil"/>
            </w:tcBorders>
            <w:tcMar>
              <w:top w:w="20" w:type="dxa"/>
              <w:bottom w:w="20" w:type="dxa"/>
            </w:tcMar>
          </w:tcPr>
          <w:p w14:paraId="11F38973" w14:textId="77777777" w:rsidR="00054BF0" w:rsidRDefault="00000000">
            <w:pPr>
              <w:spacing w:before="200" w:line="220" w:lineRule="atLeast"/>
            </w:pPr>
            <w:r>
              <w:rPr>
                <w:rFonts w:ascii="Arial" w:eastAsia="Arial" w:hAnsi="Arial" w:cs="Arial"/>
                <w:b/>
                <w:color w:val="000000"/>
                <w:sz w:val="18"/>
              </w:rPr>
              <w:t>3 level scaling</w:t>
            </w:r>
          </w:p>
        </w:tc>
        <w:tc>
          <w:tcPr>
            <w:tcW w:w="1440" w:type="dxa"/>
            <w:tcBorders>
              <w:bottom w:val="nil"/>
              <w:right w:val="nil"/>
            </w:tcBorders>
            <w:tcMar>
              <w:top w:w="20" w:type="dxa"/>
              <w:bottom w:w="20" w:type="dxa"/>
            </w:tcMar>
          </w:tcPr>
          <w:p w14:paraId="46ECAAAA" w14:textId="77777777" w:rsidR="00054BF0" w:rsidRDefault="00000000">
            <w:pPr>
              <w:spacing w:before="200" w:line="220" w:lineRule="atLeast"/>
            </w:pPr>
            <w:r>
              <w:rPr>
                <w:rFonts w:ascii="Arial" w:eastAsia="Arial" w:hAnsi="Arial" w:cs="Arial"/>
                <w:b/>
                <w:color w:val="000000"/>
                <w:sz w:val="18"/>
              </w:rPr>
              <w:t>Extent of coverage</w:t>
            </w:r>
          </w:p>
        </w:tc>
        <w:tc>
          <w:tcPr>
            <w:tcW w:w="720" w:type="dxa"/>
            <w:tcBorders>
              <w:bottom w:val="nil"/>
              <w:right w:val="nil"/>
            </w:tcBorders>
            <w:tcMar>
              <w:top w:w="20" w:type="dxa"/>
              <w:bottom w:w="20" w:type="dxa"/>
            </w:tcMar>
          </w:tcPr>
          <w:p w14:paraId="005C03D8" w14:textId="77777777" w:rsidR="00054BF0" w:rsidRDefault="00000000">
            <w:pPr>
              <w:spacing w:before="200" w:line="220" w:lineRule="atLeast"/>
            </w:pPr>
            <w:r>
              <w:rPr>
                <w:rFonts w:ascii="Arial" w:eastAsia="Arial" w:hAnsi="Arial" w:cs="Arial"/>
                <w:b/>
                <w:color w:val="000000"/>
                <w:sz w:val="18"/>
              </w:rPr>
              <w:t>Weight</w:t>
            </w:r>
          </w:p>
        </w:tc>
        <w:tc>
          <w:tcPr>
            <w:tcW w:w="1440" w:type="dxa"/>
            <w:tcBorders>
              <w:bottom w:val="nil"/>
            </w:tcBorders>
            <w:tcMar>
              <w:top w:w="20" w:type="dxa"/>
              <w:bottom w:w="20" w:type="dxa"/>
            </w:tcMar>
          </w:tcPr>
          <w:p w14:paraId="650C1EE7" w14:textId="77777777" w:rsidR="00054BF0" w:rsidRDefault="00000000">
            <w:pPr>
              <w:spacing w:before="200" w:line="220" w:lineRule="atLeast"/>
            </w:pPr>
            <w:r>
              <w:rPr>
                <w:rFonts w:ascii="Arial" w:eastAsia="Arial" w:hAnsi="Arial" w:cs="Arial"/>
                <w:b/>
                <w:color w:val="000000"/>
                <w:sz w:val="18"/>
              </w:rPr>
              <w:t>Adjusted scales</w:t>
            </w:r>
          </w:p>
        </w:tc>
      </w:tr>
      <w:tr w:rsidR="00054BF0" w14:paraId="564E895E" w14:textId="77777777">
        <w:trPr>
          <w:jc w:val="center"/>
        </w:trPr>
        <w:tc>
          <w:tcPr>
            <w:tcW w:w="2400" w:type="dxa"/>
            <w:tcBorders>
              <w:bottom w:val="nil"/>
              <w:right w:val="nil"/>
            </w:tcBorders>
            <w:tcMar>
              <w:top w:w="20" w:type="dxa"/>
              <w:bottom w:w="20" w:type="dxa"/>
            </w:tcMar>
          </w:tcPr>
          <w:p w14:paraId="344DFDEC" w14:textId="77777777" w:rsidR="00054BF0" w:rsidRDefault="00000000">
            <w:pPr>
              <w:spacing w:line="220" w:lineRule="atLeast"/>
            </w:pPr>
            <w:r>
              <w:rPr>
                <w:rFonts w:ascii="Arial" w:eastAsia="Arial" w:hAnsi="Arial" w:cs="Arial"/>
                <w:color w:val="000000"/>
                <w:sz w:val="18"/>
              </w:rPr>
              <w:t>PPP measures to deal with uncertainty</w:t>
            </w:r>
          </w:p>
        </w:tc>
        <w:tc>
          <w:tcPr>
            <w:tcW w:w="1440" w:type="dxa"/>
            <w:tcBorders>
              <w:bottom w:val="nil"/>
              <w:right w:val="nil"/>
            </w:tcBorders>
            <w:tcMar>
              <w:top w:w="20" w:type="dxa"/>
              <w:bottom w:w="20" w:type="dxa"/>
            </w:tcMar>
          </w:tcPr>
          <w:p w14:paraId="2F130454" w14:textId="77777777" w:rsidR="00054BF0" w:rsidRDefault="00054BF0"/>
        </w:tc>
        <w:tc>
          <w:tcPr>
            <w:tcW w:w="1440" w:type="dxa"/>
            <w:tcBorders>
              <w:bottom w:val="nil"/>
              <w:right w:val="nil"/>
            </w:tcBorders>
            <w:tcMar>
              <w:top w:w="20" w:type="dxa"/>
              <w:bottom w:w="20" w:type="dxa"/>
            </w:tcMar>
          </w:tcPr>
          <w:p w14:paraId="0799C9D5" w14:textId="77777777" w:rsidR="00054BF0" w:rsidRDefault="00054BF0"/>
        </w:tc>
        <w:tc>
          <w:tcPr>
            <w:tcW w:w="1440" w:type="dxa"/>
            <w:tcBorders>
              <w:bottom w:val="nil"/>
              <w:right w:val="nil"/>
            </w:tcBorders>
            <w:tcMar>
              <w:top w:w="20" w:type="dxa"/>
              <w:bottom w:w="20" w:type="dxa"/>
            </w:tcMar>
          </w:tcPr>
          <w:p w14:paraId="31E0B683" w14:textId="77777777" w:rsidR="00054BF0" w:rsidRDefault="00054BF0"/>
        </w:tc>
        <w:tc>
          <w:tcPr>
            <w:tcW w:w="720" w:type="dxa"/>
            <w:tcBorders>
              <w:bottom w:val="nil"/>
              <w:right w:val="nil"/>
            </w:tcBorders>
            <w:tcMar>
              <w:top w:w="20" w:type="dxa"/>
              <w:bottom w:w="20" w:type="dxa"/>
            </w:tcMar>
          </w:tcPr>
          <w:p w14:paraId="14C69A08" w14:textId="77777777" w:rsidR="00054BF0" w:rsidRDefault="00054BF0"/>
        </w:tc>
        <w:tc>
          <w:tcPr>
            <w:tcW w:w="1440" w:type="dxa"/>
            <w:tcBorders>
              <w:bottom w:val="nil"/>
            </w:tcBorders>
            <w:tcMar>
              <w:top w:w="20" w:type="dxa"/>
              <w:bottom w:w="20" w:type="dxa"/>
            </w:tcMar>
          </w:tcPr>
          <w:p w14:paraId="220FE19A" w14:textId="77777777" w:rsidR="00054BF0" w:rsidRDefault="00054BF0"/>
        </w:tc>
      </w:tr>
      <w:tr w:rsidR="00054BF0" w14:paraId="738F5D14" w14:textId="77777777">
        <w:trPr>
          <w:jc w:val="center"/>
        </w:trPr>
        <w:tc>
          <w:tcPr>
            <w:tcW w:w="2400" w:type="dxa"/>
            <w:tcBorders>
              <w:bottom w:val="nil"/>
              <w:right w:val="nil"/>
            </w:tcBorders>
            <w:tcMar>
              <w:top w:w="20" w:type="dxa"/>
              <w:bottom w:w="20" w:type="dxa"/>
            </w:tcMar>
          </w:tcPr>
          <w:p w14:paraId="1DF8AC60" w14:textId="77777777" w:rsidR="00054BF0" w:rsidRDefault="00000000">
            <w:pPr>
              <w:spacing w:line="220" w:lineRule="atLeast"/>
            </w:pPr>
            <w:r>
              <w:rPr>
                <w:rFonts w:ascii="Arial" w:eastAsia="Arial" w:hAnsi="Arial" w:cs="Arial"/>
                <w:color w:val="000000"/>
                <w:sz w:val="18"/>
              </w:rPr>
              <w:t>?Minimum revenue guarantee</w:t>
            </w:r>
          </w:p>
        </w:tc>
        <w:tc>
          <w:tcPr>
            <w:tcW w:w="1440" w:type="dxa"/>
            <w:tcBorders>
              <w:bottom w:val="nil"/>
              <w:right w:val="nil"/>
            </w:tcBorders>
            <w:tcMar>
              <w:top w:w="20" w:type="dxa"/>
              <w:bottom w:w="20" w:type="dxa"/>
            </w:tcMar>
          </w:tcPr>
          <w:p w14:paraId="67F98E74" w14:textId="77777777" w:rsidR="00054BF0" w:rsidRDefault="00000000">
            <w:pPr>
              <w:spacing w:line="220" w:lineRule="atLeast"/>
            </w:pPr>
            <w:r>
              <w:rPr>
                <w:rFonts w:ascii="Arial" w:eastAsia="Arial" w:hAnsi="Arial" w:cs="Arial"/>
                <w:color w:val="000000"/>
                <w:sz w:val="18"/>
              </w:rPr>
              <w:t>Revenue difference</w:t>
            </w:r>
          </w:p>
        </w:tc>
        <w:tc>
          <w:tcPr>
            <w:tcW w:w="1440" w:type="dxa"/>
            <w:tcBorders>
              <w:bottom w:val="nil"/>
              <w:right w:val="nil"/>
            </w:tcBorders>
            <w:tcMar>
              <w:top w:w="20" w:type="dxa"/>
              <w:bottom w:w="20" w:type="dxa"/>
            </w:tcMar>
          </w:tcPr>
          <w:p w14:paraId="6BDADF17"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46AD6539" w14:textId="77777777" w:rsidR="00054BF0" w:rsidRDefault="00000000">
            <w:pPr>
              <w:spacing w:line="220" w:lineRule="atLeast"/>
            </w:pPr>
            <w:r>
              <w:rPr>
                <w:rFonts w:ascii="Arial" w:eastAsia="Arial" w:hAnsi="Arial" w:cs="Arial"/>
                <w:color w:val="000000"/>
                <w:sz w:val="18"/>
              </w:rPr>
              <w:t>All difference</w:t>
            </w:r>
          </w:p>
        </w:tc>
        <w:tc>
          <w:tcPr>
            <w:tcW w:w="720" w:type="dxa"/>
            <w:tcBorders>
              <w:bottom w:val="nil"/>
              <w:right w:val="nil"/>
            </w:tcBorders>
            <w:tcMar>
              <w:top w:w="20" w:type="dxa"/>
              <w:bottom w:w="20" w:type="dxa"/>
            </w:tcMar>
          </w:tcPr>
          <w:p w14:paraId="05111CE5"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7C8E20DB" w14:textId="77777777" w:rsidR="00054BF0" w:rsidRDefault="00000000">
            <w:pPr>
              <w:spacing w:line="220" w:lineRule="atLeast"/>
            </w:pPr>
            <w:r>
              <w:rPr>
                <w:rFonts w:ascii="Arial" w:eastAsia="Arial" w:hAnsi="Arial" w:cs="Arial"/>
                <w:color w:val="000000"/>
                <w:sz w:val="18"/>
              </w:rPr>
              <w:t>2.0</w:t>
            </w:r>
          </w:p>
        </w:tc>
      </w:tr>
      <w:tr w:rsidR="00054BF0" w14:paraId="7A2AAD93" w14:textId="77777777">
        <w:trPr>
          <w:jc w:val="center"/>
        </w:trPr>
        <w:tc>
          <w:tcPr>
            <w:tcW w:w="2400" w:type="dxa"/>
            <w:tcBorders>
              <w:bottom w:val="nil"/>
              <w:right w:val="nil"/>
            </w:tcBorders>
            <w:tcMar>
              <w:top w:w="20" w:type="dxa"/>
              <w:bottom w:w="20" w:type="dxa"/>
            </w:tcMar>
          </w:tcPr>
          <w:p w14:paraId="5DF2BB47" w14:textId="77777777" w:rsidR="00054BF0" w:rsidRDefault="00000000">
            <w:pPr>
              <w:spacing w:line="220" w:lineRule="atLeast"/>
            </w:pPr>
            <w:r>
              <w:rPr>
                <w:rFonts w:ascii="Arial" w:eastAsia="Arial" w:hAnsi="Arial" w:cs="Arial"/>
                <w:color w:val="000000"/>
                <w:sz w:val="18"/>
              </w:rPr>
              <w:t>?Investment risk sharing</w:t>
            </w:r>
          </w:p>
        </w:tc>
        <w:tc>
          <w:tcPr>
            <w:tcW w:w="1440" w:type="dxa"/>
            <w:tcBorders>
              <w:bottom w:val="nil"/>
              <w:right w:val="nil"/>
            </w:tcBorders>
            <w:tcMar>
              <w:top w:w="20" w:type="dxa"/>
              <w:bottom w:w="20" w:type="dxa"/>
            </w:tcMar>
          </w:tcPr>
          <w:p w14:paraId="44078C1A" w14:textId="77777777" w:rsidR="00054BF0" w:rsidRDefault="00000000">
            <w:pPr>
              <w:spacing w:line="220" w:lineRule="atLeast"/>
            </w:pPr>
            <w:r>
              <w:rPr>
                <w:rFonts w:ascii="Arial" w:eastAsia="Arial" w:hAnsi="Arial" w:cs="Arial"/>
                <w:color w:val="000000"/>
                <w:sz w:val="18"/>
              </w:rPr>
              <w:t>Investment difference</w:t>
            </w:r>
          </w:p>
        </w:tc>
        <w:tc>
          <w:tcPr>
            <w:tcW w:w="1440" w:type="dxa"/>
            <w:tcBorders>
              <w:bottom w:val="nil"/>
              <w:right w:val="nil"/>
            </w:tcBorders>
            <w:tcMar>
              <w:top w:w="20" w:type="dxa"/>
              <w:bottom w:w="20" w:type="dxa"/>
            </w:tcMar>
          </w:tcPr>
          <w:p w14:paraId="70969E34"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5D402C25" w14:textId="77777777" w:rsidR="00054BF0" w:rsidRDefault="00000000">
            <w:pPr>
              <w:spacing w:line="220" w:lineRule="atLeast"/>
            </w:pPr>
            <w:r>
              <w:rPr>
                <w:rFonts w:ascii="Arial" w:eastAsia="Arial" w:hAnsi="Arial" w:cs="Arial"/>
                <w:color w:val="000000"/>
                <w:sz w:val="18"/>
              </w:rPr>
              <w:t>Part of difference</w:t>
            </w:r>
          </w:p>
        </w:tc>
        <w:tc>
          <w:tcPr>
            <w:tcW w:w="720" w:type="dxa"/>
            <w:tcBorders>
              <w:bottom w:val="nil"/>
              <w:right w:val="nil"/>
            </w:tcBorders>
            <w:tcMar>
              <w:top w:w="20" w:type="dxa"/>
              <w:bottom w:w="20" w:type="dxa"/>
            </w:tcMar>
          </w:tcPr>
          <w:p w14:paraId="01EA8001"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1C3D63CF" w14:textId="77777777" w:rsidR="00054BF0" w:rsidRDefault="00000000">
            <w:pPr>
              <w:spacing w:line="220" w:lineRule="atLeast"/>
            </w:pPr>
            <w:r>
              <w:rPr>
                <w:rFonts w:ascii="Arial" w:eastAsia="Arial" w:hAnsi="Arial" w:cs="Arial"/>
                <w:color w:val="000000"/>
                <w:sz w:val="18"/>
              </w:rPr>
              <w:t>1.0</w:t>
            </w:r>
          </w:p>
        </w:tc>
      </w:tr>
      <w:tr w:rsidR="00054BF0" w14:paraId="43B8C213" w14:textId="77777777">
        <w:trPr>
          <w:jc w:val="center"/>
        </w:trPr>
        <w:tc>
          <w:tcPr>
            <w:tcW w:w="2400" w:type="dxa"/>
            <w:tcBorders>
              <w:bottom w:val="nil"/>
              <w:right w:val="nil"/>
            </w:tcBorders>
            <w:tcMar>
              <w:top w:w="20" w:type="dxa"/>
              <w:bottom w:w="20" w:type="dxa"/>
            </w:tcMar>
          </w:tcPr>
          <w:p w14:paraId="5251EC25" w14:textId="77777777" w:rsidR="00054BF0" w:rsidRDefault="00000000">
            <w:pPr>
              <w:spacing w:line="220" w:lineRule="atLeast"/>
            </w:pPr>
            <w:r>
              <w:rPr>
                <w:rFonts w:ascii="Arial" w:eastAsia="Arial" w:hAnsi="Arial" w:cs="Arial"/>
                <w:color w:val="000000"/>
                <w:sz w:val="18"/>
              </w:rPr>
              <w:t>?Flexible concession period</w:t>
            </w:r>
          </w:p>
        </w:tc>
        <w:tc>
          <w:tcPr>
            <w:tcW w:w="1440" w:type="dxa"/>
            <w:tcBorders>
              <w:bottom w:val="nil"/>
              <w:right w:val="nil"/>
            </w:tcBorders>
            <w:tcMar>
              <w:top w:w="20" w:type="dxa"/>
              <w:bottom w:w="20" w:type="dxa"/>
            </w:tcMar>
          </w:tcPr>
          <w:p w14:paraId="2BDD1824" w14:textId="77777777" w:rsidR="00054BF0" w:rsidRDefault="00000000">
            <w:pPr>
              <w:spacing w:line="220" w:lineRule="atLeast"/>
            </w:pPr>
            <w:r>
              <w:rPr>
                <w:rFonts w:ascii="Arial" w:eastAsia="Arial" w:hAnsi="Arial" w:cs="Arial"/>
                <w:color w:val="000000"/>
                <w:sz w:val="18"/>
              </w:rPr>
              <w:t>Revenue difference</w:t>
            </w:r>
          </w:p>
        </w:tc>
        <w:tc>
          <w:tcPr>
            <w:tcW w:w="1440" w:type="dxa"/>
            <w:tcBorders>
              <w:bottom w:val="nil"/>
              <w:right w:val="nil"/>
            </w:tcBorders>
            <w:tcMar>
              <w:top w:w="20" w:type="dxa"/>
              <w:bottom w:w="20" w:type="dxa"/>
            </w:tcMar>
          </w:tcPr>
          <w:p w14:paraId="5BF3E89B"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372F5FBF" w14:textId="77777777" w:rsidR="00054BF0" w:rsidRDefault="00000000">
            <w:pPr>
              <w:spacing w:line="220" w:lineRule="atLeast"/>
            </w:pPr>
            <w:r>
              <w:rPr>
                <w:rFonts w:ascii="Arial" w:eastAsia="Arial" w:hAnsi="Arial" w:cs="Arial"/>
                <w:color w:val="000000"/>
                <w:sz w:val="18"/>
              </w:rPr>
              <w:t>Not covered by money</w:t>
            </w:r>
          </w:p>
        </w:tc>
        <w:tc>
          <w:tcPr>
            <w:tcW w:w="720" w:type="dxa"/>
            <w:tcBorders>
              <w:bottom w:val="nil"/>
              <w:right w:val="nil"/>
            </w:tcBorders>
            <w:tcMar>
              <w:top w:w="20" w:type="dxa"/>
              <w:bottom w:w="20" w:type="dxa"/>
            </w:tcMar>
          </w:tcPr>
          <w:p w14:paraId="2F78E945" w14:textId="77777777" w:rsidR="00054BF0" w:rsidRDefault="00000000">
            <w:pPr>
              <w:spacing w:line="220" w:lineRule="atLeast"/>
            </w:pPr>
            <w:r>
              <w:rPr>
                <w:rFonts w:ascii="Arial" w:eastAsia="Arial" w:hAnsi="Arial" w:cs="Arial"/>
                <w:color w:val="000000"/>
                <w:sz w:val="18"/>
              </w:rPr>
              <w:t>0.0</w:t>
            </w:r>
          </w:p>
        </w:tc>
        <w:tc>
          <w:tcPr>
            <w:tcW w:w="1440" w:type="dxa"/>
            <w:tcBorders>
              <w:bottom w:val="nil"/>
            </w:tcBorders>
            <w:tcMar>
              <w:top w:w="20" w:type="dxa"/>
              <w:bottom w:w="20" w:type="dxa"/>
            </w:tcMar>
          </w:tcPr>
          <w:p w14:paraId="4C99CF76" w14:textId="77777777" w:rsidR="00054BF0" w:rsidRDefault="00000000">
            <w:pPr>
              <w:spacing w:line="220" w:lineRule="atLeast"/>
            </w:pPr>
            <w:r>
              <w:rPr>
                <w:rFonts w:ascii="Arial" w:eastAsia="Arial" w:hAnsi="Arial" w:cs="Arial"/>
                <w:color w:val="000000"/>
                <w:sz w:val="18"/>
              </w:rPr>
              <w:t>0.0</w:t>
            </w:r>
          </w:p>
        </w:tc>
      </w:tr>
      <w:tr w:rsidR="00054BF0" w14:paraId="2DB8D8B8" w14:textId="77777777">
        <w:trPr>
          <w:jc w:val="center"/>
        </w:trPr>
        <w:tc>
          <w:tcPr>
            <w:tcW w:w="2400" w:type="dxa"/>
            <w:tcBorders>
              <w:bottom w:val="nil"/>
              <w:right w:val="nil"/>
            </w:tcBorders>
            <w:tcMar>
              <w:top w:w="20" w:type="dxa"/>
              <w:bottom w:w="20" w:type="dxa"/>
            </w:tcMar>
          </w:tcPr>
          <w:p w14:paraId="21FA356F" w14:textId="77777777" w:rsidR="00054BF0" w:rsidRDefault="00000000">
            <w:pPr>
              <w:spacing w:line="220" w:lineRule="atLeast"/>
            </w:pPr>
            <w:r>
              <w:rPr>
                <w:rFonts w:ascii="Arial" w:eastAsia="Arial" w:hAnsi="Arial" w:cs="Arial"/>
                <w:color w:val="000000"/>
                <w:sz w:val="18"/>
              </w:rPr>
              <w:t>Note. Scaling: Project cost: 3, Difference between projected and actual: 2, Difference in interest rates: 1</w:t>
            </w:r>
          </w:p>
        </w:tc>
        <w:tc>
          <w:tcPr>
            <w:tcW w:w="1440" w:type="dxa"/>
            <w:tcBorders>
              <w:bottom w:val="nil"/>
              <w:right w:val="nil"/>
            </w:tcBorders>
            <w:tcMar>
              <w:top w:w="20" w:type="dxa"/>
              <w:bottom w:w="20" w:type="dxa"/>
            </w:tcMar>
          </w:tcPr>
          <w:p w14:paraId="16E0B7B2" w14:textId="77777777" w:rsidR="00054BF0" w:rsidRDefault="00054BF0"/>
        </w:tc>
        <w:tc>
          <w:tcPr>
            <w:tcW w:w="1440" w:type="dxa"/>
            <w:tcBorders>
              <w:bottom w:val="nil"/>
              <w:right w:val="nil"/>
            </w:tcBorders>
            <w:tcMar>
              <w:top w:w="20" w:type="dxa"/>
              <w:bottom w:w="20" w:type="dxa"/>
            </w:tcMar>
          </w:tcPr>
          <w:p w14:paraId="45F3EF5F" w14:textId="77777777" w:rsidR="00054BF0" w:rsidRDefault="00054BF0"/>
        </w:tc>
        <w:tc>
          <w:tcPr>
            <w:tcW w:w="1440" w:type="dxa"/>
            <w:tcBorders>
              <w:bottom w:val="nil"/>
              <w:right w:val="nil"/>
            </w:tcBorders>
            <w:tcMar>
              <w:top w:w="20" w:type="dxa"/>
              <w:bottom w:w="20" w:type="dxa"/>
            </w:tcMar>
          </w:tcPr>
          <w:p w14:paraId="3A32E2D5" w14:textId="77777777" w:rsidR="00054BF0" w:rsidRDefault="00054BF0"/>
        </w:tc>
        <w:tc>
          <w:tcPr>
            <w:tcW w:w="720" w:type="dxa"/>
            <w:tcBorders>
              <w:bottom w:val="nil"/>
              <w:right w:val="nil"/>
            </w:tcBorders>
            <w:tcMar>
              <w:top w:w="20" w:type="dxa"/>
              <w:bottom w:w="20" w:type="dxa"/>
            </w:tcMar>
          </w:tcPr>
          <w:p w14:paraId="4D34DE9E" w14:textId="77777777" w:rsidR="00054BF0" w:rsidRDefault="00054BF0"/>
        </w:tc>
        <w:tc>
          <w:tcPr>
            <w:tcW w:w="1440" w:type="dxa"/>
            <w:tcBorders>
              <w:bottom w:val="nil"/>
            </w:tcBorders>
            <w:tcMar>
              <w:top w:w="20" w:type="dxa"/>
              <w:bottom w:w="20" w:type="dxa"/>
            </w:tcMar>
          </w:tcPr>
          <w:p w14:paraId="004D3A0E" w14:textId="77777777" w:rsidR="00054BF0" w:rsidRDefault="00054BF0"/>
        </w:tc>
      </w:tr>
      <w:tr w:rsidR="00054BF0" w14:paraId="734CFDA8" w14:textId="77777777">
        <w:trPr>
          <w:jc w:val="center"/>
        </w:trPr>
        <w:tc>
          <w:tcPr>
            <w:tcW w:w="2400" w:type="dxa"/>
            <w:tcBorders>
              <w:bottom w:val="nil"/>
              <w:right w:val="nil"/>
            </w:tcBorders>
            <w:tcMar>
              <w:top w:w="20" w:type="dxa"/>
              <w:bottom w:w="20" w:type="dxa"/>
            </w:tcMar>
          </w:tcPr>
          <w:p w14:paraId="275ED613" w14:textId="77777777" w:rsidR="00054BF0" w:rsidRDefault="00000000">
            <w:pPr>
              <w:spacing w:line="220" w:lineRule="atLeast"/>
            </w:pPr>
            <w:r>
              <w:rPr>
                <w:rFonts w:ascii="Arial" w:eastAsia="Arial" w:hAnsi="Arial" w:cs="Arial"/>
                <w:color w:val="000000"/>
                <w:sz w:val="18"/>
              </w:rPr>
              <w:t>PPP measures to deal with possible restriction of pricing freedom</w:t>
            </w:r>
          </w:p>
        </w:tc>
        <w:tc>
          <w:tcPr>
            <w:tcW w:w="1440" w:type="dxa"/>
            <w:tcBorders>
              <w:bottom w:val="nil"/>
              <w:right w:val="nil"/>
            </w:tcBorders>
            <w:tcMar>
              <w:top w:w="20" w:type="dxa"/>
              <w:bottom w:w="20" w:type="dxa"/>
            </w:tcMar>
          </w:tcPr>
          <w:p w14:paraId="7C4766D9" w14:textId="77777777" w:rsidR="00054BF0" w:rsidRDefault="00054BF0"/>
        </w:tc>
        <w:tc>
          <w:tcPr>
            <w:tcW w:w="1440" w:type="dxa"/>
            <w:tcBorders>
              <w:bottom w:val="nil"/>
              <w:right w:val="nil"/>
            </w:tcBorders>
            <w:tcMar>
              <w:top w:w="20" w:type="dxa"/>
              <w:bottom w:w="20" w:type="dxa"/>
            </w:tcMar>
          </w:tcPr>
          <w:p w14:paraId="5A418BC4" w14:textId="77777777" w:rsidR="00054BF0" w:rsidRDefault="00054BF0"/>
        </w:tc>
        <w:tc>
          <w:tcPr>
            <w:tcW w:w="1440" w:type="dxa"/>
            <w:tcBorders>
              <w:bottom w:val="nil"/>
              <w:right w:val="nil"/>
            </w:tcBorders>
            <w:tcMar>
              <w:top w:w="20" w:type="dxa"/>
              <w:bottom w:w="20" w:type="dxa"/>
            </w:tcMar>
          </w:tcPr>
          <w:p w14:paraId="1F9BBEA3" w14:textId="77777777" w:rsidR="00054BF0" w:rsidRDefault="00054BF0"/>
        </w:tc>
        <w:tc>
          <w:tcPr>
            <w:tcW w:w="720" w:type="dxa"/>
            <w:tcBorders>
              <w:bottom w:val="nil"/>
              <w:right w:val="nil"/>
            </w:tcBorders>
            <w:tcMar>
              <w:top w:w="20" w:type="dxa"/>
              <w:bottom w:w="20" w:type="dxa"/>
            </w:tcMar>
          </w:tcPr>
          <w:p w14:paraId="34ED444A" w14:textId="77777777" w:rsidR="00054BF0" w:rsidRDefault="00054BF0"/>
        </w:tc>
        <w:tc>
          <w:tcPr>
            <w:tcW w:w="1440" w:type="dxa"/>
            <w:tcBorders>
              <w:bottom w:val="nil"/>
            </w:tcBorders>
            <w:tcMar>
              <w:top w:w="20" w:type="dxa"/>
              <w:bottom w:w="20" w:type="dxa"/>
            </w:tcMar>
          </w:tcPr>
          <w:p w14:paraId="0D6192E4" w14:textId="77777777" w:rsidR="00054BF0" w:rsidRDefault="00054BF0"/>
        </w:tc>
      </w:tr>
      <w:tr w:rsidR="00054BF0" w14:paraId="6BF6BEF1" w14:textId="77777777">
        <w:trPr>
          <w:jc w:val="center"/>
        </w:trPr>
        <w:tc>
          <w:tcPr>
            <w:tcW w:w="2400" w:type="dxa"/>
            <w:tcBorders>
              <w:bottom w:val="nil"/>
              <w:right w:val="nil"/>
            </w:tcBorders>
            <w:tcMar>
              <w:top w:w="20" w:type="dxa"/>
              <w:bottom w:w="20" w:type="dxa"/>
            </w:tcMar>
          </w:tcPr>
          <w:p w14:paraId="6BAC0526" w14:textId="77777777" w:rsidR="00054BF0" w:rsidRDefault="00000000">
            <w:pPr>
              <w:spacing w:line="220" w:lineRule="atLeast"/>
            </w:pPr>
            <w:r>
              <w:rPr>
                <w:rFonts w:ascii="Arial" w:eastAsia="Arial" w:hAnsi="Arial" w:cs="Arial"/>
                <w:color w:val="000000"/>
                <w:sz w:val="18"/>
              </w:rPr>
              <w:t>?Full indexation</w:t>
            </w:r>
          </w:p>
        </w:tc>
        <w:tc>
          <w:tcPr>
            <w:tcW w:w="1440" w:type="dxa"/>
            <w:tcBorders>
              <w:bottom w:val="nil"/>
              <w:right w:val="nil"/>
            </w:tcBorders>
            <w:tcMar>
              <w:top w:w="20" w:type="dxa"/>
              <w:bottom w:w="20" w:type="dxa"/>
            </w:tcMar>
          </w:tcPr>
          <w:p w14:paraId="414E6B08" w14:textId="77777777" w:rsidR="00054BF0" w:rsidRDefault="00000000">
            <w:pPr>
              <w:spacing w:line="220" w:lineRule="atLeast"/>
            </w:pPr>
            <w:r>
              <w:rPr>
                <w:rFonts w:ascii="Arial" w:eastAsia="Arial" w:hAnsi="Arial" w:cs="Arial"/>
                <w:color w:val="000000"/>
                <w:sz w:val="18"/>
              </w:rPr>
              <w:t>Inflated amount of costs</w:t>
            </w:r>
          </w:p>
        </w:tc>
        <w:tc>
          <w:tcPr>
            <w:tcW w:w="1440" w:type="dxa"/>
            <w:tcBorders>
              <w:bottom w:val="nil"/>
              <w:right w:val="nil"/>
            </w:tcBorders>
            <w:tcMar>
              <w:top w:w="20" w:type="dxa"/>
              <w:bottom w:w="20" w:type="dxa"/>
            </w:tcMar>
          </w:tcPr>
          <w:p w14:paraId="786CDEDB"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03AE664E" w14:textId="77777777" w:rsidR="00054BF0" w:rsidRDefault="00000000">
            <w:pPr>
              <w:spacing w:line="220" w:lineRule="atLeast"/>
            </w:pPr>
            <w:r>
              <w:rPr>
                <w:rFonts w:ascii="Arial" w:eastAsia="Arial" w:hAnsi="Arial" w:cs="Arial"/>
                <w:color w:val="000000"/>
                <w:sz w:val="18"/>
              </w:rPr>
              <w:t>All increased cost</w:t>
            </w:r>
          </w:p>
        </w:tc>
        <w:tc>
          <w:tcPr>
            <w:tcW w:w="720" w:type="dxa"/>
            <w:tcBorders>
              <w:bottom w:val="nil"/>
              <w:right w:val="nil"/>
            </w:tcBorders>
            <w:tcMar>
              <w:top w:w="20" w:type="dxa"/>
              <w:bottom w:w="20" w:type="dxa"/>
            </w:tcMar>
          </w:tcPr>
          <w:p w14:paraId="549783CB"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53A7EB32" w14:textId="77777777" w:rsidR="00054BF0" w:rsidRDefault="00000000">
            <w:pPr>
              <w:spacing w:line="220" w:lineRule="atLeast"/>
            </w:pPr>
            <w:r>
              <w:rPr>
                <w:rFonts w:ascii="Arial" w:eastAsia="Arial" w:hAnsi="Arial" w:cs="Arial"/>
                <w:color w:val="000000"/>
                <w:sz w:val="18"/>
              </w:rPr>
              <w:t>2.0</w:t>
            </w:r>
          </w:p>
        </w:tc>
      </w:tr>
      <w:tr w:rsidR="00054BF0" w14:paraId="0DD7AACD" w14:textId="77777777">
        <w:trPr>
          <w:jc w:val="center"/>
        </w:trPr>
        <w:tc>
          <w:tcPr>
            <w:tcW w:w="2400" w:type="dxa"/>
            <w:tcBorders>
              <w:bottom w:val="nil"/>
              <w:right w:val="nil"/>
            </w:tcBorders>
            <w:tcMar>
              <w:top w:w="20" w:type="dxa"/>
              <w:bottom w:w="20" w:type="dxa"/>
            </w:tcMar>
          </w:tcPr>
          <w:p w14:paraId="74082553" w14:textId="77777777" w:rsidR="00054BF0" w:rsidRDefault="00000000">
            <w:pPr>
              <w:spacing w:line="220" w:lineRule="atLeast"/>
            </w:pPr>
            <w:r>
              <w:rPr>
                <w:rFonts w:ascii="Arial" w:eastAsia="Arial" w:hAnsi="Arial" w:cs="Arial"/>
                <w:color w:val="000000"/>
                <w:sz w:val="18"/>
              </w:rPr>
              <w:t>?Partial indexation</w:t>
            </w:r>
          </w:p>
        </w:tc>
        <w:tc>
          <w:tcPr>
            <w:tcW w:w="1440" w:type="dxa"/>
            <w:tcBorders>
              <w:bottom w:val="nil"/>
              <w:right w:val="nil"/>
            </w:tcBorders>
            <w:tcMar>
              <w:top w:w="20" w:type="dxa"/>
              <w:bottom w:w="20" w:type="dxa"/>
            </w:tcMar>
          </w:tcPr>
          <w:p w14:paraId="778CD211" w14:textId="77777777" w:rsidR="00054BF0" w:rsidRDefault="00000000">
            <w:pPr>
              <w:spacing w:line="220" w:lineRule="atLeast"/>
            </w:pPr>
            <w:r>
              <w:rPr>
                <w:rFonts w:ascii="Arial" w:eastAsia="Arial" w:hAnsi="Arial" w:cs="Arial"/>
                <w:color w:val="000000"/>
                <w:sz w:val="18"/>
              </w:rPr>
              <w:t>Inflated amount of costs</w:t>
            </w:r>
          </w:p>
        </w:tc>
        <w:tc>
          <w:tcPr>
            <w:tcW w:w="1440" w:type="dxa"/>
            <w:tcBorders>
              <w:bottom w:val="nil"/>
              <w:right w:val="nil"/>
            </w:tcBorders>
            <w:tcMar>
              <w:top w:w="20" w:type="dxa"/>
              <w:bottom w:w="20" w:type="dxa"/>
            </w:tcMar>
          </w:tcPr>
          <w:p w14:paraId="7063CC2F"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3F9D2A93" w14:textId="77777777" w:rsidR="00054BF0" w:rsidRDefault="00000000">
            <w:pPr>
              <w:spacing w:line="220" w:lineRule="atLeast"/>
            </w:pPr>
            <w:r>
              <w:rPr>
                <w:rFonts w:ascii="Arial" w:eastAsia="Arial" w:hAnsi="Arial" w:cs="Arial"/>
                <w:color w:val="000000"/>
                <w:sz w:val="18"/>
              </w:rPr>
              <w:t>Part of increased cost</w:t>
            </w:r>
          </w:p>
        </w:tc>
        <w:tc>
          <w:tcPr>
            <w:tcW w:w="720" w:type="dxa"/>
            <w:tcBorders>
              <w:bottom w:val="nil"/>
              <w:right w:val="nil"/>
            </w:tcBorders>
            <w:tcMar>
              <w:top w:w="20" w:type="dxa"/>
              <w:bottom w:w="20" w:type="dxa"/>
            </w:tcMar>
          </w:tcPr>
          <w:p w14:paraId="0B771ADA"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734DE1AD" w14:textId="77777777" w:rsidR="00054BF0" w:rsidRDefault="00000000">
            <w:pPr>
              <w:spacing w:line="220" w:lineRule="atLeast"/>
            </w:pPr>
            <w:r>
              <w:rPr>
                <w:rFonts w:ascii="Arial" w:eastAsia="Arial" w:hAnsi="Arial" w:cs="Arial"/>
                <w:color w:val="000000"/>
                <w:sz w:val="18"/>
              </w:rPr>
              <w:t>1.0</w:t>
            </w:r>
          </w:p>
        </w:tc>
      </w:tr>
      <w:tr w:rsidR="00054BF0" w14:paraId="6BDC5882" w14:textId="77777777">
        <w:trPr>
          <w:jc w:val="center"/>
        </w:trPr>
        <w:tc>
          <w:tcPr>
            <w:tcW w:w="2400" w:type="dxa"/>
            <w:tcBorders>
              <w:bottom w:val="nil"/>
              <w:right w:val="nil"/>
            </w:tcBorders>
            <w:tcMar>
              <w:top w:w="20" w:type="dxa"/>
              <w:bottom w:w="20" w:type="dxa"/>
            </w:tcMar>
          </w:tcPr>
          <w:p w14:paraId="25C0452E" w14:textId="77777777" w:rsidR="00054BF0" w:rsidRDefault="00000000">
            <w:pPr>
              <w:spacing w:line="220" w:lineRule="atLeast"/>
            </w:pPr>
            <w:r>
              <w:rPr>
                <w:rFonts w:ascii="Arial" w:eastAsia="Arial" w:hAnsi="Arial" w:cs="Arial"/>
                <w:color w:val="000000"/>
                <w:sz w:val="18"/>
              </w:rPr>
              <w:t>Note. Scaling: Loan amount: 3, Difference between projected and actual: 2, Other minor differences: 1</w:t>
            </w:r>
          </w:p>
        </w:tc>
        <w:tc>
          <w:tcPr>
            <w:tcW w:w="1440" w:type="dxa"/>
            <w:tcBorders>
              <w:bottom w:val="nil"/>
              <w:right w:val="nil"/>
            </w:tcBorders>
            <w:tcMar>
              <w:top w:w="20" w:type="dxa"/>
              <w:bottom w:w="20" w:type="dxa"/>
            </w:tcMar>
          </w:tcPr>
          <w:p w14:paraId="5C2AACDB" w14:textId="77777777" w:rsidR="00054BF0" w:rsidRDefault="00054BF0"/>
        </w:tc>
        <w:tc>
          <w:tcPr>
            <w:tcW w:w="1440" w:type="dxa"/>
            <w:tcBorders>
              <w:bottom w:val="nil"/>
              <w:right w:val="nil"/>
            </w:tcBorders>
            <w:tcMar>
              <w:top w:w="20" w:type="dxa"/>
              <w:bottom w:w="20" w:type="dxa"/>
            </w:tcMar>
          </w:tcPr>
          <w:p w14:paraId="6C3641C5" w14:textId="77777777" w:rsidR="00054BF0" w:rsidRDefault="00054BF0"/>
        </w:tc>
        <w:tc>
          <w:tcPr>
            <w:tcW w:w="1440" w:type="dxa"/>
            <w:tcBorders>
              <w:bottom w:val="nil"/>
              <w:right w:val="nil"/>
            </w:tcBorders>
            <w:tcMar>
              <w:top w:w="20" w:type="dxa"/>
              <w:bottom w:w="20" w:type="dxa"/>
            </w:tcMar>
          </w:tcPr>
          <w:p w14:paraId="78861833" w14:textId="77777777" w:rsidR="00054BF0" w:rsidRDefault="00054BF0"/>
        </w:tc>
        <w:tc>
          <w:tcPr>
            <w:tcW w:w="720" w:type="dxa"/>
            <w:tcBorders>
              <w:bottom w:val="nil"/>
              <w:right w:val="nil"/>
            </w:tcBorders>
            <w:tcMar>
              <w:top w:w="20" w:type="dxa"/>
              <w:bottom w:w="20" w:type="dxa"/>
            </w:tcMar>
          </w:tcPr>
          <w:p w14:paraId="4B5B639F" w14:textId="77777777" w:rsidR="00054BF0" w:rsidRDefault="00054BF0"/>
        </w:tc>
        <w:tc>
          <w:tcPr>
            <w:tcW w:w="1440" w:type="dxa"/>
            <w:tcBorders>
              <w:bottom w:val="nil"/>
            </w:tcBorders>
            <w:tcMar>
              <w:top w:w="20" w:type="dxa"/>
              <w:bottom w:w="20" w:type="dxa"/>
            </w:tcMar>
          </w:tcPr>
          <w:p w14:paraId="0C09B7C9" w14:textId="77777777" w:rsidR="00054BF0" w:rsidRDefault="00054BF0"/>
        </w:tc>
      </w:tr>
      <w:tr w:rsidR="00054BF0" w14:paraId="2E741FF2" w14:textId="77777777">
        <w:trPr>
          <w:jc w:val="center"/>
        </w:trPr>
        <w:tc>
          <w:tcPr>
            <w:tcW w:w="2400" w:type="dxa"/>
            <w:tcBorders>
              <w:bottom w:val="nil"/>
              <w:right w:val="nil"/>
            </w:tcBorders>
            <w:tcMar>
              <w:top w:w="20" w:type="dxa"/>
              <w:bottom w:w="20" w:type="dxa"/>
            </w:tcMar>
          </w:tcPr>
          <w:p w14:paraId="7F3C5FCB" w14:textId="77777777" w:rsidR="00054BF0" w:rsidRDefault="00000000">
            <w:pPr>
              <w:spacing w:line="220" w:lineRule="atLeast"/>
            </w:pPr>
            <w:r>
              <w:rPr>
                <w:rFonts w:ascii="Arial" w:eastAsia="Arial" w:hAnsi="Arial" w:cs="Arial"/>
                <w:color w:val="000000"/>
                <w:sz w:val="18"/>
              </w:rPr>
              <w:t>PPP measures to facilitate project finance</w:t>
            </w:r>
          </w:p>
        </w:tc>
        <w:tc>
          <w:tcPr>
            <w:tcW w:w="1440" w:type="dxa"/>
            <w:tcBorders>
              <w:bottom w:val="nil"/>
              <w:right w:val="nil"/>
            </w:tcBorders>
            <w:tcMar>
              <w:top w:w="20" w:type="dxa"/>
              <w:bottom w:w="20" w:type="dxa"/>
            </w:tcMar>
          </w:tcPr>
          <w:p w14:paraId="4A33F697" w14:textId="77777777" w:rsidR="00054BF0" w:rsidRDefault="00054BF0"/>
        </w:tc>
        <w:tc>
          <w:tcPr>
            <w:tcW w:w="1440" w:type="dxa"/>
            <w:tcBorders>
              <w:bottom w:val="nil"/>
              <w:right w:val="nil"/>
            </w:tcBorders>
            <w:tcMar>
              <w:top w:w="20" w:type="dxa"/>
              <w:bottom w:w="20" w:type="dxa"/>
            </w:tcMar>
          </w:tcPr>
          <w:p w14:paraId="4687E4D5" w14:textId="77777777" w:rsidR="00054BF0" w:rsidRDefault="00054BF0"/>
        </w:tc>
        <w:tc>
          <w:tcPr>
            <w:tcW w:w="1440" w:type="dxa"/>
            <w:tcBorders>
              <w:bottom w:val="nil"/>
              <w:right w:val="nil"/>
            </w:tcBorders>
            <w:tcMar>
              <w:top w:w="20" w:type="dxa"/>
              <w:bottom w:w="20" w:type="dxa"/>
            </w:tcMar>
          </w:tcPr>
          <w:p w14:paraId="6662A162" w14:textId="77777777" w:rsidR="00054BF0" w:rsidRDefault="00054BF0"/>
        </w:tc>
        <w:tc>
          <w:tcPr>
            <w:tcW w:w="720" w:type="dxa"/>
            <w:tcBorders>
              <w:bottom w:val="nil"/>
              <w:right w:val="nil"/>
            </w:tcBorders>
            <w:tcMar>
              <w:top w:w="20" w:type="dxa"/>
              <w:bottom w:w="20" w:type="dxa"/>
            </w:tcMar>
          </w:tcPr>
          <w:p w14:paraId="70D61CEB" w14:textId="77777777" w:rsidR="00054BF0" w:rsidRDefault="00054BF0"/>
        </w:tc>
        <w:tc>
          <w:tcPr>
            <w:tcW w:w="1440" w:type="dxa"/>
            <w:tcBorders>
              <w:bottom w:val="nil"/>
            </w:tcBorders>
            <w:tcMar>
              <w:top w:w="20" w:type="dxa"/>
              <w:bottom w:w="20" w:type="dxa"/>
            </w:tcMar>
          </w:tcPr>
          <w:p w14:paraId="612047EC" w14:textId="77777777" w:rsidR="00054BF0" w:rsidRDefault="00054BF0"/>
        </w:tc>
      </w:tr>
      <w:tr w:rsidR="00054BF0" w14:paraId="2906F437" w14:textId="77777777">
        <w:trPr>
          <w:jc w:val="center"/>
        </w:trPr>
        <w:tc>
          <w:tcPr>
            <w:tcW w:w="2400" w:type="dxa"/>
            <w:tcBorders>
              <w:bottom w:val="nil"/>
              <w:right w:val="nil"/>
            </w:tcBorders>
            <w:tcMar>
              <w:top w:w="20" w:type="dxa"/>
              <w:bottom w:w="20" w:type="dxa"/>
            </w:tcMar>
          </w:tcPr>
          <w:p w14:paraId="37FA6061" w14:textId="77777777" w:rsidR="00054BF0" w:rsidRDefault="00000000">
            <w:pPr>
              <w:spacing w:line="220" w:lineRule="atLeast"/>
            </w:pPr>
            <w:r>
              <w:rPr>
                <w:rFonts w:ascii="Arial" w:eastAsia="Arial" w:hAnsi="Arial" w:cs="Arial"/>
                <w:color w:val="000000"/>
                <w:sz w:val="18"/>
              </w:rPr>
              <w:t>?Loan guarantee</w:t>
            </w:r>
          </w:p>
        </w:tc>
        <w:tc>
          <w:tcPr>
            <w:tcW w:w="1440" w:type="dxa"/>
            <w:tcBorders>
              <w:bottom w:val="nil"/>
              <w:right w:val="nil"/>
            </w:tcBorders>
            <w:tcMar>
              <w:top w:w="20" w:type="dxa"/>
              <w:bottom w:w="20" w:type="dxa"/>
            </w:tcMar>
          </w:tcPr>
          <w:p w14:paraId="1B503E6F" w14:textId="77777777" w:rsidR="00054BF0" w:rsidRDefault="00000000">
            <w:pPr>
              <w:spacing w:line="220" w:lineRule="atLeast"/>
            </w:pPr>
            <w:r>
              <w:rPr>
                <w:rFonts w:ascii="Arial" w:eastAsia="Arial" w:hAnsi="Arial" w:cs="Arial"/>
                <w:color w:val="000000"/>
                <w:sz w:val="18"/>
              </w:rPr>
              <w:t>Loan amount</w:t>
            </w:r>
          </w:p>
        </w:tc>
        <w:tc>
          <w:tcPr>
            <w:tcW w:w="1440" w:type="dxa"/>
            <w:tcBorders>
              <w:bottom w:val="nil"/>
              <w:right w:val="nil"/>
            </w:tcBorders>
            <w:tcMar>
              <w:top w:w="20" w:type="dxa"/>
              <w:bottom w:w="20" w:type="dxa"/>
            </w:tcMar>
          </w:tcPr>
          <w:p w14:paraId="7077EFF4" w14:textId="77777777" w:rsidR="00054BF0"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443D565B" w14:textId="77777777" w:rsidR="00054BF0" w:rsidRDefault="00000000">
            <w:pPr>
              <w:spacing w:line="220" w:lineRule="atLeast"/>
            </w:pPr>
            <w:r>
              <w:rPr>
                <w:rFonts w:ascii="Arial" w:eastAsia="Arial" w:hAnsi="Arial" w:cs="Arial"/>
                <w:color w:val="000000"/>
                <w:sz w:val="18"/>
              </w:rPr>
              <w:t>Entire amount</w:t>
            </w:r>
          </w:p>
        </w:tc>
        <w:tc>
          <w:tcPr>
            <w:tcW w:w="720" w:type="dxa"/>
            <w:tcBorders>
              <w:bottom w:val="nil"/>
              <w:right w:val="nil"/>
            </w:tcBorders>
            <w:tcMar>
              <w:top w:w="20" w:type="dxa"/>
              <w:bottom w:w="20" w:type="dxa"/>
            </w:tcMar>
          </w:tcPr>
          <w:p w14:paraId="0026BE80"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6966D504" w14:textId="77777777" w:rsidR="00054BF0" w:rsidRDefault="00000000">
            <w:pPr>
              <w:spacing w:line="220" w:lineRule="atLeast"/>
            </w:pPr>
            <w:r>
              <w:rPr>
                <w:rFonts w:ascii="Arial" w:eastAsia="Arial" w:hAnsi="Arial" w:cs="Arial"/>
                <w:color w:val="000000"/>
                <w:sz w:val="18"/>
              </w:rPr>
              <w:t>3.0</w:t>
            </w:r>
          </w:p>
        </w:tc>
      </w:tr>
      <w:tr w:rsidR="00054BF0" w14:paraId="39C13BDD" w14:textId="77777777">
        <w:trPr>
          <w:jc w:val="center"/>
        </w:trPr>
        <w:tc>
          <w:tcPr>
            <w:tcW w:w="2400" w:type="dxa"/>
            <w:tcBorders>
              <w:bottom w:val="nil"/>
              <w:right w:val="nil"/>
            </w:tcBorders>
            <w:tcMar>
              <w:top w:w="20" w:type="dxa"/>
              <w:bottom w:w="20" w:type="dxa"/>
            </w:tcMar>
          </w:tcPr>
          <w:p w14:paraId="0AD3AA37" w14:textId="77777777" w:rsidR="00054BF0" w:rsidRDefault="00000000">
            <w:pPr>
              <w:spacing w:line="220" w:lineRule="atLeast"/>
            </w:pPr>
            <w:r>
              <w:rPr>
                <w:rFonts w:ascii="Arial" w:eastAsia="Arial" w:hAnsi="Arial" w:cs="Arial"/>
                <w:color w:val="000000"/>
                <w:sz w:val="18"/>
              </w:rPr>
              <w:t>?Foreign exchange insurance</w:t>
            </w:r>
          </w:p>
        </w:tc>
        <w:tc>
          <w:tcPr>
            <w:tcW w:w="1440" w:type="dxa"/>
            <w:tcBorders>
              <w:bottom w:val="nil"/>
              <w:right w:val="nil"/>
            </w:tcBorders>
            <w:tcMar>
              <w:top w:w="20" w:type="dxa"/>
              <w:bottom w:w="20" w:type="dxa"/>
            </w:tcMar>
          </w:tcPr>
          <w:p w14:paraId="7535B759" w14:textId="77777777" w:rsidR="00054BF0" w:rsidRDefault="00000000">
            <w:pPr>
              <w:spacing w:line="220" w:lineRule="atLeast"/>
            </w:pPr>
            <w:r>
              <w:rPr>
                <w:rFonts w:ascii="Arial" w:eastAsia="Arial" w:hAnsi="Arial" w:cs="Arial"/>
                <w:color w:val="000000"/>
                <w:sz w:val="18"/>
              </w:rPr>
              <w:t>Fluctuated part of loan</w:t>
            </w:r>
          </w:p>
        </w:tc>
        <w:tc>
          <w:tcPr>
            <w:tcW w:w="1440" w:type="dxa"/>
            <w:tcBorders>
              <w:bottom w:val="nil"/>
              <w:right w:val="nil"/>
            </w:tcBorders>
            <w:tcMar>
              <w:top w:w="20" w:type="dxa"/>
              <w:bottom w:w="20" w:type="dxa"/>
            </w:tcMar>
          </w:tcPr>
          <w:p w14:paraId="28C7DA74"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16145734" w14:textId="77777777" w:rsidR="00054BF0" w:rsidRDefault="00000000">
            <w:pPr>
              <w:spacing w:line="220" w:lineRule="atLeast"/>
            </w:pPr>
            <w:r>
              <w:rPr>
                <w:rFonts w:ascii="Arial" w:eastAsia="Arial" w:hAnsi="Arial" w:cs="Arial"/>
                <w:color w:val="000000"/>
                <w:sz w:val="18"/>
              </w:rPr>
              <w:t>All fluctuated part</w:t>
            </w:r>
          </w:p>
        </w:tc>
        <w:tc>
          <w:tcPr>
            <w:tcW w:w="720" w:type="dxa"/>
            <w:tcBorders>
              <w:bottom w:val="nil"/>
              <w:right w:val="nil"/>
            </w:tcBorders>
            <w:tcMar>
              <w:top w:w="20" w:type="dxa"/>
              <w:bottom w:w="20" w:type="dxa"/>
            </w:tcMar>
          </w:tcPr>
          <w:p w14:paraId="25622F2C"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42B87730" w14:textId="77777777" w:rsidR="00054BF0" w:rsidRDefault="00000000">
            <w:pPr>
              <w:spacing w:line="220" w:lineRule="atLeast"/>
            </w:pPr>
            <w:r>
              <w:rPr>
                <w:rFonts w:ascii="Arial" w:eastAsia="Arial" w:hAnsi="Arial" w:cs="Arial"/>
                <w:color w:val="000000"/>
                <w:sz w:val="18"/>
              </w:rPr>
              <w:t>2.0</w:t>
            </w:r>
          </w:p>
        </w:tc>
      </w:tr>
      <w:tr w:rsidR="00054BF0" w14:paraId="7C77F5EA" w14:textId="77777777">
        <w:trPr>
          <w:jc w:val="center"/>
        </w:trPr>
        <w:tc>
          <w:tcPr>
            <w:tcW w:w="2400" w:type="dxa"/>
            <w:tcBorders>
              <w:bottom w:val="nil"/>
              <w:right w:val="nil"/>
            </w:tcBorders>
            <w:tcMar>
              <w:top w:w="20" w:type="dxa"/>
              <w:bottom w:w="20" w:type="dxa"/>
            </w:tcMar>
          </w:tcPr>
          <w:p w14:paraId="45225571" w14:textId="77777777" w:rsidR="00054BF0" w:rsidRDefault="00000000">
            <w:pPr>
              <w:spacing w:line="220" w:lineRule="atLeast"/>
            </w:pPr>
            <w:r>
              <w:rPr>
                <w:rFonts w:ascii="Arial" w:eastAsia="Arial" w:hAnsi="Arial" w:cs="Arial"/>
                <w:color w:val="000000"/>
                <w:sz w:val="18"/>
              </w:rPr>
              <w:t>?Take out finance</w:t>
            </w:r>
          </w:p>
        </w:tc>
        <w:tc>
          <w:tcPr>
            <w:tcW w:w="1440" w:type="dxa"/>
            <w:tcBorders>
              <w:bottom w:val="nil"/>
              <w:right w:val="nil"/>
            </w:tcBorders>
            <w:tcMar>
              <w:top w:w="20" w:type="dxa"/>
              <w:bottom w:w="20" w:type="dxa"/>
            </w:tcMar>
          </w:tcPr>
          <w:p w14:paraId="5134A6D1" w14:textId="77777777" w:rsidR="00054BF0" w:rsidRDefault="00000000">
            <w:pPr>
              <w:spacing w:line="220" w:lineRule="atLeast"/>
            </w:pPr>
            <w:r>
              <w:rPr>
                <w:rFonts w:ascii="Arial" w:eastAsia="Arial" w:hAnsi="Arial" w:cs="Arial"/>
                <w:color w:val="000000"/>
                <w:sz w:val="18"/>
              </w:rPr>
              <w:t>Loan amount</w:t>
            </w:r>
          </w:p>
        </w:tc>
        <w:tc>
          <w:tcPr>
            <w:tcW w:w="1440" w:type="dxa"/>
            <w:tcBorders>
              <w:bottom w:val="nil"/>
              <w:right w:val="nil"/>
            </w:tcBorders>
            <w:tcMar>
              <w:top w:w="20" w:type="dxa"/>
              <w:bottom w:w="20" w:type="dxa"/>
            </w:tcMar>
          </w:tcPr>
          <w:p w14:paraId="6BF086CD" w14:textId="77777777" w:rsidR="00054BF0"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05704F60" w14:textId="77777777" w:rsidR="00054BF0" w:rsidRDefault="00000000">
            <w:pPr>
              <w:spacing w:line="220" w:lineRule="atLeast"/>
            </w:pPr>
            <w:r>
              <w:rPr>
                <w:rFonts w:ascii="Arial" w:eastAsia="Arial" w:hAnsi="Arial" w:cs="Arial"/>
                <w:color w:val="000000"/>
                <w:sz w:val="18"/>
              </w:rPr>
              <w:t>Remaining part</w:t>
            </w:r>
          </w:p>
        </w:tc>
        <w:tc>
          <w:tcPr>
            <w:tcW w:w="720" w:type="dxa"/>
            <w:tcBorders>
              <w:bottom w:val="nil"/>
              <w:right w:val="nil"/>
            </w:tcBorders>
            <w:tcMar>
              <w:top w:w="20" w:type="dxa"/>
              <w:bottom w:w="20" w:type="dxa"/>
            </w:tcMar>
          </w:tcPr>
          <w:p w14:paraId="40A1D4BD"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1B6B3FB6" w14:textId="77777777" w:rsidR="00054BF0" w:rsidRDefault="00000000">
            <w:pPr>
              <w:spacing w:line="220" w:lineRule="atLeast"/>
            </w:pPr>
            <w:r>
              <w:rPr>
                <w:rFonts w:ascii="Arial" w:eastAsia="Arial" w:hAnsi="Arial" w:cs="Arial"/>
                <w:color w:val="000000"/>
                <w:sz w:val="18"/>
              </w:rPr>
              <w:t>1.5</w:t>
            </w:r>
          </w:p>
        </w:tc>
      </w:tr>
      <w:tr w:rsidR="00054BF0" w14:paraId="4B8A7DE2" w14:textId="77777777">
        <w:trPr>
          <w:jc w:val="center"/>
        </w:trPr>
        <w:tc>
          <w:tcPr>
            <w:tcW w:w="2400" w:type="dxa"/>
            <w:tcBorders>
              <w:right w:val="nil"/>
            </w:tcBorders>
            <w:tcMar>
              <w:top w:w="20" w:type="dxa"/>
              <w:bottom w:w="20" w:type="dxa"/>
            </w:tcMar>
          </w:tcPr>
          <w:p w14:paraId="2122192E" w14:textId="77777777" w:rsidR="00054BF0" w:rsidRDefault="00000000">
            <w:pPr>
              <w:spacing w:line="220" w:lineRule="atLeast"/>
            </w:pPr>
            <w:r>
              <w:rPr>
                <w:rFonts w:ascii="Arial" w:eastAsia="Arial" w:hAnsi="Arial" w:cs="Arial"/>
                <w:color w:val="000000"/>
                <w:sz w:val="18"/>
              </w:rPr>
              <w:t>Note. Scaling: Loan amount: 3, Difference in loan amount before and after foreign exchange (FX) fluctuation 2, Difference in FX rates: 1</w:t>
            </w:r>
          </w:p>
        </w:tc>
        <w:tc>
          <w:tcPr>
            <w:tcW w:w="1440" w:type="dxa"/>
            <w:tcBorders>
              <w:right w:val="nil"/>
            </w:tcBorders>
            <w:tcMar>
              <w:top w:w="20" w:type="dxa"/>
              <w:bottom w:w="20" w:type="dxa"/>
            </w:tcMar>
          </w:tcPr>
          <w:p w14:paraId="342CC743" w14:textId="77777777" w:rsidR="00054BF0" w:rsidRDefault="00054BF0"/>
        </w:tc>
        <w:tc>
          <w:tcPr>
            <w:tcW w:w="1440" w:type="dxa"/>
            <w:tcBorders>
              <w:right w:val="nil"/>
            </w:tcBorders>
            <w:tcMar>
              <w:top w:w="20" w:type="dxa"/>
              <w:bottom w:w="20" w:type="dxa"/>
            </w:tcMar>
          </w:tcPr>
          <w:p w14:paraId="34E52F1B" w14:textId="77777777" w:rsidR="00054BF0" w:rsidRDefault="00054BF0"/>
        </w:tc>
        <w:tc>
          <w:tcPr>
            <w:tcW w:w="1440" w:type="dxa"/>
            <w:tcBorders>
              <w:right w:val="nil"/>
            </w:tcBorders>
            <w:tcMar>
              <w:top w:w="20" w:type="dxa"/>
              <w:bottom w:w="20" w:type="dxa"/>
            </w:tcMar>
          </w:tcPr>
          <w:p w14:paraId="574CE983" w14:textId="77777777" w:rsidR="00054BF0" w:rsidRDefault="00054BF0"/>
        </w:tc>
        <w:tc>
          <w:tcPr>
            <w:tcW w:w="720" w:type="dxa"/>
            <w:tcBorders>
              <w:right w:val="nil"/>
            </w:tcBorders>
            <w:tcMar>
              <w:top w:w="20" w:type="dxa"/>
              <w:bottom w:w="20" w:type="dxa"/>
            </w:tcMar>
          </w:tcPr>
          <w:p w14:paraId="3CA7241A" w14:textId="77777777" w:rsidR="00054BF0" w:rsidRDefault="00054BF0"/>
        </w:tc>
        <w:tc>
          <w:tcPr>
            <w:tcW w:w="1440" w:type="dxa"/>
            <w:tcMar>
              <w:top w:w="20" w:type="dxa"/>
              <w:bottom w:w="20" w:type="dxa"/>
            </w:tcMar>
          </w:tcPr>
          <w:p w14:paraId="7320C74B" w14:textId="77777777" w:rsidR="00054BF0" w:rsidRDefault="00054BF0"/>
        </w:tc>
      </w:tr>
    </w:tbl>
    <w:p w14:paraId="1B0C27D6"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3C610353" w14:textId="77777777" w:rsidR="00054BF0" w:rsidRDefault="00000000">
      <w:pPr>
        <w:spacing w:before="240" w:line="260" w:lineRule="atLeast"/>
      </w:pPr>
      <w:r>
        <w:rPr>
          <w:rFonts w:ascii="Arial" w:eastAsia="Arial" w:hAnsi="Arial" w:cs="Arial"/>
          <w:b/>
          <w:color w:val="000000"/>
          <w:sz w:val="20"/>
        </w:rPr>
        <w:t>Cost-Effectiveness of PPP Systems of Selected Countries</w:t>
      </w:r>
    </w:p>
    <w:p w14:paraId="70C96509" w14:textId="77777777" w:rsidR="00054BF0" w:rsidRDefault="00000000">
      <w:pPr>
        <w:spacing w:before="200" w:line="260" w:lineRule="atLeast"/>
        <w:jc w:val="both"/>
      </w:pPr>
      <w:r>
        <w:rPr>
          <w:rFonts w:ascii="Arial" w:eastAsia="Arial" w:hAnsi="Arial" w:cs="Arial"/>
          <w:color w:val="000000"/>
          <w:sz w:val="20"/>
        </w:rPr>
        <w:t>Having assigned the scores of cost-effectiveness of individual PPP measures, this section would focus on the comparison of the PPP systems as a whole for each of the countries. This assessment would be conducted in the following manner:</w:t>
      </w:r>
    </w:p>
    <w:p w14:paraId="7935FAF5" w14:textId="77777777" w:rsidR="00054BF0" w:rsidRDefault="00000000">
      <w:pPr>
        <w:spacing w:before="200" w:line="260" w:lineRule="atLeast"/>
        <w:jc w:val="both"/>
      </w:pPr>
      <w:r>
        <w:rPr>
          <w:rFonts w:ascii="Arial" w:eastAsia="Arial" w:hAnsi="Arial" w:cs="Arial"/>
          <w:color w:val="000000"/>
          <w:sz w:val="20"/>
        </w:rPr>
        <w:lastRenderedPageBreak/>
        <w:t>Identify the most prevalent form of the PPP measures adopted by each of the countries to deal with three types of vulnerability in the country in question.</w:t>
      </w:r>
    </w:p>
    <w:p w14:paraId="26E99067" w14:textId="77777777" w:rsidR="00054BF0" w:rsidRDefault="00000000">
      <w:pPr>
        <w:spacing w:before="200" w:line="260" w:lineRule="atLeast"/>
        <w:jc w:val="both"/>
      </w:pPr>
      <w:r>
        <w:rPr>
          <w:rFonts w:ascii="Arial" w:eastAsia="Arial" w:hAnsi="Arial" w:cs="Arial"/>
          <w:color w:val="000000"/>
          <w:sz w:val="20"/>
        </w:rPr>
        <w:t>Then, the weight earlier assigned for each of the individual PPP measures would be applied to measure the cost-effectiveness of each country’s PPP system.</w:t>
      </w:r>
    </w:p>
    <w:p w14:paraId="69557B95" w14:textId="77777777" w:rsidR="00054BF0" w:rsidRDefault="00000000">
      <w:pPr>
        <w:spacing w:before="200" w:line="260" w:lineRule="atLeast"/>
        <w:jc w:val="both"/>
      </w:pPr>
      <w:r>
        <w:rPr>
          <w:rFonts w:ascii="Arial" w:eastAsia="Arial" w:hAnsi="Arial" w:cs="Arial"/>
          <w:color w:val="000000"/>
          <w:sz w:val="20"/>
        </w:rPr>
        <w:t>The results of this analysis are as follows (see Table 2):</w:t>
      </w:r>
    </w:p>
    <w:p w14:paraId="0F72FDDD" w14:textId="77777777" w:rsidR="00054BF0" w:rsidRDefault="00000000">
      <w:pPr>
        <w:spacing w:before="240" w:line="260" w:lineRule="atLeast"/>
      </w:pPr>
      <w:r>
        <w:rPr>
          <w:rFonts w:ascii="Arial" w:eastAsia="Arial" w:hAnsi="Arial" w:cs="Arial"/>
          <w:b/>
          <w:color w:val="000000"/>
          <w:sz w:val="20"/>
        </w:rPr>
        <w:t>Table 2.</w:t>
      </w:r>
    </w:p>
    <w:p w14:paraId="4981CEFE" w14:textId="77777777" w:rsidR="00054BF0" w:rsidRDefault="00000000">
      <w:pPr>
        <w:spacing w:before="200" w:line="260" w:lineRule="atLeast"/>
        <w:jc w:val="both"/>
      </w:pPr>
      <w:r>
        <w:rPr>
          <w:rFonts w:ascii="Arial" w:eastAsia="Arial" w:hAnsi="Arial" w:cs="Arial"/>
          <w:color w:val="000000"/>
          <w:sz w:val="20"/>
        </w:rPr>
        <w:t>Comparison of PPP Systems of Three Countries in Terms of Cost-Effectiveness.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40"/>
        <w:gridCol w:w="3000"/>
        <w:gridCol w:w="1800"/>
      </w:tblGrid>
      <w:tr w:rsidR="00054BF0" w14:paraId="54E56286" w14:textId="77777777">
        <w:trPr>
          <w:tblHeader/>
          <w:jc w:val="center"/>
        </w:trPr>
        <w:tc>
          <w:tcPr>
            <w:tcW w:w="4440" w:type="dxa"/>
            <w:tcBorders>
              <w:bottom w:val="nil"/>
              <w:right w:val="nil"/>
            </w:tcBorders>
            <w:tcMar>
              <w:top w:w="20" w:type="dxa"/>
              <w:bottom w:w="20" w:type="dxa"/>
            </w:tcMar>
          </w:tcPr>
          <w:p w14:paraId="13EEB999" w14:textId="77777777" w:rsidR="00054BF0" w:rsidRDefault="00000000">
            <w:pPr>
              <w:spacing w:before="200" w:line="220" w:lineRule="atLeast"/>
            </w:pPr>
            <w:r>
              <w:rPr>
                <w:rFonts w:ascii="Arial" w:eastAsia="Arial" w:hAnsi="Arial" w:cs="Arial"/>
                <w:b/>
                <w:color w:val="000000"/>
                <w:sz w:val="18"/>
              </w:rPr>
              <w:t>System selected in a time slice manner</w:t>
            </w:r>
          </w:p>
        </w:tc>
        <w:tc>
          <w:tcPr>
            <w:tcW w:w="3000" w:type="dxa"/>
            <w:tcBorders>
              <w:bottom w:val="nil"/>
              <w:right w:val="nil"/>
            </w:tcBorders>
            <w:tcMar>
              <w:top w:w="20" w:type="dxa"/>
              <w:bottom w:w="20" w:type="dxa"/>
            </w:tcMar>
          </w:tcPr>
          <w:p w14:paraId="4852D575" w14:textId="77777777" w:rsidR="00054BF0" w:rsidRDefault="00000000">
            <w:pPr>
              <w:spacing w:before="200" w:line="220" w:lineRule="atLeast"/>
            </w:pPr>
            <w:r>
              <w:rPr>
                <w:rFonts w:ascii="Arial" w:eastAsia="Arial" w:hAnsi="Arial" w:cs="Arial"/>
                <w:b/>
                <w:color w:val="000000"/>
                <w:sz w:val="18"/>
              </w:rPr>
              <w:t>Prevalent PPP measures</w:t>
            </w:r>
          </w:p>
        </w:tc>
        <w:tc>
          <w:tcPr>
            <w:tcW w:w="1800" w:type="dxa"/>
            <w:tcBorders>
              <w:bottom w:val="nil"/>
            </w:tcBorders>
            <w:tcMar>
              <w:top w:w="20" w:type="dxa"/>
              <w:bottom w:w="20" w:type="dxa"/>
            </w:tcMar>
          </w:tcPr>
          <w:p w14:paraId="2CD3D028" w14:textId="77777777" w:rsidR="00054BF0" w:rsidRDefault="00000000">
            <w:pPr>
              <w:spacing w:before="200" w:line="220" w:lineRule="atLeast"/>
            </w:pPr>
            <w:r>
              <w:rPr>
                <w:rFonts w:ascii="Arial" w:eastAsia="Arial" w:hAnsi="Arial" w:cs="Arial"/>
                <w:b/>
                <w:color w:val="000000"/>
                <w:sz w:val="18"/>
              </w:rPr>
              <w:t>Adjusted scales</w:t>
            </w:r>
          </w:p>
        </w:tc>
      </w:tr>
      <w:tr w:rsidR="00054BF0" w14:paraId="5AFDFE6B" w14:textId="77777777">
        <w:trPr>
          <w:jc w:val="center"/>
        </w:trPr>
        <w:tc>
          <w:tcPr>
            <w:tcW w:w="4440" w:type="dxa"/>
            <w:tcBorders>
              <w:bottom w:val="nil"/>
              <w:right w:val="nil"/>
            </w:tcBorders>
            <w:tcMar>
              <w:top w:w="20" w:type="dxa"/>
              <w:bottom w:w="20" w:type="dxa"/>
            </w:tcMar>
          </w:tcPr>
          <w:p w14:paraId="7F01A044" w14:textId="77777777" w:rsidR="00054BF0" w:rsidRDefault="00000000">
            <w:pPr>
              <w:spacing w:line="220" w:lineRule="atLeast"/>
            </w:pPr>
            <w:r>
              <w:rPr>
                <w:rFonts w:ascii="Arial" w:eastAsia="Arial" w:hAnsi="Arial" w:cs="Arial"/>
                <w:color w:val="000000"/>
                <w:sz w:val="18"/>
              </w:rPr>
              <w:t>Prevalent measures to deal with uncertainty</w:t>
            </w:r>
          </w:p>
        </w:tc>
        <w:tc>
          <w:tcPr>
            <w:tcW w:w="3000" w:type="dxa"/>
            <w:tcBorders>
              <w:bottom w:val="nil"/>
              <w:right w:val="nil"/>
            </w:tcBorders>
            <w:tcMar>
              <w:top w:w="20" w:type="dxa"/>
              <w:bottom w:w="20" w:type="dxa"/>
            </w:tcMar>
          </w:tcPr>
          <w:p w14:paraId="7C6E5EFD" w14:textId="77777777" w:rsidR="00054BF0" w:rsidRDefault="00054BF0"/>
        </w:tc>
        <w:tc>
          <w:tcPr>
            <w:tcW w:w="1800" w:type="dxa"/>
            <w:tcBorders>
              <w:bottom w:val="nil"/>
            </w:tcBorders>
            <w:tcMar>
              <w:top w:w="20" w:type="dxa"/>
              <w:bottom w:w="20" w:type="dxa"/>
            </w:tcMar>
          </w:tcPr>
          <w:p w14:paraId="313F0DB7" w14:textId="77777777" w:rsidR="00054BF0" w:rsidRDefault="00054BF0"/>
        </w:tc>
      </w:tr>
      <w:tr w:rsidR="00054BF0" w14:paraId="0F21A638" w14:textId="77777777">
        <w:trPr>
          <w:jc w:val="center"/>
        </w:trPr>
        <w:tc>
          <w:tcPr>
            <w:tcW w:w="4440" w:type="dxa"/>
            <w:tcBorders>
              <w:bottom w:val="nil"/>
              <w:right w:val="nil"/>
            </w:tcBorders>
            <w:tcMar>
              <w:top w:w="20" w:type="dxa"/>
              <w:bottom w:w="20" w:type="dxa"/>
            </w:tcMar>
          </w:tcPr>
          <w:p w14:paraId="5D164003"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39A29792" w14:textId="77777777" w:rsidR="00054BF0" w:rsidRDefault="00000000">
            <w:pPr>
              <w:spacing w:line="220" w:lineRule="atLeast"/>
            </w:pPr>
            <w:r>
              <w:rPr>
                <w:rFonts w:ascii="Arial" w:eastAsia="Arial" w:hAnsi="Arial" w:cs="Arial"/>
                <w:color w:val="000000"/>
                <w:sz w:val="18"/>
              </w:rPr>
              <w:t>Minimum revenue guarantee</w:t>
            </w:r>
          </w:p>
        </w:tc>
        <w:tc>
          <w:tcPr>
            <w:tcW w:w="1800" w:type="dxa"/>
            <w:tcBorders>
              <w:bottom w:val="nil"/>
            </w:tcBorders>
            <w:tcMar>
              <w:top w:w="20" w:type="dxa"/>
              <w:bottom w:w="20" w:type="dxa"/>
            </w:tcMar>
          </w:tcPr>
          <w:p w14:paraId="2D9D85C5" w14:textId="77777777" w:rsidR="00054BF0" w:rsidRDefault="00000000">
            <w:pPr>
              <w:spacing w:line="220" w:lineRule="atLeast"/>
            </w:pPr>
            <w:r>
              <w:rPr>
                <w:rFonts w:ascii="Arial" w:eastAsia="Arial" w:hAnsi="Arial" w:cs="Arial"/>
                <w:color w:val="000000"/>
                <w:sz w:val="18"/>
              </w:rPr>
              <w:t>2.0</w:t>
            </w:r>
          </w:p>
        </w:tc>
      </w:tr>
      <w:tr w:rsidR="00054BF0" w14:paraId="045CC16D" w14:textId="77777777">
        <w:trPr>
          <w:jc w:val="center"/>
        </w:trPr>
        <w:tc>
          <w:tcPr>
            <w:tcW w:w="4440" w:type="dxa"/>
            <w:tcBorders>
              <w:bottom w:val="nil"/>
              <w:right w:val="nil"/>
            </w:tcBorders>
            <w:tcMar>
              <w:top w:w="20" w:type="dxa"/>
              <w:bottom w:w="20" w:type="dxa"/>
            </w:tcMar>
          </w:tcPr>
          <w:p w14:paraId="18F2690B"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26B49567" w14:textId="77777777" w:rsidR="00054BF0" w:rsidRDefault="00000000">
            <w:pPr>
              <w:spacing w:line="220" w:lineRule="atLeast"/>
            </w:pPr>
            <w:r>
              <w:rPr>
                <w:rFonts w:ascii="Arial" w:eastAsia="Arial" w:hAnsi="Arial" w:cs="Arial"/>
                <w:color w:val="000000"/>
                <w:sz w:val="18"/>
              </w:rPr>
              <w:t>Investment risk sharing</w:t>
            </w:r>
          </w:p>
        </w:tc>
        <w:tc>
          <w:tcPr>
            <w:tcW w:w="1800" w:type="dxa"/>
            <w:tcBorders>
              <w:bottom w:val="nil"/>
            </w:tcBorders>
            <w:tcMar>
              <w:top w:w="20" w:type="dxa"/>
              <w:bottom w:w="20" w:type="dxa"/>
            </w:tcMar>
          </w:tcPr>
          <w:p w14:paraId="78D4520D" w14:textId="77777777" w:rsidR="00054BF0" w:rsidRDefault="00000000">
            <w:pPr>
              <w:spacing w:line="220" w:lineRule="atLeast"/>
            </w:pPr>
            <w:r>
              <w:rPr>
                <w:rFonts w:ascii="Arial" w:eastAsia="Arial" w:hAnsi="Arial" w:cs="Arial"/>
                <w:color w:val="000000"/>
                <w:sz w:val="18"/>
              </w:rPr>
              <w:t>1.0</w:t>
            </w:r>
          </w:p>
        </w:tc>
      </w:tr>
      <w:tr w:rsidR="00054BF0" w14:paraId="5D327145" w14:textId="77777777">
        <w:trPr>
          <w:jc w:val="center"/>
        </w:trPr>
        <w:tc>
          <w:tcPr>
            <w:tcW w:w="4440" w:type="dxa"/>
            <w:tcBorders>
              <w:bottom w:val="nil"/>
              <w:right w:val="nil"/>
            </w:tcBorders>
            <w:tcMar>
              <w:top w:w="20" w:type="dxa"/>
              <w:bottom w:w="20" w:type="dxa"/>
            </w:tcMar>
          </w:tcPr>
          <w:p w14:paraId="75751A15" w14:textId="77777777" w:rsidR="00054BF0" w:rsidRDefault="00000000">
            <w:pPr>
              <w:spacing w:line="220" w:lineRule="atLeast"/>
            </w:pPr>
            <w:r>
              <w:rPr>
                <w:rFonts w:ascii="Arial" w:eastAsia="Arial" w:hAnsi="Arial" w:cs="Arial"/>
                <w:color w:val="000000"/>
                <w:sz w:val="18"/>
              </w:rPr>
              <w:t>?Indian system</w:t>
            </w:r>
          </w:p>
        </w:tc>
        <w:tc>
          <w:tcPr>
            <w:tcW w:w="3000" w:type="dxa"/>
            <w:tcBorders>
              <w:bottom w:val="nil"/>
              <w:right w:val="nil"/>
            </w:tcBorders>
            <w:tcMar>
              <w:top w:w="20" w:type="dxa"/>
              <w:bottom w:w="20" w:type="dxa"/>
            </w:tcMar>
          </w:tcPr>
          <w:p w14:paraId="28768D45" w14:textId="77777777" w:rsidR="00054BF0" w:rsidRDefault="00000000">
            <w:pPr>
              <w:spacing w:line="220" w:lineRule="atLeast"/>
            </w:pPr>
            <w:r>
              <w:rPr>
                <w:rFonts w:ascii="Arial" w:eastAsia="Arial" w:hAnsi="Arial" w:cs="Arial"/>
                <w:color w:val="000000"/>
                <w:sz w:val="18"/>
              </w:rPr>
              <w:t>Flexible concession period</w:t>
            </w:r>
          </w:p>
        </w:tc>
        <w:tc>
          <w:tcPr>
            <w:tcW w:w="1800" w:type="dxa"/>
            <w:tcBorders>
              <w:bottom w:val="nil"/>
            </w:tcBorders>
            <w:tcMar>
              <w:top w:w="20" w:type="dxa"/>
              <w:bottom w:w="20" w:type="dxa"/>
            </w:tcMar>
          </w:tcPr>
          <w:p w14:paraId="67164A6F" w14:textId="77777777" w:rsidR="00054BF0" w:rsidRDefault="00000000">
            <w:pPr>
              <w:spacing w:line="220" w:lineRule="atLeast"/>
            </w:pPr>
            <w:r>
              <w:rPr>
                <w:rFonts w:ascii="Arial" w:eastAsia="Arial" w:hAnsi="Arial" w:cs="Arial"/>
                <w:color w:val="000000"/>
                <w:sz w:val="18"/>
              </w:rPr>
              <w:t>0.0</w:t>
            </w:r>
          </w:p>
        </w:tc>
      </w:tr>
      <w:tr w:rsidR="00054BF0" w14:paraId="5ECC9C14" w14:textId="77777777">
        <w:trPr>
          <w:jc w:val="center"/>
        </w:trPr>
        <w:tc>
          <w:tcPr>
            <w:tcW w:w="4440" w:type="dxa"/>
            <w:tcBorders>
              <w:bottom w:val="nil"/>
              <w:right w:val="nil"/>
            </w:tcBorders>
            <w:tcMar>
              <w:top w:w="20" w:type="dxa"/>
              <w:bottom w:w="20" w:type="dxa"/>
            </w:tcMar>
          </w:tcPr>
          <w:p w14:paraId="733041F3" w14:textId="77777777" w:rsidR="00054BF0" w:rsidRDefault="00000000">
            <w:pPr>
              <w:spacing w:line="220" w:lineRule="atLeast"/>
            </w:pPr>
            <w:r>
              <w:rPr>
                <w:rFonts w:ascii="Arial" w:eastAsia="Arial" w:hAnsi="Arial" w:cs="Arial"/>
                <w:color w:val="000000"/>
                <w:sz w:val="18"/>
              </w:rPr>
              <w:t>Prevalent measures to deal with restricted pricing</w:t>
            </w:r>
          </w:p>
        </w:tc>
        <w:tc>
          <w:tcPr>
            <w:tcW w:w="3000" w:type="dxa"/>
            <w:tcBorders>
              <w:bottom w:val="nil"/>
              <w:right w:val="nil"/>
            </w:tcBorders>
            <w:tcMar>
              <w:top w:w="20" w:type="dxa"/>
              <w:bottom w:w="20" w:type="dxa"/>
            </w:tcMar>
          </w:tcPr>
          <w:p w14:paraId="1D5EF7F9" w14:textId="77777777" w:rsidR="00054BF0" w:rsidRDefault="00054BF0"/>
        </w:tc>
        <w:tc>
          <w:tcPr>
            <w:tcW w:w="1800" w:type="dxa"/>
            <w:tcBorders>
              <w:bottom w:val="nil"/>
            </w:tcBorders>
            <w:tcMar>
              <w:top w:w="20" w:type="dxa"/>
              <w:bottom w:w="20" w:type="dxa"/>
            </w:tcMar>
          </w:tcPr>
          <w:p w14:paraId="5F5BC620" w14:textId="77777777" w:rsidR="00054BF0" w:rsidRDefault="00054BF0"/>
        </w:tc>
      </w:tr>
      <w:tr w:rsidR="00054BF0" w14:paraId="214E5349" w14:textId="77777777">
        <w:trPr>
          <w:jc w:val="center"/>
        </w:trPr>
        <w:tc>
          <w:tcPr>
            <w:tcW w:w="4440" w:type="dxa"/>
            <w:tcBorders>
              <w:bottom w:val="nil"/>
              <w:right w:val="nil"/>
            </w:tcBorders>
            <w:tcMar>
              <w:top w:w="20" w:type="dxa"/>
              <w:bottom w:w="20" w:type="dxa"/>
            </w:tcMar>
          </w:tcPr>
          <w:p w14:paraId="6A8C9F07"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2FBDC1BC" w14:textId="77777777" w:rsidR="00054BF0" w:rsidRDefault="00000000">
            <w:pPr>
              <w:spacing w:line="220" w:lineRule="atLeast"/>
            </w:pPr>
            <w:r>
              <w:rPr>
                <w:rFonts w:ascii="Arial" w:eastAsia="Arial" w:hAnsi="Arial" w:cs="Arial"/>
                <w:color w:val="000000"/>
                <w:sz w:val="18"/>
              </w:rPr>
              <w:t>Full indexation</w:t>
            </w:r>
          </w:p>
        </w:tc>
        <w:tc>
          <w:tcPr>
            <w:tcW w:w="1800" w:type="dxa"/>
            <w:tcBorders>
              <w:bottom w:val="nil"/>
            </w:tcBorders>
            <w:tcMar>
              <w:top w:w="20" w:type="dxa"/>
              <w:bottom w:w="20" w:type="dxa"/>
            </w:tcMar>
          </w:tcPr>
          <w:p w14:paraId="1DBE1C3F" w14:textId="77777777" w:rsidR="00054BF0" w:rsidRDefault="00000000">
            <w:pPr>
              <w:spacing w:line="220" w:lineRule="atLeast"/>
            </w:pPr>
            <w:r>
              <w:rPr>
                <w:rFonts w:ascii="Arial" w:eastAsia="Arial" w:hAnsi="Arial" w:cs="Arial"/>
                <w:color w:val="000000"/>
                <w:sz w:val="18"/>
              </w:rPr>
              <w:t>2.0</w:t>
            </w:r>
          </w:p>
        </w:tc>
      </w:tr>
      <w:tr w:rsidR="00054BF0" w14:paraId="483A2504" w14:textId="77777777">
        <w:trPr>
          <w:jc w:val="center"/>
        </w:trPr>
        <w:tc>
          <w:tcPr>
            <w:tcW w:w="4440" w:type="dxa"/>
            <w:tcBorders>
              <w:bottom w:val="nil"/>
              <w:right w:val="nil"/>
            </w:tcBorders>
            <w:tcMar>
              <w:top w:w="20" w:type="dxa"/>
              <w:bottom w:w="20" w:type="dxa"/>
            </w:tcMar>
          </w:tcPr>
          <w:p w14:paraId="54DDEC6A"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60C370A1" w14:textId="77777777" w:rsidR="00054BF0" w:rsidRDefault="00000000">
            <w:pPr>
              <w:spacing w:line="220" w:lineRule="atLeast"/>
            </w:pPr>
            <w:r>
              <w:rPr>
                <w:rFonts w:ascii="Arial" w:eastAsia="Arial" w:hAnsi="Arial" w:cs="Arial"/>
                <w:color w:val="000000"/>
                <w:sz w:val="18"/>
              </w:rPr>
              <w:t>Full indexation</w:t>
            </w:r>
          </w:p>
        </w:tc>
        <w:tc>
          <w:tcPr>
            <w:tcW w:w="1800" w:type="dxa"/>
            <w:tcBorders>
              <w:bottom w:val="nil"/>
            </w:tcBorders>
            <w:tcMar>
              <w:top w:w="20" w:type="dxa"/>
              <w:bottom w:w="20" w:type="dxa"/>
            </w:tcMar>
          </w:tcPr>
          <w:p w14:paraId="44C4AD53" w14:textId="77777777" w:rsidR="00054BF0" w:rsidRDefault="00000000">
            <w:pPr>
              <w:spacing w:line="220" w:lineRule="atLeast"/>
            </w:pPr>
            <w:r>
              <w:rPr>
                <w:rFonts w:ascii="Arial" w:eastAsia="Arial" w:hAnsi="Arial" w:cs="Arial"/>
                <w:color w:val="000000"/>
                <w:sz w:val="18"/>
              </w:rPr>
              <w:t>2.0</w:t>
            </w:r>
          </w:p>
        </w:tc>
      </w:tr>
      <w:tr w:rsidR="00054BF0" w14:paraId="5D95C907" w14:textId="77777777">
        <w:trPr>
          <w:jc w:val="center"/>
        </w:trPr>
        <w:tc>
          <w:tcPr>
            <w:tcW w:w="4440" w:type="dxa"/>
            <w:tcBorders>
              <w:bottom w:val="nil"/>
              <w:right w:val="nil"/>
            </w:tcBorders>
            <w:tcMar>
              <w:top w:w="20" w:type="dxa"/>
              <w:bottom w:w="20" w:type="dxa"/>
            </w:tcMar>
          </w:tcPr>
          <w:p w14:paraId="79AAD873" w14:textId="77777777" w:rsidR="00054BF0" w:rsidRDefault="00000000">
            <w:pPr>
              <w:spacing w:line="220" w:lineRule="atLeast"/>
            </w:pPr>
            <w:r>
              <w:rPr>
                <w:rFonts w:ascii="Arial" w:eastAsia="Arial" w:hAnsi="Arial" w:cs="Arial"/>
                <w:color w:val="000000"/>
                <w:sz w:val="18"/>
              </w:rPr>
              <w:t>?Indian system</w:t>
            </w:r>
          </w:p>
        </w:tc>
        <w:tc>
          <w:tcPr>
            <w:tcW w:w="3000" w:type="dxa"/>
            <w:tcBorders>
              <w:bottom w:val="nil"/>
              <w:right w:val="nil"/>
            </w:tcBorders>
            <w:tcMar>
              <w:top w:w="20" w:type="dxa"/>
              <w:bottom w:w="20" w:type="dxa"/>
            </w:tcMar>
          </w:tcPr>
          <w:p w14:paraId="2A3EB75A" w14:textId="77777777" w:rsidR="00054BF0" w:rsidRDefault="00000000">
            <w:pPr>
              <w:spacing w:line="220" w:lineRule="atLeast"/>
            </w:pPr>
            <w:r>
              <w:rPr>
                <w:rFonts w:ascii="Arial" w:eastAsia="Arial" w:hAnsi="Arial" w:cs="Arial"/>
                <w:color w:val="000000"/>
                <w:sz w:val="18"/>
              </w:rPr>
              <w:t>Partial indexation</w:t>
            </w:r>
          </w:p>
        </w:tc>
        <w:tc>
          <w:tcPr>
            <w:tcW w:w="1800" w:type="dxa"/>
            <w:tcBorders>
              <w:bottom w:val="nil"/>
            </w:tcBorders>
            <w:tcMar>
              <w:top w:w="20" w:type="dxa"/>
              <w:bottom w:w="20" w:type="dxa"/>
            </w:tcMar>
          </w:tcPr>
          <w:p w14:paraId="430CD009" w14:textId="77777777" w:rsidR="00054BF0" w:rsidRDefault="00000000">
            <w:pPr>
              <w:spacing w:line="220" w:lineRule="atLeast"/>
            </w:pPr>
            <w:r>
              <w:rPr>
                <w:rFonts w:ascii="Arial" w:eastAsia="Arial" w:hAnsi="Arial" w:cs="Arial"/>
                <w:color w:val="000000"/>
                <w:sz w:val="18"/>
              </w:rPr>
              <w:t>1.0</w:t>
            </w:r>
          </w:p>
        </w:tc>
      </w:tr>
      <w:tr w:rsidR="00054BF0" w14:paraId="663B52B5" w14:textId="77777777">
        <w:trPr>
          <w:jc w:val="center"/>
        </w:trPr>
        <w:tc>
          <w:tcPr>
            <w:tcW w:w="4440" w:type="dxa"/>
            <w:tcBorders>
              <w:bottom w:val="nil"/>
              <w:right w:val="nil"/>
            </w:tcBorders>
            <w:tcMar>
              <w:top w:w="20" w:type="dxa"/>
              <w:bottom w:w="20" w:type="dxa"/>
            </w:tcMar>
          </w:tcPr>
          <w:p w14:paraId="564DF0A0" w14:textId="77777777" w:rsidR="00054BF0" w:rsidRDefault="00000000">
            <w:pPr>
              <w:spacing w:line="220" w:lineRule="atLeast"/>
            </w:pPr>
            <w:r>
              <w:rPr>
                <w:rFonts w:ascii="Arial" w:eastAsia="Arial" w:hAnsi="Arial" w:cs="Arial"/>
                <w:color w:val="000000"/>
                <w:sz w:val="18"/>
              </w:rPr>
              <w:t>Prevalent measures to facilitate project finance</w:t>
            </w:r>
          </w:p>
        </w:tc>
        <w:tc>
          <w:tcPr>
            <w:tcW w:w="3000" w:type="dxa"/>
            <w:tcBorders>
              <w:bottom w:val="nil"/>
              <w:right w:val="nil"/>
            </w:tcBorders>
            <w:tcMar>
              <w:top w:w="20" w:type="dxa"/>
              <w:bottom w:w="20" w:type="dxa"/>
            </w:tcMar>
          </w:tcPr>
          <w:p w14:paraId="07151739" w14:textId="77777777" w:rsidR="00054BF0" w:rsidRDefault="00054BF0"/>
        </w:tc>
        <w:tc>
          <w:tcPr>
            <w:tcW w:w="1800" w:type="dxa"/>
            <w:tcBorders>
              <w:bottom w:val="nil"/>
            </w:tcBorders>
            <w:tcMar>
              <w:top w:w="20" w:type="dxa"/>
              <w:bottom w:w="20" w:type="dxa"/>
            </w:tcMar>
          </w:tcPr>
          <w:p w14:paraId="4F28AB2A" w14:textId="77777777" w:rsidR="00054BF0" w:rsidRDefault="00054BF0"/>
        </w:tc>
      </w:tr>
      <w:tr w:rsidR="00054BF0" w14:paraId="6341030F" w14:textId="77777777">
        <w:trPr>
          <w:jc w:val="center"/>
        </w:trPr>
        <w:tc>
          <w:tcPr>
            <w:tcW w:w="4440" w:type="dxa"/>
            <w:tcBorders>
              <w:bottom w:val="nil"/>
              <w:right w:val="nil"/>
            </w:tcBorders>
            <w:tcMar>
              <w:top w:w="20" w:type="dxa"/>
              <w:bottom w:w="20" w:type="dxa"/>
            </w:tcMar>
          </w:tcPr>
          <w:p w14:paraId="0CE0CB8A"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26ED222F" w14:textId="77777777" w:rsidR="00054BF0" w:rsidRDefault="00000000">
            <w:pPr>
              <w:spacing w:line="220" w:lineRule="atLeast"/>
            </w:pPr>
            <w:r>
              <w:rPr>
                <w:rFonts w:ascii="Arial" w:eastAsia="Arial" w:hAnsi="Arial" w:cs="Arial"/>
                <w:color w:val="000000"/>
                <w:sz w:val="18"/>
              </w:rPr>
              <w:t>Loan guarantee</w:t>
            </w:r>
          </w:p>
        </w:tc>
        <w:tc>
          <w:tcPr>
            <w:tcW w:w="1800" w:type="dxa"/>
            <w:tcBorders>
              <w:bottom w:val="nil"/>
            </w:tcBorders>
            <w:tcMar>
              <w:top w:w="20" w:type="dxa"/>
              <w:bottom w:w="20" w:type="dxa"/>
            </w:tcMar>
          </w:tcPr>
          <w:p w14:paraId="72452FA0" w14:textId="77777777" w:rsidR="00054BF0" w:rsidRDefault="00000000">
            <w:pPr>
              <w:spacing w:line="220" w:lineRule="atLeast"/>
            </w:pPr>
            <w:r>
              <w:rPr>
                <w:rFonts w:ascii="Arial" w:eastAsia="Arial" w:hAnsi="Arial" w:cs="Arial"/>
                <w:color w:val="000000"/>
                <w:sz w:val="18"/>
              </w:rPr>
              <w:t>3.0</w:t>
            </w:r>
          </w:p>
        </w:tc>
      </w:tr>
      <w:tr w:rsidR="00054BF0" w14:paraId="03D25B22" w14:textId="77777777">
        <w:trPr>
          <w:jc w:val="center"/>
        </w:trPr>
        <w:tc>
          <w:tcPr>
            <w:tcW w:w="4440" w:type="dxa"/>
            <w:tcBorders>
              <w:bottom w:val="nil"/>
              <w:right w:val="nil"/>
            </w:tcBorders>
            <w:tcMar>
              <w:top w:w="20" w:type="dxa"/>
              <w:bottom w:w="20" w:type="dxa"/>
            </w:tcMar>
          </w:tcPr>
          <w:p w14:paraId="501F530E"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5CC21C8C" w14:textId="77777777" w:rsidR="00054BF0" w:rsidRDefault="00000000">
            <w:pPr>
              <w:spacing w:line="220" w:lineRule="atLeast"/>
            </w:pPr>
            <w:r>
              <w:rPr>
                <w:rFonts w:ascii="Arial" w:eastAsia="Arial" w:hAnsi="Arial" w:cs="Arial"/>
                <w:color w:val="000000"/>
                <w:sz w:val="18"/>
              </w:rPr>
              <w:t>Foreign exchange insurance</w:t>
            </w:r>
          </w:p>
        </w:tc>
        <w:tc>
          <w:tcPr>
            <w:tcW w:w="1800" w:type="dxa"/>
            <w:tcBorders>
              <w:bottom w:val="nil"/>
            </w:tcBorders>
            <w:tcMar>
              <w:top w:w="20" w:type="dxa"/>
              <w:bottom w:w="20" w:type="dxa"/>
            </w:tcMar>
          </w:tcPr>
          <w:p w14:paraId="1DCE063F" w14:textId="77777777" w:rsidR="00054BF0" w:rsidRDefault="00000000">
            <w:pPr>
              <w:spacing w:line="220" w:lineRule="atLeast"/>
            </w:pPr>
            <w:r>
              <w:rPr>
                <w:rFonts w:ascii="Arial" w:eastAsia="Arial" w:hAnsi="Arial" w:cs="Arial"/>
                <w:color w:val="000000"/>
                <w:sz w:val="18"/>
              </w:rPr>
              <w:t>2.0</w:t>
            </w:r>
          </w:p>
        </w:tc>
      </w:tr>
      <w:tr w:rsidR="00054BF0" w14:paraId="17CF65CD" w14:textId="77777777">
        <w:trPr>
          <w:jc w:val="center"/>
        </w:trPr>
        <w:tc>
          <w:tcPr>
            <w:tcW w:w="4440" w:type="dxa"/>
            <w:tcBorders>
              <w:right w:val="nil"/>
            </w:tcBorders>
            <w:tcMar>
              <w:top w:w="20" w:type="dxa"/>
              <w:bottom w:w="20" w:type="dxa"/>
            </w:tcMar>
          </w:tcPr>
          <w:p w14:paraId="37FEDC54" w14:textId="77777777" w:rsidR="00054BF0" w:rsidRDefault="00000000">
            <w:pPr>
              <w:spacing w:line="220" w:lineRule="atLeast"/>
            </w:pPr>
            <w:r>
              <w:rPr>
                <w:rFonts w:ascii="Arial" w:eastAsia="Arial" w:hAnsi="Arial" w:cs="Arial"/>
                <w:color w:val="000000"/>
                <w:sz w:val="18"/>
              </w:rPr>
              <w:t>?Indian system</w:t>
            </w:r>
          </w:p>
        </w:tc>
        <w:tc>
          <w:tcPr>
            <w:tcW w:w="3000" w:type="dxa"/>
            <w:tcBorders>
              <w:right w:val="nil"/>
            </w:tcBorders>
            <w:tcMar>
              <w:top w:w="20" w:type="dxa"/>
              <w:bottom w:w="20" w:type="dxa"/>
            </w:tcMar>
          </w:tcPr>
          <w:p w14:paraId="4757461A" w14:textId="77777777" w:rsidR="00054BF0" w:rsidRDefault="00000000">
            <w:pPr>
              <w:spacing w:line="220" w:lineRule="atLeast"/>
            </w:pPr>
            <w:r>
              <w:rPr>
                <w:rFonts w:ascii="Arial" w:eastAsia="Arial" w:hAnsi="Arial" w:cs="Arial"/>
                <w:color w:val="000000"/>
                <w:sz w:val="18"/>
              </w:rPr>
              <w:t>Take out finance</w:t>
            </w:r>
          </w:p>
        </w:tc>
        <w:tc>
          <w:tcPr>
            <w:tcW w:w="1800" w:type="dxa"/>
            <w:tcMar>
              <w:top w:w="20" w:type="dxa"/>
              <w:bottom w:w="20" w:type="dxa"/>
            </w:tcMar>
          </w:tcPr>
          <w:p w14:paraId="7A292723" w14:textId="77777777" w:rsidR="00054BF0" w:rsidRDefault="00000000">
            <w:pPr>
              <w:spacing w:line="220" w:lineRule="atLeast"/>
            </w:pPr>
            <w:r>
              <w:rPr>
                <w:rFonts w:ascii="Arial" w:eastAsia="Arial" w:hAnsi="Arial" w:cs="Arial"/>
                <w:color w:val="000000"/>
                <w:sz w:val="18"/>
              </w:rPr>
              <w:t>1.5</w:t>
            </w:r>
          </w:p>
        </w:tc>
      </w:tr>
    </w:tbl>
    <w:p w14:paraId="0A811529"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Prepared by the Author for the analysis of this paper.</w:t>
      </w:r>
    </w:p>
    <w:p w14:paraId="15157567"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7345AA09" w14:textId="77777777" w:rsidR="00054BF0" w:rsidRDefault="00000000">
      <w:pPr>
        <w:spacing w:before="200" w:line="260" w:lineRule="atLeast"/>
        <w:jc w:val="both"/>
      </w:pPr>
      <w:r>
        <w:rPr>
          <w:rFonts w:ascii="Arial" w:eastAsia="Arial" w:hAnsi="Arial" w:cs="Arial"/>
          <w:color w:val="000000"/>
          <w:sz w:val="20"/>
        </w:rPr>
        <w:t>The above has been visually illustrated with use of a radar chart. Figure 3 has clearly indicated that India’s PPP system is the most cost-effective among three countries. Ideally, this analysis should have been conducted based on a series of interviews toward PPP experts with regard to the degree of cost-effectiveness of individual PPP measures, but these interviews were not carried out due to time/budgetary constraints. The above is intended to demonstrate a possible method of comparing the cost-effectiveness of the PPP systems of selected countries.</w:t>
      </w:r>
    </w:p>
    <w:p w14:paraId="52990F42" w14:textId="77777777" w:rsidR="00054BF0" w:rsidRDefault="00000000">
      <w:pPr>
        <w:spacing w:before="240" w:line="260" w:lineRule="atLeast"/>
      </w:pPr>
      <w:r>
        <w:rPr>
          <w:rFonts w:ascii="Arial" w:eastAsia="Arial" w:hAnsi="Arial" w:cs="Arial"/>
          <w:b/>
          <w:color w:val="000000"/>
          <w:sz w:val="20"/>
        </w:rPr>
        <w:t>Figure 3.</w:t>
      </w:r>
    </w:p>
    <w:p w14:paraId="54EB37B5" w14:textId="77777777" w:rsidR="00054BF0" w:rsidRDefault="00000000">
      <w:pPr>
        <w:spacing w:before="200" w:line="260" w:lineRule="atLeast"/>
        <w:jc w:val="both"/>
      </w:pPr>
      <w:r>
        <w:rPr>
          <w:rFonts w:ascii="Arial" w:eastAsia="Arial" w:hAnsi="Arial" w:cs="Arial"/>
          <w:color w:val="000000"/>
          <w:sz w:val="20"/>
        </w:rPr>
        <w:t>Effectiveness of the PPP systems of selected countries.</w:t>
      </w:r>
    </w:p>
    <w:p w14:paraId="5EC507B3"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Developed by S. Tsukada.</w:t>
      </w:r>
    </w:p>
    <w:p w14:paraId="47C53BEA"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74984A55" w14:textId="77777777" w:rsidR="00054BF0" w:rsidRDefault="00000000">
      <w:pPr>
        <w:spacing w:before="240" w:line="260" w:lineRule="atLeast"/>
      </w:pPr>
      <w:r>
        <w:rPr>
          <w:rFonts w:ascii="Arial" w:eastAsia="Arial" w:hAnsi="Arial" w:cs="Arial"/>
          <w:b/>
          <w:color w:val="000000"/>
          <w:sz w:val="20"/>
        </w:rPr>
        <w:t>Underlying Factors to Enable India to Adopt Cost-Effective Measures</w:t>
      </w:r>
    </w:p>
    <w:p w14:paraId="1168A647" w14:textId="77777777" w:rsidR="00054BF0" w:rsidRDefault="00000000">
      <w:pPr>
        <w:spacing w:before="200" w:line="260" w:lineRule="atLeast"/>
        <w:jc w:val="both"/>
      </w:pPr>
      <w:r>
        <w:rPr>
          <w:rFonts w:ascii="Arial" w:eastAsia="Arial" w:hAnsi="Arial" w:cs="Arial"/>
          <w:color w:val="000000"/>
          <w:sz w:val="20"/>
        </w:rPr>
        <w:t>The above analysis indicates that India has been keeping a tight control on the issuance of contingent liabilities. In usual context, if one country is stingy in issuing the guarantee for the future possible losses that country would not able to attract the private sector to participate in PPP projects, but this did not happen in India. Why it is? The usual answer to this question is a policy/institutional framework instituted in India. Although this may be of one of the factors for the successful implementation of the PPP system in India, there are other, less noticeable, factors which have enabled India to succeed with PPP with active participation of the private sector.</w:t>
      </w:r>
    </w:p>
    <w:p w14:paraId="76BFADF5" w14:textId="77777777" w:rsidR="00054BF0" w:rsidRDefault="00000000">
      <w:pPr>
        <w:spacing w:before="240" w:line="260" w:lineRule="atLeast"/>
      </w:pPr>
      <w:r>
        <w:rPr>
          <w:rFonts w:ascii="Arial" w:eastAsia="Arial" w:hAnsi="Arial" w:cs="Arial"/>
          <w:b/>
          <w:color w:val="000000"/>
          <w:sz w:val="20"/>
        </w:rPr>
        <w:t>Limitation in Choices for Other Contracts Beside the BOT-Based PPP</w:t>
      </w:r>
    </w:p>
    <w:p w14:paraId="32818ABD" w14:textId="77777777" w:rsidR="00054BF0" w:rsidRDefault="00000000">
      <w:pPr>
        <w:spacing w:before="200" w:line="260" w:lineRule="atLeast"/>
        <w:jc w:val="both"/>
      </w:pPr>
      <w:r>
        <w:rPr>
          <w:rFonts w:ascii="Arial" w:eastAsia="Arial" w:hAnsi="Arial" w:cs="Arial"/>
          <w:color w:val="000000"/>
          <w:sz w:val="20"/>
        </w:rPr>
        <w:lastRenderedPageBreak/>
        <w:t>The GoI’s decision to introduce the PPP system was decisive and sweeping in scope. Her decision was, for example, that all National Highways (NHs) have to be developed or upgraded under the BOT-based PPP scheme from 2005 onward. This means that the traditional public-sector procurement would no longer be available. In other words, if the contractors wish to stay in the road construction business, the only choice available for them is to bid for BOT-based PPP projects or to become subcontractors to bigger contractors who bid for BOT-based PPP projects. The effectiveness of this system was proved by the fact that 80% of NH construction has been conducted under BOT-based PPP with use of the viability gap fund system, 16%, under the annuity-based PPP system, and only 4%, under traditional public procurement.</w:t>
      </w:r>
    </w:p>
    <w:p w14:paraId="2EB43C85" w14:textId="77777777" w:rsidR="00054BF0" w:rsidRDefault="00000000">
      <w:pPr>
        <w:spacing w:before="240" w:line="260" w:lineRule="atLeast"/>
      </w:pPr>
      <w:r>
        <w:rPr>
          <w:rFonts w:ascii="Arial" w:eastAsia="Arial" w:hAnsi="Arial" w:cs="Arial"/>
          <w:b/>
          <w:color w:val="000000"/>
          <w:sz w:val="20"/>
        </w:rPr>
        <w:t>Introduction of Measures to Facilitate the Participation of Domestic Contractors</w:t>
      </w:r>
    </w:p>
    <w:p w14:paraId="53827536" w14:textId="77777777" w:rsidR="00054BF0" w:rsidRDefault="00000000">
      <w:pPr>
        <w:spacing w:before="200" w:line="260" w:lineRule="atLeast"/>
        <w:jc w:val="both"/>
      </w:pPr>
      <w:r>
        <w:rPr>
          <w:rFonts w:ascii="Arial" w:eastAsia="Arial" w:hAnsi="Arial" w:cs="Arial"/>
          <w:color w:val="000000"/>
          <w:sz w:val="20"/>
        </w:rPr>
        <w:t>As seen earlier, a unique element of India’s PPP system is lesser degree of dependence on foreign investors. This has enabled the GoI to develop her procurement/contract systems for PPP system solely in consideration of the needs of domestic contractors. The size of contract packages has been made very small so that small-scale domestic contractors can bid. The average size of the contract packages under the National Highway Development Program (NHDP) III program was $156 million per project,2 which is much smaller than those of Chile ($262 million per project at 1996 price3) and Korea ($450 million per project4).</w:t>
      </w:r>
    </w:p>
    <w:p w14:paraId="4ED7699D" w14:textId="77777777" w:rsidR="00054BF0" w:rsidRDefault="00000000">
      <w:pPr>
        <w:spacing w:before="200" w:line="260" w:lineRule="atLeast"/>
        <w:jc w:val="both"/>
      </w:pPr>
      <w:r>
        <w:rPr>
          <w:rFonts w:ascii="Arial" w:eastAsia="Arial" w:hAnsi="Arial" w:cs="Arial"/>
          <w:color w:val="000000"/>
          <w:sz w:val="20"/>
        </w:rPr>
        <w:t>Another action taken by the GoI is the standardization of BOT/PPP contracts. This specific action has significantly reduced transaction costs associated with negotiations of contracts, a major deterrent for domestic contractors. The GoI developed a MCA which was universally applied to all PPP contracts. This has enabled both the government and contractors to go without extensive negotiations. This has resulted not only in reducing transaction costs, but also facilitated the participation of domestic contractors in BOT-based PPP projects.</w:t>
      </w:r>
    </w:p>
    <w:p w14:paraId="38FB9370" w14:textId="77777777" w:rsidR="00054BF0" w:rsidRDefault="00000000">
      <w:pPr>
        <w:spacing w:before="240" w:line="260" w:lineRule="atLeast"/>
      </w:pPr>
      <w:r>
        <w:rPr>
          <w:rFonts w:ascii="Arial" w:eastAsia="Arial" w:hAnsi="Arial" w:cs="Arial"/>
          <w:b/>
          <w:color w:val="000000"/>
          <w:sz w:val="20"/>
        </w:rPr>
        <w:t>Applicability of the Above Measures to Other Developing Countries</w:t>
      </w:r>
    </w:p>
    <w:p w14:paraId="2653FCA4" w14:textId="77777777" w:rsidR="00054BF0" w:rsidRDefault="00000000">
      <w:pPr>
        <w:spacing w:before="200" w:line="260" w:lineRule="atLeast"/>
        <w:jc w:val="both"/>
      </w:pPr>
      <w:r>
        <w:rPr>
          <w:rFonts w:ascii="Arial" w:eastAsia="Arial" w:hAnsi="Arial" w:cs="Arial"/>
          <w:color w:val="000000"/>
          <w:sz w:val="20"/>
        </w:rPr>
        <w:t>Although the above measures are very unique to India, it is not impossible for other developing countries to adopt if the sector in question is those areas in which domestic contractors are available and also those sectors whose development does not require high level of technologies or complicated management system. India’s approach may not be applied to electricity sectors, but it can be applied to road sector and other similar sectors.</w:t>
      </w:r>
    </w:p>
    <w:p w14:paraId="7F0FE7F5" w14:textId="77777777" w:rsidR="00054BF0" w:rsidRDefault="00000000">
      <w:pPr>
        <w:spacing w:before="240" w:line="260" w:lineRule="atLeast"/>
      </w:pPr>
      <w:r>
        <w:rPr>
          <w:rFonts w:ascii="Arial" w:eastAsia="Arial" w:hAnsi="Arial" w:cs="Arial"/>
          <w:b/>
          <w:color w:val="000000"/>
          <w:sz w:val="20"/>
        </w:rPr>
        <w:t>Conclusion</w:t>
      </w:r>
    </w:p>
    <w:p w14:paraId="20428DAE" w14:textId="77777777" w:rsidR="00054BF0" w:rsidRDefault="00000000">
      <w:pPr>
        <w:spacing w:before="200" w:line="260" w:lineRule="atLeast"/>
        <w:jc w:val="both"/>
      </w:pPr>
      <w:r>
        <w:rPr>
          <w:rFonts w:ascii="Arial" w:eastAsia="Arial" w:hAnsi="Arial" w:cs="Arial"/>
          <w:color w:val="000000"/>
          <w:sz w:val="20"/>
        </w:rPr>
        <w:t xml:space="preserve">When discussing key success factors for PPP, the importance of incorporating a proper set of incentives is often emphasized. Although incentives are important, we should not overlook their cost implication. Investor-oriented policy measures tend to end </w:t>
      </w:r>
      <w:r>
        <w:rPr>
          <w:rFonts w:ascii="Arial" w:eastAsia="Arial" w:hAnsi="Arial" w:cs="Arial"/>
          <w:b/>
          <w:i/>
          <w:color w:val="000000"/>
          <w:sz w:val="20"/>
          <w:u w:val="single"/>
        </w:rPr>
        <w:t>up</w:t>
      </w:r>
      <w:r>
        <w:rPr>
          <w:rFonts w:ascii="Arial" w:eastAsia="Arial" w:hAnsi="Arial" w:cs="Arial"/>
          <w:color w:val="000000"/>
          <w:sz w:val="20"/>
        </w:rPr>
        <w:t xml:space="preserve"> with huge obligation to pay later by the governments.</w:t>
      </w:r>
    </w:p>
    <w:p w14:paraId="34420070" w14:textId="77777777" w:rsidR="00054BF0" w:rsidRDefault="00000000">
      <w:pPr>
        <w:spacing w:before="200" w:line="260" w:lineRule="atLeast"/>
        <w:jc w:val="both"/>
      </w:pPr>
      <w:r>
        <w:rPr>
          <w:rFonts w:ascii="Arial" w:eastAsia="Arial" w:hAnsi="Arial" w:cs="Arial"/>
          <w:color w:val="000000"/>
          <w:sz w:val="20"/>
        </w:rPr>
        <w:t>The real challenge facing developing countries is how to realize two contradictory objectives at the same time: (a) securing private sector participation in PPP projects, but (b) minimizing fiscal obligation to be shouldered later. India’s PPP system clearly demonstrates that it is possible to realize these two objectives at the same time. India has taken a tight control over contingent liabilities, but she has still manage to secure active participation of the private sector for PPP projects. Their carefully crafted PPP measures have enable to make this difficult challenge to be materialized. This would provide useful hints to those developing countries who are trying to attract the private sector without overly committing themselves for the coverage of the future losses to be incurred by the private sector.</w:t>
      </w:r>
    </w:p>
    <w:p w14:paraId="63179350" w14:textId="77777777" w:rsidR="00054BF0" w:rsidRDefault="00000000">
      <w:pPr>
        <w:keepNext/>
        <w:spacing w:before="240" w:line="340" w:lineRule="atLeast"/>
      </w:pPr>
      <w:r>
        <w:br/>
      </w:r>
      <w:r>
        <w:rPr>
          <w:rFonts w:ascii="Arial" w:eastAsia="Arial" w:hAnsi="Arial" w:cs="Arial"/>
          <w:b/>
          <w:color w:val="000000"/>
          <w:sz w:val="28"/>
        </w:rPr>
        <w:t>Notes</w:t>
      </w:r>
    </w:p>
    <w:p w14:paraId="1A7B60F8" w14:textId="77777777" w:rsidR="00054BF0" w:rsidRDefault="00000000">
      <w:pPr>
        <w:spacing w:line="60" w:lineRule="exact"/>
      </w:pPr>
      <w:r>
        <w:pict w14:anchorId="5938E71B">
          <v:line id="_x0000_s2150" style="position:absolute;z-index:251719680" from="0,2pt" to="512pt,2pt" strokecolor="#009ddb" strokeweight="2pt">
            <w10:wrap type="topAndBottom"/>
          </v:line>
        </w:pict>
      </w:r>
    </w:p>
    <w:p w14:paraId="0A43DC12" w14:textId="77777777" w:rsidR="00054BF0" w:rsidRDefault="00000000">
      <w:pPr>
        <w:spacing w:before="120" w:line="260" w:lineRule="atLeast"/>
      </w:pPr>
      <w:r>
        <w:rPr>
          <w:rFonts w:ascii="Arial" w:eastAsia="Arial" w:hAnsi="Arial" w:cs="Arial"/>
          <w:color w:val="000000"/>
          <w:sz w:val="20"/>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1. This portion is not a citation, but the author’s statement.; 2. This was estimated by the author on the basis of Guidelines for Investment in Road Sector (August 2011 version) </w:t>
      </w:r>
      <w:r>
        <w:rPr>
          <w:rFonts w:ascii="Arial" w:eastAsia="Arial" w:hAnsi="Arial" w:cs="Arial"/>
          <w:color w:val="000000"/>
          <w:sz w:val="20"/>
        </w:rPr>
        <w:lastRenderedPageBreak/>
        <w:t>which listed 25 projects from NHDP III as possible investment opportunities.; 3. This was estimated by the author with use of data “Toll Road Concession: The Chilean experience” (Lorenzen &amp; Barrientos, 2001).; 4. Korean Development Institute (KDI) report on “Success Stories and Lessons Learned from PPP Projects in Korea,” September 2014, which was submitted to Asia-Pacific Economic Cooperation (APEC) Committee.</w:t>
      </w:r>
    </w:p>
    <w:p w14:paraId="685E4713" w14:textId="77777777" w:rsidR="00054BF0" w:rsidRDefault="00000000">
      <w:pPr>
        <w:keepNext/>
        <w:spacing w:before="240" w:line="340" w:lineRule="atLeast"/>
      </w:pPr>
      <w:bookmarkStart w:id="60" w:name="Bibliography"/>
      <w:bookmarkEnd w:id="60"/>
      <w:r>
        <w:rPr>
          <w:rFonts w:ascii="Arial" w:eastAsia="Arial" w:hAnsi="Arial" w:cs="Arial"/>
          <w:b/>
          <w:color w:val="000000"/>
          <w:sz w:val="28"/>
        </w:rPr>
        <w:t>Bibliography</w:t>
      </w:r>
    </w:p>
    <w:p w14:paraId="03D98803" w14:textId="77777777" w:rsidR="00054BF0" w:rsidRDefault="00000000">
      <w:pPr>
        <w:spacing w:line="60" w:lineRule="exact"/>
      </w:pPr>
      <w:r>
        <w:pict w14:anchorId="7706EC71">
          <v:line id="_x0000_s2151" style="position:absolute;z-index:251720704" from="0,2pt" to="512pt,2pt" strokecolor="#009ddb" strokeweight="2pt">
            <w10:wrap type="topAndBottom"/>
          </v:line>
        </w:pict>
      </w:r>
    </w:p>
    <w:p w14:paraId="4B4381FA" w14:textId="77777777" w:rsidR="00054BF0" w:rsidRDefault="00054BF0"/>
    <w:p w14:paraId="77DE3812" w14:textId="77777777" w:rsidR="00054BF0" w:rsidRDefault="00000000">
      <w:pPr>
        <w:spacing w:before="240" w:line="260" w:lineRule="atLeast"/>
      </w:pPr>
      <w:r>
        <w:rPr>
          <w:rFonts w:ascii="Arial" w:eastAsia="Arial" w:hAnsi="Arial" w:cs="Arial"/>
          <w:b/>
          <w:color w:val="000000"/>
          <w:sz w:val="20"/>
        </w:rPr>
        <w:t>REFERENCES</w:t>
      </w:r>
    </w:p>
    <w:p w14:paraId="231A0C18" w14:textId="77777777" w:rsidR="00054BF0" w:rsidRDefault="00000000">
      <w:pPr>
        <w:spacing w:before="200" w:line="260" w:lineRule="atLeast"/>
        <w:jc w:val="both"/>
      </w:pPr>
      <w:r>
        <w:rPr>
          <w:rFonts w:ascii="Arial" w:eastAsia="Arial" w:hAnsi="Arial" w:cs="Arial"/>
          <w:color w:val="000000"/>
          <w:sz w:val="20"/>
        </w:rPr>
        <w:t xml:space="preserve">Cuttaree V.,   (Feb. 2008). Successes and </w:t>
      </w:r>
      <w:r>
        <w:rPr>
          <w:rFonts w:ascii="Arial" w:eastAsia="Arial" w:hAnsi="Arial" w:cs="Arial"/>
          <w:b/>
          <w:i/>
          <w:color w:val="000000"/>
          <w:sz w:val="20"/>
          <w:u w:val="single"/>
        </w:rPr>
        <w:t>failures</w:t>
      </w:r>
      <w:r>
        <w:rPr>
          <w:rFonts w:ascii="Arial" w:eastAsia="Arial" w:hAnsi="Arial" w:cs="Arial"/>
          <w:color w:val="000000"/>
          <w:sz w:val="20"/>
        </w:rPr>
        <w:t xml:space="preserve"> of PPP projects. World Bank Conference in Warsaw, Washington, DC. </w:t>
      </w:r>
    </w:p>
    <w:p w14:paraId="394EAA71" w14:textId="77777777" w:rsidR="00054BF0" w:rsidRDefault="00000000">
      <w:pPr>
        <w:spacing w:before="200" w:line="260" w:lineRule="atLeast"/>
        <w:jc w:val="both"/>
      </w:pPr>
      <w:r>
        <w:rPr>
          <w:rFonts w:ascii="Arial" w:eastAsia="Arial" w:hAnsi="Arial" w:cs="Arial"/>
          <w:color w:val="000000"/>
          <w:sz w:val="20"/>
        </w:rPr>
        <w:t xml:space="preserve">Fisher G., Babbar S.,   (2002). Private financing of toll road concession (RMC Discussion Paper Series No. 117). Washington, DC: The World Bank. </w:t>
      </w:r>
    </w:p>
    <w:p w14:paraId="19ED93F5" w14:textId="77777777" w:rsidR="00054BF0" w:rsidRDefault="00000000">
      <w:pPr>
        <w:spacing w:before="200" w:line="260" w:lineRule="atLeast"/>
        <w:jc w:val="both"/>
      </w:pPr>
      <w:r>
        <w:rPr>
          <w:rFonts w:ascii="Arial" w:eastAsia="Arial" w:hAnsi="Arial" w:cs="Arial"/>
          <w:color w:val="000000"/>
          <w:sz w:val="20"/>
        </w:rPr>
        <w:t xml:space="preserve">Khan H. R.,   (2012, February). Infrastructure financing in India—Progress and prospects (Monthly report). Mumbai: Reserved Bank of India. Retrieved from  </w:t>
      </w:r>
    </w:p>
    <w:p w14:paraId="4A51EEDA" w14:textId="77777777" w:rsidR="00054BF0" w:rsidRDefault="00000000">
      <w:pPr>
        <w:spacing w:before="200" w:line="260" w:lineRule="atLeast"/>
        <w:jc w:val="both"/>
      </w:pPr>
      <w:r>
        <w:rPr>
          <w:rFonts w:ascii="Arial" w:eastAsia="Arial" w:hAnsi="Arial" w:cs="Arial"/>
          <w:color w:val="000000"/>
          <w:sz w:val="20"/>
        </w:rPr>
        <w:t xml:space="preserve">Korean Development Institute. (2014, September 2014). Success stories and lessons learned from PPP projects in Korea. Sejoung-si 30149 Korea. A report submitted to APEC Committee. </w:t>
      </w:r>
    </w:p>
    <w:p w14:paraId="4444FAA9" w14:textId="77777777" w:rsidR="00054BF0" w:rsidRDefault="00000000">
      <w:pPr>
        <w:spacing w:before="200" w:line="260" w:lineRule="atLeast"/>
        <w:jc w:val="both"/>
      </w:pPr>
      <w:r>
        <w:rPr>
          <w:rFonts w:ascii="Arial" w:eastAsia="Arial" w:hAnsi="Arial" w:cs="Arial"/>
          <w:color w:val="000000"/>
          <w:sz w:val="20"/>
        </w:rPr>
        <w:t xml:space="preserve">Lorenzen C. C., Barrientos M. E.,   (2001). Toll road concessions: The Chilean experience. Washington, DC: The World Bank. </w:t>
      </w:r>
    </w:p>
    <w:p w14:paraId="2550FA97" w14:textId="77777777" w:rsidR="00054BF0" w:rsidRDefault="00000000">
      <w:pPr>
        <w:spacing w:before="200" w:line="260" w:lineRule="atLeast"/>
        <w:jc w:val="both"/>
      </w:pPr>
      <w:r>
        <w:rPr>
          <w:rFonts w:ascii="Arial" w:eastAsia="Arial" w:hAnsi="Arial" w:cs="Arial"/>
          <w:color w:val="000000"/>
          <w:sz w:val="20"/>
        </w:rPr>
        <w:t xml:space="preserve">PricewaterhouseCoopers. (2007). Evaluating the project implementation options for NHAI. New Delhi, India. Current Office appears to have moved, which can not be verified now. </w:t>
      </w:r>
    </w:p>
    <w:p w14:paraId="2EAA3A7D" w14:textId="77777777" w:rsidR="00054BF0" w:rsidRDefault="00000000">
      <w:pPr>
        <w:spacing w:before="200" w:line="260" w:lineRule="atLeast"/>
        <w:jc w:val="both"/>
      </w:pPr>
      <w:r>
        <w:rPr>
          <w:rFonts w:ascii="Arial" w:eastAsia="Arial" w:hAnsi="Arial" w:cs="Arial"/>
          <w:color w:val="000000"/>
          <w:sz w:val="20"/>
        </w:rPr>
        <w:t xml:space="preserve">Tsukada S.,   (2011). Package type overseas infrastructure construction and structural fragility of BOT/PPP projects. Tokyo, Japan: Transportation and Economics, Institute of Transportation Economics. </w:t>
      </w:r>
    </w:p>
    <w:p w14:paraId="539299C3" w14:textId="77777777" w:rsidR="00054BF0" w:rsidRDefault="00000000">
      <w:pPr>
        <w:spacing w:before="200" w:line="260" w:lineRule="atLeast"/>
        <w:jc w:val="both"/>
      </w:pPr>
      <w:r>
        <w:rPr>
          <w:rFonts w:ascii="Arial" w:eastAsia="Arial" w:hAnsi="Arial" w:cs="Arial"/>
          <w:color w:val="000000"/>
          <w:sz w:val="20"/>
        </w:rPr>
        <w:t xml:space="preserve">Tsukada S.,   (2012). Overseas infrastructure construction and BOT/PPP projects. Tokyo, Japan: SCOPE NET, Service Center of Port Engineering. </w:t>
      </w:r>
    </w:p>
    <w:p w14:paraId="3A21AB34" w14:textId="77777777" w:rsidR="00054BF0" w:rsidRDefault="00000000">
      <w:pPr>
        <w:spacing w:before="200" w:line="260" w:lineRule="atLeast"/>
        <w:jc w:val="both"/>
      </w:pPr>
      <w:r>
        <w:rPr>
          <w:rFonts w:ascii="Arial" w:eastAsia="Arial" w:hAnsi="Arial" w:cs="Arial"/>
          <w:color w:val="000000"/>
          <w:sz w:val="20"/>
        </w:rPr>
        <w:t xml:space="preserve">Tsukada S.,   (2013). Potential pitfalls of PPP policy application: Lessons learned from NHDP programs in India. Journal of Infrastructure Development, 5(1), 87-102. </w:t>
      </w:r>
    </w:p>
    <w:p w14:paraId="38B1A9CE" w14:textId="77777777" w:rsidR="00054BF0" w:rsidRDefault="00000000">
      <w:pPr>
        <w:spacing w:before="200" w:line="260" w:lineRule="atLeast"/>
        <w:jc w:val="both"/>
      </w:pPr>
      <w:r>
        <w:rPr>
          <w:rFonts w:ascii="Arial" w:eastAsia="Arial" w:hAnsi="Arial" w:cs="Arial"/>
          <w:color w:val="000000"/>
          <w:sz w:val="20"/>
        </w:rPr>
        <w:t xml:space="preserve">Walker C., Smith A. J.,   (1995). Privatized infrastructure—The BOT approach. London, England: Thomas Telford. </w:t>
      </w:r>
    </w:p>
    <w:p w14:paraId="12CC1B5B"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12, 2020</w:t>
      </w:r>
    </w:p>
    <w:p w14:paraId="3B422B87" w14:textId="77777777" w:rsidR="00054BF0" w:rsidRDefault="00054BF0"/>
    <w:p w14:paraId="748CC018" w14:textId="77777777" w:rsidR="00054BF0" w:rsidRDefault="00000000">
      <w:pPr>
        <w:ind w:left="200"/>
        <w:sectPr w:rsidR="00054BF0">
          <w:type w:val="continuous"/>
          <w:pgSz w:w="12240" w:h="15840"/>
          <w:pgMar w:top="840" w:right="1000" w:bottom="840" w:left="1000" w:header="400" w:footer="400" w:gutter="0"/>
          <w:cols w:space="720"/>
        </w:sectPr>
      </w:pPr>
      <w:r>
        <w:br/>
      </w:r>
      <w:r>
        <w:pict w14:anchorId="5FA9B1FF">
          <v:line id="_x0000_s2152" style="position:absolute;left:0;text-align:left;z-index:251721728;mso-position-horizontal-relative:text;mso-position-vertical-relative:text" from="0,10pt" to="512pt,10pt" strokeweight="1pt"/>
        </w:pict>
      </w:r>
      <w:r>
        <w:rPr>
          <w:rFonts w:ascii="Arial" w:eastAsia="Arial" w:hAnsi="Arial" w:cs="Arial"/>
          <w:b/>
          <w:color w:val="767676"/>
          <w:sz w:val="16"/>
        </w:rPr>
        <w:t>End of Document</w:t>
      </w:r>
    </w:p>
    <w:p w14:paraId="56B241B1" w14:textId="77777777" w:rsidR="00054BF0" w:rsidRDefault="00054BF0">
      <w:pPr>
        <w:sectPr w:rsidR="00054BF0">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gutter="0"/>
          <w:cols w:space="720"/>
          <w:titlePg/>
        </w:sectPr>
      </w:pPr>
    </w:p>
    <w:p w14:paraId="0F8F0F93" w14:textId="77777777" w:rsidR="00054BF0" w:rsidRDefault="00054BF0">
      <w:bookmarkStart w:id="61" w:name="Bookmark_31"/>
      <w:bookmarkEnd w:id="61"/>
    </w:p>
    <w:p w14:paraId="7E553FEF" w14:textId="77777777" w:rsidR="00054BF0" w:rsidRDefault="00BE2275">
      <w:r>
        <w:pict w14:anchorId="0C1E62B9">
          <v:shape id="_x0000_i1067" type="#_x0000_t75" alt="LexisNexis®" style="width:148pt;height:30pt">
            <v:imagedata r:id="rId6" o:title=""/>
          </v:shape>
        </w:pict>
      </w:r>
      <w:r w:rsidR="00A540D1">
        <w:cr/>
      </w:r>
    </w:p>
    <w:p w14:paraId="2782A33F" w14:textId="77777777" w:rsidR="00054BF0" w:rsidRDefault="00000000">
      <w:pPr>
        <w:spacing w:before="240" w:after="200" w:line="340" w:lineRule="atLeast"/>
        <w:jc w:val="center"/>
        <w:outlineLvl w:val="0"/>
        <w:rPr>
          <w:rFonts w:ascii="Arial" w:hAnsi="Arial" w:cs="Arial"/>
          <w:b/>
          <w:bCs/>
          <w:kern w:val="32"/>
          <w:sz w:val="32"/>
          <w:szCs w:val="32"/>
        </w:rPr>
      </w:pPr>
      <w:hyperlink r:id="rId517" w:history="1">
        <w:r>
          <w:rPr>
            <w:rFonts w:ascii="Arial" w:eastAsia="Arial" w:hAnsi="Arial" w:cs="Arial"/>
            <w:b/>
            <w:bCs/>
            <w:i/>
            <w:color w:val="0077CC"/>
            <w:kern w:val="32"/>
            <w:sz w:val="28"/>
            <w:szCs w:val="32"/>
            <w:u w:val="single"/>
            <w:shd w:val="clear" w:color="auto" w:fill="FFFFFF"/>
          </w:rPr>
          <w:t xml:space="preserve">There Were 84,012 </w:t>
        </w:r>
      </w:hyperlink>
      <w:hyperlink r:id="rId518" w:history="1">
        <w:r>
          <w:rPr>
            <w:rFonts w:ascii="Arial" w:eastAsia="Arial" w:hAnsi="Arial" w:cs="Arial"/>
            <w:b/>
            <w:bCs/>
            <w:i/>
            <w:color w:val="0077CC"/>
            <w:kern w:val="32"/>
            <w:sz w:val="28"/>
            <w:szCs w:val="32"/>
            <w:u w:val="single"/>
            <w:shd w:val="clear" w:color="auto" w:fill="FFFFFF"/>
          </w:rPr>
          <w:t>Startups</w:t>
        </w:r>
      </w:hyperlink>
      <w:hyperlink r:id="rId519" w:history="1">
        <w:r>
          <w:rPr>
            <w:rFonts w:ascii="Arial" w:eastAsia="Arial" w:hAnsi="Arial" w:cs="Arial"/>
            <w:b/>
            <w:bCs/>
            <w:i/>
            <w:color w:val="0077CC"/>
            <w:kern w:val="32"/>
            <w:sz w:val="28"/>
            <w:szCs w:val="32"/>
            <w:u w:val="single"/>
            <w:shd w:val="clear" w:color="auto" w:fill="FFFFFF"/>
          </w:rPr>
          <w:t xml:space="preserve"> In End November: Piyush Goyal</w:t>
        </w:r>
      </w:hyperlink>
    </w:p>
    <w:p w14:paraId="59BD5F42" w14:textId="77777777" w:rsidR="00054BF0" w:rsidRDefault="00000000">
      <w:pPr>
        <w:spacing w:before="120" w:line="260" w:lineRule="atLeast"/>
        <w:jc w:val="center"/>
      </w:pPr>
      <w:r>
        <w:rPr>
          <w:rFonts w:ascii="Arial" w:eastAsia="Arial" w:hAnsi="Arial" w:cs="Arial"/>
          <w:color w:val="000000"/>
          <w:sz w:val="20"/>
        </w:rPr>
        <w:t>Business World</w:t>
      </w:r>
    </w:p>
    <w:p w14:paraId="50FC49BB" w14:textId="77777777" w:rsidR="00054BF0" w:rsidRDefault="00000000">
      <w:pPr>
        <w:spacing w:before="120" w:line="260" w:lineRule="atLeast"/>
        <w:jc w:val="center"/>
      </w:pPr>
      <w:r>
        <w:rPr>
          <w:rFonts w:ascii="Arial" w:eastAsia="Arial" w:hAnsi="Arial" w:cs="Arial"/>
          <w:color w:val="000000"/>
          <w:sz w:val="20"/>
        </w:rPr>
        <w:t>December 15, 2022</w:t>
      </w:r>
    </w:p>
    <w:p w14:paraId="79A57434" w14:textId="77777777" w:rsidR="00054BF0" w:rsidRDefault="00054BF0">
      <w:pPr>
        <w:spacing w:line="240" w:lineRule="atLeast"/>
        <w:jc w:val="both"/>
      </w:pPr>
    </w:p>
    <w:p w14:paraId="5B67F6F6" w14:textId="77777777" w:rsidR="00054BF0"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3E7A0FD0"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161 words</w:t>
      </w:r>
    </w:p>
    <w:p w14:paraId="6BBD6D3C"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5D148C5C" w14:textId="77777777" w:rsidR="00054BF0" w:rsidRDefault="00000000">
      <w:pPr>
        <w:keepNext/>
        <w:spacing w:before="240" w:line="340" w:lineRule="atLeast"/>
      </w:pPr>
      <w:bookmarkStart w:id="62" w:name="Body_29"/>
      <w:bookmarkEnd w:id="62"/>
      <w:r>
        <w:rPr>
          <w:rFonts w:ascii="Arial" w:eastAsia="Arial" w:hAnsi="Arial" w:cs="Arial"/>
          <w:b/>
          <w:color w:val="000000"/>
          <w:sz w:val="28"/>
        </w:rPr>
        <w:t>Body</w:t>
      </w:r>
    </w:p>
    <w:p w14:paraId="78597F1C" w14:textId="77777777" w:rsidR="00054BF0" w:rsidRDefault="00000000">
      <w:pPr>
        <w:spacing w:line="60" w:lineRule="exact"/>
      </w:pPr>
      <w:r>
        <w:pict w14:anchorId="04BE19F1">
          <v:line id="_x0000_s2154" style="position:absolute;z-index:251722752" from="0,2pt" to="512pt,2pt" strokecolor="#009ddb" strokeweight="2pt">
            <w10:wrap type="topAndBottom"/>
          </v:line>
        </w:pict>
      </w:r>
    </w:p>
    <w:p w14:paraId="1C6E3F46" w14:textId="77777777" w:rsidR="00054BF0" w:rsidRDefault="00054BF0"/>
    <w:p w14:paraId="4C7E1BB3" w14:textId="77777777" w:rsidR="00054BF0" w:rsidRDefault="00000000">
      <w:pPr>
        <w:spacing w:before="200" w:line="260" w:lineRule="atLeast"/>
        <w:jc w:val="both"/>
      </w:pPr>
      <w:r>
        <w:rPr>
          <w:rFonts w:ascii="Arial" w:eastAsia="Arial" w:hAnsi="Arial" w:cs="Arial"/>
          <w:color w:val="000000"/>
          <w:sz w:val="20"/>
        </w:rPr>
        <w:t xml:space="preserve">Piyush Goyal, Union Minister of India (commerce and Industry) tells in the Loksabha that </w:t>
      </w:r>
      <w:r>
        <w:rPr>
          <w:rFonts w:ascii="Arial" w:eastAsia="Arial" w:hAnsi="Arial" w:cs="Arial"/>
          <w:b/>
          <w:i/>
          <w:color w:val="000000"/>
          <w:sz w:val="20"/>
          <w:u w:val="single"/>
        </w:rPr>
        <w:t>startups</w:t>
      </w:r>
      <w:r>
        <w:rPr>
          <w:rFonts w:ascii="Arial" w:eastAsia="Arial" w:hAnsi="Arial" w:cs="Arial"/>
          <w:color w:val="000000"/>
          <w:sz w:val="20"/>
        </w:rPr>
        <w:t xml:space="preserve"> in India are doing better than the rest of the world</w:t>
      </w:r>
    </w:p>
    <w:p w14:paraId="1CF96F81" w14:textId="77777777" w:rsidR="00054BF0" w:rsidRDefault="00000000">
      <w:pPr>
        <w:spacing w:before="200" w:line="260" w:lineRule="atLeast"/>
        <w:jc w:val="both"/>
      </w:pPr>
      <w:r>
        <w:rPr>
          <w:rFonts w:ascii="Arial" w:eastAsia="Arial" w:hAnsi="Arial" w:cs="Arial"/>
          <w:color w:val="000000"/>
          <w:sz w:val="20"/>
        </w:rPr>
        <w:t xml:space="preserve">"The success rates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and there were 84 thousand </w:t>
      </w:r>
      <w:r>
        <w:rPr>
          <w:rFonts w:ascii="Arial" w:eastAsia="Arial" w:hAnsi="Arial" w:cs="Arial"/>
          <w:b/>
          <w:i/>
          <w:color w:val="000000"/>
          <w:sz w:val="20"/>
          <w:u w:val="single"/>
        </w:rPr>
        <w:t>startups</w:t>
      </w:r>
      <w:r>
        <w:rPr>
          <w:rFonts w:ascii="Arial" w:eastAsia="Arial" w:hAnsi="Arial" w:cs="Arial"/>
          <w:color w:val="000000"/>
          <w:sz w:val="20"/>
        </w:rPr>
        <w:t xml:space="preserve"> in the country at the end of November," said Union Minister Piyush Goyal.</w:t>
      </w:r>
    </w:p>
    <w:p w14:paraId="28377AA9" w14:textId="77777777" w:rsidR="00054BF0" w:rsidRDefault="00000000">
      <w:pPr>
        <w:spacing w:before="200" w:line="260" w:lineRule="atLeast"/>
        <w:jc w:val="both"/>
      </w:pPr>
      <w:r>
        <w:rPr>
          <w:rFonts w:ascii="Arial" w:eastAsia="Arial" w:hAnsi="Arial" w:cs="Arial"/>
          <w:color w:val="000000"/>
          <w:sz w:val="20"/>
        </w:rPr>
        <w:t xml:space="preserve">In the Loksabha during the question hour, he mentioned that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failures</w:t>
      </w:r>
      <w:r>
        <w:rPr>
          <w:rFonts w:ascii="Arial" w:eastAsia="Arial" w:hAnsi="Arial" w:cs="Arial"/>
          <w:color w:val="000000"/>
          <w:sz w:val="20"/>
        </w:rPr>
        <w:t xml:space="preserve"> is a very high probability. However,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in the rest of the world.</w:t>
      </w:r>
    </w:p>
    <w:p w14:paraId="73697437" w14:textId="77777777" w:rsidR="00054BF0" w:rsidRDefault="00000000">
      <w:pPr>
        <w:spacing w:before="200" w:line="260" w:lineRule="atLeast"/>
        <w:jc w:val="both"/>
      </w:pPr>
      <w:r>
        <w:rPr>
          <w:rFonts w:ascii="Arial" w:eastAsia="Arial" w:hAnsi="Arial" w:cs="Arial"/>
          <w:color w:val="000000"/>
          <w:sz w:val="20"/>
        </w:rPr>
        <w:t xml:space="preserve">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has increased from 452 in 2016 to 84,012 as on November 30, 2022.</w:t>
      </w:r>
    </w:p>
    <w:p w14:paraId="2F9C657B" w14:textId="77777777" w:rsidR="00054BF0" w:rsidRDefault="00000000">
      <w:pPr>
        <w:spacing w:before="200" w:line="260" w:lineRule="atLeast"/>
        <w:jc w:val="both"/>
      </w:pPr>
      <w:r>
        <w:rPr>
          <w:rFonts w:ascii="Arial" w:eastAsia="Arial" w:hAnsi="Arial" w:cs="Arial"/>
          <w:color w:val="000000"/>
          <w:sz w:val="20"/>
        </w:rPr>
        <w:t xml:space="preserve">The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and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provide support to </w:t>
      </w:r>
      <w:r>
        <w:rPr>
          <w:rFonts w:ascii="Arial" w:eastAsia="Arial" w:hAnsi="Arial" w:cs="Arial"/>
          <w:b/>
          <w:i/>
          <w:color w:val="000000"/>
          <w:sz w:val="20"/>
          <w:u w:val="single"/>
        </w:rPr>
        <w:t>startups</w:t>
      </w:r>
      <w:r>
        <w:rPr>
          <w:rFonts w:ascii="Arial" w:eastAsia="Arial" w:hAnsi="Arial" w:cs="Arial"/>
          <w:color w:val="000000"/>
          <w:sz w:val="20"/>
        </w:rPr>
        <w:t xml:space="preserve"> at different stages of their business cycle.</w:t>
      </w:r>
    </w:p>
    <w:p w14:paraId="1DEDF122" w14:textId="77777777" w:rsidR="00054BF0" w:rsidRDefault="00000000">
      <w:pPr>
        <w:spacing w:before="200" w:line="260" w:lineRule="atLeast"/>
        <w:jc w:val="both"/>
      </w:pPr>
      <w:r>
        <w:rPr>
          <w:rFonts w:ascii="Arial" w:eastAsia="Arial" w:hAnsi="Arial" w:cs="Arial"/>
          <w:color w:val="000000"/>
          <w:sz w:val="20"/>
        </w:rPr>
        <w:t xml:space="preserve">The government of India launched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to boost the </w:t>
      </w:r>
      <w:r>
        <w:rPr>
          <w:rFonts w:ascii="Arial" w:eastAsia="Arial" w:hAnsi="Arial" w:cs="Arial"/>
          <w:b/>
          <w:i/>
          <w:color w:val="000000"/>
          <w:sz w:val="20"/>
          <w:u w:val="single"/>
        </w:rPr>
        <w:t>startup</w:t>
      </w:r>
      <w:r>
        <w:rPr>
          <w:rFonts w:ascii="Arial" w:eastAsia="Arial" w:hAnsi="Arial" w:cs="Arial"/>
          <w:color w:val="000000"/>
          <w:sz w:val="20"/>
        </w:rPr>
        <w:t xml:space="preserve"> ecosystem in India.</w:t>
      </w:r>
    </w:p>
    <w:p w14:paraId="4C4869D6"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15, 2022</w:t>
      </w:r>
    </w:p>
    <w:p w14:paraId="11111155" w14:textId="77777777" w:rsidR="00054BF0" w:rsidRDefault="00054BF0"/>
    <w:p w14:paraId="56D2B482" w14:textId="77777777" w:rsidR="00054BF0" w:rsidRDefault="00000000">
      <w:pPr>
        <w:ind w:left="200"/>
        <w:sectPr w:rsidR="00054BF0">
          <w:type w:val="continuous"/>
          <w:pgSz w:w="12240" w:h="15840"/>
          <w:pgMar w:top="840" w:right="1000" w:bottom="840" w:left="1000" w:header="400" w:footer="400" w:gutter="0"/>
          <w:cols w:space="720"/>
        </w:sectPr>
      </w:pPr>
      <w:r>
        <w:br/>
      </w:r>
      <w:r>
        <w:pict w14:anchorId="0BF5F803">
          <v:line id="_x0000_s2155" style="position:absolute;left:0;text-align:left;z-index:251723776;mso-position-horizontal-relative:text;mso-position-vertical-relative:text" from="0,10pt" to="512pt,10pt" strokeweight="1pt"/>
        </w:pict>
      </w:r>
      <w:r>
        <w:rPr>
          <w:rFonts w:ascii="Arial" w:eastAsia="Arial" w:hAnsi="Arial" w:cs="Arial"/>
          <w:b/>
          <w:color w:val="767676"/>
          <w:sz w:val="16"/>
        </w:rPr>
        <w:t>End of Document</w:t>
      </w:r>
    </w:p>
    <w:p w14:paraId="6C63B5C4" w14:textId="77777777" w:rsidR="00054BF0" w:rsidRDefault="00054BF0">
      <w:pPr>
        <w:sectPr w:rsidR="00054BF0">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gutter="0"/>
          <w:cols w:space="720"/>
          <w:titlePg/>
        </w:sectPr>
      </w:pPr>
    </w:p>
    <w:p w14:paraId="4841188A" w14:textId="77777777" w:rsidR="00054BF0" w:rsidRDefault="00054BF0">
      <w:bookmarkStart w:id="63" w:name="Bookmark_32"/>
      <w:bookmarkEnd w:id="63"/>
    </w:p>
    <w:p w14:paraId="04573530" w14:textId="77777777" w:rsidR="00054BF0" w:rsidRDefault="00BE2275">
      <w:r>
        <w:pict w14:anchorId="76384D2C">
          <v:shape id="_x0000_i1068" type="#_x0000_t75" alt="LexisNexis®" style="width:148pt;height:30pt">
            <v:imagedata r:id="rId6" o:title=""/>
          </v:shape>
        </w:pict>
      </w:r>
      <w:r w:rsidR="00A540D1">
        <w:cr/>
      </w:r>
    </w:p>
    <w:p w14:paraId="20A017C1" w14:textId="77777777" w:rsidR="00054BF0" w:rsidRDefault="00000000">
      <w:pPr>
        <w:spacing w:before="240" w:after="200" w:line="340" w:lineRule="atLeast"/>
        <w:jc w:val="center"/>
        <w:outlineLvl w:val="0"/>
        <w:rPr>
          <w:rFonts w:ascii="Arial" w:hAnsi="Arial" w:cs="Arial"/>
          <w:b/>
          <w:bCs/>
          <w:kern w:val="32"/>
          <w:sz w:val="32"/>
          <w:szCs w:val="32"/>
        </w:rPr>
      </w:pPr>
      <w:hyperlink r:id="rId526" w:history="1">
        <w:r>
          <w:rPr>
            <w:rFonts w:ascii="Arial" w:eastAsia="Arial" w:hAnsi="Arial" w:cs="Arial"/>
            <w:b/>
            <w:bCs/>
            <w:i/>
            <w:color w:val="0077CC"/>
            <w:kern w:val="32"/>
            <w:sz w:val="28"/>
            <w:szCs w:val="32"/>
            <w:u w:val="single"/>
            <w:shd w:val="clear" w:color="auto" w:fill="FFFFFF"/>
          </w:rPr>
          <w:t>Vulnerabilities of BOT Scheme and Ways to Overcome Them Under PPP: Cross-Country Comparison of PPP Systems Among Selected Countries</w:t>
        </w:r>
      </w:hyperlink>
    </w:p>
    <w:p w14:paraId="38BC0C1F" w14:textId="77777777" w:rsidR="00054BF0" w:rsidRDefault="00000000">
      <w:pPr>
        <w:spacing w:before="120" w:line="260" w:lineRule="atLeast"/>
        <w:jc w:val="center"/>
      </w:pPr>
      <w:r>
        <w:rPr>
          <w:rFonts w:ascii="Arial" w:eastAsia="Arial" w:hAnsi="Arial" w:cs="Arial"/>
          <w:color w:val="000000"/>
          <w:sz w:val="20"/>
        </w:rPr>
        <w:t>Public Works Management &amp; Policy</w:t>
      </w:r>
    </w:p>
    <w:p w14:paraId="2129E644" w14:textId="77777777" w:rsidR="00054BF0" w:rsidRDefault="00000000">
      <w:pPr>
        <w:spacing w:before="120" w:line="260" w:lineRule="atLeast"/>
        <w:jc w:val="center"/>
      </w:pPr>
      <w:r>
        <w:rPr>
          <w:rFonts w:ascii="Arial" w:eastAsia="Arial" w:hAnsi="Arial" w:cs="Arial"/>
          <w:color w:val="000000"/>
          <w:sz w:val="20"/>
        </w:rPr>
        <w:t>January 2019</w:t>
      </w:r>
    </w:p>
    <w:p w14:paraId="5F7392D9" w14:textId="77777777" w:rsidR="00054BF0" w:rsidRDefault="00054BF0">
      <w:pPr>
        <w:spacing w:line="240" w:lineRule="atLeast"/>
        <w:jc w:val="both"/>
      </w:pPr>
    </w:p>
    <w:p w14:paraId="6FD567FE" w14:textId="77777777" w:rsidR="00054BF0" w:rsidRDefault="00000000">
      <w:pPr>
        <w:spacing w:before="120" w:line="220" w:lineRule="atLeast"/>
      </w:pPr>
      <w:r>
        <w:br/>
      </w:r>
      <w:r>
        <w:rPr>
          <w:rFonts w:ascii="Arial" w:eastAsia="Arial" w:hAnsi="Arial" w:cs="Arial"/>
          <w:color w:val="000000"/>
          <w:sz w:val="16"/>
        </w:rPr>
        <w:t>Copyright 2019 Sage Publications, Inc. All Rights Reserved</w:t>
      </w:r>
    </w:p>
    <w:p w14:paraId="69038151" w14:textId="77777777" w:rsidR="00054BF0" w:rsidRDefault="00000000">
      <w:pPr>
        <w:spacing w:before="120" w:line="220" w:lineRule="atLeast"/>
      </w:pPr>
      <w:r>
        <w:br/>
      </w:r>
      <w:r w:rsidR="00BE2275">
        <w:pict w14:anchorId="68F59920">
          <v:shape id="_x0000_i1069" type="#_x0000_t75" style="width:129pt;height:50.5pt">
            <v:imagedata r:id="rId510" o:title=""/>
          </v:shape>
        </w:pict>
      </w:r>
    </w:p>
    <w:p w14:paraId="4684FEFB"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284-300; ISSN: 1087-724X, 1087-724X</w:t>
      </w:r>
    </w:p>
    <w:p w14:paraId="7736B501"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6889 words</w:t>
      </w:r>
    </w:p>
    <w:p w14:paraId="08CACEB1"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Shunso Tsukada</w:t>
      </w:r>
    </w:p>
    <w:p w14:paraId="6768225B" w14:textId="77777777" w:rsidR="00054BF0" w:rsidRDefault="00000000">
      <w:pPr>
        <w:keepNext/>
        <w:spacing w:before="240" w:line="340" w:lineRule="atLeast"/>
      </w:pPr>
      <w:bookmarkStart w:id="64" w:name="Body_30"/>
      <w:bookmarkEnd w:id="64"/>
      <w:r>
        <w:rPr>
          <w:rFonts w:ascii="Arial" w:eastAsia="Arial" w:hAnsi="Arial" w:cs="Arial"/>
          <w:b/>
          <w:color w:val="000000"/>
          <w:sz w:val="28"/>
        </w:rPr>
        <w:t>Body</w:t>
      </w:r>
    </w:p>
    <w:p w14:paraId="20FAF6E5" w14:textId="77777777" w:rsidR="00054BF0" w:rsidRDefault="00000000">
      <w:pPr>
        <w:spacing w:line="60" w:lineRule="exact"/>
      </w:pPr>
      <w:r>
        <w:pict w14:anchorId="3100627A">
          <v:line id="_x0000_s2158" style="position:absolute;z-index:251724800" from="0,2pt" to="512pt,2pt" strokecolor="#009ddb" strokeweight="2pt">
            <w10:wrap type="topAndBottom"/>
          </v:line>
        </w:pict>
      </w:r>
    </w:p>
    <w:p w14:paraId="56DE7001" w14:textId="77777777" w:rsidR="00054BF0" w:rsidRDefault="00054BF0"/>
    <w:p w14:paraId="2E7BB4C6" w14:textId="77777777" w:rsidR="00054BF0" w:rsidRDefault="00000000">
      <w:pPr>
        <w:spacing w:before="240" w:line="260" w:lineRule="atLeast"/>
      </w:pPr>
      <w:r>
        <w:rPr>
          <w:rFonts w:ascii="Arial" w:eastAsia="Arial" w:hAnsi="Arial" w:cs="Arial"/>
          <w:b/>
          <w:color w:val="000000"/>
          <w:sz w:val="20"/>
        </w:rPr>
        <w:t>ABSTRACT</w:t>
      </w:r>
    </w:p>
    <w:p w14:paraId="5AD2E4AC" w14:textId="77777777" w:rsidR="00054BF0" w:rsidRDefault="00000000">
      <w:pPr>
        <w:spacing w:before="200" w:line="260" w:lineRule="atLeast"/>
        <w:jc w:val="both"/>
      </w:pPr>
      <w:r>
        <w:rPr>
          <w:rFonts w:ascii="Arial" w:eastAsia="Arial" w:hAnsi="Arial" w:cs="Arial"/>
          <w:color w:val="000000"/>
          <w:sz w:val="20"/>
        </w:rPr>
        <w:t xml:space="preserve">Many developing countries have resorted to BOT (build–operate–transfer) scheme for infrastructure development. Although BOT scheme would bring significant benefits to developing countries, it conceals structural vulnerabilities. This has made the private sector hesitant in investing in BOT projects unless key risks are covered by governments under public private partnership (PPP) arrangements. Having seen this problem, developing countries have offered overly lucrative guarantees to private investors, which have ended </w:t>
      </w:r>
      <w:r>
        <w:rPr>
          <w:rFonts w:ascii="Arial" w:eastAsia="Arial" w:hAnsi="Arial" w:cs="Arial"/>
          <w:b/>
          <w:i/>
          <w:color w:val="000000"/>
          <w:sz w:val="20"/>
          <w:u w:val="single"/>
        </w:rPr>
        <w:t>up</w:t>
      </w:r>
      <w:r>
        <w:rPr>
          <w:rFonts w:ascii="Arial" w:eastAsia="Arial" w:hAnsi="Arial" w:cs="Arial"/>
          <w:color w:val="000000"/>
          <w:sz w:val="20"/>
        </w:rPr>
        <w:t xml:space="preserve"> with huge payments at a later stage. The purpose of this study is to find a kind of PPP measures which would be effective in getting the private sector to participate in BOT projects with little public-sector support being offered. For this purpose, a cross-country comparison was conducted, which has identified that some of PPP measures adopted in India are effective. Although their applicability to other developing countries is limited, it was found possible if combined with appropriate measures and confined to right sectors.</w:t>
      </w:r>
    </w:p>
    <w:p w14:paraId="679B8508" w14:textId="77777777" w:rsidR="00054BF0" w:rsidRDefault="00000000">
      <w:pPr>
        <w:spacing w:before="240" w:line="260" w:lineRule="atLeast"/>
      </w:pPr>
      <w:r>
        <w:rPr>
          <w:rFonts w:ascii="Arial" w:eastAsia="Arial" w:hAnsi="Arial" w:cs="Arial"/>
          <w:b/>
          <w:color w:val="000000"/>
          <w:sz w:val="20"/>
        </w:rPr>
        <w:t>FULL TEXT</w:t>
      </w:r>
    </w:p>
    <w:p w14:paraId="544B68FC" w14:textId="77777777" w:rsidR="00054BF0" w:rsidRDefault="00000000">
      <w:pPr>
        <w:spacing w:before="240" w:line="260" w:lineRule="atLeast"/>
      </w:pPr>
      <w:r>
        <w:rPr>
          <w:rFonts w:ascii="Arial" w:eastAsia="Arial" w:hAnsi="Arial" w:cs="Arial"/>
          <w:b/>
          <w:color w:val="000000"/>
          <w:sz w:val="20"/>
        </w:rPr>
        <w:t>Introduction</w:t>
      </w:r>
    </w:p>
    <w:p w14:paraId="6C0766A8" w14:textId="77777777" w:rsidR="00054BF0" w:rsidRDefault="00000000">
      <w:pPr>
        <w:spacing w:before="200" w:line="260" w:lineRule="atLeast"/>
        <w:jc w:val="both"/>
      </w:pPr>
      <w:r>
        <w:rPr>
          <w:rFonts w:ascii="Arial" w:eastAsia="Arial" w:hAnsi="Arial" w:cs="Arial"/>
          <w:color w:val="000000"/>
          <w:sz w:val="20"/>
        </w:rPr>
        <w:t>Faced with chronic capacity shortage of infrastructure, a number of developing countries have resorted to the public private partnership (PPP) for infrastructure development. The specific type of PPP widely used in developing countries is build–operate–transfer (BOT), rather than “Unitary Payment” or “Annuity” Scheme. This is due in part to the fact that the BOT type arrangement is more suited for large investment projects for economic infrastructure, while the unitary payment or annuity scheme is more suited for social infrastructure such as hospitals or schools. In developing countries, a higher priority has often been given to economic infrastructure, rather than social infrastructure.</w:t>
      </w:r>
    </w:p>
    <w:p w14:paraId="72FA366F" w14:textId="77777777" w:rsidR="00054BF0" w:rsidRDefault="00000000">
      <w:pPr>
        <w:spacing w:before="200" w:line="260" w:lineRule="atLeast"/>
        <w:jc w:val="both"/>
      </w:pPr>
      <w:r>
        <w:rPr>
          <w:rFonts w:ascii="Arial" w:eastAsia="Arial" w:hAnsi="Arial" w:cs="Arial"/>
          <w:color w:val="000000"/>
          <w:sz w:val="20"/>
        </w:rPr>
        <w:lastRenderedPageBreak/>
        <w:t>Although the BOT plays an important role for infrastructure development, private investors are reluctant in investing in BOT projects in developing countries because of greater risks associated with BOT arrangements. Unless commercial risks are substantially covered by the governments, the private sector is unwilling to invest in BOT type projects. This trend has become even clearer after Asian Financial Crisis of 1997, which had made foreign investors more cautious about investing in risky projects in developing countries.</w:t>
      </w:r>
    </w:p>
    <w:p w14:paraId="040746D3" w14:textId="77777777" w:rsidR="00054BF0" w:rsidRDefault="00000000">
      <w:pPr>
        <w:spacing w:before="200" w:line="260" w:lineRule="atLeast"/>
        <w:jc w:val="both"/>
      </w:pPr>
      <w:r>
        <w:rPr>
          <w:rFonts w:ascii="Arial" w:eastAsia="Arial" w:hAnsi="Arial" w:cs="Arial"/>
          <w:color w:val="000000"/>
          <w:sz w:val="20"/>
        </w:rPr>
        <w:t xml:space="preserve">Cognizant of this problem, developing countries have </w:t>
      </w:r>
      <w:r>
        <w:rPr>
          <w:rFonts w:ascii="Arial" w:eastAsia="Arial" w:hAnsi="Arial" w:cs="Arial"/>
          <w:b/>
          <w:i/>
          <w:color w:val="000000"/>
          <w:sz w:val="20"/>
          <w:u w:val="single"/>
        </w:rPr>
        <w:t>started</w:t>
      </w:r>
      <w:r>
        <w:rPr>
          <w:rFonts w:ascii="Arial" w:eastAsia="Arial" w:hAnsi="Arial" w:cs="Arial"/>
          <w:color w:val="000000"/>
          <w:sz w:val="20"/>
        </w:rPr>
        <w:t xml:space="preserve"> offering leniently structured guarantees to the private investors. As these guarantees are often very extensive, the BOT scheme is now known as PPP. As guarantees provide an easy way-out of deadlocked negotiation with investors, the developing countries can overly resort to the guarantees. Although these offers may initially help the developing governments to get the contracts concluded faster, this approach may haunt later the governments by huge obligations to pay for the losses to be suffered by the private sector. There have been a number of cases in which developing countries have ended </w:t>
      </w:r>
      <w:r>
        <w:rPr>
          <w:rFonts w:ascii="Arial" w:eastAsia="Arial" w:hAnsi="Arial" w:cs="Arial"/>
          <w:b/>
          <w:i/>
          <w:color w:val="000000"/>
          <w:sz w:val="20"/>
          <w:u w:val="single"/>
        </w:rPr>
        <w:t>up</w:t>
      </w:r>
      <w:r>
        <w:rPr>
          <w:rFonts w:ascii="Arial" w:eastAsia="Arial" w:hAnsi="Arial" w:cs="Arial"/>
          <w:color w:val="000000"/>
          <w:sz w:val="20"/>
        </w:rPr>
        <w:t xml:space="preserve"> with a huge amount of payments having been made to the private sector. A typical case is Mexican highway development program implemented under the BOT scheme from 1989 to 1994, which had paid $7 billion of bailout for the program of $13 billion.</w:t>
      </w:r>
    </w:p>
    <w:p w14:paraId="2634C1EE" w14:textId="77777777" w:rsidR="00054BF0" w:rsidRDefault="00000000">
      <w:pPr>
        <w:spacing w:before="200" w:line="260" w:lineRule="atLeast"/>
        <w:jc w:val="both"/>
      </w:pPr>
      <w:r>
        <w:rPr>
          <w:rFonts w:ascii="Arial" w:eastAsia="Arial" w:hAnsi="Arial" w:cs="Arial"/>
          <w:color w:val="000000"/>
          <w:sz w:val="20"/>
        </w:rPr>
        <w:t>This experience clearly indicates the need to pay an attention not only to the incentive side of BOT investments but also to their consequence on the fiscal balance of the future. The real challenge facing developing countries is how to secure private sector participation in BOT projects without committing too much for future losses to be suffered by the private sector.</w:t>
      </w:r>
    </w:p>
    <w:p w14:paraId="5100808E" w14:textId="77777777" w:rsidR="00054BF0" w:rsidRDefault="00000000">
      <w:pPr>
        <w:spacing w:before="240" w:line="260" w:lineRule="atLeast"/>
      </w:pPr>
      <w:r>
        <w:rPr>
          <w:rFonts w:ascii="Arial" w:eastAsia="Arial" w:hAnsi="Arial" w:cs="Arial"/>
          <w:b/>
          <w:color w:val="000000"/>
          <w:sz w:val="20"/>
        </w:rPr>
        <w:t>Scope of the Study</w:t>
      </w:r>
    </w:p>
    <w:p w14:paraId="1B50B12A" w14:textId="77777777" w:rsidR="00054BF0" w:rsidRDefault="00000000">
      <w:pPr>
        <w:spacing w:before="200" w:line="260" w:lineRule="atLeast"/>
        <w:jc w:val="both"/>
      </w:pPr>
      <w:r>
        <w:rPr>
          <w:rFonts w:ascii="Arial" w:eastAsia="Arial" w:hAnsi="Arial" w:cs="Arial"/>
          <w:color w:val="000000"/>
          <w:sz w:val="20"/>
        </w:rPr>
        <w:t>Before getting into the detailed analysis, it is useful to clarify what type of PPP is primarily discussed in this article. When referring to PPP, it encompasses several types of PPP, including (a) unitary-payment scheme which are often applied to public service concession, (b) availability-payment scheme (or annuity scheme), (c) PPP arrangement which supplements the vulnerabilities of BOT scheme, and (d) a straightforward BOT scheme.</w:t>
      </w:r>
    </w:p>
    <w:p w14:paraId="01A9491D" w14:textId="77777777" w:rsidR="00054BF0" w:rsidRDefault="00000000">
      <w:pPr>
        <w:spacing w:before="200" w:line="260" w:lineRule="atLeast"/>
        <w:jc w:val="both"/>
      </w:pPr>
      <w:r>
        <w:rPr>
          <w:rFonts w:ascii="Arial" w:eastAsia="Arial" w:hAnsi="Arial" w:cs="Arial"/>
          <w:color w:val="000000"/>
          <w:sz w:val="20"/>
        </w:rPr>
        <w:t>PPP can be schematically categorized by two sets of criteria. The first criterion is whether it is investment-oriented or service-oriented. The second criterion is which side of the parties would primarily cover commercial risks, between the government and the private sector. Based on these two criteria, the relative positions of the above four types of PPP can be illustrated as follows (Figure 1). Among these four types of PPP, this article will primarily focus on the BOT type PPP which is indicated by the dark red.</w:t>
      </w:r>
    </w:p>
    <w:p w14:paraId="5666A17E" w14:textId="77777777" w:rsidR="00054BF0" w:rsidRDefault="00000000">
      <w:pPr>
        <w:spacing w:before="240" w:line="260" w:lineRule="atLeast"/>
      </w:pPr>
      <w:r>
        <w:rPr>
          <w:rFonts w:ascii="Arial" w:eastAsia="Arial" w:hAnsi="Arial" w:cs="Arial"/>
          <w:b/>
          <w:color w:val="000000"/>
          <w:sz w:val="20"/>
        </w:rPr>
        <w:t>Figure 1.</w:t>
      </w:r>
    </w:p>
    <w:p w14:paraId="3A4E5550" w14:textId="77777777" w:rsidR="00054BF0" w:rsidRDefault="00000000">
      <w:pPr>
        <w:spacing w:before="200" w:line="260" w:lineRule="atLeast"/>
        <w:jc w:val="both"/>
      </w:pPr>
      <w:r>
        <w:rPr>
          <w:rFonts w:ascii="Arial" w:eastAsia="Arial" w:hAnsi="Arial" w:cs="Arial"/>
          <w:color w:val="000000"/>
          <w:sz w:val="20"/>
        </w:rPr>
        <w:t>Relative positions of various types of PPP.</w:t>
      </w:r>
    </w:p>
    <w:p w14:paraId="6A2BAAA3"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Prepared by S. Tsukada.</w:t>
      </w:r>
    </w:p>
    <w:p w14:paraId="283E217B"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 BOT = build–operate–transfer.</w:t>
      </w:r>
    </w:p>
    <w:p w14:paraId="72974598" w14:textId="77777777" w:rsidR="00054BF0" w:rsidRDefault="00000000">
      <w:pPr>
        <w:spacing w:before="240" w:line="260" w:lineRule="atLeast"/>
      </w:pPr>
      <w:r>
        <w:rPr>
          <w:rFonts w:ascii="Arial" w:eastAsia="Arial" w:hAnsi="Arial" w:cs="Arial"/>
          <w:b/>
          <w:color w:val="000000"/>
          <w:sz w:val="20"/>
        </w:rPr>
        <w:t>Purpose of the Research</w:t>
      </w:r>
    </w:p>
    <w:p w14:paraId="3055D739" w14:textId="77777777" w:rsidR="00054BF0" w:rsidRDefault="00000000">
      <w:pPr>
        <w:spacing w:before="200" w:line="260" w:lineRule="atLeast"/>
        <w:jc w:val="both"/>
      </w:pPr>
      <w:r>
        <w:rPr>
          <w:rFonts w:ascii="Arial" w:eastAsia="Arial" w:hAnsi="Arial" w:cs="Arial"/>
          <w:color w:val="000000"/>
          <w:sz w:val="20"/>
        </w:rPr>
        <w:t>The primary purpose of the research is to identify a kind of PPP measures which will be effective in securing private sector participation, but do not necessitate the large amount of later payments to cover future losses to be incurred by the private investors.</w:t>
      </w:r>
    </w:p>
    <w:p w14:paraId="682E7B0C" w14:textId="77777777" w:rsidR="00054BF0" w:rsidRDefault="00000000">
      <w:pPr>
        <w:spacing w:before="200" w:line="260" w:lineRule="atLeast"/>
        <w:jc w:val="both"/>
      </w:pPr>
      <w:r>
        <w:rPr>
          <w:rFonts w:ascii="Arial" w:eastAsia="Arial" w:hAnsi="Arial" w:cs="Arial"/>
          <w:color w:val="000000"/>
          <w:sz w:val="20"/>
        </w:rPr>
        <w:t>To achieve this objective, the research will be conducted in the following sequence:</w:t>
      </w:r>
    </w:p>
    <w:p w14:paraId="5A33774A" w14:textId="77777777" w:rsidR="00054BF0" w:rsidRDefault="00000000">
      <w:pPr>
        <w:spacing w:before="200" w:line="260" w:lineRule="atLeast"/>
        <w:jc w:val="both"/>
      </w:pPr>
      <w:r>
        <w:rPr>
          <w:rFonts w:ascii="Arial" w:eastAsia="Arial" w:hAnsi="Arial" w:cs="Arial"/>
          <w:color w:val="000000"/>
          <w:sz w:val="20"/>
        </w:rPr>
        <w:t>Identification of structural vulnerabilities of BOT scheme</w:t>
      </w:r>
    </w:p>
    <w:p w14:paraId="03743C5C" w14:textId="77777777" w:rsidR="00054BF0" w:rsidRDefault="00000000">
      <w:pPr>
        <w:spacing w:before="200" w:line="260" w:lineRule="atLeast"/>
        <w:jc w:val="both"/>
      </w:pPr>
      <w:r>
        <w:rPr>
          <w:rFonts w:ascii="Arial" w:eastAsia="Arial" w:hAnsi="Arial" w:cs="Arial"/>
          <w:color w:val="000000"/>
          <w:sz w:val="20"/>
        </w:rPr>
        <w:t>Cross-country comparison to find those PPP measures which were designed to address these vulnerabilities identified through the above analysis</w:t>
      </w:r>
    </w:p>
    <w:p w14:paraId="1D3C4D2C" w14:textId="77777777" w:rsidR="00054BF0" w:rsidRDefault="00000000">
      <w:pPr>
        <w:spacing w:before="200" w:line="260" w:lineRule="atLeast"/>
        <w:jc w:val="both"/>
      </w:pPr>
      <w:r>
        <w:rPr>
          <w:rFonts w:ascii="Arial" w:eastAsia="Arial" w:hAnsi="Arial" w:cs="Arial"/>
          <w:color w:val="000000"/>
          <w:sz w:val="20"/>
        </w:rPr>
        <w:lastRenderedPageBreak/>
        <w:t>Examination of cost-effectiveness of each of the PPP measures thus identified through the above exercise</w:t>
      </w:r>
    </w:p>
    <w:p w14:paraId="2D6949DB" w14:textId="77777777" w:rsidR="00054BF0" w:rsidRDefault="00000000">
      <w:pPr>
        <w:spacing w:before="200" w:line="260" w:lineRule="atLeast"/>
        <w:jc w:val="both"/>
      </w:pPr>
      <w:r>
        <w:rPr>
          <w:rFonts w:ascii="Arial" w:eastAsia="Arial" w:hAnsi="Arial" w:cs="Arial"/>
          <w:color w:val="000000"/>
          <w:sz w:val="20"/>
        </w:rPr>
        <w:t>Comparison of several countries in terms of cost-effectiveness of each PPP system so as to identify what country is comparatively successful in this endeavor</w:t>
      </w:r>
    </w:p>
    <w:p w14:paraId="3B432B3A" w14:textId="77777777" w:rsidR="00054BF0" w:rsidRDefault="00000000">
      <w:pPr>
        <w:spacing w:before="200" w:line="260" w:lineRule="atLeast"/>
        <w:jc w:val="both"/>
      </w:pPr>
      <w:r>
        <w:rPr>
          <w:rFonts w:ascii="Arial" w:eastAsia="Arial" w:hAnsi="Arial" w:cs="Arial"/>
          <w:color w:val="000000"/>
          <w:sz w:val="20"/>
        </w:rPr>
        <w:t>If one country is found successful in introducing cost-effective PPP system, the identification of the underlying factors which have enabled that specific country to develop such a PPP system.</w:t>
      </w:r>
    </w:p>
    <w:p w14:paraId="1ADE33A7" w14:textId="77777777" w:rsidR="00054BF0" w:rsidRDefault="00000000">
      <w:pPr>
        <w:spacing w:before="240" w:line="260" w:lineRule="atLeast"/>
      </w:pPr>
      <w:r>
        <w:rPr>
          <w:rFonts w:ascii="Arial" w:eastAsia="Arial" w:hAnsi="Arial" w:cs="Arial"/>
          <w:b/>
          <w:color w:val="000000"/>
          <w:sz w:val="20"/>
        </w:rPr>
        <w:t>Significance of the Study</w:t>
      </w:r>
    </w:p>
    <w:p w14:paraId="59705081" w14:textId="77777777" w:rsidR="00054BF0" w:rsidRDefault="00000000">
      <w:pPr>
        <w:spacing w:before="200" w:line="260" w:lineRule="atLeast"/>
        <w:jc w:val="both"/>
      </w:pPr>
      <w:r>
        <w:rPr>
          <w:rFonts w:ascii="Arial" w:eastAsia="Arial" w:hAnsi="Arial" w:cs="Arial"/>
          <w:color w:val="000000"/>
          <w:sz w:val="20"/>
        </w:rPr>
        <w:t>Although there are a number of studies on the PPP, most of the studies have focused on the evaluation of performance of PPP projects/programs with an aim to learn lessons from failed or success projects/programs (Cuttaree, 2008). A general evaluation of the BOT scheme is positive because combining construction to operation has provided BOT developers with a stronger incentive for higher efficiency and reduction of the life cycle costs of projects/programs (Fisher &amp; Babbar, 2002). Papers also indicated that, in spite of this advantage, many projects failed due to overly concessional contractual agreements or unrealistic implementation schedule.</w:t>
      </w:r>
    </w:p>
    <w:p w14:paraId="44CD3F9A" w14:textId="77777777" w:rsidR="00054BF0" w:rsidRDefault="00000000">
      <w:pPr>
        <w:spacing w:before="200" w:line="260" w:lineRule="atLeast"/>
        <w:jc w:val="both"/>
      </w:pPr>
      <w:r>
        <w:rPr>
          <w:rFonts w:ascii="Arial" w:eastAsia="Arial" w:hAnsi="Arial" w:cs="Arial"/>
          <w:color w:val="000000"/>
          <w:sz w:val="20"/>
        </w:rPr>
        <w:t>Another type of the studies which have been carried out on the PPP is an analysis of the PPP system of a specific country, discussing legal frameworks, risk allocation, and/or institutional arrangements. These studies have stressed the importance of creating such legal frameworks or institutional environments which are conducive to the private sector investments, but few papers exist that look into the negative side of pro-investment policy or incentive measures.</w:t>
      </w:r>
    </w:p>
    <w:p w14:paraId="110DCF84" w14:textId="77777777" w:rsidR="00054BF0" w:rsidRDefault="00000000">
      <w:pPr>
        <w:spacing w:before="200" w:line="260" w:lineRule="atLeast"/>
        <w:jc w:val="both"/>
      </w:pPr>
      <w:r>
        <w:rPr>
          <w:rFonts w:ascii="Arial" w:eastAsia="Arial" w:hAnsi="Arial" w:cs="Arial"/>
          <w:color w:val="000000"/>
          <w:sz w:val="20"/>
        </w:rPr>
        <w:t>Although relatively rare, there are some studies conducting cross-country comparisons of PPP systems, but most of them are merely descriptive so as to help their audience gain insight on varying features of the PPP systems employed (PricewaterhouseCoopers, 2007). In contrast, this article focuses on finding how those countries which have been selected for cross-country comparison have dealt with the vulnerability issue of the BOT scheme under PPP arrangements, which clearly goes further that previous research, which typically was just descriptions of PPP systems of various countries.</w:t>
      </w:r>
    </w:p>
    <w:p w14:paraId="59DEA2E3" w14:textId="77777777" w:rsidR="00054BF0" w:rsidRDefault="00000000">
      <w:pPr>
        <w:spacing w:before="200" w:line="260" w:lineRule="atLeast"/>
        <w:jc w:val="both"/>
      </w:pPr>
      <w:r>
        <w:rPr>
          <w:rFonts w:ascii="Arial" w:eastAsia="Arial" w:hAnsi="Arial" w:cs="Arial"/>
          <w:color w:val="000000"/>
          <w:sz w:val="20"/>
        </w:rPr>
        <w:t>The main contribution of this study is shedding light on the possible consequences of a variety of incentive measures, which could require a major outlay of compensation by the government in later stages. The article is intended to provide governments with some ideas on possible measures that would enable them to avoid being trapped in this manner. A further contribution of this study is that an increasing number of governments can be in a better negotiating position with possible private sector investors in the finalization of contracts.</w:t>
      </w:r>
    </w:p>
    <w:p w14:paraId="4D1BD78C" w14:textId="77777777" w:rsidR="00054BF0" w:rsidRDefault="00000000">
      <w:pPr>
        <w:spacing w:before="240" w:line="260" w:lineRule="atLeast"/>
      </w:pPr>
      <w:r>
        <w:rPr>
          <w:rFonts w:ascii="Arial" w:eastAsia="Arial" w:hAnsi="Arial" w:cs="Arial"/>
          <w:b/>
          <w:color w:val="000000"/>
          <w:sz w:val="20"/>
        </w:rPr>
        <w:t>Identification of Vulnerabilities of BOT</w:t>
      </w:r>
    </w:p>
    <w:p w14:paraId="40290414" w14:textId="77777777" w:rsidR="00054BF0" w:rsidRDefault="00000000">
      <w:pPr>
        <w:spacing w:before="200" w:line="260" w:lineRule="atLeast"/>
        <w:jc w:val="both"/>
      </w:pPr>
      <w:r>
        <w:rPr>
          <w:rFonts w:ascii="Arial" w:eastAsia="Arial" w:hAnsi="Arial" w:cs="Arial"/>
          <w:color w:val="000000"/>
          <w:sz w:val="20"/>
        </w:rPr>
        <w:t>Although the BOT offers a potentially lucrative option for both governments and developers, it conceals structural vulnerabilities. These vulnerabilities are stemmed from the original design f the BOT scheme.</w:t>
      </w:r>
    </w:p>
    <w:p w14:paraId="008E5487" w14:textId="77777777" w:rsidR="00054BF0" w:rsidRDefault="00000000">
      <w:pPr>
        <w:spacing w:before="240" w:line="260" w:lineRule="atLeast"/>
      </w:pPr>
      <w:r>
        <w:rPr>
          <w:rFonts w:ascii="Arial" w:eastAsia="Arial" w:hAnsi="Arial" w:cs="Arial"/>
          <w:b/>
          <w:color w:val="000000"/>
          <w:sz w:val="20"/>
        </w:rPr>
        <w:t>Genesis of BOT Scheme</w:t>
      </w:r>
    </w:p>
    <w:p w14:paraId="6F4D69AD" w14:textId="77777777" w:rsidR="00054BF0" w:rsidRDefault="00000000">
      <w:pPr>
        <w:spacing w:before="200" w:line="260" w:lineRule="atLeast"/>
        <w:jc w:val="both"/>
      </w:pPr>
      <w:r>
        <w:rPr>
          <w:rFonts w:ascii="Arial" w:eastAsia="Arial" w:hAnsi="Arial" w:cs="Arial"/>
          <w:color w:val="000000"/>
          <w:sz w:val="20"/>
        </w:rPr>
        <w:t>In 1983, Motherland Party of Turkey led by Turgut Ozal won the general election with a promise of delivering infrastructure in an accelerated manner, but Ozal Administration found it difficult to deliver this promise due to the lack of national budget for this purpose. Having seen the situation, European construction industry extended a helping hand to the Administration with a proposal that, instead of the Government, they would build infrastructure without charging the government for the cost. Furthermore, they would maintain and operate for decades and eventually transfer back those infrastructure facilities to the government. Only condition attached to his proposal is they should be allowed to charge users for their use of infrastructure facilities they constructed.</w:t>
      </w:r>
    </w:p>
    <w:p w14:paraId="07DBF941" w14:textId="77777777" w:rsidR="00054BF0" w:rsidRDefault="00000000">
      <w:pPr>
        <w:spacing w:before="200" w:line="260" w:lineRule="atLeast"/>
        <w:jc w:val="both"/>
      </w:pPr>
      <w:r>
        <w:rPr>
          <w:rFonts w:ascii="Arial" w:eastAsia="Arial" w:hAnsi="Arial" w:cs="Arial"/>
          <w:color w:val="000000"/>
          <w:sz w:val="20"/>
        </w:rPr>
        <w:t xml:space="preserve">This proposal was very attractive for the Government, but how this enticing proposal has been made possible? Before answering this question, the above concept of BOT would be rephrased in the following manner so as to link it to the arguments to be developed later: Once a winner for the project is selected through the competitive bidding </w:t>
      </w:r>
      <w:r>
        <w:rPr>
          <w:rFonts w:ascii="Arial" w:eastAsia="Arial" w:hAnsi="Arial" w:cs="Arial"/>
          <w:color w:val="000000"/>
          <w:sz w:val="20"/>
        </w:rPr>
        <w:lastRenderedPageBreak/>
        <w:t>or on a sole source basis, the private investors would be given an exclusive right (</w:t>
      </w:r>
      <w:r>
        <w:rPr>
          <w:rFonts w:ascii="Arial" w:eastAsia="Arial" w:hAnsi="Arial" w:cs="Arial"/>
          <w:i/>
          <w:color w:val="000000"/>
          <w:sz w:val="20"/>
        </w:rPr>
        <w:t>concession</w:t>
      </w:r>
      <w:r>
        <w:rPr>
          <w:rFonts w:ascii="Arial" w:eastAsia="Arial" w:hAnsi="Arial" w:cs="Arial"/>
          <w:color w:val="000000"/>
          <w:sz w:val="20"/>
        </w:rPr>
        <w:t xml:space="preserve">) to operate infrastructure facilities in a monopolistic or semi-monopolistic manner with permission to charge users for their services. Once the concession is awarded, these private investors, i.e. a consortium of private investors, would form a legal entity, </w:t>
      </w:r>
      <w:r>
        <w:rPr>
          <w:rFonts w:ascii="Arial" w:eastAsia="Arial" w:hAnsi="Arial" w:cs="Arial"/>
          <w:i/>
          <w:color w:val="000000"/>
          <w:sz w:val="20"/>
        </w:rPr>
        <w:t>Special Purpose Vehicle (SPV)</w:t>
      </w:r>
      <w:r>
        <w:rPr>
          <w:rFonts w:ascii="Arial" w:eastAsia="Arial" w:hAnsi="Arial" w:cs="Arial"/>
          <w:color w:val="000000"/>
          <w:sz w:val="20"/>
        </w:rPr>
        <w:t>, which is solely dedicated for the development and subsequent operation of the project. The SPV would then secure loans by themselves from financiers without offering collateral or any other securities to financiers, but only through the business plan which demonstrates financial viability of the project, more exactly positive free cash flow (</w:t>
      </w:r>
      <w:r>
        <w:rPr>
          <w:rFonts w:ascii="Arial" w:eastAsia="Arial" w:hAnsi="Arial" w:cs="Arial"/>
          <w:i/>
          <w:color w:val="000000"/>
          <w:sz w:val="20"/>
        </w:rPr>
        <w:t>non-recourse finance</w:t>
      </w:r>
      <w:r>
        <w:rPr>
          <w:rFonts w:ascii="Arial" w:eastAsia="Arial" w:hAnsi="Arial" w:cs="Arial"/>
          <w:color w:val="000000"/>
          <w:sz w:val="20"/>
        </w:rPr>
        <w:t>).1</w:t>
      </w:r>
    </w:p>
    <w:p w14:paraId="1CF5E4BE" w14:textId="77777777" w:rsidR="00054BF0" w:rsidRDefault="00000000">
      <w:pPr>
        <w:spacing w:before="200" w:line="260" w:lineRule="atLeast"/>
        <w:jc w:val="both"/>
      </w:pPr>
      <w:r>
        <w:rPr>
          <w:rFonts w:ascii="Arial" w:eastAsia="Arial" w:hAnsi="Arial" w:cs="Arial"/>
          <w:color w:val="000000"/>
          <w:sz w:val="20"/>
        </w:rPr>
        <w:t>The above definition is intended to elucidate three key elements of BOT, namely, (a) nonrecourse finance, (b) public service concession, and (c) special purpose vehicle (SPV). These three elements constitute the essential elements of the BOT scheme, but at the same time, they form as root causes of vulnerabilities.</w:t>
      </w:r>
    </w:p>
    <w:p w14:paraId="2055145C" w14:textId="77777777" w:rsidR="00054BF0" w:rsidRDefault="00000000">
      <w:pPr>
        <w:spacing w:before="240" w:line="260" w:lineRule="atLeast"/>
      </w:pPr>
      <w:r>
        <w:rPr>
          <w:rFonts w:ascii="Arial" w:eastAsia="Arial" w:hAnsi="Arial" w:cs="Arial"/>
          <w:b/>
          <w:color w:val="000000"/>
          <w:sz w:val="20"/>
        </w:rPr>
        <w:t>Nonrecourse finance</w:t>
      </w:r>
    </w:p>
    <w:p w14:paraId="7AFABDE6" w14:textId="77777777" w:rsidR="00054BF0" w:rsidRDefault="00000000">
      <w:pPr>
        <w:spacing w:before="200" w:line="260" w:lineRule="atLeast"/>
        <w:jc w:val="both"/>
      </w:pPr>
      <w:r>
        <w:rPr>
          <w:rFonts w:ascii="Arial" w:eastAsia="Arial" w:hAnsi="Arial" w:cs="Arial"/>
          <w:color w:val="000000"/>
          <w:sz w:val="20"/>
        </w:rPr>
        <w:t>A central trick to the BOT concept was the application of the concept of “project finance,” or “nonrecourse finance” to infrastructure projects. The project finance has been fitted well for energy projects, but not for other infrastructure projects such as ports, rail, or toll roads, as the former has off-takers for those products to be delivered later by the projects. Long term contracts to be concluded with off-takers would help BOT operators reduce commercial risks entailing the future revenue stream. A real world example for the application of the project finance approach is North Sea Oil Projects explored in 1970s to which BP, Shell, and other oil majors had committed to purchase all of the products to be delivered by the Project. In contrast, typical infrastructure projects such as toll road projects do not have any committed purchaser for the services to be delivered by those infrastructure facilities. This twisted application of the project finance concept to infrastructure projects is the main factor which has enabled this enticing arrangement to be materialized.</w:t>
      </w:r>
    </w:p>
    <w:p w14:paraId="00540E67" w14:textId="77777777" w:rsidR="00054BF0" w:rsidRDefault="00000000">
      <w:pPr>
        <w:spacing w:before="240" w:line="260" w:lineRule="atLeast"/>
      </w:pPr>
      <w:r>
        <w:rPr>
          <w:rFonts w:ascii="Arial" w:eastAsia="Arial" w:hAnsi="Arial" w:cs="Arial"/>
          <w:b/>
          <w:color w:val="000000"/>
          <w:sz w:val="20"/>
        </w:rPr>
        <w:t>Public service concession</w:t>
      </w:r>
    </w:p>
    <w:p w14:paraId="33B943FC" w14:textId="77777777" w:rsidR="00054BF0" w:rsidRDefault="00000000">
      <w:pPr>
        <w:spacing w:before="200" w:line="260" w:lineRule="atLeast"/>
        <w:jc w:val="both"/>
      </w:pPr>
      <w:r>
        <w:rPr>
          <w:rFonts w:ascii="Arial" w:eastAsia="Arial" w:hAnsi="Arial" w:cs="Arial"/>
          <w:color w:val="000000"/>
          <w:sz w:val="20"/>
        </w:rPr>
        <w:t>Public service concession is another key element enabling the BOT scheme to take off. The concession scheme has long been employed when the government decides to delegate the provision of the public services to the private sector. The first recorded example of the public service concession was a water distribution project for the City of Paris in which concession was granted to Perier Brothers in 1782 (Walker &amp; Smith, 1995). This project was followed by dozens of similar projects in 19th century in France, Spain, Italy, Belgium, and Germany.</w:t>
      </w:r>
    </w:p>
    <w:p w14:paraId="6571E7B9" w14:textId="77777777" w:rsidR="00054BF0" w:rsidRDefault="00000000">
      <w:pPr>
        <w:spacing w:before="200" w:line="260" w:lineRule="atLeast"/>
        <w:jc w:val="both"/>
      </w:pPr>
      <w:r>
        <w:rPr>
          <w:rFonts w:ascii="Arial" w:eastAsia="Arial" w:hAnsi="Arial" w:cs="Arial"/>
          <w:color w:val="000000"/>
          <w:sz w:val="20"/>
        </w:rPr>
        <w:t>Under the public concession scheme, the private sector is given an exclusive right to operate government’s facilities for the provision of service to the general public. As this type of service falls under the public domain, the private operator is requested to provide services in accordance with public service obligations as stipulated in concession agreements. When the above concession comes to an end, the facilities must be returned to the government. This concept of returning the assets to the government appears to have been incorporated in the BOT scheme under the term “Transfer.”</w:t>
      </w:r>
    </w:p>
    <w:p w14:paraId="5DD38FE1" w14:textId="77777777" w:rsidR="00054BF0" w:rsidRDefault="00000000">
      <w:pPr>
        <w:spacing w:before="200" w:line="260" w:lineRule="atLeast"/>
        <w:jc w:val="both"/>
      </w:pPr>
      <w:r>
        <w:rPr>
          <w:rFonts w:ascii="Arial" w:eastAsia="Arial" w:hAnsi="Arial" w:cs="Arial"/>
          <w:color w:val="000000"/>
          <w:sz w:val="20"/>
        </w:rPr>
        <w:t>The difference between traditional public service concession and BOT concession is the shift of emphasis from service-orientation to investment-orientation. Under the BOT scheme, while the private sector is obliged to construct facilities, the private sector is, in turn, allowed to charge users with fees for the service provision of infrastructure thus constructed. Although the private sector would be able to set prices at their preferred level, this pricing freedom would often be compromised by the intervention of the public authority. If the concessionaire charges users beyond the deemed affordability, the government may intervene. Meanwhile, if the intervention by the authority is excessive, this can jeopardize the commercial viability of the private operation. This means that the pricing freedom would be always exposed to the potential risk of excessive regulation by the government, which is another source of the vulnerability of BOT operations.</w:t>
      </w:r>
    </w:p>
    <w:p w14:paraId="18438541" w14:textId="77777777" w:rsidR="00054BF0" w:rsidRDefault="00000000">
      <w:pPr>
        <w:spacing w:before="240" w:line="260" w:lineRule="atLeast"/>
      </w:pPr>
      <w:r>
        <w:rPr>
          <w:rFonts w:ascii="Arial" w:eastAsia="Arial" w:hAnsi="Arial" w:cs="Arial"/>
          <w:b/>
          <w:color w:val="000000"/>
          <w:sz w:val="20"/>
        </w:rPr>
        <w:t>SPV</w:t>
      </w:r>
    </w:p>
    <w:p w14:paraId="715BD245" w14:textId="77777777" w:rsidR="00054BF0" w:rsidRDefault="00000000">
      <w:pPr>
        <w:spacing w:before="200" w:line="260" w:lineRule="atLeast"/>
        <w:jc w:val="both"/>
      </w:pPr>
      <w:r>
        <w:rPr>
          <w:rFonts w:ascii="Arial" w:eastAsia="Arial" w:hAnsi="Arial" w:cs="Arial"/>
          <w:color w:val="000000"/>
          <w:sz w:val="20"/>
        </w:rPr>
        <w:lastRenderedPageBreak/>
        <w:t>The above two concepts were wrapped by one legal device, that is, SPV. Once a SPV is established, it serves as a legal protection against financiers for immediate payback of the loans.</w:t>
      </w:r>
    </w:p>
    <w:p w14:paraId="6A9EA217" w14:textId="77777777" w:rsidR="00054BF0" w:rsidRDefault="00000000">
      <w:pPr>
        <w:spacing w:before="200" w:line="260" w:lineRule="atLeast"/>
        <w:jc w:val="both"/>
      </w:pPr>
      <w:r>
        <w:rPr>
          <w:rFonts w:ascii="Arial" w:eastAsia="Arial" w:hAnsi="Arial" w:cs="Arial"/>
          <w:color w:val="000000"/>
          <w:sz w:val="20"/>
        </w:rPr>
        <w:t>Procedurally, when a consortium of project proponents won a contract, they form a SPV to which project proponents (often called sponsors) would make equity investments; in other words, they would become shareholders of the SPV. A portion of initial capital expenditures (often 10%-30%) would come from equity investments, but the rest of capital expenditures would be covered by borrowing from banks and/or other financiers. Although real beneficiaries of these loans are project proponents or sponsors, they are not the borrowers, but the SPV is. When the project is feared to fail, the lenders would immediately request payback of outstanding balance of loans to SPV but not to project proponents or sponsors, as they are not borrowers legally.</w:t>
      </w:r>
    </w:p>
    <w:p w14:paraId="62BD4477" w14:textId="77777777" w:rsidR="00054BF0" w:rsidRDefault="00000000">
      <w:pPr>
        <w:spacing w:before="200" w:line="260" w:lineRule="atLeast"/>
        <w:jc w:val="both"/>
      </w:pPr>
      <w:r>
        <w:rPr>
          <w:rFonts w:ascii="Arial" w:eastAsia="Arial" w:hAnsi="Arial" w:cs="Arial"/>
          <w:color w:val="000000"/>
          <w:sz w:val="20"/>
        </w:rPr>
        <w:t>A more important but often overlooked benefit of using the SPV is that it enables project proponents to be paid much faster than usual time table of the BOT project payments, that is, at the time of delivery of equipment/services (Note. One of the main purposes of getting involved in BOT project is that the project proponents intend to sell their equipment or system to the project and to be paid from the project). If the BOT project is executed directly by project proponents, they would not be paid soon, but need to wait for a while until the BOT project generates “free cash flow.” However, this SPV arrangement would enable project proponents to be paid, based on the subcontracts which had been concluded with the SPV. It should be noted that project sponsors are in a position to influence the procurement decision by the SPV.</w:t>
      </w:r>
    </w:p>
    <w:p w14:paraId="11F86997" w14:textId="77777777" w:rsidR="00054BF0" w:rsidRDefault="00000000">
      <w:pPr>
        <w:spacing w:before="200" w:line="260" w:lineRule="atLeast"/>
        <w:jc w:val="both"/>
      </w:pPr>
      <w:r>
        <w:rPr>
          <w:rFonts w:ascii="Arial" w:eastAsia="Arial" w:hAnsi="Arial" w:cs="Arial"/>
          <w:color w:val="000000"/>
          <w:sz w:val="20"/>
        </w:rPr>
        <w:t xml:space="preserve">This structure is a reason why financiers would become extremely cautious about financing BOT projects. When the project has failed, the resultant default would directly hit lenders. Essence of financing is the willingness to take this risk in exchange of earning higher interest from the borrowers. To prevent this from happening, banks often insist on the inclusion of several clauses in the loan agreements, such as “step-in rights” clause, “claw-back” clause, and “escrow-account”. This extreme cautiousness of the financiers toward the SPV arrangement would make hard contract negotiation between SPV and financiers, which may lead to the </w:t>
      </w:r>
      <w:r>
        <w:rPr>
          <w:rFonts w:ascii="Arial" w:eastAsia="Arial" w:hAnsi="Arial" w:cs="Arial"/>
          <w:b/>
          <w:i/>
          <w:color w:val="000000"/>
          <w:sz w:val="20"/>
          <w:u w:val="single"/>
        </w:rPr>
        <w:t>failure</w:t>
      </w:r>
      <w:r>
        <w:rPr>
          <w:rFonts w:ascii="Arial" w:eastAsia="Arial" w:hAnsi="Arial" w:cs="Arial"/>
          <w:color w:val="000000"/>
          <w:sz w:val="20"/>
        </w:rPr>
        <w:t xml:space="preserve"> to reach financial closure in a reasonable time frame.</w:t>
      </w:r>
    </w:p>
    <w:p w14:paraId="01F78FF7" w14:textId="77777777" w:rsidR="00054BF0" w:rsidRDefault="00000000">
      <w:pPr>
        <w:spacing w:before="240" w:line="260" w:lineRule="atLeast"/>
      </w:pPr>
      <w:r>
        <w:rPr>
          <w:rFonts w:ascii="Arial" w:eastAsia="Arial" w:hAnsi="Arial" w:cs="Arial"/>
          <w:b/>
          <w:color w:val="000000"/>
          <w:sz w:val="20"/>
        </w:rPr>
        <w:t>Three vulnerabilities identified from the above analyses</w:t>
      </w:r>
    </w:p>
    <w:p w14:paraId="115A9C7F" w14:textId="77777777" w:rsidR="00054BF0" w:rsidRDefault="00000000">
      <w:pPr>
        <w:spacing w:before="200" w:line="260" w:lineRule="atLeast"/>
        <w:jc w:val="both"/>
      </w:pPr>
      <w:r>
        <w:rPr>
          <w:rFonts w:ascii="Arial" w:eastAsia="Arial" w:hAnsi="Arial" w:cs="Arial"/>
          <w:color w:val="000000"/>
          <w:sz w:val="20"/>
        </w:rPr>
        <w:t>The above analysis has enabled us to identify the three root causes of vulnerability of BOT scheme as enumerated below.</w:t>
      </w:r>
    </w:p>
    <w:p w14:paraId="5C327C98" w14:textId="77777777" w:rsidR="00054BF0" w:rsidRDefault="00000000">
      <w:pPr>
        <w:spacing w:before="200" w:line="260" w:lineRule="atLeast"/>
        <w:jc w:val="both"/>
      </w:pPr>
      <w:r>
        <w:rPr>
          <w:rFonts w:ascii="Arial" w:eastAsia="Arial" w:hAnsi="Arial" w:cs="Arial"/>
          <w:color w:val="000000"/>
          <w:sz w:val="20"/>
        </w:rPr>
        <w:t>Uncertainty in future revenue of infrastructure projects</w:t>
      </w:r>
    </w:p>
    <w:p w14:paraId="17E2B680" w14:textId="77777777" w:rsidR="00054BF0" w:rsidRDefault="00000000">
      <w:pPr>
        <w:spacing w:before="200" w:line="260" w:lineRule="atLeast"/>
        <w:jc w:val="both"/>
      </w:pPr>
      <w:r>
        <w:rPr>
          <w:rFonts w:ascii="Arial" w:eastAsia="Arial" w:hAnsi="Arial" w:cs="Arial"/>
          <w:color w:val="000000"/>
          <w:sz w:val="20"/>
        </w:rPr>
        <w:t>Potential intervention by the government in pricing with resultant difficulty in cost recovery</w:t>
      </w:r>
    </w:p>
    <w:p w14:paraId="6F8019D3" w14:textId="77777777" w:rsidR="00054BF0" w:rsidRDefault="00000000">
      <w:pPr>
        <w:spacing w:before="200" w:line="260" w:lineRule="atLeast"/>
        <w:jc w:val="both"/>
      </w:pPr>
      <w:r>
        <w:rPr>
          <w:rFonts w:ascii="Arial" w:eastAsia="Arial" w:hAnsi="Arial" w:cs="Arial"/>
          <w:color w:val="000000"/>
          <w:sz w:val="20"/>
        </w:rPr>
        <w:t>Difficulty in securing finance for BOT projects due to the tilted-structure of the SPV toward project proponents</w:t>
      </w:r>
    </w:p>
    <w:p w14:paraId="206B9EE1" w14:textId="77777777" w:rsidR="00054BF0" w:rsidRDefault="00000000">
      <w:pPr>
        <w:spacing w:before="240" w:line="260" w:lineRule="atLeast"/>
      </w:pPr>
      <w:r>
        <w:rPr>
          <w:rFonts w:ascii="Arial" w:eastAsia="Arial" w:hAnsi="Arial" w:cs="Arial"/>
          <w:b/>
          <w:color w:val="000000"/>
          <w:sz w:val="20"/>
        </w:rPr>
        <w:t>Cross-Country Comparison of PPP Systems</w:t>
      </w:r>
    </w:p>
    <w:p w14:paraId="5BBACE84" w14:textId="77777777" w:rsidR="00054BF0" w:rsidRDefault="00000000">
      <w:pPr>
        <w:spacing w:before="200" w:line="260" w:lineRule="atLeast"/>
        <w:jc w:val="both"/>
      </w:pPr>
      <w:r>
        <w:rPr>
          <w:rFonts w:ascii="Arial" w:eastAsia="Arial" w:hAnsi="Arial" w:cs="Arial"/>
          <w:color w:val="000000"/>
          <w:sz w:val="20"/>
        </w:rPr>
        <w:t>Having identified major vulnerabilities of the BOT scheme, these elements would be used as a basis for evaluating the effectiveness of the PPP systems of selected countries as the most important elements of the PPP scheme is how to overcome the vulnerabilities of the BOT scheme. The reason for taking this approach is author’s belief that the PPP was essentially devised to revitalize the BOT scheme by covering its vulnerabilities with government supports.</w:t>
      </w:r>
    </w:p>
    <w:p w14:paraId="2891814F" w14:textId="77777777" w:rsidR="00054BF0" w:rsidRDefault="00000000">
      <w:pPr>
        <w:spacing w:before="240" w:line="260" w:lineRule="atLeast"/>
      </w:pPr>
      <w:r>
        <w:rPr>
          <w:rFonts w:ascii="Arial" w:eastAsia="Arial" w:hAnsi="Arial" w:cs="Arial"/>
          <w:b/>
          <w:color w:val="000000"/>
          <w:sz w:val="20"/>
        </w:rPr>
        <w:t>Selection of Countries for Comparison</w:t>
      </w:r>
    </w:p>
    <w:p w14:paraId="711A87FE" w14:textId="77777777" w:rsidR="00054BF0" w:rsidRDefault="00000000">
      <w:pPr>
        <w:spacing w:before="200" w:line="260" w:lineRule="atLeast"/>
        <w:jc w:val="both"/>
      </w:pPr>
      <w:r>
        <w:rPr>
          <w:rFonts w:ascii="Arial" w:eastAsia="Arial" w:hAnsi="Arial" w:cs="Arial"/>
          <w:color w:val="000000"/>
          <w:sz w:val="20"/>
        </w:rPr>
        <w:t xml:space="preserve">For conducting cross-country comparison of the PPP systems, three countries, Chile, Korea, and India, have been selected since these three countries register higher amount of PPP investments </w:t>
      </w:r>
      <w:r>
        <w:rPr>
          <w:rFonts w:ascii="Arial" w:eastAsia="Arial" w:hAnsi="Arial" w:cs="Arial"/>
          <w:i/>
          <w:color w:val="000000"/>
          <w:sz w:val="20"/>
        </w:rPr>
        <w:t>per GDP</w:t>
      </w:r>
      <w:r>
        <w:rPr>
          <w:rFonts w:ascii="Arial" w:eastAsia="Arial" w:hAnsi="Arial" w:cs="Arial"/>
          <w:color w:val="000000"/>
          <w:sz w:val="20"/>
        </w:rPr>
        <w:t xml:space="preserve"> (Figure 2). In addition, these three countries are well known for their excellent track-records of implementation of the PPP programs, together with policy frameworks.</w:t>
      </w:r>
    </w:p>
    <w:p w14:paraId="21E00260" w14:textId="77777777" w:rsidR="00054BF0" w:rsidRDefault="00000000">
      <w:pPr>
        <w:spacing w:before="240" w:line="260" w:lineRule="atLeast"/>
      </w:pPr>
      <w:r>
        <w:rPr>
          <w:rFonts w:ascii="Arial" w:eastAsia="Arial" w:hAnsi="Arial" w:cs="Arial"/>
          <w:b/>
          <w:color w:val="000000"/>
          <w:sz w:val="20"/>
        </w:rPr>
        <w:lastRenderedPageBreak/>
        <w:t>Figure 2.</w:t>
      </w:r>
    </w:p>
    <w:p w14:paraId="29C7F451" w14:textId="77777777" w:rsidR="00054BF0" w:rsidRDefault="00000000">
      <w:pPr>
        <w:spacing w:before="200" w:line="260" w:lineRule="atLeast"/>
        <w:jc w:val="both"/>
      </w:pPr>
      <w:r>
        <w:rPr>
          <w:rFonts w:ascii="Arial" w:eastAsia="Arial" w:hAnsi="Arial" w:cs="Arial"/>
          <w:color w:val="000000"/>
          <w:sz w:val="20"/>
        </w:rPr>
        <w:t>For PPP investments per GDP of several countries.</w:t>
      </w:r>
    </w:p>
    <w:p w14:paraId="76F4A04A"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Compiled by S. Tsukada based on PSI Database of the World Bank.</w:t>
      </w:r>
    </w:p>
    <w:p w14:paraId="21B6210F"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631EFEC2" w14:textId="77777777" w:rsidR="00054BF0" w:rsidRDefault="00000000">
      <w:pPr>
        <w:spacing w:before="240" w:line="260" w:lineRule="atLeast"/>
      </w:pPr>
      <w:r>
        <w:rPr>
          <w:rFonts w:ascii="Arial" w:eastAsia="Arial" w:hAnsi="Arial" w:cs="Arial"/>
          <w:b/>
          <w:color w:val="000000"/>
          <w:sz w:val="20"/>
        </w:rPr>
        <w:t>Chilean PPP System</w:t>
      </w:r>
    </w:p>
    <w:p w14:paraId="37204F2A" w14:textId="77777777" w:rsidR="00054BF0" w:rsidRDefault="00000000">
      <w:pPr>
        <w:spacing w:before="240" w:line="260" w:lineRule="atLeast"/>
      </w:pPr>
      <w:r>
        <w:rPr>
          <w:rFonts w:ascii="Arial" w:eastAsia="Arial" w:hAnsi="Arial" w:cs="Arial"/>
          <w:b/>
          <w:color w:val="000000"/>
          <w:sz w:val="20"/>
        </w:rPr>
        <w:t>Overview</w:t>
      </w:r>
    </w:p>
    <w:p w14:paraId="6D89CD4E" w14:textId="77777777" w:rsidR="00054BF0" w:rsidRDefault="00000000">
      <w:pPr>
        <w:spacing w:before="200" w:line="260" w:lineRule="atLeast"/>
        <w:jc w:val="both"/>
      </w:pPr>
      <w:r>
        <w:rPr>
          <w:rFonts w:ascii="Arial" w:eastAsia="Arial" w:hAnsi="Arial" w:cs="Arial"/>
          <w:color w:val="000000"/>
          <w:sz w:val="20"/>
        </w:rPr>
        <w:t xml:space="preserve">Chile is the first developing country that has successfully implemented PPP programs (Although Mexico had </w:t>
      </w:r>
      <w:r>
        <w:rPr>
          <w:rFonts w:ascii="Arial" w:eastAsia="Arial" w:hAnsi="Arial" w:cs="Arial"/>
          <w:b/>
          <w:i/>
          <w:color w:val="000000"/>
          <w:sz w:val="20"/>
          <w:u w:val="single"/>
        </w:rPr>
        <w:t>started</w:t>
      </w:r>
      <w:r>
        <w:rPr>
          <w:rFonts w:ascii="Arial" w:eastAsia="Arial" w:hAnsi="Arial" w:cs="Arial"/>
          <w:color w:val="000000"/>
          <w:sz w:val="20"/>
        </w:rPr>
        <w:t xml:space="preserve"> earlier, it had ended </w:t>
      </w:r>
      <w:r>
        <w:rPr>
          <w:rFonts w:ascii="Arial" w:eastAsia="Arial" w:hAnsi="Arial" w:cs="Arial"/>
          <w:b/>
          <w:i/>
          <w:color w:val="000000"/>
          <w:sz w:val="20"/>
          <w:u w:val="single"/>
        </w:rPr>
        <w:t>up</w:t>
      </w:r>
      <w:r>
        <w:rPr>
          <w:rFonts w:ascii="Arial" w:eastAsia="Arial" w:hAnsi="Arial" w:cs="Arial"/>
          <w:color w:val="000000"/>
          <w:sz w:val="20"/>
        </w:rPr>
        <w:t xml:space="preserve"> with a major </w:t>
      </w:r>
      <w:r>
        <w:rPr>
          <w:rFonts w:ascii="Arial" w:eastAsia="Arial" w:hAnsi="Arial" w:cs="Arial"/>
          <w:b/>
          <w:i/>
          <w:color w:val="000000"/>
          <w:sz w:val="20"/>
          <w:u w:val="single"/>
        </w:rPr>
        <w:t>failure</w:t>
      </w:r>
      <w:r>
        <w:rPr>
          <w:rFonts w:ascii="Arial" w:eastAsia="Arial" w:hAnsi="Arial" w:cs="Arial"/>
          <w:color w:val="000000"/>
          <w:sz w:val="20"/>
        </w:rPr>
        <w:t xml:space="preserve"> with massive bailout extended to developers and financiers). Faced with huge investment needs for the development of highway networks, the Government of Chile (GoC) decided to get the private sector to participate in both development and operations. For this reason, Special Decree of No. 164 (called “Concession Law”) was enacted in 1991, which was supplemented by Special Decree of No. 900 in 1996 and later by Special Decree of No. 956 in 1997 (Lorenzen &amp; Barrientos, 2001). Having the legal framework been in place, GoC launched a major highway program on a PPP basis. It is a 2,000 km intercity concession program, which </w:t>
      </w:r>
      <w:r>
        <w:rPr>
          <w:rFonts w:ascii="Arial" w:eastAsia="Arial" w:hAnsi="Arial" w:cs="Arial"/>
          <w:b/>
          <w:i/>
          <w:color w:val="000000"/>
          <w:sz w:val="20"/>
          <w:u w:val="single"/>
        </w:rPr>
        <w:t>started</w:t>
      </w:r>
      <w:r>
        <w:rPr>
          <w:rFonts w:ascii="Arial" w:eastAsia="Arial" w:hAnsi="Arial" w:cs="Arial"/>
          <w:color w:val="000000"/>
          <w:sz w:val="20"/>
        </w:rPr>
        <w:t xml:space="preserve"> in 1994 with award of 12 contracts by 1998. The estimated amount of investment was US$3.3 billion.</w:t>
      </w:r>
    </w:p>
    <w:p w14:paraId="5A961B60" w14:textId="77777777" w:rsidR="00054BF0" w:rsidRDefault="00000000">
      <w:pPr>
        <w:spacing w:before="200" w:line="260" w:lineRule="atLeast"/>
        <w:jc w:val="both"/>
      </w:pPr>
      <w:r>
        <w:rPr>
          <w:rFonts w:ascii="Arial" w:eastAsia="Arial" w:hAnsi="Arial" w:cs="Arial"/>
          <w:color w:val="000000"/>
          <w:sz w:val="20"/>
        </w:rPr>
        <w:t>A central feature of Chilean PPP is the active participation of foreign contractors. Attracted by the policy framework, together with procedural transparency with regard to bidding and bid evaluation, a number of foreign contractors from Spain and Mexico actively participated in the biddings. Among 12 winning bidders who had participated in the above 2,000 km intercity highway program, 11 were either foreign contractors or joint ventures.</w:t>
      </w:r>
    </w:p>
    <w:p w14:paraId="4BA51D66" w14:textId="77777777" w:rsidR="00054BF0" w:rsidRDefault="00000000">
      <w:pPr>
        <w:spacing w:before="240" w:line="260" w:lineRule="atLeast"/>
      </w:pPr>
      <w:r>
        <w:rPr>
          <w:rFonts w:ascii="Arial" w:eastAsia="Arial" w:hAnsi="Arial" w:cs="Arial"/>
          <w:b/>
          <w:color w:val="000000"/>
          <w:sz w:val="20"/>
        </w:rPr>
        <w:t>Ways to deal with these vulnerabilities under the Chilean PPP system</w:t>
      </w:r>
    </w:p>
    <w:p w14:paraId="18659EA2" w14:textId="77777777" w:rsidR="00054BF0" w:rsidRDefault="00000000">
      <w:pPr>
        <w:spacing w:before="200" w:line="260" w:lineRule="atLeast"/>
        <w:jc w:val="both"/>
      </w:pPr>
      <w:r>
        <w:rPr>
          <w:rFonts w:ascii="Arial" w:eastAsia="Arial" w:hAnsi="Arial" w:cs="Arial"/>
          <w:color w:val="000000"/>
          <w:sz w:val="20"/>
        </w:rPr>
        <w:t>This section would describe how those vulnerabilities identified earlier have been handled under the PPP system of the GoC.</w:t>
      </w:r>
    </w:p>
    <w:p w14:paraId="0D8378C2" w14:textId="77777777" w:rsidR="00054BF0" w:rsidRDefault="00000000">
      <w:pPr>
        <w:spacing w:before="240" w:line="260" w:lineRule="atLeast"/>
      </w:pPr>
      <w:r>
        <w:rPr>
          <w:rFonts w:ascii="Arial" w:eastAsia="Arial" w:hAnsi="Arial" w:cs="Arial"/>
          <w:b/>
          <w:color w:val="000000"/>
          <w:sz w:val="20"/>
        </w:rPr>
        <w:t>Uncertainty in demand</w:t>
      </w:r>
    </w:p>
    <w:p w14:paraId="07BC5E08" w14:textId="77777777" w:rsidR="00054BF0" w:rsidRDefault="00000000">
      <w:pPr>
        <w:spacing w:before="200" w:line="260" w:lineRule="atLeast"/>
        <w:jc w:val="both"/>
      </w:pPr>
      <w:r>
        <w:rPr>
          <w:rFonts w:ascii="Arial" w:eastAsia="Arial" w:hAnsi="Arial" w:cs="Arial"/>
          <w:color w:val="000000"/>
          <w:sz w:val="20"/>
        </w:rPr>
        <w:t>To deal with demand uncertainty, GoC has introduced minimum income guarantee (MIC). MIC was that, if the actual income to be raised from the project has failed to reach the originally projected target of income, the Government would pay the difference between the projected and actual income. It should be, however, noted that the Government would not pay the entire difference between the projected income and the actual income, but only pay the difference of 70% of the projected income and the actual income. This means that the Chilean MIC is primarily intended to provide lenders with assurance for the payment of debt services as the loans usually cover 70% of the project cost similar amount.</w:t>
      </w:r>
    </w:p>
    <w:p w14:paraId="60700B2E" w14:textId="77777777" w:rsidR="00054BF0" w:rsidRDefault="00000000">
      <w:pPr>
        <w:spacing w:before="200" w:line="260" w:lineRule="atLeast"/>
        <w:jc w:val="both"/>
      </w:pPr>
      <w:r>
        <w:rPr>
          <w:rFonts w:ascii="Arial" w:eastAsia="Arial" w:hAnsi="Arial" w:cs="Arial"/>
          <w:color w:val="000000"/>
          <w:sz w:val="20"/>
        </w:rPr>
        <w:t>Another mitigation measure the GoC has taken was least present value of the revenue (LPVR). The LPVR is that the concession would end when the project has generated the expected present value of the accumulated revenue discounted by the predetermined discount rate. Under the LPVR, when the traffic is lower than projected, the period of concession would be extended longer than the originally agreed. This would enable the project company to recover the cost of the project.</w:t>
      </w:r>
    </w:p>
    <w:p w14:paraId="4569DF58" w14:textId="77777777" w:rsidR="00054BF0" w:rsidRDefault="00000000">
      <w:pPr>
        <w:spacing w:before="240" w:line="260" w:lineRule="atLeast"/>
      </w:pPr>
      <w:r>
        <w:rPr>
          <w:rFonts w:ascii="Arial" w:eastAsia="Arial" w:hAnsi="Arial" w:cs="Arial"/>
          <w:b/>
          <w:color w:val="000000"/>
          <w:sz w:val="20"/>
        </w:rPr>
        <w:t>Difficulty in cost recovery</w:t>
      </w:r>
    </w:p>
    <w:p w14:paraId="09AA0192" w14:textId="77777777" w:rsidR="00054BF0" w:rsidRDefault="00000000">
      <w:pPr>
        <w:spacing w:before="200" w:line="260" w:lineRule="atLeast"/>
        <w:jc w:val="both"/>
      </w:pPr>
      <w:r>
        <w:rPr>
          <w:rFonts w:ascii="Arial" w:eastAsia="Arial" w:hAnsi="Arial" w:cs="Arial"/>
          <w:color w:val="000000"/>
          <w:sz w:val="20"/>
        </w:rPr>
        <w:t xml:space="preserve">The possible restriction by the government on price setting is one of the major concerns for the private sector, particularly in those countries with high inflation. The GoC has come </w:t>
      </w:r>
      <w:r>
        <w:rPr>
          <w:rFonts w:ascii="Arial" w:eastAsia="Arial" w:hAnsi="Arial" w:cs="Arial"/>
          <w:b/>
          <w:i/>
          <w:color w:val="000000"/>
          <w:sz w:val="20"/>
          <w:u w:val="single"/>
        </w:rPr>
        <w:t>up</w:t>
      </w:r>
      <w:r>
        <w:rPr>
          <w:rFonts w:ascii="Arial" w:eastAsia="Arial" w:hAnsi="Arial" w:cs="Arial"/>
          <w:color w:val="000000"/>
          <w:sz w:val="20"/>
        </w:rPr>
        <w:t xml:space="preserve"> with such an indexation system which would allow the project company to increase user charges in proportion to the speed of inflation (measured by Consumer Price Index [CPI]).</w:t>
      </w:r>
    </w:p>
    <w:p w14:paraId="5A0B0645" w14:textId="77777777" w:rsidR="00054BF0" w:rsidRDefault="00000000">
      <w:pPr>
        <w:spacing w:before="240" w:line="260" w:lineRule="atLeast"/>
      </w:pPr>
      <w:r>
        <w:rPr>
          <w:rFonts w:ascii="Arial" w:eastAsia="Arial" w:hAnsi="Arial" w:cs="Arial"/>
          <w:b/>
          <w:color w:val="000000"/>
          <w:sz w:val="20"/>
        </w:rPr>
        <w:lastRenderedPageBreak/>
        <w:t>Difficulty in securing long-term loans</w:t>
      </w:r>
    </w:p>
    <w:p w14:paraId="73FC62CD" w14:textId="77777777" w:rsidR="00054BF0" w:rsidRDefault="00000000">
      <w:pPr>
        <w:spacing w:before="200" w:line="260" w:lineRule="atLeast"/>
        <w:jc w:val="both"/>
      </w:pPr>
      <w:r>
        <w:rPr>
          <w:rFonts w:ascii="Arial" w:eastAsia="Arial" w:hAnsi="Arial" w:cs="Arial"/>
          <w:color w:val="000000"/>
          <w:sz w:val="20"/>
        </w:rPr>
        <w:t xml:space="preserve">As seen above, one of the feature of Chilean PPP is the dominance of foreign contractors. For those contractors, a major stumbling block is the currency mismatch. Although the road project would earn its revenue from local currency, foreign project companies often mobilize funds from foreign financiers or through Euro-currency markets. Cognizant of the importance of mitigating the adverse impact of FX fluctuation, the GoC has come </w:t>
      </w:r>
      <w:r>
        <w:rPr>
          <w:rFonts w:ascii="Arial" w:eastAsia="Arial" w:hAnsi="Arial" w:cs="Arial"/>
          <w:b/>
          <w:i/>
          <w:color w:val="000000"/>
          <w:sz w:val="20"/>
          <w:u w:val="single"/>
        </w:rPr>
        <w:t>up</w:t>
      </w:r>
      <w:r>
        <w:rPr>
          <w:rFonts w:ascii="Arial" w:eastAsia="Arial" w:hAnsi="Arial" w:cs="Arial"/>
          <w:color w:val="000000"/>
          <w:sz w:val="20"/>
        </w:rPr>
        <w:t xml:space="preserve"> with an exchange-risk guarantee system. If local currency has been depreciated more than 10%, the government would cover the difference.</w:t>
      </w:r>
    </w:p>
    <w:p w14:paraId="3467353B" w14:textId="77777777" w:rsidR="00054BF0" w:rsidRDefault="00000000">
      <w:pPr>
        <w:spacing w:before="200" w:line="260" w:lineRule="atLeast"/>
        <w:jc w:val="both"/>
      </w:pPr>
      <w:r>
        <w:rPr>
          <w:rFonts w:ascii="Arial" w:eastAsia="Arial" w:hAnsi="Arial" w:cs="Arial"/>
          <w:color w:val="000000"/>
          <w:sz w:val="20"/>
        </w:rPr>
        <w:t xml:space="preserve">Another different financing system was </w:t>
      </w:r>
      <w:r>
        <w:rPr>
          <w:rFonts w:ascii="Arial" w:eastAsia="Arial" w:hAnsi="Arial" w:cs="Arial"/>
          <w:i/>
          <w:color w:val="000000"/>
          <w:sz w:val="20"/>
        </w:rPr>
        <w:t>mono-line service</w:t>
      </w:r>
      <w:r>
        <w:rPr>
          <w:rFonts w:ascii="Arial" w:eastAsia="Arial" w:hAnsi="Arial" w:cs="Arial"/>
          <w:color w:val="000000"/>
          <w:sz w:val="20"/>
        </w:rPr>
        <w:t xml:space="preserve">. Although this is not direct support by the government, its system has facilitated the project company to mobilize the fund from the capital market. Its basic mechanism is that internationally reputed financial insurance companies such as MBIA or XL Capital would provide subscribers of project bonds with unconditional and irrevocable guarantees for the payment of interests and principle in the case of default of bonds. As these financial insurance companies are often rated AAA, project bonds themselves would also be rated similarly. An underlying factor for the use of this system is the Government policy on banking sector. In Chile, banks were not allowed to lend more than 15% of the total cost of green field projects. Instead of relaxing banking regulation, the GoC has chosen to allow project developers to raise funds from capital markets through issuance of </w:t>
      </w:r>
      <w:r>
        <w:rPr>
          <w:rFonts w:ascii="Arial" w:eastAsia="Arial" w:hAnsi="Arial" w:cs="Arial"/>
          <w:i/>
          <w:color w:val="000000"/>
          <w:sz w:val="20"/>
        </w:rPr>
        <w:t>infrastructure bonds</w:t>
      </w:r>
      <w:r>
        <w:rPr>
          <w:rFonts w:ascii="Arial" w:eastAsia="Arial" w:hAnsi="Arial" w:cs="Arial"/>
          <w:color w:val="000000"/>
          <w:sz w:val="20"/>
        </w:rPr>
        <w:t>. Since then, infrastructure bonds have become a popular method for raising funds from capital markets. In the case of the abovementioned 2,000 km intercity road program, seven out of 12 projects secured funds through issuance of bonds wrapped by “mono-line services.”</w:t>
      </w:r>
    </w:p>
    <w:p w14:paraId="7671DB7E" w14:textId="77777777" w:rsidR="00054BF0" w:rsidRDefault="00000000">
      <w:pPr>
        <w:spacing w:before="240" w:line="260" w:lineRule="atLeast"/>
      </w:pPr>
      <w:r>
        <w:rPr>
          <w:rFonts w:ascii="Arial" w:eastAsia="Arial" w:hAnsi="Arial" w:cs="Arial"/>
          <w:b/>
          <w:color w:val="000000"/>
          <w:sz w:val="20"/>
        </w:rPr>
        <w:t>Korean PPP System</w:t>
      </w:r>
    </w:p>
    <w:p w14:paraId="08FE606C" w14:textId="77777777" w:rsidR="00054BF0" w:rsidRDefault="00000000">
      <w:pPr>
        <w:spacing w:before="240" w:line="260" w:lineRule="atLeast"/>
      </w:pPr>
      <w:r>
        <w:rPr>
          <w:rFonts w:ascii="Arial" w:eastAsia="Arial" w:hAnsi="Arial" w:cs="Arial"/>
          <w:b/>
          <w:color w:val="000000"/>
          <w:sz w:val="20"/>
        </w:rPr>
        <w:t>Overview</w:t>
      </w:r>
    </w:p>
    <w:p w14:paraId="21C5B53A" w14:textId="77777777" w:rsidR="00054BF0" w:rsidRDefault="00000000">
      <w:pPr>
        <w:spacing w:before="200" w:line="260" w:lineRule="atLeast"/>
        <w:jc w:val="both"/>
      </w:pPr>
      <w:r>
        <w:rPr>
          <w:rFonts w:ascii="Arial" w:eastAsia="Arial" w:hAnsi="Arial" w:cs="Arial"/>
          <w:color w:val="000000"/>
          <w:sz w:val="20"/>
        </w:rPr>
        <w:t xml:space="preserve">Although Korea has </w:t>
      </w:r>
      <w:r>
        <w:rPr>
          <w:rFonts w:ascii="Arial" w:eastAsia="Arial" w:hAnsi="Arial" w:cs="Arial"/>
          <w:b/>
          <w:i/>
          <w:color w:val="000000"/>
          <w:sz w:val="20"/>
          <w:u w:val="single"/>
        </w:rPr>
        <w:t>started</w:t>
      </w:r>
      <w:r>
        <w:rPr>
          <w:rFonts w:ascii="Arial" w:eastAsia="Arial" w:hAnsi="Arial" w:cs="Arial"/>
          <w:color w:val="000000"/>
          <w:sz w:val="20"/>
        </w:rPr>
        <w:t xml:space="preserve"> its PPP scheme later than Chile, its scale of investment has surpassed that of Chile and other developing countries by a large margin. The legal framework of Korean PPP system has evolved over years through the enactment of a series of legislations, </w:t>
      </w:r>
      <w:r>
        <w:rPr>
          <w:rFonts w:ascii="Arial" w:eastAsia="Arial" w:hAnsi="Arial" w:cs="Arial"/>
          <w:b/>
          <w:i/>
          <w:color w:val="000000"/>
          <w:sz w:val="20"/>
          <w:u w:val="single"/>
        </w:rPr>
        <w:t>starting</w:t>
      </w:r>
      <w:r>
        <w:rPr>
          <w:rFonts w:ascii="Arial" w:eastAsia="Arial" w:hAnsi="Arial" w:cs="Arial"/>
          <w:color w:val="000000"/>
          <w:sz w:val="20"/>
        </w:rPr>
        <w:t xml:space="preserve"> from the “1994 Act for Private Capital Inducement Promotion” through the “1998 Act for Private Participation in Infrastructure” to the “2005 Act for Public Private Partnership in Infrastructure (often referred to as PPP Act).” According to Korean Development Institute (KDI; 2014), the PPP investment peaked in 2007 both in terms of the amount of investments and the number of projects.</w:t>
      </w:r>
    </w:p>
    <w:p w14:paraId="38C62912" w14:textId="77777777" w:rsidR="00054BF0" w:rsidRDefault="00000000">
      <w:pPr>
        <w:spacing w:before="200" w:line="260" w:lineRule="atLeast"/>
        <w:jc w:val="both"/>
      </w:pPr>
      <w:r>
        <w:rPr>
          <w:rFonts w:ascii="Arial" w:eastAsia="Arial" w:hAnsi="Arial" w:cs="Arial"/>
          <w:color w:val="000000"/>
          <w:sz w:val="20"/>
        </w:rPr>
        <w:t>Having established a legal framework, PPP has now become a mainstream method of infrastructure development in Korea, covering 17% of the total investment for nation’s infrastructure. Transition from the conventional public procurement to the PPP-based procurement has been underpinned by the strong institutional support provided by Private Infrastructure Investment Management Center (PIMAC). PIMAC, which was established in 1998, has played an instrumental role in popularizing the PPP scheme in Korea. Its main functions include (a) conducting researches associated with PPP, together with provision of advice on structuring PPP; (b) assessment/appraisal of the government-sponsored PPP projects; and (c) provision of assistance to government agencies in negotiation with the private sector PPP developers.</w:t>
      </w:r>
    </w:p>
    <w:p w14:paraId="25225774" w14:textId="77777777" w:rsidR="00054BF0" w:rsidRDefault="00000000">
      <w:pPr>
        <w:spacing w:before="200" w:line="260" w:lineRule="atLeast"/>
        <w:jc w:val="both"/>
      </w:pPr>
      <w:r>
        <w:rPr>
          <w:rFonts w:ascii="Arial" w:eastAsia="Arial" w:hAnsi="Arial" w:cs="Arial"/>
          <w:color w:val="000000"/>
          <w:sz w:val="20"/>
        </w:rPr>
        <w:t>Another feature of Korean PPP is the active participation of business conglomerates (Chaebols). Because of their involvement, the sizes of the PPP projects have been made much greater. The average size of contract packages of PPP projects in Korea is $450 million, which is much greater than those of Chile (which is $262 million) and India (which is $156 million). Participation of Chaebols has enabled the Government of Korea (GoK) to implement infrastructure programs in an expeditious manner, but it has disadvantage as well. The negotiation has been made much longer and more complicated, which is due to the tag of war between equally powerful two negotiating parties.</w:t>
      </w:r>
    </w:p>
    <w:p w14:paraId="3181D4A8" w14:textId="77777777" w:rsidR="00054BF0" w:rsidRDefault="00000000">
      <w:pPr>
        <w:spacing w:before="240" w:line="260" w:lineRule="atLeast"/>
      </w:pPr>
      <w:r>
        <w:rPr>
          <w:rFonts w:ascii="Arial" w:eastAsia="Arial" w:hAnsi="Arial" w:cs="Arial"/>
          <w:b/>
          <w:color w:val="000000"/>
          <w:sz w:val="20"/>
        </w:rPr>
        <w:t>Ways to deal with these vulnerabilities under the Korean PPP system</w:t>
      </w:r>
    </w:p>
    <w:p w14:paraId="5CC810DD" w14:textId="77777777" w:rsidR="00054BF0" w:rsidRDefault="00000000">
      <w:pPr>
        <w:spacing w:before="200" w:line="260" w:lineRule="atLeast"/>
        <w:jc w:val="both"/>
      </w:pPr>
      <w:r>
        <w:rPr>
          <w:rFonts w:ascii="Arial" w:eastAsia="Arial" w:hAnsi="Arial" w:cs="Arial"/>
          <w:color w:val="000000"/>
          <w:sz w:val="20"/>
        </w:rPr>
        <w:t>This section would describe how those vulnerabilities identified earlier have been handled under the PPP system of the GoK.</w:t>
      </w:r>
    </w:p>
    <w:p w14:paraId="023BD457" w14:textId="77777777" w:rsidR="00054BF0" w:rsidRDefault="00000000">
      <w:pPr>
        <w:spacing w:before="240" w:line="260" w:lineRule="atLeast"/>
      </w:pPr>
      <w:r>
        <w:rPr>
          <w:rFonts w:ascii="Arial" w:eastAsia="Arial" w:hAnsi="Arial" w:cs="Arial"/>
          <w:b/>
          <w:color w:val="000000"/>
          <w:sz w:val="20"/>
        </w:rPr>
        <w:lastRenderedPageBreak/>
        <w:t>Uncertainty in demand</w:t>
      </w:r>
    </w:p>
    <w:p w14:paraId="4C4DD037" w14:textId="77777777" w:rsidR="00054BF0" w:rsidRDefault="00000000">
      <w:pPr>
        <w:spacing w:before="200" w:line="260" w:lineRule="atLeast"/>
        <w:jc w:val="both"/>
      </w:pPr>
      <w:r>
        <w:rPr>
          <w:rFonts w:ascii="Arial" w:eastAsia="Arial" w:hAnsi="Arial" w:cs="Arial"/>
          <w:color w:val="000000"/>
          <w:sz w:val="20"/>
        </w:rPr>
        <w:t>To deal with demand uncertainty, Korea employed minimum revenue guarantee (MRG), a system similar to MIC in Chile, for the period of 1998 to 2009, but this was replaced by Investment Risk Sharing System (IRSS) because of the abuse of MRG by the private sector investors. Project proponents tend to overstate the forecasted level of demand so as to receive a greater amount of compensation at a later stage (KDI, 2014). The IRSS system was devised in 2009 based on this experience. Under the IRSS, the upper limit of compensation per year is set in advance at a level that would have been incurred if the project is implemented by the public sector. An important element of this approach is that this upper limit is determined by the procuring authority, but not by the bidder or by the private sector. Thus, there is no possibility for the private sector to maneuver or overstate the prospective level of demands. Since then, IRSS has become a main instrument for dealing with demand uncertainty in Korea.</w:t>
      </w:r>
    </w:p>
    <w:p w14:paraId="6039BA2D" w14:textId="77777777" w:rsidR="00054BF0" w:rsidRDefault="00000000">
      <w:pPr>
        <w:spacing w:before="240" w:line="260" w:lineRule="atLeast"/>
      </w:pPr>
      <w:r>
        <w:rPr>
          <w:rFonts w:ascii="Arial" w:eastAsia="Arial" w:hAnsi="Arial" w:cs="Arial"/>
          <w:b/>
          <w:color w:val="000000"/>
          <w:sz w:val="20"/>
        </w:rPr>
        <w:t>Difficulty in cost recovery</w:t>
      </w:r>
    </w:p>
    <w:p w14:paraId="21A84C48" w14:textId="77777777" w:rsidR="00054BF0" w:rsidRDefault="00000000">
      <w:pPr>
        <w:spacing w:before="200" w:line="260" w:lineRule="atLeast"/>
        <w:jc w:val="both"/>
      </w:pPr>
      <w:r>
        <w:rPr>
          <w:rFonts w:ascii="Arial" w:eastAsia="Arial" w:hAnsi="Arial" w:cs="Arial"/>
          <w:color w:val="000000"/>
          <w:sz w:val="20"/>
        </w:rPr>
        <w:t xml:space="preserve">To deal with price escalation, the GoK has instituted full indexation. Under the full indexation, if the costs are increased due to the inflation, the user charges or tolls are permitted to be increased at the same rate as that of inflation. This provides investors with comfort for committing their funds to the projects. Additional measure that the GoK has taken was to allow the project company to undertake </w:t>
      </w:r>
      <w:r>
        <w:rPr>
          <w:rFonts w:ascii="Arial" w:eastAsia="Arial" w:hAnsi="Arial" w:cs="Arial"/>
          <w:i/>
          <w:color w:val="000000"/>
          <w:sz w:val="20"/>
        </w:rPr>
        <w:t>side-business</w:t>
      </w:r>
      <w:r>
        <w:rPr>
          <w:rFonts w:ascii="Arial" w:eastAsia="Arial" w:hAnsi="Arial" w:cs="Arial"/>
          <w:color w:val="000000"/>
          <w:sz w:val="20"/>
        </w:rPr>
        <w:t xml:space="preserve"> as a part of the project. This has enabled the project company to supplement their revenue by real estate revenue. Korean standard concession agreements have incorporated this measure.</w:t>
      </w:r>
    </w:p>
    <w:p w14:paraId="50832A44" w14:textId="77777777" w:rsidR="00054BF0" w:rsidRDefault="00000000">
      <w:pPr>
        <w:spacing w:before="240" w:line="260" w:lineRule="atLeast"/>
      </w:pPr>
      <w:r>
        <w:rPr>
          <w:rFonts w:ascii="Arial" w:eastAsia="Arial" w:hAnsi="Arial" w:cs="Arial"/>
          <w:b/>
          <w:color w:val="000000"/>
          <w:sz w:val="20"/>
        </w:rPr>
        <w:t>Difficulty in securing the long-term loans</w:t>
      </w:r>
    </w:p>
    <w:p w14:paraId="52F950D0" w14:textId="77777777" w:rsidR="00054BF0" w:rsidRDefault="00000000">
      <w:pPr>
        <w:spacing w:before="200" w:line="260" w:lineRule="atLeast"/>
        <w:jc w:val="both"/>
      </w:pPr>
      <w:r>
        <w:rPr>
          <w:rFonts w:ascii="Arial" w:eastAsia="Arial" w:hAnsi="Arial" w:cs="Arial"/>
          <w:color w:val="000000"/>
          <w:sz w:val="20"/>
        </w:rPr>
        <w:t>To facilitate finance for PPP projects, the GoK has provided loan guarantees to financiers. Guarantees have been provided under a self-managed fund, called Infrastructure Credit Guarantee Fund. Although this fund is state-run, subscribers of guarantee have to pay premium or fee to the fund.</w:t>
      </w:r>
    </w:p>
    <w:p w14:paraId="419E1ACC" w14:textId="77777777" w:rsidR="00054BF0" w:rsidRDefault="00000000">
      <w:pPr>
        <w:spacing w:before="240" w:line="260" w:lineRule="atLeast"/>
      </w:pPr>
      <w:r>
        <w:rPr>
          <w:rFonts w:ascii="Arial" w:eastAsia="Arial" w:hAnsi="Arial" w:cs="Arial"/>
          <w:b/>
          <w:color w:val="000000"/>
          <w:sz w:val="20"/>
        </w:rPr>
        <w:t>Indian PPP System</w:t>
      </w:r>
    </w:p>
    <w:p w14:paraId="6976D8C7" w14:textId="77777777" w:rsidR="00054BF0" w:rsidRDefault="00000000">
      <w:pPr>
        <w:spacing w:before="240" w:line="260" w:lineRule="atLeast"/>
      </w:pPr>
      <w:r>
        <w:rPr>
          <w:rFonts w:ascii="Arial" w:eastAsia="Arial" w:hAnsi="Arial" w:cs="Arial"/>
          <w:b/>
          <w:color w:val="000000"/>
          <w:sz w:val="20"/>
        </w:rPr>
        <w:t>Overview</w:t>
      </w:r>
    </w:p>
    <w:p w14:paraId="0F672DE0" w14:textId="77777777" w:rsidR="00054BF0" w:rsidRDefault="00000000">
      <w:pPr>
        <w:spacing w:before="200" w:line="260" w:lineRule="atLeast"/>
        <w:jc w:val="both"/>
      </w:pPr>
      <w:r>
        <w:rPr>
          <w:rFonts w:ascii="Arial" w:eastAsia="Arial" w:hAnsi="Arial" w:cs="Arial"/>
          <w:color w:val="000000"/>
          <w:sz w:val="20"/>
        </w:rPr>
        <w:t>After several years of experiments on PPP projects in the road sector, the Government of India (GoI) decided in 2005 to introduce the PPP system as a principal modality of developing infrastructure. The decision was made by Committee of Infrastructure headed by the Prime Minister without formulation of relevant laws or acts. This is rather unique arrangement in the Indian decision-making system, in which the executive body of the government would play a major role. Many of the policy decisions have been made by bureaucrats called Indian Administrative Service (IAS) officers without seeking legislative endorsement or enactment by laws. The PPP system was also made in such as manner based on policy papers developed by IAS officers. Because of this feature, these officers were able to develop highly sophisticated and complicated policy scheme without considering possible political repercussions.</w:t>
      </w:r>
    </w:p>
    <w:p w14:paraId="0457AD37" w14:textId="77777777" w:rsidR="00054BF0" w:rsidRDefault="00000000">
      <w:pPr>
        <w:spacing w:before="200" w:line="260" w:lineRule="atLeast"/>
        <w:jc w:val="both"/>
      </w:pPr>
      <w:r>
        <w:rPr>
          <w:rFonts w:ascii="Arial" w:eastAsia="Arial" w:hAnsi="Arial" w:cs="Arial"/>
          <w:color w:val="000000"/>
          <w:sz w:val="20"/>
        </w:rPr>
        <w:t>Another unique element with the Indian PPP system is a strong banking sector. Unlike Chile and Korea, the Indian bond market has been underdeveloped, thus major providers of funds for infrastructure development has been the banking sector (51% of the necessary funds for infrastructure; Khan, 2012). Under such a circumstance, it would be more effective if the capacity of the banking sector is to be utilized to its fullest extent. “Take-out finance” reviewed earlier was exactly designed for this purpose.</w:t>
      </w:r>
    </w:p>
    <w:p w14:paraId="329CCB5B" w14:textId="77777777" w:rsidR="00054BF0" w:rsidRDefault="00000000">
      <w:pPr>
        <w:spacing w:before="200" w:line="260" w:lineRule="atLeast"/>
        <w:jc w:val="both"/>
      </w:pPr>
      <w:r>
        <w:rPr>
          <w:rFonts w:ascii="Arial" w:eastAsia="Arial" w:hAnsi="Arial" w:cs="Arial"/>
          <w:color w:val="000000"/>
          <w:sz w:val="20"/>
        </w:rPr>
        <w:t>Meanwhile, India’s PPP market is characterized by little participation of foreign contractors in the road sector. Although there is some foreign participation by foreign contractors, the extent of their participation is much less, compared with other countries. For the 10 years from 2003 to 2012, the number of projects with foreign contractor participation is 35, representing just 15% of the total national highway projects in India (226 projects), most of which are contractors from Malaysia, Russia, and China. This makes a keen contrast to Chile, where more than 90% of the projects have been implemented by foreign contractors.</w:t>
      </w:r>
    </w:p>
    <w:p w14:paraId="44323AA0" w14:textId="77777777" w:rsidR="00054BF0" w:rsidRDefault="00000000">
      <w:pPr>
        <w:spacing w:before="240" w:line="260" w:lineRule="atLeast"/>
      </w:pPr>
      <w:r>
        <w:rPr>
          <w:rFonts w:ascii="Arial" w:eastAsia="Arial" w:hAnsi="Arial" w:cs="Arial"/>
          <w:b/>
          <w:color w:val="000000"/>
          <w:sz w:val="20"/>
        </w:rPr>
        <w:t>Ways to deal with these vulnerabilities under the Indian PPP system</w:t>
      </w:r>
    </w:p>
    <w:p w14:paraId="55FFDA6D" w14:textId="77777777" w:rsidR="00054BF0" w:rsidRDefault="00000000">
      <w:pPr>
        <w:spacing w:before="200" w:line="260" w:lineRule="atLeast"/>
        <w:jc w:val="both"/>
      </w:pPr>
      <w:r>
        <w:rPr>
          <w:rFonts w:ascii="Arial" w:eastAsia="Arial" w:hAnsi="Arial" w:cs="Arial"/>
          <w:color w:val="000000"/>
          <w:sz w:val="20"/>
        </w:rPr>
        <w:lastRenderedPageBreak/>
        <w:t>This section would describe how those vulnerabilities identified earlier have been handled under the PPP system of the GoI.</w:t>
      </w:r>
    </w:p>
    <w:p w14:paraId="536B5A51" w14:textId="77777777" w:rsidR="00054BF0" w:rsidRDefault="00000000">
      <w:pPr>
        <w:spacing w:before="240" w:line="260" w:lineRule="atLeast"/>
      </w:pPr>
      <w:r>
        <w:rPr>
          <w:rFonts w:ascii="Arial" w:eastAsia="Arial" w:hAnsi="Arial" w:cs="Arial"/>
          <w:b/>
          <w:color w:val="000000"/>
          <w:sz w:val="20"/>
        </w:rPr>
        <w:t>Uncertainty in demand</w:t>
      </w:r>
    </w:p>
    <w:p w14:paraId="5874C3A5" w14:textId="77777777" w:rsidR="00054BF0" w:rsidRDefault="00000000">
      <w:pPr>
        <w:spacing w:before="200" w:line="260" w:lineRule="atLeast"/>
        <w:jc w:val="both"/>
      </w:pPr>
      <w:r>
        <w:rPr>
          <w:rFonts w:ascii="Arial" w:eastAsia="Arial" w:hAnsi="Arial" w:cs="Arial"/>
          <w:color w:val="000000"/>
          <w:sz w:val="20"/>
        </w:rPr>
        <w:t>To deal with demand uncertainty, the GoI has introduced a “flexible concession period system.” This has enabled the Government to compensate possible losses to be suffered by the private project companies without spending their own money. This scheme is that, if the actual demand has failed to reach the projected level of demand, the concessionaire would be able to get the concession period to be extended. Model Concession Agreement (MCA) of India stipulated that, when “Actual Average Traffic has fallen short of the Target Traffic by more than 2.5%, the concession period is extended at the pace of 1.5% for every 1% shortfall.” An important element of this arrangement is that it would not incur any pecuniary obligation for the government to pay in case of revenue shortfall.</w:t>
      </w:r>
    </w:p>
    <w:p w14:paraId="12827234" w14:textId="77777777" w:rsidR="00054BF0" w:rsidRDefault="00000000">
      <w:pPr>
        <w:spacing w:before="240" w:line="260" w:lineRule="atLeast"/>
      </w:pPr>
      <w:r>
        <w:rPr>
          <w:rFonts w:ascii="Arial" w:eastAsia="Arial" w:hAnsi="Arial" w:cs="Arial"/>
          <w:b/>
          <w:color w:val="000000"/>
          <w:sz w:val="20"/>
        </w:rPr>
        <w:t>Difficulty in cost recovery</w:t>
      </w:r>
    </w:p>
    <w:p w14:paraId="3163DF87" w14:textId="77777777" w:rsidR="00054BF0" w:rsidRDefault="00000000">
      <w:pPr>
        <w:spacing w:before="200" w:line="260" w:lineRule="atLeast"/>
        <w:jc w:val="both"/>
      </w:pPr>
      <w:r>
        <w:rPr>
          <w:rFonts w:ascii="Arial" w:eastAsia="Arial" w:hAnsi="Arial" w:cs="Arial"/>
          <w:color w:val="000000"/>
          <w:sz w:val="20"/>
        </w:rPr>
        <w:t>To deal with price escalation, India has introduced Indian version of indexation (partial indexation). Under this system, the extent of the price adjustment is confined to absorb the changes of variable costs, but not the changes of the entire costs. More specifically, it would allow only 40% of the inflation to be covered by the increase of tolls, or user charges. The rationale for this approach is that inflation only affects variable costs, but not capital expenditures or debt-service, both of which are sunk costs.</w:t>
      </w:r>
    </w:p>
    <w:p w14:paraId="5F82FF14" w14:textId="77777777" w:rsidR="00054BF0" w:rsidRDefault="00000000">
      <w:pPr>
        <w:spacing w:before="240" w:line="260" w:lineRule="atLeast"/>
      </w:pPr>
      <w:r>
        <w:rPr>
          <w:rFonts w:ascii="Arial" w:eastAsia="Arial" w:hAnsi="Arial" w:cs="Arial"/>
          <w:b/>
          <w:color w:val="000000"/>
          <w:sz w:val="20"/>
        </w:rPr>
        <w:t>Difficulty in securing the long-term loans</w:t>
      </w:r>
    </w:p>
    <w:p w14:paraId="3F809595" w14:textId="77777777" w:rsidR="00054BF0" w:rsidRDefault="00000000">
      <w:pPr>
        <w:spacing w:before="200" w:line="260" w:lineRule="atLeast"/>
        <w:jc w:val="both"/>
      </w:pPr>
      <w:r>
        <w:rPr>
          <w:rFonts w:ascii="Arial" w:eastAsia="Arial" w:hAnsi="Arial" w:cs="Arial"/>
          <w:color w:val="000000"/>
          <w:sz w:val="20"/>
        </w:rPr>
        <w:t>To deal with the difficulties in financing, India introduced the “take-out financing” system, which was primarily designed to resolve a potential asset/liability mismatch problem, one of the deterrents for the provision of long-term loan to the project companies. Although borrower needs to have money of long maturity, commercial banks would not be able to provide such a loan because of the higher risk associated with long-term loans. India Infrastructure Finance Company Incorporated (IIFCL) was established to fill this gap by taking out (refinance) near-the-end-of-tenure loans earlier provided by commercial banks. If commercial banks were able to combine their loans with the funds committed to be provided later by the IIFCL, commercial banks would be able to provide project companies with “virtual” longer term loans.</w:t>
      </w:r>
    </w:p>
    <w:p w14:paraId="42F73D83" w14:textId="77777777" w:rsidR="00054BF0" w:rsidRDefault="00000000">
      <w:pPr>
        <w:spacing w:before="200" w:line="260" w:lineRule="atLeast"/>
        <w:jc w:val="both"/>
      </w:pPr>
      <w:r>
        <w:rPr>
          <w:rFonts w:ascii="Arial" w:eastAsia="Arial" w:hAnsi="Arial" w:cs="Arial"/>
          <w:color w:val="000000"/>
          <w:sz w:val="20"/>
        </w:rPr>
        <w:t>A unique element of this arrangement is that the IIFCL will not conduct separate appraisal by themselves. IIFCL will simply “take out” earlier loans, trusting on the validity of the earlier appraisal by commercial banks. This arrangement would enable IIFCL to extend the huge amount of refinance with a very small number of staff (actually, the current number of IIFCL staff is less than 100). The provision of refinancing without appraisal by IIFCL’s own appraisal may appear precarious, but it makes sense when considered the lack of experience of the newly recruited IIFCL staff or former government officers with regard to appraisal of financial viability of projects.</w:t>
      </w:r>
    </w:p>
    <w:p w14:paraId="21FF8FE7" w14:textId="77777777" w:rsidR="00054BF0" w:rsidRDefault="00000000">
      <w:pPr>
        <w:spacing w:before="240" w:line="260" w:lineRule="atLeast"/>
      </w:pPr>
      <w:r>
        <w:rPr>
          <w:rFonts w:ascii="Arial" w:eastAsia="Arial" w:hAnsi="Arial" w:cs="Arial"/>
          <w:b/>
          <w:color w:val="000000"/>
          <w:sz w:val="20"/>
        </w:rPr>
        <w:t>Assessment of Cost-Effectiveness</w:t>
      </w:r>
    </w:p>
    <w:p w14:paraId="64404511" w14:textId="77777777" w:rsidR="00054BF0" w:rsidRDefault="00000000">
      <w:pPr>
        <w:spacing w:before="200" w:line="260" w:lineRule="atLeast"/>
        <w:jc w:val="both"/>
      </w:pPr>
      <w:r>
        <w:rPr>
          <w:rFonts w:ascii="Arial" w:eastAsia="Arial" w:hAnsi="Arial" w:cs="Arial"/>
          <w:color w:val="000000"/>
          <w:sz w:val="20"/>
        </w:rPr>
        <w:t>The above cross-country comparison has identified what kinds of PPP measures have been adopted by each of these countries in dealing with three vulnerabilities. Having conducted these analyses, this section would proceed to the assessment of cost-effectiveness of PPP measures. “Cost-effectiveness” referred here is how little the government needs to pay to get the private sector to stay in, or participate in, the PPP projects.</w:t>
      </w:r>
    </w:p>
    <w:p w14:paraId="10A68734" w14:textId="77777777" w:rsidR="00054BF0" w:rsidRDefault="00000000">
      <w:pPr>
        <w:spacing w:before="240" w:line="260" w:lineRule="atLeast"/>
      </w:pPr>
      <w:r>
        <w:rPr>
          <w:rFonts w:ascii="Arial" w:eastAsia="Arial" w:hAnsi="Arial" w:cs="Arial"/>
          <w:b/>
          <w:color w:val="000000"/>
          <w:sz w:val="20"/>
        </w:rPr>
        <w:t>Cost-Effectiveness of Individual PPP Measures</w:t>
      </w:r>
    </w:p>
    <w:p w14:paraId="5F9D8A30" w14:textId="77777777" w:rsidR="00054BF0" w:rsidRDefault="00000000">
      <w:pPr>
        <w:spacing w:before="200" w:line="260" w:lineRule="atLeast"/>
        <w:jc w:val="both"/>
      </w:pPr>
      <w:r>
        <w:rPr>
          <w:rFonts w:ascii="Arial" w:eastAsia="Arial" w:hAnsi="Arial" w:cs="Arial"/>
          <w:color w:val="000000"/>
          <w:sz w:val="20"/>
        </w:rPr>
        <w:t xml:space="preserve">The cost-effectiveness of individual PPP measures would be assessed in two steps. The first-step is conducted by measuring the type of loss to be covered by a specific PPP measure, in other words, whether the entire assets/obligations would be covered by the guarantee, or only the difference between “before and after” a specific event would be covered. If the entire assets/obligations would be covered, a score of 3 is given. If the coverage is given only to the difference, a score of 2 is given. For the loss smaller than the above two cases, a score of 1 is </w:t>
      </w:r>
      <w:r>
        <w:rPr>
          <w:rFonts w:ascii="Arial" w:eastAsia="Arial" w:hAnsi="Arial" w:cs="Arial"/>
          <w:color w:val="000000"/>
          <w:sz w:val="20"/>
        </w:rPr>
        <w:lastRenderedPageBreak/>
        <w:t>given. The second step is related to the extent of coverage of the loss. If the 100% of the loss would be covered by the guarantee, a scale of 1.0 is given. If only a part of the losses is covered, a scale of 0.5 is given. The results of this two-step assessment were indicated in Table 1.</w:t>
      </w:r>
    </w:p>
    <w:p w14:paraId="39CB4B66" w14:textId="77777777" w:rsidR="00054BF0" w:rsidRDefault="00000000">
      <w:pPr>
        <w:spacing w:before="240" w:line="260" w:lineRule="atLeast"/>
      </w:pPr>
      <w:r>
        <w:rPr>
          <w:rFonts w:ascii="Arial" w:eastAsia="Arial" w:hAnsi="Arial" w:cs="Arial"/>
          <w:b/>
          <w:color w:val="000000"/>
          <w:sz w:val="20"/>
        </w:rPr>
        <w:t>Table 1.</w:t>
      </w:r>
    </w:p>
    <w:p w14:paraId="47185A7A" w14:textId="77777777" w:rsidR="00054BF0" w:rsidRDefault="00000000">
      <w:pPr>
        <w:spacing w:before="200" w:line="260" w:lineRule="atLeast"/>
        <w:jc w:val="both"/>
      </w:pPr>
      <w:r>
        <w:rPr>
          <w:rFonts w:ascii="Arial" w:eastAsia="Arial" w:hAnsi="Arial" w:cs="Arial"/>
          <w:color w:val="000000"/>
          <w:sz w:val="20"/>
        </w:rPr>
        <w:t>Effectiveness of PPP Measures for Three Countries.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1440"/>
        <w:gridCol w:w="1440"/>
        <w:gridCol w:w="1440"/>
        <w:gridCol w:w="720"/>
        <w:gridCol w:w="1440"/>
      </w:tblGrid>
      <w:tr w:rsidR="00054BF0" w14:paraId="4D9600CE" w14:textId="77777777">
        <w:trPr>
          <w:tblHeader/>
          <w:jc w:val="center"/>
        </w:trPr>
        <w:tc>
          <w:tcPr>
            <w:tcW w:w="2400" w:type="dxa"/>
            <w:tcBorders>
              <w:bottom w:val="nil"/>
              <w:right w:val="nil"/>
            </w:tcBorders>
            <w:tcMar>
              <w:top w:w="20" w:type="dxa"/>
              <w:bottom w:w="20" w:type="dxa"/>
            </w:tcMar>
          </w:tcPr>
          <w:p w14:paraId="0C53CCAC" w14:textId="77777777" w:rsidR="00054BF0" w:rsidRDefault="00000000">
            <w:pPr>
              <w:spacing w:before="200" w:line="220" w:lineRule="atLeast"/>
            </w:pPr>
            <w:r>
              <w:rPr>
                <w:rFonts w:ascii="Arial" w:eastAsia="Arial" w:hAnsi="Arial" w:cs="Arial"/>
                <w:b/>
                <w:color w:val="000000"/>
                <w:sz w:val="18"/>
              </w:rPr>
              <w:t>PPP measures</w:t>
            </w:r>
          </w:p>
        </w:tc>
        <w:tc>
          <w:tcPr>
            <w:tcW w:w="1440" w:type="dxa"/>
            <w:tcBorders>
              <w:bottom w:val="nil"/>
              <w:right w:val="nil"/>
            </w:tcBorders>
            <w:tcMar>
              <w:top w:w="20" w:type="dxa"/>
              <w:bottom w:w="20" w:type="dxa"/>
            </w:tcMar>
          </w:tcPr>
          <w:p w14:paraId="05DF8781" w14:textId="77777777" w:rsidR="00054BF0" w:rsidRDefault="00000000">
            <w:pPr>
              <w:spacing w:before="200" w:line="220" w:lineRule="atLeast"/>
            </w:pPr>
            <w:r>
              <w:rPr>
                <w:rFonts w:ascii="Arial" w:eastAsia="Arial" w:hAnsi="Arial" w:cs="Arial"/>
                <w:b/>
                <w:color w:val="000000"/>
                <w:sz w:val="18"/>
              </w:rPr>
              <w:t>Type of loss to be covered</w:t>
            </w:r>
          </w:p>
        </w:tc>
        <w:tc>
          <w:tcPr>
            <w:tcW w:w="1440" w:type="dxa"/>
            <w:tcBorders>
              <w:bottom w:val="nil"/>
              <w:right w:val="nil"/>
            </w:tcBorders>
            <w:tcMar>
              <w:top w:w="20" w:type="dxa"/>
              <w:bottom w:w="20" w:type="dxa"/>
            </w:tcMar>
          </w:tcPr>
          <w:p w14:paraId="6B5E08FF" w14:textId="77777777" w:rsidR="00054BF0" w:rsidRDefault="00000000">
            <w:pPr>
              <w:spacing w:before="200" w:line="220" w:lineRule="atLeast"/>
            </w:pPr>
            <w:r>
              <w:rPr>
                <w:rFonts w:ascii="Arial" w:eastAsia="Arial" w:hAnsi="Arial" w:cs="Arial"/>
                <w:b/>
                <w:color w:val="000000"/>
                <w:sz w:val="18"/>
              </w:rPr>
              <w:t>3 level scaling</w:t>
            </w:r>
          </w:p>
        </w:tc>
        <w:tc>
          <w:tcPr>
            <w:tcW w:w="1440" w:type="dxa"/>
            <w:tcBorders>
              <w:bottom w:val="nil"/>
              <w:right w:val="nil"/>
            </w:tcBorders>
            <w:tcMar>
              <w:top w:w="20" w:type="dxa"/>
              <w:bottom w:w="20" w:type="dxa"/>
            </w:tcMar>
          </w:tcPr>
          <w:p w14:paraId="118C1421" w14:textId="77777777" w:rsidR="00054BF0" w:rsidRDefault="00000000">
            <w:pPr>
              <w:spacing w:before="200" w:line="220" w:lineRule="atLeast"/>
            </w:pPr>
            <w:r>
              <w:rPr>
                <w:rFonts w:ascii="Arial" w:eastAsia="Arial" w:hAnsi="Arial" w:cs="Arial"/>
                <w:b/>
                <w:color w:val="000000"/>
                <w:sz w:val="18"/>
              </w:rPr>
              <w:t>Extent of coverage</w:t>
            </w:r>
          </w:p>
        </w:tc>
        <w:tc>
          <w:tcPr>
            <w:tcW w:w="720" w:type="dxa"/>
            <w:tcBorders>
              <w:bottom w:val="nil"/>
              <w:right w:val="nil"/>
            </w:tcBorders>
            <w:tcMar>
              <w:top w:w="20" w:type="dxa"/>
              <w:bottom w:w="20" w:type="dxa"/>
            </w:tcMar>
          </w:tcPr>
          <w:p w14:paraId="45ECE245" w14:textId="77777777" w:rsidR="00054BF0" w:rsidRDefault="00000000">
            <w:pPr>
              <w:spacing w:before="200" w:line="220" w:lineRule="atLeast"/>
            </w:pPr>
            <w:r>
              <w:rPr>
                <w:rFonts w:ascii="Arial" w:eastAsia="Arial" w:hAnsi="Arial" w:cs="Arial"/>
                <w:b/>
                <w:color w:val="000000"/>
                <w:sz w:val="18"/>
              </w:rPr>
              <w:t>Weight</w:t>
            </w:r>
          </w:p>
        </w:tc>
        <w:tc>
          <w:tcPr>
            <w:tcW w:w="1440" w:type="dxa"/>
            <w:tcBorders>
              <w:bottom w:val="nil"/>
            </w:tcBorders>
            <w:tcMar>
              <w:top w:w="20" w:type="dxa"/>
              <w:bottom w:w="20" w:type="dxa"/>
            </w:tcMar>
          </w:tcPr>
          <w:p w14:paraId="2BB15852" w14:textId="77777777" w:rsidR="00054BF0" w:rsidRDefault="00000000">
            <w:pPr>
              <w:spacing w:before="200" w:line="220" w:lineRule="atLeast"/>
            </w:pPr>
            <w:r>
              <w:rPr>
                <w:rFonts w:ascii="Arial" w:eastAsia="Arial" w:hAnsi="Arial" w:cs="Arial"/>
                <w:b/>
                <w:color w:val="000000"/>
                <w:sz w:val="18"/>
              </w:rPr>
              <w:t>Adjusted scales</w:t>
            </w:r>
          </w:p>
        </w:tc>
      </w:tr>
      <w:tr w:rsidR="00054BF0" w14:paraId="2B5B4E25" w14:textId="77777777">
        <w:trPr>
          <w:jc w:val="center"/>
        </w:trPr>
        <w:tc>
          <w:tcPr>
            <w:tcW w:w="2400" w:type="dxa"/>
            <w:tcBorders>
              <w:bottom w:val="nil"/>
              <w:right w:val="nil"/>
            </w:tcBorders>
            <w:tcMar>
              <w:top w:w="20" w:type="dxa"/>
              <w:bottom w:w="20" w:type="dxa"/>
            </w:tcMar>
          </w:tcPr>
          <w:p w14:paraId="0EA9AF76" w14:textId="77777777" w:rsidR="00054BF0" w:rsidRDefault="00000000">
            <w:pPr>
              <w:spacing w:line="220" w:lineRule="atLeast"/>
            </w:pPr>
            <w:r>
              <w:rPr>
                <w:rFonts w:ascii="Arial" w:eastAsia="Arial" w:hAnsi="Arial" w:cs="Arial"/>
                <w:color w:val="000000"/>
                <w:sz w:val="18"/>
              </w:rPr>
              <w:t>PPP measures to deal with uncertainty</w:t>
            </w:r>
          </w:p>
        </w:tc>
        <w:tc>
          <w:tcPr>
            <w:tcW w:w="1440" w:type="dxa"/>
            <w:tcBorders>
              <w:bottom w:val="nil"/>
              <w:right w:val="nil"/>
            </w:tcBorders>
            <w:tcMar>
              <w:top w:w="20" w:type="dxa"/>
              <w:bottom w:w="20" w:type="dxa"/>
            </w:tcMar>
          </w:tcPr>
          <w:p w14:paraId="1EBD066E" w14:textId="77777777" w:rsidR="00054BF0" w:rsidRDefault="00054BF0"/>
        </w:tc>
        <w:tc>
          <w:tcPr>
            <w:tcW w:w="1440" w:type="dxa"/>
            <w:tcBorders>
              <w:bottom w:val="nil"/>
              <w:right w:val="nil"/>
            </w:tcBorders>
            <w:tcMar>
              <w:top w:w="20" w:type="dxa"/>
              <w:bottom w:w="20" w:type="dxa"/>
            </w:tcMar>
          </w:tcPr>
          <w:p w14:paraId="54AC6527" w14:textId="77777777" w:rsidR="00054BF0" w:rsidRDefault="00054BF0"/>
        </w:tc>
        <w:tc>
          <w:tcPr>
            <w:tcW w:w="1440" w:type="dxa"/>
            <w:tcBorders>
              <w:bottom w:val="nil"/>
              <w:right w:val="nil"/>
            </w:tcBorders>
            <w:tcMar>
              <w:top w:w="20" w:type="dxa"/>
              <w:bottom w:w="20" w:type="dxa"/>
            </w:tcMar>
          </w:tcPr>
          <w:p w14:paraId="74B17609" w14:textId="77777777" w:rsidR="00054BF0" w:rsidRDefault="00054BF0"/>
        </w:tc>
        <w:tc>
          <w:tcPr>
            <w:tcW w:w="720" w:type="dxa"/>
            <w:tcBorders>
              <w:bottom w:val="nil"/>
              <w:right w:val="nil"/>
            </w:tcBorders>
            <w:tcMar>
              <w:top w:w="20" w:type="dxa"/>
              <w:bottom w:w="20" w:type="dxa"/>
            </w:tcMar>
          </w:tcPr>
          <w:p w14:paraId="570A348C" w14:textId="77777777" w:rsidR="00054BF0" w:rsidRDefault="00054BF0"/>
        </w:tc>
        <w:tc>
          <w:tcPr>
            <w:tcW w:w="1440" w:type="dxa"/>
            <w:tcBorders>
              <w:bottom w:val="nil"/>
            </w:tcBorders>
            <w:tcMar>
              <w:top w:w="20" w:type="dxa"/>
              <w:bottom w:w="20" w:type="dxa"/>
            </w:tcMar>
          </w:tcPr>
          <w:p w14:paraId="3D8ED3AC" w14:textId="77777777" w:rsidR="00054BF0" w:rsidRDefault="00054BF0"/>
        </w:tc>
      </w:tr>
      <w:tr w:rsidR="00054BF0" w14:paraId="3684FC17" w14:textId="77777777">
        <w:trPr>
          <w:jc w:val="center"/>
        </w:trPr>
        <w:tc>
          <w:tcPr>
            <w:tcW w:w="2400" w:type="dxa"/>
            <w:tcBorders>
              <w:bottom w:val="nil"/>
              <w:right w:val="nil"/>
            </w:tcBorders>
            <w:tcMar>
              <w:top w:w="20" w:type="dxa"/>
              <w:bottom w:w="20" w:type="dxa"/>
            </w:tcMar>
          </w:tcPr>
          <w:p w14:paraId="68D1A10E" w14:textId="77777777" w:rsidR="00054BF0" w:rsidRDefault="00000000">
            <w:pPr>
              <w:spacing w:line="220" w:lineRule="atLeast"/>
            </w:pPr>
            <w:r>
              <w:rPr>
                <w:rFonts w:ascii="Arial" w:eastAsia="Arial" w:hAnsi="Arial" w:cs="Arial"/>
                <w:color w:val="000000"/>
                <w:sz w:val="18"/>
              </w:rPr>
              <w:t>?Minimum revenue guarantee</w:t>
            </w:r>
          </w:p>
        </w:tc>
        <w:tc>
          <w:tcPr>
            <w:tcW w:w="1440" w:type="dxa"/>
            <w:tcBorders>
              <w:bottom w:val="nil"/>
              <w:right w:val="nil"/>
            </w:tcBorders>
            <w:tcMar>
              <w:top w:w="20" w:type="dxa"/>
              <w:bottom w:w="20" w:type="dxa"/>
            </w:tcMar>
          </w:tcPr>
          <w:p w14:paraId="4D1C7817" w14:textId="77777777" w:rsidR="00054BF0" w:rsidRDefault="00000000">
            <w:pPr>
              <w:spacing w:line="220" w:lineRule="atLeast"/>
            </w:pPr>
            <w:r>
              <w:rPr>
                <w:rFonts w:ascii="Arial" w:eastAsia="Arial" w:hAnsi="Arial" w:cs="Arial"/>
                <w:color w:val="000000"/>
                <w:sz w:val="18"/>
              </w:rPr>
              <w:t>Revenue difference</w:t>
            </w:r>
          </w:p>
        </w:tc>
        <w:tc>
          <w:tcPr>
            <w:tcW w:w="1440" w:type="dxa"/>
            <w:tcBorders>
              <w:bottom w:val="nil"/>
              <w:right w:val="nil"/>
            </w:tcBorders>
            <w:tcMar>
              <w:top w:w="20" w:type="dxa"/>
              <w:bottom w:w="20" w:type="dxa"/>
            </w:tcMar>
          </w:tcPr>
          <w:p w14:paraId="5837FAAC"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76987D09" w14:textId="77777777" w:rsidR="00054BF0" w:rsidRDefault="00000000">
            <w:pPr>
              <w:spacing w:line="220" w:lineRule="atLeast"/>
            </w:pPr>
            <w:r>
              <w:rPr>
                <w:rFonts w:ascii="Arial" w:eastAsia="Arial" w:hAnsi="Arial" w:cs="Arial"/>
                <w:color w:val="000000"/>
                <w:sz w:val="18"/>
              </w:rPr>
              <w:t>All difference</w:t>
            </w:r>
          </w:p>
        </w:tc>
        <w:tc>
          <w:tcPr>
            <w:tcW w:w="720" w:type="dxa"/>
            <w:tcBorders>
              <w:bottom w:val="nil"/>
              <w:right w:val="nil"/>
            </w:tcBorders>
            <w:tcMar>
              <w:top w:w="20" w:type="dxa"/>
              <w:bottom w:w="20" w:type="dxa"/>
            </w:tcMar>
          </w:tcPr>
          <w:p w14:paraId="5301B954"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042FBD7C" w14:textId="77777777" w:rsidR="00054BF0" w:rsidRDefault="00000000">
            <w:pPr>
              <w:spacing w:line="220" w:lineRule="atLeast"/>
            </w:pPr>
            <w:r>
              <w:rPr>
                <w:rFonts w:ascii="Arial" w:eastAsia="Arial" w:hAnsi="Arial" w:cs="Arial"/>
                <w:color w:val="000000"/>
                <w:sz w:val="18"/>
              </w:rPr>
              <w:t>2.0</w:t>
            </w:r>
          </w:p>
        </w:tc>
      </w:tr>
      <w:tr w:rsidR="00054BF0" w14:paraId="6A02958E" w14:textId="77777777">
        <w:trPr>
          <w:jc w:val="center"/>
        </w:trPr>
        <w:tc>
          <w:tcPr>
            <w:tcW w:w="2400" w:type="dxa"/>
            <w:tcBorders>
              <w:bottom w:val="nil"/>
              <w:right w:val="nil"/>
            </w:tcBorders>
            <w:tcMar>
              <w:top w:w="20" w:type="dxa"/>
              <w:bottom w:w="20" w:type="dxa"/>
            </w:tcMar>
          </w:tcPr>
          <w:p w14:paraId="26C7C11E" w14:textId="77777777" w:rsidR="00054BF0" w:rsidRDefault="00000000">
            <w:pPr>
              <w:spacing w:line="220" w:lineRule="atLeast"/>
            </w:pPr>
            <w:r>
              <w:rPr>
                <w:rFonts w:ascii="Arial" w:eastAsia="Arial" w:hAnsi="Arial" w:cs="Arial"/>
                <w:color w:val="000000"/>
                <w:sz w:val="18"/>
              </w:rPr>
              <w:t>?Investment risk sharing</w:t>
            </w:r>
          </w:p>
        </w:tc>
        <w:tc>
          <w:tcPr>
            <w:tcW w:w="1440" w:type="dxa"/>
            <w:tcBorders>
              <w:bottom w:val="nil"/>
              <w:right w:val="nil"/>
            </w:tcBorders>
            <w:tcMar>
              <w:top w:w="20" w:type="dxa"/>
              <w:bottom w:w="20" w:type="dxa"/>
            </w:tcMar>
          </w:tcPr>
          <w:p w14:paraId="58486FAB" w14:textId="77777777" w:rsidR="00054BF0" w:rsidRDefault="00000000">
            <w:pPr>
              <w:spacing w:line="220" w:lineRule="atLeast"/>
            </w:pPr>
            <w:r>
              <w:rPr>
                <w:rFonts w:ascii="Arial" w:eastAsia="Arial" w:hAnsi="Arial" w:cs="Arial"/>
                <w:color w:val="000000"/>
                <w:sz w:val="18"/>
              </w:rPr>
              <w:t>Investment difference</w:t>
            </w:r>
          </w:p>
        </w:tc>
        <w:tc>
          <w:tcPr>
            <w:tcW w:w="1440" w:type="dxa"/>
            <w:tcBorders>
              <w:bottom w:val="nil"/>
              <w:right w:val="nil"/>
            </w:tcBorders>
            <w:tcMar>
              <w:top w:w="20" w:type="dxa"/>
              <w:bottom w:w="20" w:type="dxa"/>
            </w:tcMar>
          </w:tcPr>
          <w:p w14:paraId="6DF0CFCE"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4A610620" w14:textId="77777777" w:rsidR="00054BF0" w:rsidRDefault="00000000">
            <w:pPr>
              <w:spacing w:line="220" w:lineRule="atLeast"/>
            </w:pPr>
            <w:r>
              <w:rPr>
                <w:rFonts w:ascii="Arial" w:eastAsia="Arial" w:hAnsi="Arial" w:cs="Arial"/>
                <w:color w:val="000000"/>
                <w:sz w:val="18"/>
              </w:rPr>
              <w:t>Part of difference</w:t>
            </w:r>
          </w:p>
        </w:tc>
        <w:tc>
          <w:tcPr>
            <w:tcW w:w="720" w:type="dxa"/>
            <w:tcBorders>
              <w:bottom w:val="nil"/>
              <w:right w:val="nil"/>
            </w:tcBorders>
            <w:tcMar>
              <w:top w:w="20" w:type="dxa"/>
              <w:bottom w:w="20" w:type="dxa"/>
            </w:tcMar>
          </w:tcPr>
          <w:p w14:paraId="0734CFDF"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1017541D" w14:textId="77777777" w:rsidR="00054BF0" w:rsidRDefault="00000000">
            <w:pPr>
              <w:spacing w:line="220" w:lineRule="atLeast"/>
            </w:pPr>
            <w:r>
              <w:rPr>
                <w:rFonts w:ascii="Arial" w:eastAsia="Arial" w:hAnsi="Arial" w:cs="Arial"/>
                <w:color w:val="000000"/>
                <w:sz w:val="18"/>
              </w:rPr>
              <w:t>1.0</w:t>
            </w:r>
          </w:p>
        </w:tc>
      </w:tr>
      <w:tr w:rsidR="00054BF0" w14:paraId="7EDB0DF7" w14:textId="77777777">
        <w:trPr>
          <w:jc w:val="center"/>
        </w:trPr>
        <w:tc>
          <w:tcPr>
            <w:tcW w:w="2400" w:type="dxa"/>
            <w:tcBorders>
              <w:bottom w:val="nil"/>
              <w:right w:val="nil"/>
            </w:tcBorders>
            <w:tcMar>
              <w:top w:w="20" w:type="dxa"/>
              <w:bottom w:w="20" w:type="dxa"/>
            </w:tcMar>
          </w:tcPr>
          <w:p w14:paraId="00304B32" w14:textId="77777777" w:rsidR="00054BF0" w:rsidRDefault="00000000">
            <w:pPr>
              <w:spacing w:line="220" w:lineRule="atLeast"/>
            </w:pPr>
            <w:r>
              <w:rPr>
                <w:rFonts w:ascii="Arial" w:eastAsia="Arial" w:hAnsi="Arial" w:cs="Arial"/>
                <w:color w:val="000000"/>
                <w:sz w:val="18"/>
              </w:rPr>
              <w:t>?Flexible concession period</w:t>
            </w:r>
          </w:p>
        </w:tc>
        <w:tc>
          <w:tcPr>
            <w:tcW w:w="1440" w:type="dxa"/>
            <w:tcBorders>
              <w:bottom w:val="nil"/>
              <w:right w:val="nil"/>
            </w:tcBorders>
            <w:tcMar>
              <w:top w:w="20" w:type="dxa"/>
              <w:bottom w:w="20" w:type="dxa"/>
            </w:tcMar>
          </w:tcPr>
          <w:p w14:paraId="57C17223" w14:textId="77777777" w:rsidR="00054BF0" w:rsidRDefault="00000000">
            <w:pPr>
              <w:spacing w:line="220" w:lineRule="atLeast"/>
            </w:pPr>
            <w:r>
              <w:rPr>
                <w:rFonts w:ascii="Arial" w:eastAsia="Arial" w:hAnsi="Arial" w:cs="Arial"/>
                <w:color w:val="000000"/>
                <w:sz w:val="18"/>
              </w:rPr>
              <w:t>Revenue difference</w:t>
            </w:r>
          </w:p>
        </w:tc>
        <w:tc>
          <w:tcPr>
            <w:tcW w:w="1440" w:type="dxa"/>
            <w:tcBorders>
              <w:bottom w:val="nil"/>
              <w:right w:val="nil"/>
            </w:tcBorders>
            <w:tcMar>
              <w:top w:w="20" w:type="dxa"/>
              <w:bottom w:w="20" w:type="dxa"/>
            </w:tcMar>
          </w:tcPr>
          <w:p w14:paraId="334492AA"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68BB65D6" w14:textId="77777777" w:rsidR="00054BF0" w:rsidRDefault="00000000">
            <w:pPr>
              <w:spacing w:line="220" w:lineRule="atLeast"/>
            </w:pPr>
            <w:r>
              <w:rPr>
                <w:rFonts w:ascii="Arial" w:eastAsia="Arial" w:hAnsi="Arial" w:cs="Arial"/>
                <w:color w:val="000000"/>
                <w:sz w:val="18"/>
              </w:rPr>
              <w:t>Not covered by money</w:t>
            </w:r>
          </w:p>
        </w:tc>
        <w:tc>
          <w:tcPr>
            <w:tcW w:w="720" w:type="dxa"/>
            <w:tcBorders>
              <w:bottom w:val="nil"/>
              <w:right w:val="nil"/>
            </w:tcBorders>
            <w:tcMar>
              <w:top w:w="20" w:type="dxa"/>
              <w:bottom w:w="20" w:type="dxa"/>
            </w:tcMar>
          </w:tcPr>
          <w:p w14:paraId="783EBA06" w14:textId="77777777" w:rsidR="00054BF0" w:rsidRDefault="00000000">
            <w:pPr>
              <w:spacing w:line="220" w:lineRule="atLeast"/>
            </w:pPr>
            <w:r>
              <w:rPr>
                <w:rFonts w:ascii="Arial" w:eastAsia="Arial" w:hAnsi="Arial" w:cs="Arial"/>
                <w:color w:val="000000"/>
                <w:sz w:val="18"/>
              </w:rPr>
              <w:t>0.0</w:t>
            </w:r>
          </w:p>
        </w:tc>
        <w:tc>
          <w:tcPr>
            <w:tcW w:w="1440" w:type="dxa"/>
            <w:tcBorders>
              <w:bottom w:val="nil"/>
            </w:tcBorders>
            <w:tcMar>
              <w:top w:w="20" w:type="dxa"/>
              <w:bottom w:w="20" w:type="dxa"/>
            </w:tcMar>
          </w:tcPr>
          <w:p w14:paraId="19737EFA" w14:textId="77777777" w:rsidR="00054BF0" w:rsidRDefault="00000000">
            <w:pPr>
              <w:spacing w:line="220" w:lineRule="atLeast"/>
            </w:pPr>
            <w:r>
              <w:rPr>
                <w:rFonts w:ascii="Arial" w:eastAsia="Arial" w:hAnsi="Arial" w:cs="Arial"/>
                <w:color w:val="000000"/>
                <w:sz w:val="18"/>
              </w:rPr>
              <w:t>0.0</w:t>
            </w:r>
          </w:p>
        </w:tc>
      </w:tr>
      <w:tr w:rsidR="00054BF0" w14:paraId="57B1FB68" w14:textId="77777777">
        <w:trPr>
          <w:jc w:val="center"/>
        </w:trPr>
        <w:tc>
          <w:tcPr>
            <w:tcW w:w="2400" w:type="dxa"/>
            <w:tcBorders>
              <w:bottom w:val="nil"/>
              <w:right w:val="nil"/>
            </w:tcBorders>
            <w:tcMar>
              <w:top w:w="20" w:type="dxa"/>
              <w:bottom w:w="20" w:type="dxa"/>
            </w:tcMar>
          </w:tcPr>
          <w:p w14:paraId="34B3B212" w14:textId="77777777" w:rsidR="00054BF0" w:rsidRDefault="00000000">
            <w:pPr>
              <w:spacing w:line="220" w:lineRule="atLeast"/>
            </w:pPr>
            <w:r>
              <w:rPr>
                <w:rFonts w:ascii="Arial" w:eastAsia="Arial" w:hAnsi="Arial" w:cs="Arial"/>
                <w:color w:val="000000"/>
                <w:sz w:val="18"/>
              </w:rPr>
              <w:t>Note. Scaling: Project cost: 3, Difference between projected and actual: 2, Difference in interest rates: 1</w:t>
            </w:r>
          </w:p>
        </w:tc>
        <w:tc>
          <w:tcPr>
            <w:tcW w:w="1440" w:type="dxa"/>
            <w:tcBorders>
              <w:bottom w:val="nil"/>
              <w:right w:val="nil"/>
            </w:tcBorders>
            <w:tcMar>
              <w:top w:w="20" w:type="dxa"/>
              <w:bottom w:w="20" w:type="dxa"/>
            </w:tcMar>
          </w:tcPr>
          <w:p w14:paraId="6CC32165" w14:textId="77777777" w:rsidR="00054BF0" w:rsidRDefault="00054BF0"/>
        </w:tc>
        <w:tc>
          <w:tcPr>
            <w:tcW w:w="1440" w:type="dxa"/>
            <w:tcBorders>
              <w:bottom w:val="nil"/>
              <w:right w:val="nil"/>
            </w:tcBorders>
            <w:tcMar>
              <w:top w:w="20" w:type="dxa"/>
              <w:bottom w:w="20" w:type="dxa"/>
            </w:tcMar>
          </w:tcPr>
          <w:p w14:paraId="14E51D20" w14:textId="77777777" w:rsidR="00054BF0" w:rsidRDefault="00054BF0"/>
        </w:tc>
        <w:tc>
          <w:tcPr>
            <w:tcW w:w="1440" w:type="dxa"/>
            <w:tcBorders>
              <w:bottom w:val="nil"/>
              <w:right w:val="nil"/>
            </w:tcBorders>
            <w:tcMar>
              <w:top w:w="20" w:type="dxa"/>
              <w:bottom w:w="20" w:type="dxa"/>
            </w:tcMar>
          </w:tcPr>
          <w:p w14:paraId="349B0ACD" w14:textId="77777777" w:rsidR="00054BF0" w:rsidRDefault="00054BF0"/>
        </w:tc>
        <w:tc>
          <w:tcPr>
            <w:tcW w:w="720" w:type="dxa"/>
            <w:tcBorders>
              <w:bottom w:val="nil"/>
              <w:right w:val="nil"/>
            </w:tcBorders>
            <w:tcMar>
              <w:top w:w="20" w:type="dxa"/>
              <w:bottom w:w="20" w:type="dxa"/>
            </w:tcMar>
          </w:tcPr>
          <w:p w14:paraId="3AFA1A76" w14:textId="77777777" w:rsidR="00054BF0" w:rsidRDefault="00054BF0"/>
        </w:tc>
        <w:tc>
          <w:tcPr>
            <w:tcW w:w="1440" w:type="dxa"/>
            <w:tcBorders>
              <w:bottom w:val="nil"/>
            </w:tcBorders>
            <w:tcMar>
              <w:top w:w="20" w:type="dxa"/>
              <w:bottom w:w="20" w:type="dxa"/>
            </w:tcMar>
          </w:tcPr>
          <w:p w14:paraId="27D5FF5B" w14:textId="77777777" w:rsidR="00054BF0" w:rsidRDefault="00054BF0"/>
        </w:tc>
      </w:tr>
      <w:tr w:rsidR="00054BF0" w14:paraId="05054806" w14:textId="77777777">
        <w:trPr>
          <w:jc w:val="center"/>
        </w:trPr>
        <w:tc>
          <w:tcPr>
            <w:tcW w:w="2400" w:type="dxa"/>
            <w:tcBorders>
              <w:bottom w:val="nil"/>
              <w:right w:val="nil"/>
            </w:tcBorders>
            <w:tcMar>
              <w:top w:w="20" w:type="dxa"/>
              <w:bottom w:w="20" w:type="dxa"/>
            </w:tcMar>
          </w:tcPr>
          <w:p w14:paraId="6206AB35" w14:textId="77777777" w:rsidR="00054BF0" w:rsidRDefault="00000000">
            <w:pPr>
              <w:spacing w:line="220" w:lineRule="atLeast"/>
            </w:pPr>
            <w:r>
              <w:rPr>
                <w:rFonts w:ascii="Arial" w:eastAsia="Arial" w:hAnsi="Arial" w:cs="Arial"/>
                <w:color w:val="000000"/>
                <w:sz w:val="18"/>
              </w:rPr>
              <w:t>PPP measures to deal with possible restriction of pricing freedom</w:t>
            </w:r>
          </w:p>
        </w:tc>
        <w:tc>
          <w:tcPr>
            <w:tcW w:w="1440" w:type="dxa"/>
            <w:tcBorders>
              <w:bottom w:val="nil"/>
              <w:right w:val="nil"/>
            </w:tcBorders>
            <w:tcMar>
              <w:top w:w="20" w:type="dxa"/>
              <w:bottom w:w="20" w:type="dxa"/>
            </w:tcMar>
          </w:tcPr>
          <w:p w14:paraId="34E2F5B5" w14:textId="77777777" w:rsidR="00054BF0" w:rsidRDefault="00054BF0"/>
        </w:tc>
        <w:tc>
          <w:tcPr>
            <w:tcW w:w="1440" w:type="dxa"/>
            <w:tcBorders>
              <w:bottom w:val="nil"/>
              <w:right w:val="nil"/>
            </w:tcBorders>
            <w:tcMar>
              <w:top w:w="20" w:type="dxa"/>
              <w:bottom w:w="20" w:type="dxa"/>
            </w:tcMar>
          </w:tcPr>
          <w:p w14:paraId="01F8F859" w14:textId="77777777" w:rsidR="00054BF0" w:rsidRDefault="00054BF0"/>
        </w:tc>
        <w:tc>
          <w:tcPr>
            <w:tcW w:w="1440" w:type="dxa"/>
            <w:tcBorders>
              <w:bottom w:val="nil"/>
              <w:right w:val="nil"/>
            </w:tcBorders>
            <w:tcMar>
              <w:top w:w="20" w:type="dxa"/>
              <w:bottom w:w="20" w:type="dxa"/>
            </w:tcMar>
          </w:tcPr>
          <w:p w14:paraId="475C2EC5" w14:textId="77777777" w:rsidR="00054BF0" w:rsidRDefault="00054BF0"/>
        </w:tc>
        <w:tc>
          <w:tcPr>
            <w:tcW w:w="720" w:type="dxa"/>
            <w:tcBorders>
              <w:bottom w:val="nil"/>
              <w:right w:val="nil"/>
            </w:tcBorders>
            <w:tcMar>
              <w:top w:w="20" w:type="dxa"/>
              <w:bottom w:w="20" w:type="dxa"/>
            </w:tcMar>
          </w:tcPr>
          <w:p w14:paraId="367B1D80" w14:textId="77777777" w:rsidR="00054BF0" w:rsidRDefault="00054BF0"/>
        </w:tc>
        <w:tc>
          <w:tcPr>
            <w:tcW w:w="1440" w:type="dxa"/>
            <w:tcBorders>
              <w:bottom w:val="nil"/>
            </w:tcBorders>
            <w:tcMar>
              <w:top w:w="20" w:type="dxa"/>
              <w:bottom w:w="20" w:type="dxa"/>
            </w:tcMar>
          </w:tcPr>
          <w:p w14:paraId="2C27917E" w14:textId="77777777" w:rsidR="00054BF0" w:rsidRDefault="00054BF0"/>
        </w:tc>
      </w:tr>
      <w:tr w:rsidR="00054BF0" w14:paraId="14F85C3F" w14:textId="77777777">
        <w:trPr>
          <w:jc w:val="center"/>
        </w:trPr>
        <w:tc>
          <w:tcPr>
            <w:tcW w:w="2400" w:type="dxa"/>
            <w:tcBorders>
              <w:bottom w:val="nil"/>
              <w:right w:val="nil"/>
            </w:tcBorders>
            <w:tcMar>
              <w:top w:w="20" w:type="dxa"/>
              <w:bottom w:w="20" w:type="dxa"/>
            </w:tcMar>
          </w:tcPr>
          <w:p w14:paraId="36A8B8F7" w14:textId="77777777" w:rsidR="00054BF0" w:rsidRDefault="00000000">
            <w:pPr>
              <w:spacing w:line="220" w:lineRule="atLeast"/>
            </w:pPr>
            <w:r>
              <w:rPr>
                <w:rFonts w:ascii="Arial" w:eastAsia="Arial" w:hAnsi="Arial" w:cs="Arial"/>
                <w:color w:val="000000"/>
                <w:sz w:val="18"/>
              </w:rPr>
              <w:t>?Full indexation</w:t>
            </w:r>
          </w:p>
        </w:tc>
        <w:tc>
          <w:tcPr>
            <w:tcW w:w="1440" w:type="dxa"/>
            <w:tcBorders>
              <w:bottom w:val="nil"/>
              <w:right w:val="nil"/>
            </w:tcBorders>
            <w:tcMar>
              <w:top w:w="20" w:type="dxa"/>
              <w:bottom w:w="20" w:type="dxa"/>
            </w:tcMar>
          </w:tcPr>
          <w:p w14:paraId="01CCAAB6" w14:textId="77777777" w:rsidR="00054BF0" w:rsidRDefault="00000000">
            <w:pPr>
              <w:spacing w:line="220" w:lineRule="atLeast"/>
            </w:pPr>
            <w:r>
              <w:rPr>
                <w:rFonts w:ascii="Arial" w:eastAsia="Arial" w:hAnsi="Arial" w:cs="Arial"/>
                <w:color w:val="000000"/>
                <w:sz w:val="18"/>
              </w:rPr>
              <w:t>Inflated amount of costs</w:t>
            </w:r>
          </w:p>
        </w:tc>
        <w:tc>
          <w:tcPr>
            <w:tcW w:w="1440" w:type="dxa"/>
            <w:tcBorders>
              <w:bottom w:val="nil"/>
              <w:right w:val="nil"/>
            </w:tcBorders>
            <w:tcMar>
              <w:top w:w="20" w:type="dxa"/>
              <w:bottom w:w="20" w:type="dxa"/>
            </w:tcMar>
          </w:tcPr>
          <w:p w14:paraId="23BDA677"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3DA7EC5D" w14:textId="77777777" w:rsidR="00054BF0" w:rsidRDefault="00000000">
            <w:pPr>
              <w:spacing w:line="220" w:lineRule="atLeast"/>
            </w:pPr>
            <w:r>
              <w:rPr>
                <w:rFonts w:ascii="Arial" w:eastAsia="Arial" w:hAnsi="Arial" w:cs="Arial"/>
                <w:color w:val="000000"/>
                <w:sz w:val="18"/>
              </w:rPr>
              <w:t>All increased cost</w:t>
            </w:r>
          </w:p>
        </w:tc>
        <w:tc>
          <w:tcPr>
            <w:tcW w:w="720" w:type="dxa"/>
            <w:tcBorders>
              <w:bottom w:val="nil"/>
              <w:right w:val="nil"/>
            </w:tcBorders>
            <w:tcMar>
              <w:top w:w="20" w:type="dxa"/>
              <w:bottom w:w="20" w:type="dxa"/>
            </w:tcMar>
          </w:tcPr>
          <w:p w14:paraId="6E23810D"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631AC4AF" w14:textId="77777777" w:rsidR="00054BF0" w:rsidRDefault="00000000">
            <w:pPr>
              <w:spacing w:line="220" w:lineRule="atLeast"/>
            </w:pPr>
            <w:r>
              <w:rPr>
                <w:rFonts w:ascii="Arial" w:eastAsia="Arial" w:hAnsi="Arial" w:cs="Arial"/>
                <w:color w:val="000000"/>
                <w:sz w:val="18"/>
              </w:rPr>
              <w:t>2.0</w:t>
            </w:r>
          </w:p>
        </w:tc>
      </w:tr>
      <w:tr w:rsidR="00054BF0" w14:paraId="625D87B9" w14:textId="77777777">
        <w:trPr>
          <w:jc w:val="center"/>
        </w:trPr>
        <w:tc>
          <w:tcPr>
            <w:tcW w:w="2400" w:type="dxa"/>
            <w:tcBorders>
              <w:bottom w:val="nil"/>
              <w:right w:val="nil"/>
            </w:tcBorders>
            <w:tcMar>
              <w:top w:w="20" w:type="dxa"/>
              <w:bottom w:w="20" w:type="dxa"/>
            </w:tcMar>
          </w:tcPr>
          <w:p w14:paraId="16F79B3B" w14:textId="77777777" w:rsidR="00054BF0" w:rsidRDefault="00000000">
            <w:pPr>
              <w:spacing w:line="220" w:lineRule="atLeast"/>
            </w:pPr>
            <w:r>
              <w:rPr>
                <w:rFonts w:ascii="Arial" w:eastAsia="Arial" w:hAnsi="Arial" w:cs="Arial"/>
                <w:color w:val="000000"/>
                <w:sz w:val="18"/>
              </w:rPr>
              <w:t>?Partial indexation</w:t>
            </w:r>
          </w:p>
        </w:tc>
        <w:tc>
          <w:tcPr>
            <w:tcW w:w="1440" w:type="dxa"/>
            <w:tcBorders>
              <w:bottom w:val="nil"/>
              <w:right w:val="nil"/>
            </w:tcBorders>
            <w:tcMar>
              <w:top w:w="20" w:type="dxa"/>
              <w:bottom w:w="20" w:type="dxa"/>
            </w:tcMar>
          </w:tcPr>
          <w:p w14:paraId="340ADEB5" w14:textId="77777777" w:rsidR="00054BF0" w:rsidRDefault="00000000">
            <w:pPr>
              <w:spacing w:line="220" w:lineRule="atLeast"/>
            </w:pPr>
            <w:r>
              <w:rPr>
                <w:rFonts w:ascii="Arial" w:eastAsia="Arial" w:hAnsi="Arial" w:cs="Arial"/>
                <w:color w:val="000000"/>
                <w:sz w:val="18"/>
              </w:rPr>
              <w:t>Inflated amount of costs</w:t>
            </w:r>
          </w:p>
        </w:tc>
        <w:tc>
          <w:tcPr>
            <w:tcW w:w="1440" w:type="dxa"/>
            <w:tcBorders>
              <w:bottom w:val="nil"/>
              <w:right w:val="nil"/>
            </w:tcBorders>
            <w:tcMar>
              <w:top w:w="20" w:type="dxa"/>
              <w:bottom w:w="20" w:type="dxa"/>
            </w:tcMar>
          </w:tcPr>
          <w:p w14:paraId="200E890B"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68AC22D1" w14:textId="77777777" w:rsidR="00054BF0" w:rsidRDefault="00000000">
            <w:pPr>
              <w:spacing w:line="220" w:lineRule="atLeast"/>
            </w:pPr>
            <w:r>
              <w:rPr>
                <w:rFonts w:ascii="Arial" w:eastAsia="Arial" w:hAnsi="Arial" w:cs="Arial"/>
                <w:color w:val="000000"/>
                <w:sz w:val="18"/>
              </w:rPr>
              <w:t>Part of increased cost</w:t>
            </w:r>
          </w:p>
        </w:tc>
        <w:tc>
          <w:tcPr>
            <w:tcW w:w="720" w:type="dxa"/>
            <w:tcBorders>
              <w:bottom w:val="nil"/>
              <w:right w:val="nil"/>
            </w:tcBorders>
            <w:tcMar>
              <w:top w:w="20" w:type="dxa"/>
              <w:bottom w:w="20" w:type="dxa"/>
            </w:tcMar>
          </w:tcPr>
          <w:p w14:paraId="2EC09221"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2CB2CC8A" w14:textId="77777777" w:rsidR="00054BF0" w:rsidRDefault="00000000">
            <w:pPr>
              <w:spacing w:line="220" w:lineRule="atLeast"/>
            </w:pPr>
            <w:r>
              <w:rPr>
                <w:rFonts w:ascii="Arial" w:eastAsia="Arial" w:hAnsi="Arial" w:cs="Arial"/>
                <w:color w:val="000000"/>
                <w:sz w:val="18"/>
              </w:rPr>
              <w:t>1.0</w:t>
            </w:r>
          </w:p>
        </w:tc>
      </w:tr>
      <w:tr w:rsidR="00054BF0" w14:paraId="0CB81919" w14:textId="77777777">
        <w:trPr>
          <w:jc w:val="center"/>
        </w:trPr>
        <w:tc>
          <w:tcPr>
            <w:tcW w:w="2400" w:type="dxa"/>
            <w:tcBorders>
              <w:bottom w:val="nil"/>
              <w:right w:val="nil"/>
            </w:tcBorders>
            <w:tcMar>
              <w:top w:w="20" w:type="dxa"/>
              <w:bottom w:w="20" w:type="dxa"/>
            </w:tcMar>
          </w:tcPr>
          <w:p w14:paraId="392CA9E3" w14:textId="77777777" w:rsidR="00054BF0" w:rsidRDefault="00000000">
            <w:pPr>
              <w:spacing w:line="220" w:lineRule="atLeast"/>
            </w:pPr>
            <w:r>
              <w:rPr>
                <w:rFonts w:ascii="Arial" w:eastAsia="Arial" w:hAnsi="Arial" w:cs="Arial"/>
                <w:color w:val="000000"/>
                <w:sz w:val="18"/>
              </w:rPr>
              <w:t>Note. Scaling: Loan amount: 3, Difference between projected and actual: 2, Other minor differences: 1</w:t>
            </w:r>
          </w:p>
        </w:tc>
        <w:tc>
          <w:tcPr>
            <w:tcW w:w="1440" w:type="dxa"/>
            <w:tcBorders>
              <w:bottom w:val="nil"/>
              <w:right w:val="nil"/>
            </w:tcBorders>
            <w:tcMar>
              <w:top w:w="20" w:type="dxa"/>
              <w:bottom w:w="20" w:type="dxa"/>
            </w:tcMar>
          </w:tcPr>
          <w:p w14:paraId="017E2F9A" w14:textId="77777777" w:rsidR="00054BF0" w:rsidRDefault="00054BF0"/>
        </w:tc>
        <w:tc>
          <w:tcPr>
            <w:tcW w:w="1440" w:type="dxa"/>
            <w:tcBorders>
              <w:bottom w:val="nil"/>
              <w:right w:val="nil"/>
            </w:tcBorders>
            <w:tcMar>
              <w:top w:w="20" w:type="dxa"/>
              <w:bottom w:w="20" w:type="dxa"/>
            </w:tcMar>
          </w:tcPr>
          <w:p w14:paraId="60F4DB05" w14:textId="77777777" w:rsidR="00054BF0" w:rsidRDefault="00054BF0"/>
        </w:tc>
        <w:tc>
          <w:tcPr>
            <w:tcW w:w="1440" w:type="dxa"/>
            <w:tcBorders>
              <w:bottom w:val="nil"/>
              <w:right w:val="nil"/>
            </w:tcBorders>
            <w:tcMar>
              <w:top w:w="20" w:type="dxa"/>
              <w:bottom w:w="20" w:type="dxa"/>
            </w:tcMar>
          </w:tcPr>
          <w:p w14:paraId="2C8331E0" w14:textId="77777777" w:rsidR="00054BF0" w:rsidRDefault="00054BF0"/>
        </w:tc>
        <w:tc>
          <w:tcPr>
            <w:tcW w:w="720" w:type="dxa"/>
            <w:tcBorders>
              <w:bottom w:val="nil"/>
              <w:right w:val="nil"/>
            </w:tcBorders>
            <w:tcMar>
              <w:top w:w="20" w:type="dxa"/>
              <w:bottom w:w="20" w:type="dxa"/>
            </w:tcMar>
          </w:tcPr>
          <w:p w14:paraId="401D2243" w14:textId="77777777" w:rsidR="00054BF0" w:rsidRDefault="00054BF0"/>
        </w:tc>
        <w:tc>
          <w:tcPr>
            <w:tcW w:w="1440" w:type="dxa"/>
            <w:tcBorders>
              <w:bottom w:val="nil"/>
            </w:tcBorders>
            <w:tcMar>
              <w:top w:w="20" w:type="dxa"/>
              <w:bottom w:w="20" w:type="dxa"/>
            </w:tcMar>
          </w:tcPr>
          <w:p w14:paraId="38B82D8C" w14:textId="77777777" w:rsidR="00054BF0" w:rsidRDefault="00054BF0"/>
        </w:tc>
      </w:tr>
      <w:tr w:rsidR="00054BF0" w14:paraId="0F622255" w14:textId="77777777">
        <w:trPr>
          <w:jc w:val="center"/>
        </w:trPr>
        <w:tc>
          <w:tcPr>
            <w:tcW w:w="2400" w:type="dxa"/>
            <w:tcBorders>
              <w:bottom w:val="nil"/>
              <w:right w:val="nil"/>
            </w:tcBorders>
            <w:tcMar>
              <w:top w:w="20" w:type="dxa"/>
              <w:bottom w:w="20" w:type="dxa"/>
            </w:tcMar>
          </w:tcPr>
          <w:p w14:paraId="0DA78144" w14:textId="77777777" w:rsidR="00054BF0" w:rsidRDefault="00000000">
            <w:pPr>
              <w:spacing w:line="220" w:lineRule="atLeast"/>
            </w:pPr>
            <w:r>
              <w:rPr>
                <w:rFonts w:ascii="Arial" w:eastAsia="Arial" w:hAnsi="Arial" w:cs="Arial"/>
                <w:color w:val="000000"/>
                <w:sz w:val="18"/>
              </w:rPr>
              <w:t>PPP measures to facilitate project finance</w:t>
            </w:r>
          </w:p>
        </w:tc>
        <w:tc>
          <w:tcPr>
            <w:tcW w:w="1440" w:type="dxa"/>
            <w:tcBorders>
              <w:bottom w:val="nil"/>
              <w:right w:val="nil"/>
            </w:tcBorders>
            <w:tcMar>
              <w:top w:w="20" w:type="dxa"/>
              <w:bottom w:w="20" w:type="dxa"/>
            </w:tcMar>
          </w:tcPr>
          <w:p w14:paraId="6E16D57B" w14:textId="77777777" w:rsidR="00054BF0" w:rsidRDefault="00054BF0"/>
        </w:tc>
        <w:tc>
          <w:tcPr>
            <w:tcW w:w="1440" w:type="dxa"/>
            <w:tcBorders>
              <w:bottom w:val="nil"/>
              <w:right w:val="nil"/>
            </w:tcBorders>
            <w:tcMar>
              <w:top w:w="20" w:type="dxa"/>
              <w:bottom w:w="20" w:type="dxa"/>
            </w:tcMar>
          </w:tcPr>
          <w:p w14:paraId="7D08D055" w14:textId="77777777" w:rsidR="00054BF0" w:rsidRDefault="00054BF0"/>
        </w:tc>
        <w:tc>
          <w:tcPr>
            <w:tcW w:w="1440" w:type="dxa"/>
            <w:tcBorders>
              <w:bottom w:val="nil"/>
              <w:right w:val="nil"/>
            </w:tcBorders>
            <w:tcMar>
              <w:top w:w="20" w:type="dxa"/>
              <w:bottom w:w="20" w:type="dxa"/>
            </w:tcMar>
          </w:tcPr>
          <w:p w14:paraId="562D486F" w14:textId="77777777" w:rsidR="00054BF0" w:rsidRDefault="00054BF0"/>
        </w:tc>
        <w:tc>
          <w:tcPr>
            <w:tcW w:w="720" w:type="dxa"/>
            <w:tcBorders>
              <w:bottom w:val="nil"/>
              <w:right w:val="nil"/>
            </w:tcBorders>
            <w:tcMar>
              <w:top w:w="20" w:type="dxa"/>
              <w:bottom w:w="20" w:type="dxa"/>
            </w:tcMar>
          </w:tcPr>
          <w:p w14:paraId="2240B865" w14:textId="77777777" w:rsidR="00054BF0" w:rsidRDefault="00054BF0"/>
        </w:tc>
        <w:tc>
          <w:tcPr>
            <w:tcW w:w="1440" w:type="dxa"/>
            <w:tcBorders>
              <w:bottom w:val="nil"/>
            </w:tcBorders>
            <w:tcMar>
              <w:top w:w="20" w:type="dxa"/>
              <w:bottom w:w="20" w:type="dxa"/>
            </w:tcMar>
          </w:tcPr>
          <w:p w14:paraId="27EECE03" w14:textId="77777777" w:rsidR="00054BF0" w:rsidRDefault="00054BF0"/>
        </w:tc>
      </w:tr>
      <w:tr w:rsidR="00054BF0" w14:paraId="2247158C" w14:textId="77777777">
        <w:trPr>
          <w:jc w:val="center"/>
        </w:trPr>
        <w:tc>
          <w:tcPr>
            <w:tcW w:w="2400" w:type="dxa"/>
            <w:tcBorders>
              <w:bottom w:val="nil"/>
              <w:right w:val="nil"/>
            </w:tcBorders>
            <w:tcMar>
              <w:top w:w="20" w:type="dxa"/>
              <w:bottom w:w="20" w:type="dxa"/>
            </w:tcMar>
          </w:tcPr>
          <w:p w14:paraId="42CBD72B" w14:textId="77777777" w:rsidR="00054BF0" w:rsidRDefault="00000000">
            <w:pPr>
              <w:spacing w:line="220" w:lineRule="atLeast"/>
            </w:pPr>
            <w:r>
              <w:rPr>
                <w:rFonts w:ascii="Arial" w:eastAsia="Arial" w:hAnsi="Arial" w:cs="Arial"/>
                <w:color w:val="000000"/>
                <w:sz w:val="18"/>
              </w:rPr>
              <w:t>?Loan guarantee</w:t>
            </w:r>
          </w:p>
        </w:tc>
        <w:tc>
          <w:tcPr>
            <w:tcW w:w="1440" w:type="dxa"/>
            <w:tcBorders>
              <w:bottom w:val="nil"/>
              <w:right w:val="nil"/>
            </w:tcBorders>
            <w:tcMar>
              <w:top w:w="20" w:type="dxa"/>
              <w:bottom w:w="20" w:type="dxa"/>
            </w:tcMar>
          </w:tcPr>
          <w:p w14:paraId="210A609E" w14:textId="77777777" w:rsidR="00054BF0" w:rsidRDefault="00000000">
            <w:pPr>
              <w:spacing w:line="220" w:lineRule="atLeast"/>
            </w:pPr>
            <w:r>
              <w:rPr>
                <w:rFonts w:ascii="Arial" w:eastAsia="Arial" w:hAnsi="Arial" w:cs="Arial"/>
                <w:color w:val="000000"/>
                <w:sz w:val="18"/>
              </w:rPr>
              <w:t>Loan amount</w:t>
            </w:r>
          </w:p>
        </w:tc>
        <w:tc>
          <w:tcPr>
            <w:tcW w:w="1440" w:type="dxa"/>
            <w:tcBorders>
              <w:bottom w:val="nil"/>
              <w:right w:val="nil"/>
            </w:tcBorders>
            <w:tcMar>
              <w:top w:w="20" w:type="dxa"/>
              <w:bottom w:w="20" w:type="dxa"/>
            </w:tcMar>
          </w:tcPr>
          <w:p w14:paraId="262958A1" w14:textId="77777777" w:rsidR="00054BF0"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1B39DA0E" w14:textId="77777777" w:rsidR="00054BF0" w:rsidRDefault="00000000">
            <w:pPr>
              <w:spacing w:line="220" w:lineRule="atLeast"/>
            </w:pPr>
            <w:r>
              <w:rPr>
                <w:rFonts w:ascii="Arial" w:eastAsia="Arial" w:hAnsi="Arial" w:cs="Arial"/>
                <w:color w:val="000000"/>
                <w:sz w:val="18"/>
              </w:rPr>
              <w:t>Entire amount</w:t>
            </w:r>
          </w:p>
        </w:tc>
        <w:tc>
          <w:tcPr>
            <w:tcW w:w="720" w:type="dxa"/>
            <w:tcBorders>
              <w:bottom w:val="nil"/>
              <w:right w:val="nil"/>
            </w:tcBorders>
            <w:tcMar>
              <w:top w:w="20" w:type="dxa"/>
              <w:bottom w:w="20" w:type="dxa"/>
            </w:tcMar>
          </w:tcPr>
          <w:p w14:paraId="156EFC18"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5DC9D040" w14:textId="77777777" w:rsidR="00054BF0" w:rsidRDefault="00000000">
            <w:pPr>
              <w:spacing w:line="220" w:lineRule="atLeast"/>
            </w:pPr>
            <w:r>
              <w:rPr>
                <w:rFonts w:ascii="Arial" w:eastAsia="Arial" w:hAnsi="Arial" w:cs="Arial"/>
                <w:color w:val="000000"/>
                <w:sz w:val="18"/>
              </w:rPr>
              <w:t>3.0</w:t>
            </w:r>
          </w:p>
        </w:tc>
      </w:tr>
      <w:tr w:rsidR="00054BF0" w14:paraId="5950C54C" w14:textId="77777777">
        <w:trPr>
          <w:jc w:val="center"/>
        </w:trPr>
        <w:tc>
          <w:tcPr>
            <w:tcW w:w="2400" w:type="dxa"/>
            <w:tcBorders>
              <w:bottom w:val="nil"/>
              <w:right w:val="nil"/>
            </w:tcBorders>
            <w:tcMar>
              <w:top w:w="20" w:type="dxa"/>
              <w:bottom w:w="20" w:type="dxa"/>
            </w:tcMar>
          </w:tcPr>
          <w:p w14:paraId="1C125DB9" w14:textId="77777777" w:rsidR="00054BF0" w:rsidRDefault="00000000">
            <w:pPr>
              <w:spacing w:line="220" w:lineRule="atLeast"/>
            </w:pPr>
            <w:r>
              <w:rPr>
                <w:rFonts w:ascii="Arial" w:eastAsia="Arial" w:hAnsi="Arial" w:cs="Arial"/>
                <w:color w:val="000000"/>
                <w:sz w:val="18"/>
              </w:rPr>
              <w:t>?Foreign exchange insurance</w:t>
            </w:r>
          </w:p>
        </w:tc>
        <w:tc>
          <w:tcPr>
            <w:tcW w:w="1440" w:type="dxa"/>
            <w:tcBorders>
              <w:bottom w:val="nil"/>
              <w:right w:val="nil"/>
            </w:tcBorders>
            <w:tcMar>
              <w:top w:w="20" w:type="dxa"/>
              <w:bottom w:w="20" w:type="dxa"/>
            </w:tcMar>
          </w:tcPr>
          <w:p w14:paraId="07A24F16" w14:textId="77777777" w:rsidR="00054BF0" w:rsidRDefault="00000000">
            <w:pPr>
              <w:spacing w:line="220" w:lineRule="atLeast"/>
            </w:pPr>
            <w:r>
              <w:rPr>
                <w:rFonts w:ascii="Arial" w:eastAsia="Arial" w:hAnsi="Arial" w:cs="Arial"/>
                <w:color w:val="000000"/>
                <w:sz w:val="18"/>
              </w:rPr>
              <w:t>Fluctuated part of loan</w:t>
            </w:r>
          </w:p>
        </w:tc>
        <w:tc>
          <w:tcPr>
            <w:tcW w:w="1440" w:type="dxa"/>
            <w:tcBorders>
              <w:bottom w:val="nil"/>
              <w:right w:val="nil"/>
            </w:tcBorders>
            <w:tcMar>
              <w:top w:w="20" w:type="dxa"/>
              <w:bottom w:w="20" w:type="dxa"/>
            </w:tcMar>
          </w:tcPr>
          <w:p w14:paraId="78C0C067"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15A21F37" w14:textId="77777777" w:rsidR="00054BF0" w:rsidRDefault="00000000">
            <w:pPr>
              <w:spacing w:line="220" w:lineRule="atLeast"/>
            </w:pPr>
            <w:r>
              <w:rPr>
                <w:rFonts w:ascii="Arial" w:eastAsia="Arial" w:hAnsi="Arial" w:cs="Arial"/>
                <w:color w:val="000000"/>
                <w:sz w:val="18"/>
              </w:rPr>
              <w:t>All fluctuated part</w:t>
            </w:r>
          </w:p>
        </w:tc>
        <w:tc>
          <w:tcPr>
            <w:tcW w:w="720" w:type="dxa"/>
            <w:tcBorders>
              <w:bottom w:val="nil"/>
              <w:right w:val="nil"/>
            </w:tcBorders>
            <w:tcMar>
              <w:top w:w="20" w:type="dxa"/>
              <w:bottom w:w="20" w:type="dxa"/>
            </w:tcMar>
          </w:tcPr>
          <w:p w14:paraId="079434C2"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5BB8BDA8" w14:textId="77777777" w:rsidR="00054BF0" w:rsidRDefault="00000000">
            <w:pPr>
              <w:spacing w:line="220" w:lineRule="atLeast"/>
            </w:pPr>
            <w:r>
              <w:rPr>
                <w:rFonts w:ascii="Arial" w:eastAsia="Arial" w:hAnsi="Arial" w:cs="Arial"/>
                <w:color w:val="000000"/>
                <w:sz w:val="18"/>
              </w:rPr>
              <w:t>2.0</w:t>
            </w:r>
          </w:p>
        </w:tc>
      </w:tr>
      <w:tr w:rsidR="00054BF0" w14:paraId="15D79BB6" w14:textId="77777777">
        <w:trPr>
          <w:jc w:val="center"/>
        </w:trPr>
        <w:tc>
          <w:tcPr>
            <w:tcW w:w="2400" w:type="dxa"/>
            <w:tcBorders>
              <w:bottom w:val="nil"/>
              <w:right w:val="nil"/>
            </w:tcBorders>
            <w:tcMar>
              <w:top w:w="20" w:type="dxa"/>
              <w:bottom w:w="20" w:type="dxa"/>
            </w:tcMar>
          </w:tcPr>
          <w:p w14:paraId="0AADEAB3" w14:textId="77777777" w:rsidR="00054BF0" w:rsidRDefault="00000000">
            <w:pPr>
              <w:spacing w:line="220" w:lineRule="atLeast"/>
            </w:pPr>
            <w:r>
              <w:rPr>
                <w:rFonts w:ascii="Arial" w:eastAsia="Arial" w:hAnsi="Arial" w:cs="Arial"/>
                <w:color w:val="000000"/>
                <w:sz w:val="18"/>
              </w:rPr>
              <w:t>?Take out finance</w:t>
            </w:r>
          </w:p>
        </w:tc>
        <w:tc>
          <w:tcPr>
            <w:tcW w:w="1440" w:type="dxa"/>
            <w:tcBorders>
              <w:bottom w:val="nil"/>
              <w:right w:val="nil"/>
            </w:tcBorders>
            <w:tcMar>
              <w:top w:w="20" w:type="dxa"/>
              <w:bottom w:w="20" w:type="dxa"/>
            </w:tcMar>
          </w:tcPr>
          <w:p w14:paraId="4D1192B1" w14:textId="77777777" w:rsidR="00054BF0" w:rsidRDefault="00000000">
            <w:pPr>
              <w:spacing w:line="220" w:lineRule="atLeast"/>
            </w:pPr>
            <w:r>
              <w:rPr>
                <w:rFonts w:ascii="Arial" w:eastAsia="Arial" w:hAnsi="Arial" w:cs="Arial"/>
                <w:color w:val="000000"/>
                <w:sz w:val="18"/>
              </w:rPr>
              <w:t>Loan amount</w:t>
            </w:r>
          </w:p>
        </w:tc>
        <w:tc>
          <w:tcPr>
            <w:tcW w:w="1440" w:type="dxa"/>
            <w:tcBorders>
              <w:bottom w:val="nil"/>
              <w:right w:val="nil"/>
            </w:tcBorders>
            <w:tcMar>
              <w:top w:w="20" w:type="dxa"/>
              <w:bottom w:w="20" w:type="dxa"/>
            </w:tcMar>
          </w:tcPr>
          <w:p w14:paraId="36357CF3" w14:textId="77777777" w:rsidR="00054BF0"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3D07384A" w14:textId="77777777" w:rsidR="00054BF0" w:rsidRDefault="00000000">
            <w:pPr>
              <w:spacing w:line="220" w:lineRule="atLeast"/>
            </w:pPr>
            <w:r>
              <w:rPr>
                <w:rFonts w:ascii="Arial" w:eastAsia="Arial" w:hAnsi="Arial" w:cs="Arial"/>
                <w:color w:val="000000"/>
                <w:sz w:val="18"/>
              </w:rPr>
              <w:t>Remaining part</w:t>
            </w:r>
          </w:p>
        </w:tc>
        <w:tc>
          <w:tcPr>
            <w:tcW w:w="720" w:type="dxa"/>
            <w:tcBorders>
              <w:bottom w:val="nil"/>
              <w:right w:val="nil"/>
            </w:tcBorders>
            <w:tcMar>
              <w:top w:w="20" w:type="dxa"/>
              <w:bottom w:w="20" w:type="dxa"/>
            </w:tcMar>
          </w:tcPr>
          <w:p w14:paraId="590749B2"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07A31134" w14:textId="77777777" w:rsidR="00054BF0" w:rsidRDefault="00000000">
            <w:pPr>
              <w:spacing w:line="220" w:lineRule="atLeast"/>
            </w:pPr>
            <w:r>
              <w:rPr>
                <w:rFonts w:ascii="Arial" w:eastAsia="Arial" w:hAnsi="Arial" w:cs="Arial"/>
                <w:color w:val="000000"/>
                <w:sz w:val="18"/>
              </w:rPr>
              <w:t>1.5</w:t>
            </w:r>
          </w:p>
        </w:tc>
      </w:tr>
      <w:tr w:rsidR="00054BF0" w14:paraId="27B71131" w14:textId="77777777">
        <w:trPr>
          <w:jc w:val="center"/>
        </w:trPr>
        <w:tc>
          <w:tcPr>
            <w:tcW w:w="2400" w:type="dxa"/>
            <w:tcBorders>
              <w:right w:val="nil"/>
            </w:tcBorders>
            <w:tcMar>
              <w:top w:w="20" w:type="dxa"/>
              <w:bottom w:w="20" w:type="dxa"/>
            </w:tcMar>
          </w:tcPr>
          <w:p w14:paraId="0B7D41DA" w14:textId="77777777" w:rsidR="00054BF0" w:rsidRDefault="00000000">
            <w:pPr>
              <w:spacing w:line="220" w:lineRule="atLeast"/>
            </w:pPr>
            <w:r>
              <w:rPr>
                <w:rFonts w:ascii="Arial" w:eastAsia="Arial" w:hAnsi="Arial" w:cs="Arial"/>
                <w:color w:val="000000"/>
                <w:sz w:val="18"/>
              </w:rPr>
              <w:t>Note. Scaling: Loan amount: 3, Difference in loan amount before and after foreign exchange (FX) fluctuation 2, Difference in FX rates: 1</w:t>
            </w:r>
          </w:p>
        </w:tc>
        <w:tc>
          <w:tcPr>
            <w:tcW w:w="1440" w:type="dxa"/>
            <w:tcBorders>
              <w:right w:val="nil"/>
            </w:tcBorders>
            <w:tcMar>
              <w:top w:w="20" w:type="dxa"/>
              <w:bottom w:w="20" w:type="dxa"/>
            </w:tcMar>
          </w:tcPr>
          <w:p w14:paraId="5F540C87" w14:textId="77777777" w:rsidR="00054BF0" w:rsidRDefault="00054BF0"/>
        </w:tc>
        <w:tc>
          <w:tcPr>
            <w:tcW w:w="1440" w:type="dxa"/>
            <w:tcBorders>
              <w:right w:val="nil"/>
            </w:tcBorders>
            <w:tcMar>
              <w:top w:w="20" w:type="dxa"/>
              <w:bottom w:w="20" w:type="dxa"/>
            </w:tcMar>
          </w:tcPr>
          <w:p w14:paraId="36718A0F" w14:textId="77777777" w:rsidR="00054BF0" w:rsidRDefault="00054BF0"/>
        </w:tc>
        <w:tc>
          <w:tcPr>
            <w:tcW w:w="1440" w:type="dxa"/>
            <w:tcBorders>
              <w:right w:val="nil"/>
            </w:tcBorders>
            <w:tcMar>
              <w:top w:w="20" w:type="dxa"/>
              <w:bottom w:w="20" w:type="dxa"/>
            </w:tcMar>
          </w:tcPr>
          <w:p w14:paraId="3CCA3452" w14:textId="77777777" w:rsidR="00054BF0" w:rsidRDefault="00054BF0"/>
        </w:tc>
        <w:tc>
          <w:tcPr>
            <w:tcW w:w="720" w:type="dxa"/>
            <w:tcBorders>
              <w:right w:val="nil"/>
            </w:tcBorders>
            <w:tcMar>
              <w:top w:w="20" w:type="dxa"/>
              <w:bottom w:w="20" w:type="dxa"/>
            </w:tcMar>
          </w:tcPr>
          <w:p w14:paraId="34460395" w14:textId="77777777" w:rsidR="00054BF0" w:rsidRDefault="00054BF0"/>
        </w:tc>
        <w:tc>
          <w:tcPr>
            <w:tcW w:w="1440" w:type="dxa"/>
            <w:tcMar>
              <w:top w:w="20" w:type="dxa"/>
              <w:bottom w:w="20" w:type="dxa"/>
            </w:tcMar>
          </w:tcPr>
          <w:p w14:paraId="7D044424" w14:textId="77777777" w:rsidR="00054BF0" w:rsidRDefault="00054BF0"/>
        </w:tc>
      </w:tr>
    </w:tbl>
    <w:p w14:paraId="351B3EDF"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7147C215" w14:textId="77777777" w:rsidR="00054BF0" w:rsidRDefault="00000000">
      <w:pPr>
        <w:spacing w:before="240" w:line="260" w:lineRule="atLeast"/>
      </w:pPr>
      <w:r>
        <w:rPr>
          <w:rFonts w:ascii="Arial" w:eastAsia="Arial" w:hAnsi="Arial" w:cs="Arial"/>
          <w:b/>
          <w:color w:val="000000"/>
          <w:sz w:val="20"/>
        </w:rPr>
        <w:t>Cost-Effectiveness of PPP Systems of Selected Countries</w:t>
      </w:r>
    </w:p>
    <w:p w14:paraId="68ED8DFF" w14:textId="77777777" w:rsidR="00054BF0" w:rsidRDefault="00000000">
      <w:pPr>
        <w:spacing w:before="200" w:line="260" w:lineRule="atLeast"/>
        <w:jc w:val="both"/>
      </w:pPr>
      <w:r>
        <w:rPr>
          <w:rFonts w:ascii="Arial" w:eastAsia="Arial" w:hAnsi="Arial" w:cs="Arial"/>
          <w:color w:val="000000"/>
          <w:sz w:val="20"/>
        </w:rPr>
        <w:t>Having assigned the scores of cost-effectiveness of individual PPP measures, this section would focus on the comparison of the PPP systems as a whole for each of the countries. This assessment would be conducted in the following manner:</w:t>
      </w:r>
    </w:p>
    <w:p w14:paraId="7C6D5EE7" w14:textId="77777777" w:rsidR="00054BF0" w:rsidRDefault="00000000">
      <w:pPr>
        <w:spacing w:before="200" w:line="260" w:lineRule="atLeast"/>
        <w:jc w:val="both"/>
      </w:pPr>
      <w:r>
        <w:rPr>
          <w:rFonts w:ascii="Arial" w:eastAsia="Arial" w:hAnsi="Arial" w:cs="Arial"/>
          <w:color w:val="000000"/>
          <w:sz w:val="20"/>
        </w:rPr>
        <w:lastRenderedPageBreak/>
        <w:t>Identify the most prevalent form of the PPP measures adopted by each of the countries to deal with three types of vulnerability in the country in question.</w:t>
      </w:r>
    </w:p>
    <w:p w14:paraId="0ADEBA02" w14:textId="77777777" w:rsidR="00054BF0" w:rsidRDefault="00000000">
      <w:pPr>
        <w:spacing w:before="200" w:line="260" w:lineRule="atLeast"/>
        <w:jc w:val="both"/>
      </w:pPr>
      <w:r>
        <w:rPr>
          <w:rFonts w:ascii="Arial" w:eastAsia="Arial" w:hAnsi="Arial" w:cs="Arial"/>
          <w:color w:val="000000"/>
          <w:sz w:val="20"/>
        </w:rPr>
        <w:t>Then, the weight earlier assigned for each of the individual PPP measures would be applied to measure the cost-effectiveness of each country’s PPP system.</w:t>
      </w:r>
    </w:p>
    <w:p w14:paraId="1D929C65" w14:textId="77777777" w:rsidR="00054BF0" w:rsidRDefault="00000000">
      <w:pPr>
        <w:spacing w:before="200" w:line="260" w:lineRule="atLeast"/>
        <w:jc w:val="both"/>
      </w:pPr>
      <w:r>
        <w:rPr>
          <w:rFonts w:ascii="Arial" w:eastAsia="Arial" w:hAnsi="Arial" w:cs="Arial"/>
          <w:color w:val="000000"/>
          <w:sz w:val="20"/>
        </w:rPr>
        <w:t>The results of this analysis are as follows (see Table 2):</w:t>
      </w:r>
    </w:p>
    <w:p w14:paraId="1C8694FA" w14:textId="77777777" w:rsidR="00054BF0" w:rsidRDefault="00000000">
      <w:pPr>
        <w:spacing w:before="240" w:line="260" w:lineRule="atLeast"/>
      </w:pPr>
      <w:r>
        <w:rPr>
          <w:rFonts w:ascii="Arial" w:eastAsia="Arial" w:hAnsi="Arial" w:cs="Arial"/>
          <w:b/>
          <w:color w:val="000000"/>
          <w:sz w:val="20"/>
        </w:rPr>
        <w:t>Table 2.</w:t>
      </w:r>
    </w:p>
    <w:p w14:paraId="720DFCD4" w14:textId="77777777" w:rsidR="00054BF0" w:rsidRDefault="00000000">
      <w:pPr>
        <w:spacing w:before="200" w:line="260" w:lineRule="atLeast"/>
        <w:jc w:val="both"/>
      </w:pPr>
      <w:r>
        <w:rPr>
          <w:rFonts w:ascii="Arial" w:eastAsia="Arial" w:hAnsi="Arial" w:cs="Arial"/>
          <w:color w:val="000000"/>
          <w:sz w:val="20"/>
        </w:rPr>
        <w:t>Comparison of PPP Systems of Three Countries in Terms of Cost-Effectiveness.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40"/>
        <w:gridCol w:w="3000"/>
        <w:gridCol w:w="1800"/>
      </w:tblGrid>
      <w:tr w:rsidR="00054BF0" w14:paraId="6DF7A454" w14:textId="77777777">
        <w:trPr>
          <w:tblHeader/>
          <w:jc w:val="center"/>
        </w:trPr>
        <w:tc>
          <w:tcPr>
            <w:tcW w:w="4440" w:type="dxa"/>
            <w:tcBorders>
              <w:bottom w:val="nil"/>
              <w:right w:val="nil"/>
            </w:tcBorders>
            <w:tcMar>
              <w:top w:w="20" w:type="dxa"/>
              <w:bottom w:w="20" w:type="dxa"/>
            </w:tcMar>
          </w:tcPr>
          <w:p w14:paraId="1DA95232" w14:textId="77777777" w:rsidR="00054BF0" w:rsidRDefault="00000000">
            <w:pPr>
              <w:spacing w:before="200" w:line="220" w:lineRule="atLeast"/>
            </w:pPr>
            <w:r>
              <w:rPr>
                <w:rFonts w:ascii="Arial" w:eastAsia="Arial" w:hAnsi="Arial" w:cs="Arial"/>
                <w:b/>
                <w:color w:val="000000"/>
                <w:sz w:val="18"/>
              </w:rPr>
              <w:t>System selected in a time slice manner</w:t>
            </w:r>
          </w:p>
        </w:tc>
        <w:tc>
          <w:tcPr>
            <w:tcW w:w="3000" w:type="dxa"/>
            <w:tcBorders>
              <w:bottom w:val="nil"/>
              <w:right w:val="nil"/>
            </w:tcBorders>
            <w:tcMar>
              <w:top w:w="20" w:type="dxa"/>
              <w:bottom w:w="20" w:type="dxa"/>
            </w:tcMar>
          </w:tcPr>
          <w:p w14:paraId="03C30157" w14:textId="77777777" w:rsidR="00054BF0" w:rsidRDefault="00000000">
            <w:pPr>
              <w:spacing w:before="200" w:line="220" w:lineRule="atLeast"/>
            </w:pPr>
            <w:r>
              <w:rPr>
                <w:rFonts w:ascii="Arial" w:eastAsia="Arial" w:hAnsi="Arial" w:cs="Arial"/>
                <w:b/>
                <w:color w:val="000000"/>
                <w:sz w:val="18"/>
              </w:rPr>
              <w:t>Prevalent PPP measures</w:t>
            </w:r>
          </w:p>
        </w:tc>
        <w:tc>
          <w:tcPr>
            <w:tcW w:w="1800" w:type="dxa"/>
            <w:tcBorders>
              <w:bottom w:val="nil"/>
            </w:tcBorders>
            <w:tcMar>
              <w:top w:w="20" w:type="dxa"/>
              <w:bottom w:w="20" w:type="dxa"/>
            </w:tcMar>
          </w:tcPr>
          <w:p w14:paraId="6B170A6B" w14:textId="77777777" w:rsidR="00054BF0" w:rsidRDefault="00000000">
            <w:pPr>
              <w:spacing w:before="200" w:line="220" w:lineRule="atLeast"/>
            </w:pPr>
            <w:r>
              <w:rPr>
                <w:rFonts w:ascii="Arial" w:eastAsia="Arial" w:hAnsi="Arial" w:cs="Arial"/>
                <w:b/>
                <w:color w:val="000000"/>
                <w:sz w:val="18"/>
              </w:rPr>
              <w:t>Adjusted scales</w:t>
            </w:r>
          </w:p>
        </w:tc>
      </w:tr>
      <w:tr w:rsidR="00054BF0" w14:paraId="5E42A118" w14:textId="77777777">
        <w:trPr>
          <w:jc w:val="center"/>
        </w:trPr>
        <w:tc>
          <w:tcPr>
            <w:tcW w:w="4440" w:type="dxa"/>
            <w:tcBorders>
              <w:bottom w:val="nil"/>
              <w:right w:val="nil"/>
            </w:tcBorders>
            <w:tcMar>
              <w:top w:w="20" w:type="dxa"/>
              <w:bottom w:w="20" w:type="dxa"/>
            </w:tcMar>
          </w:tcPr>
          <w:p w14:paraId="5068154A" w14:textId="77777777" w:rsidR="00054BF0" w:rsidRDefault="00000000">
            <w:pPr>
              <w:spacing w:line="220" w:lineRule="atLeast"/>
            </w:pPr>
            <w:r>
              <w:rPr>
                <w:rFonts w:ascii="Arial" w:eastAsia="Arial" w:hAnsi="Arial" w:cs="Arial"/>
                <w:color w:val="000000"/>
                <w:sz w:val="18"/>
              </w:rPr>
              <w:t>Prevalent measures to deal with uncertainty</w:t>
            </w:r>
          </w:p>
        </w:tc>
        <w:tc>
          <w:tcPr>
            <w:tcW w:w="3000" w:type="dxa"/>
            <w:tcBorders>
              <w:bottom w:val="nil"/>
              <w:right w:val="nil"/>
            </w:tcBorders>
            <w:tcMar>
              <w:top w:w="20" w:type="dxa"/>
              <w:bottom w:w="20" w:type="dxa"/>
            </w:tcMar>
          </w:tcPr>
          <w:p w14:paraId="44058B94" w14:textId="77777777" w:rsidR="00054BF0" w:rsidRDefault="00054BF0"/>
        </w:tc>
        <w:tc>
          <w:tcPr>
            <w:tcW w:w="1800" w:type="dxa"/>
            <w:tcBorders>
              <w:bottom w:val="nil"/>
            </w:tcBorders>
            <w:tcMar>
              <w:top w:w="20" w:type="dxa"/>
              <w:bottom w:w="20" w:type="dxa"/>
            </w:tcMar>
          </w:tcPr>
          <w:p w14:paraId="23C8827C" w14:textId="77777777" w:rsidR="00054BF0" w:rsidRDefault="00054BF0"/>
        </w:tc>
      </w:tr>
      <w:tr w:rsidR="00054BF0" w14:paraId="0B3C06A6" w14:textId="77777777">
        <w:trPr>
          <w:jc w:val="center"/>
        </w:trPr>
        <w:tc>
          <w:tcPr>
            <w:tcW w:w="4440" w:type="dxa"/>
            <w:tcBorders>
              <w:bottom w:val="nil"/>
              <w:right w:val="nil"/>
            </w:tcBorders>
            <w:tcMar>
              <w:top w:w="20" w:type="dxa"/>
              <w:bottom w:w="20" w:type="dxa"/>
            </w:tcMar>
          </w:tcPr>
          <w:p w14:paraId="3D2AEB96"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329CB97A" w14:textId="77777777" w:rsidR="00054BF0" w:rsidRDefault="00000000">
            <w:pPr>
              <w:spacing w:line="220" w:lineRule="atLeast"/>
            </w:pPr>
            <w:r>
              <w:rPr>
                <w:rFonts w:ascii="Arial" w:eastAsia="Arial" w:hAnsi="Arial" w:cs="Arial"/>
                <w:color w:val="000000"/>
                <w:sz w:val="18"/>
              </w:rPr>
              <w:t>Minimum revenue guarantee</w:t>
            </w:r>
          </w:p>
        </w:tc>
        <w:tc>
          <w:tcPr>
            <w:tcW w:w="1800" w:type="dxa"/>
            <w:tcBorders>
              <w:bottom w:val="nil"/>
            </w:tcBorders>
            <w:tcMar>
              <w:top w:w="20" w:type="dxa"/>
              <w:bottom w:w="20" w:type="dxa"/>
            </w:tcMar>
          </w:tcPr>
          <w:p w14:paraId="41844AF2" w14:textId="77777777" w:rsidR="00054BF0" w:rsidRDefault="00000000">
            <w:pPr>
              <w:spacing w:line="220" w:lineRule="atLeast"/>
            </w:pPr>
            <w:r>
              <w:rPr>
                <w:rFonts w:ascii="Arial" w:eastAsia="Arial" w:hAnsi="Arial" w:cs="Arial"/>
                <w:color w:val="000000"/>
                <w:sz w:val="18"/>
              </w:rPr>
              <w:t>2.0</w:t>
            </w:r>
          </w:p>
        </w:tc>
      </w:tr>
      <w:tr w:rsidR="00054BF0" w14:paraId="42A42836" w14:textId="77777777">
        <w:trPr>
          <w:jc w:val="center"/>
        </w:trPr>
        <w:tc>
          <w:tcPr>
            <w:tcW w:w="4440" w:type="dxa"/>
            <w:tcBorders>
              <w:bottom w:val="nil"/>
              <w:right w:val="nil"/>
            </w:tcBorders>
            <w:tcMar>
              <w:top w:w="20" w:type="dxa"/>
              <w:bottom w:w="20" w:type="dxa"/>
            </w:tcMar>
          </w:tcPr>
          <w:p w14:paraId="18D7D4E4"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2B0EE65A" w14:textId="77777777" w:rsidR="00054BF0" w:rsidRDefault="00000000">
            <w:pPr>
              <w:spacing w:line="220" w:lineRule="atLeast"/>
            </w:pPr>
            <w:r>
              <w:rPr>
                <w:rFonts w:ascii="Arial" w:eastAsia="Arial" w:hAnsi="Arial" w:cs="Arial"/>
                <w:color w:val="000000"/>
                <w:sz w:val="18"/>
              </w:rPr>
              <w:t>Investment risk sharing</w:t>
            </w:r>
          </w:p>
        </w:tc>
        <w:tc>
          <w:tcPr>
            <w:tcW w:w="1800" w:type="dxa"/>
            <w:tcBorders>
              <w:bottom w:val="nil"/>
            </w:tcBorders>
            <w:tcMar>
              <w:top w:w="20" w:type="dxa"/>
              <w:bottom w:w="20" w:type="dxa"/>
            </w:tcMar>
          </w:tcPr>
          <w:p w14:paraId="75A7D505" w14:textId="77777777" w:rsidR="00054BF0" w:rsidRDefault="00000000">
            <w:pPr>
              <w:spacing w:line="220" w:lineRule="atLeast"/>
            </w:pPr>
            <w:r>
              <w:rPr>
                <w:rFonts w:ascii="Arial" w:eastAsia="Arial" w:hAnsi="Arial" w:cs="Arial"/>
                <w:color w:val="000000"/>
                <w:sz w:val="18"/>
              </w:rPr>
              <w:t>1.0</w:t>
            </w:r>
          </w:p>
        </w:tc>
      </w:tr>
      <w:tr w:rsidR="00054BF0" w14:paraId="2C595A7C" w14:textId="77777777">
        <w:trPr>
          <w:jc w:val="center"/>
        </w:trPr>
        <w:tc>
          <w:tcPr>
            <w:tcW w:w="4440" w:type="dxa"/>
            <w:tcBorders>
              <w:bottom w:val="nil"/>
              <w:right w:val="nil"/>
            </w:tcBorders>
            <w:tcMar>
              <w:top w:w="20" w:type="dxa"/>
              <w:bottom w:w="20" w:type="dxa"/>
            </w:tcMar>
          </w:tcPr>
          <w:p w14:paraId="2EA78226" w14:textId="77777777" w:rsidR="00054BF0" w:rsidRDefault="00000000">
            <w:pPr>
              <w:spacing w:line="220" w:lineRule="atLeast"/>
            </w:pPr>
            <w:r>
              <w:rPr>
                <w:rFonts w:ascii="Arial" w:eastAsia="Arial" w:hAnsi="Arial" w:cs="Arial"/>
                <w:color w:val="000000"/>
                <w:sz w:val="18"/>
              </w:rPr>
              <w:t>?Indian system</w:t>
            </w:r>
          </w:p>
        </w:tc>
        <w:tc>
          <w:tcPr>
            <w:tcW w:w="3000" w:type="dxa"/>
            <w:tcBorders>
              <w:bottom w:val="nil"/>
              <w:right w:val="nil"/>
            </w:tcBorders>
            <w:tcMar>
              <w:top w:w="20" w:type="dxa"/>
              <w:bottom w:w="20" w:type="dxa"/>
            </w:tcMar>
          </w:tcPr>
          <w:p w14:paraId="6B38C02C" w14:textId="77777777" w:rsidR="00054BF0" w:rsidRDefault="00000000">
            <w:pPr>
              <w:spacing w:line="220" w:lineRule="atLeast"/>
            </w:pPr>
            <w:r>
              <w:rPr>
                <w:rFonts w:ascii="Arial" w:eastAsia="Arial" w:hAnsi="Arial" w:cs="Arial"/>
                <w:color w:val="000000"/>
                <w:sz w:val="18"/>
              </w:rPr>
              <w:t>Flexible concession period</w:t>
            </w:r>
          </w:p>
        </w:tc>
        <w:tc>
          <w:tcPr>
            <w:tcW w:w="1800" w:type="dxa"/>
            <w:tcBorders>
              <w:bottom w:val="nil"/>
            </w:tcBorders>
            <w:tcMar>
              <w:top w:w="20" w:type="dxa"/>
              <w:bottom w:w="20" w:type="dxa"/>
            </w:tcMar>
          </w:tcPr>
          <w:p w14:paraId="7B31460D" w14:textId="77777777" w:rsidR="00054BF0" w:rsidRDefault="00000000">
            <w:pPr>
              <w:spacing w:line="220" w:lineRule="atLeast"/>
            </w:pPr>
            <w:r>
              <w:rPr>
                <w:rFonts w:ascii="Arial" w:eastAsia="Arial" w:hAnsi="Arial" w:cs="Arial"/>
                <w:color w:val="000000"/>
                <w:sz w:val="18"/>
              </w:rPr>
              <w:t>0.0</w:t>
            </w:r>
          </w:p>
        </w:tc>
      </w:tr>
      <w:tr w:rsidR="00054BF0" w14:paraId="60AFC1A7" w14:textId="77777777">
        <w:trPr>
          <w:jc w:val="center"/>
        </w:trPr>
        <w:tc>
          <w:tcPr>
            <w:tcW w:w="4440" w:type="dxa"/>
            <w:tcBorders>
              <w:bottom w:val="nil"/>
              <w:right w:val="nil"/>
            </w:tcBorders>
            <w:tcMar>
              <w:top w:w="20" w:type="dxa"/>
              <w:bottom w:w="20" w:type="dxa"/>
            </w:tcMar>
          </w:tcPr>
          <w:p w14:paraId="7AF100F7" w14:textId="77777777" w:rsidR="00054BF0" w:rsidRDefault="00000000">
            <w:pPr>
              <w:spacing w:line="220" w:lineRule="atLeast"/>
            </w:pPr>
            <w:r>
              <w:rPr>
                <w:rFonts w:ascii="Arial" w:eastAsia="Arial" w:hAnsi="Arial" w:cs="Arial"/>
                <w:color w:val="000000"/>
                <w:sz w:val="18"/>
              </w:rPr>
              <w:t>Prevalent measures to deal with restricted pricing</w:t>
            </w:r>
          </w:p>
        </w:tc>
        <w:tc>
          <w:tcPr>
            <w:tcW w:w="3000" w:type="dxa"/>
            <w:tcBorders>
              <w:bottom w:val="nil"/>
              <w:right w:val="nil"/>
            </w:tcBorders>
            <w:tcMar>
              <w:top w:w="20" w:type="dxa"/>
              <w:bottom w:w="20" w:type="dxa"/>
            </w:tcMar>
          </w:tcPr>
          <w:p w14:paraId="0ABEED3C" w14:textId="77777777" w:rsidR="00054BF0" w:rsidRDefault="00054BF0"/>
        </w:tc>
        <w:tc>
          <w:tcPr>
            <w:tcW w:w="1800" w:type="dxa"/>
            <w:tcBorders>
              <w:bottom w:val="nil"/>
            </w:tcBorders>
            <w:tcMar>
              <w:top w:w="20" w:type="dxa"/>
              <w:bottom w:w="20" w:type="dxa"/>
            </w:tcMar>
          </w:tcPr>
          <w:p w14:paraId="599FC0AE" w14:textId="77777777" w:rsidR="00054BF0" w:rsidRDefault="00054BF0"/>
        </w:tc>
      </w:tr>
      <w:tr w:rsidR="00054BF0" w14:paraId="3D482BC9" w14:textId="77777777">
        <w:trPr>
          <w:jc w:val="center"/>
        </w:trPr>
        <w:tc>
          <w:tcPr>
            <w:tcW w:w="4440" w:type="dxa"/>
            <w:tcBorders>
              <w:bottom w:val="nil"/>
              <w:right w:val="nil"/>
            </w:tcBorders>
            <w:tcMar>
              <w:top w:w="20" w:type="dxa"/>
              <w:bottom w:w="20" w:type="dxa"/>
            </w:tcMar>
          </w:tcPr>
          <w:p w14:paraId="51A519D4"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45DCC503" w14:textId="77777777" w:rsidR="00054BF0" w:rsidRDefault="00000000">
            <w:pPr>
              <w:spacing w:line="220" w:lineRule="atLeast"/>
            </w:pPr>
            <w:r>
              <w:rPr>
                <w:rFonts w:ascii="Arial" w:eastAsia="Arial" w:hAnsi="Arial" w:cs="Arial"/>
                <w:color w:val="000000"/>
                <w:sz w:val="18"/>
              </w:rPr>
              <w:t>Full indexation</w:t>
            </w:r>
          </w:p>
        </w:tc>
        <w:tc>
          <w:tcPr>
            <w:tcW w:w="1800" w:type="dxa"/>
            <w:tcBorders>
              <w:bottom w:val="nil"/>
            </w:tcBorders>
            <w:tcMar>
              <w:top w:w="20" w:type="dxa"/>
              <w:bottom w:w="20" w:type="dxa"/>
            </w:tcMar>
          </w:tcPr>
          <w:p w14:paraId="417EEC9D" w14:textId="77777777" w:rsidR="00054BF0" w:rsidRDefault="00000000">
            <w:pPr>
              <w:spacing w:line="220" w:lineRule="atLeast"/>
            </w:pPr>
            <w:r>
              <w:rPr>
                <w:rFonts w:ascii="Arial" w:eastAsia="Arial" w:hAnsi="Arial" w:cs="Arial"/>
                <w:color w:val="000000"/>
                <w:sz w:val="18"/>
              </w:rPr>
              <w:t>2.0</w:t>
            </w:r>
          </w:p>
        </w:tc>
      </w:tr>
      <w:tr w:rsidR="00054BF0" w14:paraId="5ED96C00" w14:textId="77777777">
        <w:trPr>
          <w:jc w:val="center"/>
        </w:trPr>
        <w:tc>
          <w:tcPr>
            <w:tcW w:w="4440" w:type="dxa"/>
            <w:tcBorders>
              <w:bottom w:val="nil"/>
              <w:right w:val="nil"/>
            </w:tcBorders>
            <w:tcMar>
              <w:top w:w="20" w:type="dxa"/>
              <w:bottom w:w="20" w:type="dxa"/>
            </w:tcMar>
          </w:tcPr>
          <w:p w14:paraId="14C49550"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54A0E8FD" w14:textId="77777777" w:rsidR="00054BF0" w:rsidRDefault="00000000">
            <w:pPr>
              <w:spacing w:line="220" w:lineRule="atLeast"/>
            </w:pPr>
            <w:r>
              <w:rPr>
                <w:rFonts w:ascii="Arial" w:eastAsia="Arial" w:hAnsi="Arial" w:cs="Arial"/>
                <w:color w:val="000000"/>
                <w:sz w:val="18"/>
              </w:rPr>
              <w:t>Full indexation</w:t>
            </w:r>
          </w:p>
        </w:tc>
        <w:tc>
          <w:tcPr>
            <w:tcW w:w="1800" w:type="dxa"/>
            <w:tcBorders>
              <w:bottom w:val="nil"/>
            </w:tcBorders>
            <w:tcMar>
              <w:top w:w="20" w:type="dxa"/>
              <w:bottom w:w="20" w:type="dxa"/>
            </w:tcMar>
          </w:tcPr>
          <w:p w14:paraId="3C172454" w14:textId="77777777" w:rsidR="00054BF0" w:rsidRDefault="00000000">
            <w:pPr>
              <w:spacing w:line="220" w:lineRule="atLeast"/>
            </w:pPr>
            <w:r>
              <w:rPr>
                <w:rFonts w:ascii="Arial" w:eastAsia="Arial" w:hAnsi="Arial" w:cs="Arial"/>
                <w:color w:val="000000"/>
                <w:sz w:val="18"/>
              </w:rPr>
              <w:t>2.0</w:t>
            </w:r>
          </w:p>
        </w:tc>
      </w:tr>
      <w:tr w:rsidR="00054BF0" w14:paraId="6AD88F24" w14:textId="77777777">
        <w:trPr>
          <w:jc w:val="center"/>
        </w:trPr>
        <w:tc>
          <w:tcPr>
            <w:tcW w:w="4440" w:type="dxa"/>
            <w:tcBorders>
              <w:bottom w:val="nil"/>
              <w:right w:val="nil"/>
            </w:tcBorders>
            <w:tcMar>
              <w:top w:w="20" w:type="dxa"/>
              <w:bottom w:w="20" w:type="dxa"/>
            </w:tcMar>
          </w:tcPr>
          <w:p w14:paraId="561132C3" w14:textId="77777777" w:rsidR="00054BF0" w:rsidRDefault="00000000">
            <w:pPr>
              <w:spacing w:line="220" w:lineRule="atLeast"/>
            </w:pPr>
            <w:r>
              <w:rPr>
                <w:rFonts w:ascii="Arial" w:eastAsia="Arial" w:hAnsi="Arial" w:cs="Arial"/>
                <w:color w:val="000000"/>
                <w:sz w:val="18"/>
              </w:rPr>
              <w:t>?Indian system</w:t>
            </w:r>
          </w:p>
        </w:tc>
        <w:tc>
          <w:tcPr>
            <w:tcW w:w="3000" w:type="dxa"/>
            <w:tcBorders>
              <w:bottom w:val="nil"/>
              <w:right w:val="nil"/>
            </w:tcBorders>
            <w:tcMar>
              <w:top w:w="20" w:type="dxa"/>
              <w:bottom w:w="20" w:type="dxa"/>
            </w:tcMar>
          </w:tcPr>
          <w:p w14:paraId="6CD538DB" w14:textId="77777777" w:rsidR="00054BF0" w:rsidRDefault="00000000">
            <w:pPr>
              <w:spacing w:line="220" w:lineRule="atLeast"/>
            </w:pPr>
            <w:r>
              <w:rPr>
                <w:rFonts w:ascii="Arial" w:eastAsia="Arial" w:hAnsi="Arial" w:cs="Arial"/>
                <w:color w:val="000000"/>
                <w:sz w:val="18"/>
              </w:rPr>
              <w:t>Partial indexation</w:t>
            </w:r>
          </w:p>
        </w:tc>
        <w:tc>
          <w:tcPr>
            <w:tcW w:w="1800" w:type="dxa"/>
            <w:tcBorders>
              <w:bottom w:val="nil"/>
            </w:tcBorders>
            <w:tcMar>
              <w:top w:w="20" w:type="dxa"/>
              <w:bottom w:w="20" w:type="dxa"/>
            </w:tcMar>
          </w:tcPr>
          <w:p w14:paraId="4AF3177A" w14:textId="77777777" w:rsidR="00054BF0" w:rsidRDefault="00000000">
            <w:pPr>
              <w:spacing w:line="220" w:lineRule="atLeast"/>
            </w:pPr>
            <w:r>
              <w:rPr>
                <w:rFonts w:ascii="Arial" w:eastAsia="Arial" w:hAnsi="Arial" w:cs="Arial"/>
                <w:color w:val="000000"/>
                <w:sz w:val="18"/>
              </w:rPr>
              <w:t>1.0</w:t>
            </w:r>
          </w:p>
        </w:tc>
      </w:tr>
      <w:tr w:rsidR="00054BF0" w14:paraId="1A64B883" w14:textId="77777777">
        <w:trPr>
          <w:jc w:val="center"/>
        </w:trPr>
        <w:tc>
          <w:tcPr>
            <w:tcW w:w="4440" w:type="dxa"/>
            <w:tcBorders>
              <w:bottom w:val="nil"/>
              <w:right w:val="nil"/>
            </w:tcBorders>
            <w:tcMar>
              <w:top w:w="20" w:type="dxa"/>
              <w:bottom w:w="20" w:type="dxa"/>
            </w:tcMar>
          </w:tcPr>
          <w:p w14:paraId="10F84088" w14:textId="77777777" w:rsidR="00054BF0" w:rsidRDefault="00000000">
            <w:pPr>
              <w:spacing w:line="220" w:lineRule="atLeast"/>
            </w:pPr>
            <w:r>
              <w:rPr>
                <w:rFonts w:ascii="Arial" w:eastAsia="Arial" w:hAnsi="Arial" w:cs="Arial"/>
                <w:color w:val="000000"/>
                <w:sz w:val="18"/>
              </w:rPr>
              <w:t>Prevalent measures to facilitate project finance</w:t>
            </w:r>
          </w:p>
        </w:tc>
        <w:tc>
          <w:tcPr>
            <w:tcW w:w="3000" w:type="dxa"/>
            <w:tcBorders>
              <w:bottom w:val="nil"/>
              <w:right w:val="nil"/>
            </w:tcBorders>
            <w:tcMar>
              <w:top w:w="20" w:type="dxa"/>
              <w:bottom w:w="20" w:type="dxa"/>
            </w:tcMar>
          </w:tcPr>
          <w:p w14:paraId="1ED05CFA" w14:textId="77777777" w:rsidR="00054BF0" w:rsidRDefault="00054BF0"/>
        </w:tc>
        <w:tc>
          <w:tcPr>
            <w:tcW w:w="1800" w:type="dxa"/>
            <w:tcBorders>
              <w:bottom w:val="nil"/>
            </w:tcBorders>
            <w:tcMar>
              <w:top w:w="20" w:type="dxa"/>
              <w:bottom w:w="20" w:type="dxa"/>
            </w:tcMar>
          </w:tcPr>
          <w:p w14:paraId="3A8BA5CF" w14:textId="77777777" w:rsidR="00054BF0" w:rsidRDefault="00054BF0"/>
        </w:tc>
      </w:tr>
      <w:tr w:rsidR="00054BF0" w14:paraId="114E0300" w14:textId="77777777">
        <w:trPr>
          <w:jc w:val="center"/>
        </w:trPr>
        <w:tc>
          <w:tcPr>
            <w:tcW w:w="4440" w:type="dxa"/>
            <w:tcBorders>
              <w:bottom w:val="nil"/>
              <w:right w:val="nil"/>
            </w:tcBorders>
            <w:tcMar>
              <w:top w:w="20" w:type="dxa"/>
              <w:bottom w:w="20" w:type="dxa"/>
            </w:tcMar>
          </w:tcPr>
          <w:p w14:paraId="250749EA"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23AB650F" w14:textId="77777777" w:rsidR="00054BF0" w:rsidRDefault="00000000">
            <w:pPr>
              <w:spacing w:line="220" w:lineRule="atLeast"/>
            </w:pPr>
            <w:r>
              <w:rPr>
                <w:rFonts w:ascii="Arial" w:eastAsia="Arial" w:hAnsi="Arial" w:cs="Arial"/>
                <w:color w:val="000000"/>
                <w:sz w:val="18"/>
              </w:rPr>
              <w:t>Loan guarantee</w:t>
            </w:r>
          </w:p>
        </w:tc>
        <w:tc>
          <w:tcPr>
            <w:tcW w:w="1800" w:type="dxa"/>
            <w:tcBorders>
              <w:bottom w:val="nil"/>
            </w:tcBorders>
            <w:tcMar>
              <w:top w:w="20" w:type="dxa"/>
              <w:bottom w:w="20" w:type="dxa"/>
            </w:tcMar>
          </w:tcPr>
          <w:p w14:paraId="0150BC22" w14:textId="77777777" w:rsidR="00054BF0" w:rsidRDefault="00000000">
            <w:pPr>
              <w:spacing w:line="220" w:lineRule="atLeast"/>
            </w:pPr>
            <w:r>
              <w:rPr>
                <w:rFonts w:ascii="Arial" w:eastAsia="Arial" w:hAnsi="Arial" w:cs="Arial"/>
                <w:color w:val="000000"/>
                <w:sz w:val="18"/>
              </w:rPr>
              <w:t>3.0</w:t>
            </w:r>
          </w:p>
        </w:tc>
      </w:tr>
      <w:tr w:rsidR="00054BF0" w14:paraId="5DBEFC37" w14:textId="77777777">
        <w:trPr>
          <w:jc w:val="center"/>
        </w:trPr>
        <w:tc>
          <w:tcPr>
            <w:tcW w:w="4440" w:type="dxa"/>
            <w:tcBorders>
              <w:bottom w:val="nil"/>
              <w:right w:val="nil"/>
            </w:tcBorders>
            <w:tcMar>
              <w:top w:w="20" w:type="dxa"/>
              <w:bottom w:w="20" w:type="dxa"/>
            </w:tcMar>
          </w:tcPr>
          <w:p w14:paraId="78D5D5A3"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3E71D439" w14:textId="77777777" w:rsidR="00054BF0" w:rsidRDefault="00000000">
            <w:pPr>
              <w:spacing w:line="220" w:lineRule="atLeast"/>
            </w:pPr>
            <w:r>
              <w:rPr>
                <w:rFonts w:ascii="Arial" w:eastAsia="Arial" w:hAnsi="Arial" w:cs="Arial"/>
                <w:color w:val="000000"/>
                <w:sz w:val="18"/>
              </w:rPr>
              <w:t>Foreign exchange insurance</w:t>
            </w:r>
          </w:p>
        </w:tc>
        <w:tc>
          <w:tcPr>
            <w:tcW w:w="1800" w:type="dxa"/>
            <w:tcBorders>
              <w:bottom w:val="nil"/>
            </w:tcBorders>
            <w:tcMar>
              <w:top w:w="20" w:type="dxa"/>
              <w:bottom w:w="20" w:type="dxa"/>
            </w:tcMar>
          </w:tcPr>
          <w:p w14:paraId="2FE776A2" w14:textId="77777777" w:rsidR="00054BF0" w:rsidRDefault="00000000">
            <w:pPr>
              <w:spacing w:line="220" w:lineRule="atLeast"/>
            </w:pPr>
            <w:r>
              <w:rPr>
                <w:rFonts w:ascii="Arial" w:eastAsia="Arial" w:hAnsi="Arial" w:cs="Arial"/>
                <w:color w:val="000000"/>
                <w:sz w:val="18"/>
              </w:rPr>
              <w:t>2.0</w:t>
            </w:r>
          </w:p>
        </w:tc>
      </w:tr>
      <w:tr w:rsidR="00054BF0" w14:paraId="6D9FC807" w14:textId="77777777">
        <w:trPr>
          <w:jc w:val="center"/>
        </w:trPr>
        <w:tc>
          <w:tcPr>
            <w:tcW w:w="4440" w:type="dxa"/>
            <w:tcBorders>
              <w:right w:val="nil"/>
            </w:tcBorders>
            <w:tcMar>
              <w:top w:w="20" w:type="dxa"/>
              <w:bottom w:w="20" w:type="dxa"/>
            </w:tcMar>
          </w:tcPr>
          <w:p w14:paraId="02DEC23F" w14:textId="77777777" w:rsidR="00054BF0" w:rsidRDefault="00000000">
            <w:pPr>
              <w:spacing w:line="220" w:lineRule="atLeast"/>
            </w:pPr>
            <w:r>
              <w:rPr>
                <w:rFonts w:ascii="Arial" w:eastAsia="Arial" w:hAnsi="Arial" w:cs="Arial"/>
                <w:color w:val="000000"/>
                <w:sz w:val="18"/>
              </w:rPr>
              <w:t>?Indian system</w:t>
            </w:r>
          </w:p>
        </w:tc>
        <w:tc>
          <w:tcPr>
            <w:tcW w:w="3000" w:type="dxa"/>
            <w:tcBorders>
              <w:right w:val="nil"/>
            </w:tcBorders>
            <w:tcMar>
              <w:top w:w="20" w:type="dxa"/>
              <w:bottom w:w="20" w:type="dxa"/>
            </w:tcMar>
          </w:tcPr>
          <w:p w14:paraId="36CE8C75" w14:textId="77777777" w:rsidR="00054BF0" w:rsidRDefault="00000000">
            <w:pPr>
              <w:spacing w:line="220" w:lineRule="atLeast"/>
            </w:pPr>
            <w:r>
              <w:rPr>
                <w:rFonts w:ascii="Arial" w:eastAsia="Arial" w:hAnsi="Arial" w:cs="Arial"/>
                <w:color w:val="000000"/>
                <w:sz w:val="18"/>
              </w:rPr>
              <w:t>Take out finance</w:t>
            </w:r>
          </w:p>
        </w:tc>
        <w:tc>
          <w:tcPr>
            <w:tcW w:w="1800" w:type="dxa"/>
            <w:tcMar>
              <w:top w:w="20" w:type="dxa"/>
              <w:bottom w:w="20" w:type="dxa"/>
            </w:tcMar>
          </w:tcPr>
          <w:p w14:paraId="2CEF265F" w14:textId="77777777" w:rsidR="00054BF0" w:rsidRDefault="00000000">
            <w:pPr>
              <w:spacing w:line="220" w:lineRule="atLeast"/>
            </w:pPr>
            <w:r>
              <w:rPr>
                <w:rFonts w:ascii="Arial" w:eastAsia="Arial" w:hAnsi="Arial" w:cs="Arial"/>
                <w:color w:val="000000"/>
                <w:sz w:val="18"/>
              </w:rPr>
              <w:t>1.5</w:t>
            </w:r>
          </w:p>
        </w:tc>
      </w:tr>
    </w:tbl>
    <w:p w14:paraId="25C99341"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Prepared by the Author for the analysis of this paper.</w:t>
      </w:r>
    </w:p>
    <w:p w14:paraId="4122EEDE"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743294B6" w14:textId="77777777" w:rsidR="00054BF0" w:rsidRDefault="00000000">
      <w:pPr>
        <w:spacing w:before="200" w:line="260" w:lineRule="atLeast"/>
        <w:jc w:val="both"/>
      </w:pPr>
      <w:r>
        <w:rPr>
          <w:rFonts w:ascii="Arial" w:eastAsia="Arial" w:hAnsi="Arial" w:cs="Arial"/>
          <w:color w:val="000000"/>
          <w:sz w:val="20"/>
        </w:rPr>
        <w:t>The above has been visually illustrated with use of a radar chart. Figure 3 has clearly indicated that India’s PPP system is the most cost-effective among three countries. Ideally, this analysis should have been conducted based on a series of interviews toward PPP experts with regard to the degree of cost-effectiveness of individual PPP measures, but these interviews were not carried out due to time/budgetary constraints. The above is intended to demonstrate a possible method of comparing the cost-effectiveness of the PPP systems of selected countries.</w:t>
      </w:r>
    </w:p>
    <w:p w14:paraId="537FF0B1" w14:textId="77777777" w:rsidR="00054BF0" w:rsidRDefault="00000000">
      <w:pPr>
        <w:spacing w:before="240" w:line="260" w:lineRule="atLeast"/>
      </w:pPr>
      <w:r>
        <w:rPr>
          <w:rFonts w:ascii="Arial" w:eastAsia="Arial" w:hAnsi="Arial" w:cs="Arial"/>
          <w:b/>
          <w:color w:val="000000"/>
          <w:sz w:val="20"/>
        </w:rPr>
        <w:t>Figure 3.</w:t>
      </w:r>
    </w:p>
    <w:p w14:paraId="6E41A9C3" w14:textId="77777777" w:rsidR="00054BF0" w:rsidRDefault="00000000">
      <w:pPr>
        <w:spacing w:before="200" w:line="260" w:lineRule="atLeast"/>
        <w:jc w:val="both"/>
      </w:pPr>
      <w:r>
        <w:rPr>
          <w:rFonts w:ascii="Arial" w:eastAsia="Arial" w:hAnsi="Arial" w:cs="Arial"/>
          <w:color w:val="000000"/>
          <w:sz w:val="20"/>
        </w:rPr>
        <w:t>Effectiveness of the PPP systems of selected countries.</w:t>
      </w:r>
    </w:p>
    <w:p w14:paraId="681A9A85"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Developed by S. Tsukada.</w:t>
      </w:r>
    </w:p>
    <w:p w14:paraId="5FA6C3BF"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1BB051A7" w14:textId="77777777" w:rsidR="00054BF0" w:rsidRDefault="00000000">
      <w:pPr>
        <w:spacing w:before="240" w:line="260" w:lineRule="atLeast"/>
      </w:pPr>
      <w:r>
        <w:rPr>
          <w:rFonts w:ascii="Arial" w:eastAsia="Arial" w:hAnsi="Arial" w:cs="Arial"/>
          <w:b/>
          <w:color w:val="000000"/>
          <w:sz w:val="20"/>
        </w:rPr>
        <w:t>Underlying Factors to Enable India to Adopt Cost-Effective Measures</w:t>
      </w:r>
    </w:p>
    <w:p w14:paraId="56393049" w14:textId="77777777" w:rsidR="00054BF0" w:rsidRDefault="00000000">
      <w:pPr>
        <w:spacing w:before="200" w:line="260" w:lineRule="atLeast"/>
        <w:jc w:val="both"/>
      </w:pPr>
      <w:r>
        <w:rPr>
          <w:rFonts w:ascii="Arial" w:eastAsia="Arial" w:hAnsi="Arial" w:cs="Arial"/>
          <w:color w:val="000000"/>
          <w:sz w:val="20"/>
        </w:rPr>
        <w:t>The above analysis indicates that India has been keeping a tight control on the issuance of contingent liabilities. In usual context, if one country is stingy in issuing the guarantee for the future possible losses that country would not able to attract the private sector to participate in PPP projects, but this did not happen in India. Why it is? The usual answer to this question is a policy/institutional framework instituted in India. Although this may be of one of the factors for the successful implementation of the PPP system in India, there are other, less noticeable, factors which have enabled India to succeed with PPP with active participation of the private sector.</w:t>
      </w:r>
    </w:p>
    <w:p w14:paraId="6AFE3855" w14:textId="77777777" w:rsidR="00054BF0" w:rsidRDefault="00000000">
      <w:pPr>
        <w:spacing w:before="240" w:line="260" w:lineRule="atLeast"/>
      </w:pPr>
      <w:r>
        <w:rPr>
          <w:rFonts w:ascii="Arial" w:eastAsia="Arial" w:hAnsi="Arial" w:cs="Arial"/>
          <w:b/>
          <w:color w:val="000000"/>
          <w:sz w:val="20"/>
        </w:rPr>
        <w:t>Limitation in Choices for Other Contracts Beside the BOT-Based PPP</w:t>
      </w:r>
    </w:p>
    <w:p w14:paraId="35C41096" w14:textId="77777777" w:rsidR="00054BF0" w:rsidRDefault="00000000">
      <w:pPr>
        <w:spacing w:before="200" w:line="260" w:lineRule="atLeast"/>
        <w:jc w:val="both"/>
      </w:pPr>
      <w:r>
        <w:rPr>
          <w:rFonts w:ascii="Arial" w:eastAsia="Arial" w:hAnsi="Arial" w:cs="Arial"/>
          <w:color w:val="000000"/>
          <w:sz w:val="20"/>
        </w:rPr>
        <w:lastRenderedPageBreak/>
        <w:t>The GoI’s decision to introduce the PPP system was decisive and sweeping in scope. Her decision was, for example, that all National Highways (NHs) have to be developed or upgraded under the BOT-based PPP scheme from 2005 onward. This means that the traditional public-sector procurement would no longer be available. In other words, if the contractors wish to stay in the road construction business, the only choice available for them is to bid for BOT-based PPP projects or to become subcontractors to bigger contractors who bid for BOT-based PPP projects. The effectiveness of this system was proved by the fact that 80% of NH construction has been conducted under BOT-based PPP with use of the viability gap fund system, 16%, under the annuity-based PPP system, and only 4%, under traditional public procurement.</w:t>
      </w:r>
    </w:p>
    <w:p w14:paraId="3DBD2023" w14:textId="77777777" w:rsidR="00054BF0" w:rsidRDefault="00000000">
      <w:pPr>
        <w:spacing w:before="240" w:line="260" w:lineRule="atLeast"/>
      </w:pPr>
      <w:r>
        <w:rPr>
          <w:rFonts w:ascii="Arial" w:eastAsia="Arial" w:hAnsi="Arial" w:cs="Arial"/>
          <w:b/>
          <w:color w:val="000000"/>
          <w:sz w:val="20"/>
        </w:rPr>
        <w:t>Introduction of Measures to Facilitate the Participation of Domestic Contractors</w:t>
      </w:r>
    </w:p>
    <w:p w14:paraId="1B86A9CC" w14:textId="77777777" w:rsidR="00054BF0" w:rsidRDefault="00000000">
      <w:pPr>
        <w:spacing w:before="200" w:line="260" w:lineRule="atLeast"/>
        <w:jc w:val="both"/>
      </w:pPr>
      <w:r>
        <w:rPr>
          <w:rFonts w:ascii="Arial" w:eastAsia="Arial" w:hAnsi="Arial" w:cs="Arial"/>
          <w:color w:val="000000"/>
          <w:sz w:val="20"/>
        </w:rPr>
        <w:t>As seen earlier, a unique element of India’s PPP system is lesser degree of dependence on foreign investors. This has enabled the GoI to develop her procurement/contract systems for PPP system solely in consideration of the needs of domestic contractors. The size of contract packages has been made very small so that small-scale domestic contractors can bid. The average size of the contract packages under the National Highway Development Program (NHDP) III program was $156 million per project,2 which is much smaller than those of Chile ($262 million per project at 1996 price3) and Korea ($450 million per project4).</w:t>
      </w:r>
    </w:p>
    <w:p w14:paraId="182CAABD" w14:textId="77777777" w:rsidR="00054BF0" w:rsidRDefault="00000000">
      <w:pPr>
        <w:spacing w:before="200" w:line="260" w:lineRule="atLeast"/>
        <w:jc w:val="both"/>
      </w:pPr>
      <w:r>
        <w:rPr>
          <w:rFonts w:ascii="Arial" w:eastAsia="Arial" w:hAnsi="Arial" w:cs="Arial"/>
          <w:color w:val="000000"/>
          <w:sz w:val="20"/>
        </w:rPr>
        <w:t>Another action taken by the GoI is the standardization of BOT/PPP contracts. This specific action has significantly reduced transaction costs associated with negotiations of contracts, a major deterrent for domestic contractors. The GoI developed a MCA which was universally applied to all PPP contracts. This has enabled both the government and contractors to go without extensive negotiations. This has resulted not only in reducing transaction costs, but also facilitated the participation of domestic contractors in BOT-based PPP projects.</w:t>
      </w:r>
    </w:p>
    <w:p w14:paraId="049ECDE9" w14:textId="77777777" w:rsidR="00054BF0" w:rsidRDefault="00000000">
      <w:pPr>
        <w:spacing w:before="240" w:line="260" w:lineRule="atLeast"/>
      </w:pPr>
      <w:r>
        <w:rPr>
          <w:rFonts w:ascii="Arial" w:eastAsia="Arial" w:hAnsi="Arial" w:cs="Arial"/>
          <w:b/>
          <w:color w:val="000000"/>
          <w:sz w:val="20"/>
        </w:rPr>
        <w:t>Applicability of the Above Measures to Other Developing Countries</w:t>
      </w:r>
    </w:p>
    <w:p w14:paraId="5B4E0E6D" w14:textId="77777777" w:rsidR="00054BF0" w:rsidRDefault="00000000">
      <w:pPr>
        <w:spacing w:before="200" w:line="260" w:lineRule="atLeast"/>
        <w:jc w:val="both"/>
      </w:pPr>
      <w:r>
        <w:rPr>
          <w:rFonts w:ascii="Arial" w:eastAsia="Arial" w:hAnsi="Arial" w:cs="Arial"/>
          <w:color w:val="000000"/>
          <w:sz w:val="20"/>
        </w:rPr>
        <w:t>Although the above measures are very unique to India, it is not impossible for other developing countries to adopt if the sector in question is those areas in which domestic contractors are available and also those sectors whose development does not require high level of technologies or complicated management system. India’s approach may not be applied to electricity sectors, but it can be applied to road sector and other similar sectors.</w:t>
      </w:r>
    </w:p>
    <w:p w14:paraId="5C8C60EF" w14:textId="77777777" w:rsidR="00054BF0" w:rsidRDefault="00000000">
      <w:pPr>
        <w:spacing w:before="240" w:line="260" w:lineRule="atLeast"/>
      </w:pPr>
      <w:r>
        <w:rPr>
          <w:rFonts w:ascii="Arial" w:eastAsia="Arial" w:hAnsi="Arial" w:cs="Arial"/>
          <w:b/>
          <w:color w:val="000000"/>
          <w:sz w:val="20"/>
        </w:rPr>
        <w:t>Conclusion</w:t>
      </w:r>
    </w:p>
    <w:p w14:paraId="106F9BE6" w14:textId="77777777" w:rsidR="00054BF0" w:rsidRDefault="00000000">
      <w:pPr>
        <w:spacing w:before="200" w:line="260" w:lineRule="atLeast"/>
        <w:jc w:val="both"/>
      </w:pPr>
      <w:r>
        <w:rPr>
          <w:rFonts w:ascii="Arial" w:eastAsia="Arial" w:hAnsi="Arial" w:cs="Arial"/>
          <w:color w:val="000000"/>
          <w:sz w:val="20"/>
        </w:rPr>
        <w:t xml:space="preserve">When discussing key success factors for PPP, the importance of incorporating a proper set of incentives is often emphasized. Although incentives are important, we should not overlook their cost implication. Investor-oriented policy measures tend to end </w:t>
      </w:r>
      <w:r>
        <w:rPr>
          <w:rFonts w:ascii="Arial" w:eastAsia="Arial" w:hAnsi="Arial" w:cs="Arial"/>
          <w:b/>
          <w:i/>
          <w:color w:val="000000"/>
          <w:sz w:val="20"/>
          <w:u w:val="single"/>
        </w:rPr>
        <w:t>up</w:t>
      </w:r>
      <w:r>
        <w:rPr>
          <w:rFonts w:ascii="Arial" w:eastAsia="Arial" w:hAnsi="Arial" w:cs="Arial"/>
          <w:color w:val="000000"/>
          <w:sz w:val="20"/>
        </w:rPr>
        <w:t xml:space="preserve"> with huge obligation to pay later by the governments.</w:t>
      </w:r>
    </w:p>
    <w:p w14:paraId="24BC8FB0" w14:textId="77777777" w:rsidR="00054BF0" w:rsidRDefault="00000000">
      <w:pPr>
        <w:spacing w:before="200" w:line="260" w:lineRule="atLeast"/>
        <w:jc w:val="both"/>
      </w:pPr>
      <w:r>
        <w:rPr>
          <w:rFonts w:ascii="Arial" w:eastAsia="Arial" w:hAnsi="Arial" w:cs="Arial"/>
          <w:color w:val="000000"/>
          <w:sz w:val="20"/>
        </w:rPr>
        <w:t>The real challenge facing developing countries is how to realize two contradictory objectives at the same time: (a) securing private sector participation in PPP projects, but (b) minimizing fiscal obligation to be shouldered later. India’s PPP system clearly demonstrates that it is possible to realize these two objectives at the same time. India has taken a tight control over contingent liabilities, but she has still manage to secure active participation of the private sector for PPP projects. Their carefully crafted PPP measures have enable to make this difficult challenge to be materialized. This would provide useful hints to those developing countries who are trying to attract the private sector without overly committing themselves for the coverage of the future losses to be incurred by the private sector.</w:t>
      </w:r>
    </w:p>
    <w:p w14:paraId="70E11133" w14:textId="77777777" w:rsidR="00054BF0" w:rsidRDefault="00000000">
      <w:pPr>
        <w:keepNext/>
        <w:spacing w:before="240" w:line="340" w:lineRule="atLeast"/>
      </w:pPr>
      <w:r>
        <w:br/>
      </w:r>
      <w:r>
        <w:rPr>
          <w:rFonts w:ascii="Arial" w:eastAsia="Arial" w:hAnsi="Arial" w:cs="Arial"/>
          <w:b/>
          <w:color w:val="000000"/>
          <w:sz w:val="28"/>
        </w:rPr>
        <w:t>Notes</w:t>
      </w:r>
    </w:p>
    <w:p w14:paraId="055DCF90" w14:textId="77777777" w:rsidR="00054BF0" w:rsidRDefault="00000000">
      <w:pPr>
        <w:spacing w:line="60" w:lineRule="exact"/>
      </w:pPr>
      <w:r>
        <w:pict w14:anchorId="76CEB3D7">
          <v:line id="_x0000_s2159" style="position:absolute;z-index:251725824" from="0,2pt" to="512pt,2pt" strokecolor="#009ddb" strokeweight="2pt">
            <w10:wrap type="topAndBottom"/>
          </v:line>
        </w:pict>
      </w:r>
    </w:p>
    <w:p w14:paraId="7AF06881" w14:textId="77777777" w:rsidR="00054BF0" w:rsidRDefault="00000000">
      <w:pPr>
        <w:spacing w:before="120" w:line="260" w:lineRule="atLeast"/>
      </w:pPr>
      <w:r>
        <w:rPr>
          <w:rFonts w:ascii="Arial" w:eastAsia="Arial" w:hAnsi="Arial" w:cs="Arial"/>
          <w:color w:val="000000"/>
          <w:sz w:val="20"/>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1. This portion is not a citation, but the author’s statement.; 2. This was estimated by the author on the basis of Guidelines for Investment in Road Sector (August 2011 version) </w:t>
      </w:r>
      <w:r>
        <w:rPr>
          <w:rFonts w:ascii="Arial" w:eastAsia="Arial" w:hAnsi="Arial" w:cs="Arial"/>
          <w:color w:val="000000"/>
          <w:sz w:val="20"/>
        </w:rPr>
        <w:lastRenderedPageBreak/>
        <w:t>which listed 25 projects from NHDP III as possible investment opportunities.; 3. This was estimated by the author with use of data “Toll Road Concession: The Chilean experience” (Lorenzen &amp; Barrientos, 2001).; 4. Korean Development Institute (KDI) report on “Success Stories and Lessons Learned from PPP Projects in Korea,” September 2014, which was submitted to Asia-Pacific Economic Cooperation (APEC) Committee.</w:t>
      </w:r>
    </w:p>
    <w:p w14:paraId="73E6089B" w14:textId="77777777" w:rsidR="00054BF0" w:rsidRDefault="00000000">
      <w:pPr>
        <w:keepNext/>
        <w:spacing w:before="240" w:line="340" w:lineRule="atLeast"/>
      </w:pPr>
      <w:bookmarkStart w:id="65" w:name="Bibliography_0"/>
      <w:bookmarkEnd w:id="65"/>
      <w:r>
        <w:rPr>
          <w:rFonts w:ascii="Arial" w:eastAsia="Arial" w:hAnsi="Arial" w:cs="Arial"/>
          <w:b/>
          <w:color w:val="000000"/>
          <w:sz w:val="28"/>
        </w:rPr>
        <w:t>Bibliography</w:t>
      </w:r>
    </w:p>
    <w:p w14:paraId="5AE52A4D" w14:textId="77777777" w:rsidR="00054BF0" w:rsidRDefault="00000000">
      <w:pPr>
        <w:spacing w:line="60" w:lineRule="exact"/>
      </w:pPr>
      <w:r>
        <w:pict w14:anchorId="72D630EB">
          <v:line id="_x0000_s2160" style="position:absolute;z-index:251726848" from="0,2pt" to="512pt,2pt" strokecolor="#009ddb" strokeweight="2pt">
            <w10:wrap type="topAndBottom"/>
          </v:line>
        </w:pict>
      </w:r>
    </w:p>
    <w:p w14:paraId="2494BFE4" w14:textId="77777777" w:rsidR="00054BF0" w:rsidRDefault="00054BF0"/>
    <w:p w14:paraId="7992413A" w14:textId="77777777" w:rsidR="00054BF0" w:rsidRDefault="00000000">
      <w:pPr>
        <w:spacing w:before="240" w:line="260" w:lineRule="atLeast"/>
      </w:pPr>
      <w:r>
        <w:rPr>
          <w:rFonts w:ascii="Arial" w:eastAsia="Arial" w:hAnsi="Arial" w:cs="Arial"/>
          <w:b/>
          <w:color w:val="000000"/>
          <w:sz w:val="20"/>
        </w:rPr>
        <w:t>REFERENCES</w:t>
      </w:r>
    </w:p>
    <w:p w14:paraId="7ADD3F22" w14:textId="77777777" w:rsidR="00054BF0" w:rsidRDefault="00000000">
      <w:pPr>
        <w:spacing w:before="200" w:line="260" w:lineRule="atLeast"/>
        <w:jc w:val="both"/>
      </w:pPr>
      <w:r>
        <w:rPr>
          <w:rFonts w:ascii="Arial" w:eastAsia="Arial" w:hAnsi="Arial" w:cs="Arial"/>
          <w:color w:val="000000"/>
          <w:sz w:val="20"/>
        </w:rPr>
        <w:t xml:space="preserve">Cuttaree V.,   (Feb. 2008). Successes and </w:t>
      </w:r>
      <w:r>
        <w:rPr>
          <w:rFonts w:ascii="Arial" w:eastAsia="Arial" w:hAnsi="Arial" w:cs="Arial"/>
          <w:b/>
          <w:i/>
          <w:color w:val="000000"/>
          <w:sz w:val="20"/>
          <w:u w:val="single"/>
        </w:rPr>
        <w:t>failures</w:t>
      </w:r>
      <w:r>
        <w:rPr>
          <w:rFonts w:ascii="Arial" w:eastAsia="Arial" w:hAnsi="Arial" w:cs="Arial"/>
          <w:color w:val="000000"/>
          <w:sz w:val="20"/>
        </w:rPr>
        <w:t xml:space="preserve"> of PPP projects. World Bank Conference in Warsaw, Washington, DC. </w:t>
      </w:r>
    </w:p>
    <w:p w14:paraId="14CBFF4E" w14:textId="77777777" w:rsidR="00054BF0" w:rsidRDefault="00000000">
      <w:pPr>
        <w:spacing w:before="200" w:line="260" w:lineRule="atLeast"/>
        <w:jc w:val="both"/>
      </w:pPr>
      <w:r>
        <w:rPr>
          <w:rFonts w:ascii="Arial" w:eastAsia="Arial" w:hAnsi="Arial" w:cs="Arial"/>
          <w:color w:val="000000"/>
          <w:sz w:val="20"/>
        </w:rPr>
        <w:t xml:space="preserve">Fisher G., Babbar S.,   (2002). Private financing of toll road concession (RMC Discussion Paper Series No. 117). Washington, DC: The World Bank. </w:t>
      </w:r>
    </w:p>
    <w:p w14:paraId="710E01DD" w14:textId="77777777" w:rsidR="00054BF0" w:rsidRDefault="00000000">
      <w:pPr>
        <w:spacing w:before="200" w:line="260" w:lineRule="atLeast"/>
        <w:jc w:val="both"/>
      </w:pPr>
      <w:r>
        <w:rPr>
          <w:rFonts w:ascii="Arial" w:eastAsia="Arial" w:hAnsi="Arial" w:cs="Arial"/>
          <w:color w:val="000000"/>
          <w:sz w:val="20"/>
        </w:rPr>
        <w:t xml:space="preserve">Khan H. R.,   (2012, February). Infrastructure financing in India—Progress and prospects (Monthly report). Mumbai: Reserved Bank of India. Retrieved from  </w:t>
      </w:r>
    </w:p>
    <w:p w14:paraId="416A73C5" w14:textId="77777777" w:rsidR="00054BF0" w:rsidRDefault="00000000">
      <w:pPr>
        <w:spacing w:before="200" w:line="260" w:lineRule="atLeast"/>
        <w:jc w:val="both"/>
      </w:pPr>
      <w:r>
        <w:rPr>
          <w:rFonts w:ascii="Arial" w:eastAsia="Arial" w:hAnsi="Arial" w:cs="Arial"/>
          <w:color w:val="000000"/>
          <w:sz w:val="20"/>
        </w:rPr>
        <w:t xml:space="preserve">Korean Development Institute. (2014, September 2014). Success stories and lessons learned from PPP projects in Korea. Sejoung-si 30149 Korea. A report submitted to APEC Committee. </w:t>
      </w:r>
    </w:p>
    <w:p w14:paraId="2BE82967" w14:textId="77777777" w:rsidR="00054BF0" w:rsidRDefault="00000000">
      <w:pPr>
        <w:spacing w:before="200" w:line="260" w:lineRule="atLeast"/>
        <w:jc w:val="both"/>
      </w:pPr>
      <w:r>
        <w:rPr>
          <w:rFonts w:ascii="Arial" w:eastAsia="Arial" w:hAnsi="Arial" w:cs="Arial"/>
          <w:color w:val="000000"/>
          <w:sz w:val="20"/>
        </w:rPr>
        <w:t xml:space="preserve">Lorenzen C. C., Barrientos M. E.,   (2001). Toll road concessions: The Chilean experience. Washington, DC: The World Bank. </w:t>
      </w:r>
    </w:p>
    <w:p w14:paraId="04893049" w14:textId="77777777" w:rsidR="00054BF0" w:rsidRDefault="00000000">
      <w:pPr>
        <w:spacing w:before="200" w:line="260" w:lineRule="atLeast"/>
        <w:jc w:val="both"/>
      </w:pPr>
      <w:r>
        <w:rPr>
          <w:rFonts w:ascii="Arial" w:eastAsia="Arial" w:hAnsi="Arial" w:cs="Arial"/>
          <w:color w:val="000000"/>
          <w:sz w:val="20"/>
        </w:rPr>
        <w:t xml:space="preserve">PricewaterhouseCoopers. (2007). Evaluating the project implementation options for NHAI. New Delhi, India. Current Office appears to have moved, which can not be verified now. </w:t>
      </w:r>
    </w:p>
    <w:p w14:paraId="1E0E0829" w14:textId="77777777" w:rsidR="00054BF0" w:rsidRDefault="00000000">
      <w:pPr>
        <w:spacing w:before="200" w:line="260" w:lineRule="atLeast"/>
        <w:jc w:val="both"/>
      </w:pPr>
      <w:r>
        <w:rPr>
          <w:rFonts w:ascii="Arial" w:eastAsia="Arial" w:hAnsi="Arial" w:cs="Arial"/>
          <w:color w:val="000000"/>
          <w:sz w:val="20"/>
        </w:rPr>
        <w:t xml:space="preserve">Tsukada S.,   (2011). Package type overseas infrastructure construction and structural fragility of BOT/PPP projects. Tokyo, Japan: Transportation and Economics, Institute of Transportation Economics. </w:t>
      </w:r>
    </w:p>
    <w:p w14:paraId="1B5BC3BF" w14:textId="77777777" w:rsidR="00054BF0" w:rsidRDefault="00000000">
      <w:pPr>
        <w:spacing w:before="200" w:line="260" w:lineRule="atLeast"/>
        <w:jc w:val="both"/>
      </w:pPr>
      <w:r>
        <w:rPr>
          <w:rFonts w:ascii="Arial" w:eastAsia="Arial" w:hAnsi="Arial" w:cs="Arial"/>
          <w:color w:val="000000"/>
          <w:sz w:val="20"/>
        </w:rPr>
        <w:t xml:space="preserve">Tsukada S.,   (2012). Overseas infrastructure construction and BOT/PPP projects. Tokyo, Japan: SCOPE NET, Service Center of Port Engineering. </w:t>
      </w:r>
    </w:p>
    <w:p w14:paraId="2A71285E" w14:textId="77777777" w:rsidR="00054BF0" w:rsidRDefault="00000000">
      <w:pPr>
        <w:spacing w:before="200" w:line="260" w:lineRule="atLeast"/>
        <w:jc w:val="both"/>
      </w:pPr>
      <w:r>
        <w:rPr>
          <w:rFonts w:ascii="Arial" w:eastAsia="Arial" w:hAnsi="Arial" w:cs="Arial"/>
          <w:color w:val="000000"/>
          <w:sz w:val="20"/>
        </w:rPr>
        <w:t xml:space="preserve">Tsukada S.,   (2013). Potential pitfalls of PPP policy application: Lessons learned from NHDP programs in India. Journal of Infrastructure Development, 5(1), 87-102. </w:t>
      </w:r>
    </w:p>
    <w:p w14:paraId="5226578B" w14:textId="77777777" w:rsidR="00054BF0" w:rsidRDefault="00000000">
      <w:pPr>
        <w:spacing w:before="200" w:line="260" w:lineRule="atLeast"/>
        <w:jc w:val="both"/>
      </w:pPr>
      <w:r>
        <w:rPr>
          <w:rFonts w:ascii="Arial" w:eastAsia="Arial" w:hAnsi="Arial" w:cs="Arial"/>
          <w:color w:val="000000"/>
          <w:sz w:val="20"/>
        </w:rPr>
        <w:t xml:space="preserve">Walker C., Smith A. J.,   (1995). Privatized infrastructure—The BOT approach. London, England: Thomas Telford. </w:t>
      </w:r>
    </w:p>
    <w:p w14:paraId="23F94E95"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31, 2020</w:t>
      </w:r>
    </w:p>
    <w:p w14:paraId="2E4870DD" w14:textId="77777777" w:rsidR="00054BF0" w:rsidRDefault="00054BF0"/>
    <w:p w14:paraId="2C1E93BF" w14:textId="77777777" w:rsidR="00054BF0" w:rsidRDefault="00000000">
      <w:pPr>
        <w:ind w:left="200"/>
        <w:sectPr w:rsidR="00054BF0">
          <w:type w:val="continuous"/>
          <w:pgSz w:w="12240" w:h="15840"/>
          <w:pgMar w:top="840" w:right="1000" w:bottom="840" w:left="1000" w:header="400" w:footer="400" w:gutter="0"/>
          <w:cols w:space="720"/>
        </w:sectPr>
      </w:pPr>
      <w:r>
        <w:br/>
      </w:r>
      <w:r>
        <w:pict w14:anchorId="1E1FA447">
          <v:line id="_x0000_s2161" style="position:absolute;left:0;text-align:left;z-index:251727872;mso-position-horizontal-relative:text;mso-position-vertical-relative:text" from="0,10pt" to="512pt,10pt" strokeweight="1pt"/>
        </w:pict>
      </w:r>
      <w:r>
        <w:rPr>
          <w:rFonts w:ascii="Arial" w:eastAsia="Arial" w:hAnsi="Arial" w:cs="Arial"/>
          <w:b/>
          <w:color w:val="767676"/>
          <w:sz w:val="16"/>
        </w:rPr>
        <w:t>End of Document</w:t>
      </w:r>
    </w:p>
    <w:p w14:paraId="2C16C87A" w14:textId="77777777" w:rsidR="00054BF0" w:rsidRDefault="00054BF0">
      <w:pPr>
        <w:sectPr w:rsidR="00054BF0">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gutter="0"/>
          <w:cols w:space="720"/>
          <w:titlePg/>
        </w:sectPr>
      </w:pPr>
    </w:p>
    <w:p w14:paraId="0115ABBE" w14:textId="77777777" w:rsidR="00054BF0" w:rsidRDefault="00054BF0">
      <w:bookmarkStart w:id="66" w:name="Bookmark_33"/>
      <w:bookmarkEnd w:id="66"/>
    </w:p>
    <w:p w14:paraId="376A4D13" w14:textId="77777777" w:rsidR="00054BF0" w:rsidRDefault="00BE2275">
      <w:r>
        <w:pict w14:anchorId="3EEE09D7">
          <v:shape id="_x0000_i1070" type="#_x0000_t75" alt="LexisNexis®" style="width:148pt;height:30pt">
            <v:imagedata r:id="rId6" o:title=""/>
          </v:shape>
        </w:pict>
      </w:r>
      <w:r w:rsidR="00A540D1">
        <w:cr/>
      </w:r>
    </w:p>
    <w:p w14:paraId="041B9C76" w14:textId="77777777" w:rsidR="00054BF0" w:rsidRDefault="00000000">
      <w:pPr>
        <w:spacing w:before="240" w:after="200" w:line="340" w:lineRule="atLeast"/>
        <w:jc w:val="center"/>
        <w:outlineLvl w:val="0"/>
        <w:rPr>
          <w:rFonts w:ascii="Arial" w:hAnsi="Arial" w:cs="Arial"/>
          <w:b/>
          <w:bCs/>
          <w:kern w:val="32"/>
          <w:sz w:val="32"/>
          <w:szCs w:val="32"/>
        </w:rPr>
      </w:pPr>
      <w:hyperlink r:id="rId533" w:history="1">
        <w:r>
          <w:rPr>
            <w:rFonts w:ascii="Arial" w:eastAsia="Arial" w:hAnsi="Arial" w:cs="Arial"/>
            <w:b/>
            <w:bCs/>
            <w:i/>
            <w:color w:val="0077CC"/>
            <w:kern w:val="32"/>
            <w:sz w:val="28"/>
            <w:szCs w:val="32"/>
            <w:u w:val="single"/>
            <w:shd w:val="clear" w:color="auto" w:fill="FFFFFF"/>
          </w:rPr>
          <w:t>Vulnerabilities of BOT Scheme and Ways to Overcome Them Under PPP: Cross-Country Comparison of PPP Systems Among Selected Countries</w:t>
        </w:r>
      </w:hyperlink>
    </w:p>
    <w:p w14:paraId="324E0F8B" w14:textId="77777777" w:rsidR="00054BF0" w:rsidRDefault="00000000">
      <w:pPr>
        <w:spacing w:before="120" w:line="260" w:lineRule="atLeast"/>
        <w:jc w:val="center"/>
      </w:pPr>
      <w:r>
        <w:rPr>
          <w:rFonts w:ascii="Arial" w:eastAsia="Arial" w:hAnsi="Arial" w:cs="Arial"/>
          <w:color w:val="000000"/>
          <w:sz w:val="20"/>
        </w:rPr>
        <w:t>Public Works Management &amp; Policy</w:t>
      </w:r>
    </w:p>
    <w:p w14:paraId="77B71591" w14:textId="77777777" w:rsidR="00054BF0" w:rsidRDefault="00000000">
      <w:pPr>
        <w:spacing w:before="120" w:line="260" w:lineRule="atLeast"/>
        <w:jc w:val="center"/>
      </w:pPr>
      <w:r>
        <w:rPr>
          <w:rFonts w:ascii="Arial" w:eastAsia="Arial" w:hAnsi="Arial" w:cs="Arial"/>
          <w:color w:val="000000"/>
          <w:sz w:val="20"/>
        </w:rPr>
        <w:t>January 2019</w:t>
      </w:r>
    </w:p>
    <w:p w14:paraId="45C36638" w14:textId="77777777" w:rsidR="00054BF0" w:rsidRDefault="00054BF0">
      <w:pPr>
        <w:spacing w:line="240" w:lineRule="atLeast"/>
        <w:jc w:val="both"/>
      </w:pPr>
    </w:p>
    <w:p w14:paraId="743546A3" w14:textId="77777777" w:rsidR="00054BF0" w:rsidRDefault="00000000">
      <w:pPr>
        <w:spacing w:before="120" w:line="220" w:lineRule="atLeast"/>
      </w:pPr>
      <w:r>
        <w:br/>
      </w:r>
      <w:r>
        <w:rPr>
          <w:rFonts w:ascii="Arial" w:eastAsia="Arial" w:hAnsi="Arial" w:cs="Arial"/>
          <w:color w:val="000000"/>
          <w:sz w:val="16"/>
        </w:rPr>
        <w:t>Copyright 2019 Sage Publications, Inc. All Rights Reserved</w:t>
      </w:r>
    </w:p>
    <w:p w14:paraId="3AE3C251" w14:textId="77777777" w:rsidR="00054BF0" w:rsidRDefault="00000000">
      <w:pPr>
        <w:spacing w:before="120" w:line="220" w:lineRule="atLeast"/>
      </w:pPr>
      <w:r>
        <w:br/>
      </w:r>
      <w:r w:rsidR="00BE2275">
        <w:pict w14:anchorId="4CFC52F9">
          <v:shape id="_x0000_i1071" type="#_x0000_t75" style="width:129pt;height:50.5pt">
            <v:imagedata r:id="rId510" o:title=""/>
          </v:shape>
        </w:pict>
      </w:r>
    </w:p>
    <w:p w14:paraId="4EA274DE" w14:textId="77777777" w:rsidR="00054BF0"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284-300; ISSN: 1087-724X, 1552-7549</w:t>
      </w:r>
    </w:p>
    <w:p w14:paraId="496A4183"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6889 words</w:t>
      </w:r>
    </w:p>
    <w:p w14:paraId="0C6028C4"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Shunso Tsukada</w:t>
      </w:r>
    </w:p>
    <w:p w14:paraId="6008A970" w14:textId="77777777" w:rsidR="00054BF0" w:rsidRDefault="00000000">
      <w:pPr>
        <w:keepNext/>
        <w:spacing w:before="240" w:line="340" w:lineRule="atLeast"/>
      </w:pPr>
      <w:bookmarkStart w:id="67" w:name="Body_31"/>
      <w:bookmarkEnd w:id="67"/>
      <w:r>
        <w:rPr>
          <w:rFonts w:ascii="Arial" w:eastAsia="Arial" w:hAnsi="Arial" w:cs="Arial"/>
          <w:b/>
          <w:color w:val="000000"/>
          <w:sz w:val="28"/>
        </w:rPr>
        <w:t>Body</w:t>
      </w:r>
    </w:p>
    <w:p w14:paraId="47591D68" w14:textId="77777777" w:rsidR="00054BF0" w:rsidRDefault="00000000">
      <w:pPr>
        <w:spacing w:line="60" w:lineRule="exact"/>
      </w:pPr>
      <w:r>
        <w:pict w14:anchorId="0707FA72">
          <v:line id="_x0000_s2164" style="position:absolute;z-index:251728896" from="0,2pt" to="512pt,2pt" strokecolor="#009ddb" strokeweight="2pt">
            <w10:wrap type="topAndBottom"/>
          </v:line>
        </w:pict>
      </w:r>
    </w:p>
    <w:p w14:paraId="40C9F1F4" w14:textId="77777777" w:rsidR="00054BF0" w:rsidRDefault="00054BF0"/>
    <w:p w14:paraId="1E53E8F2" w14:textId="77777777" w:rsidR="00054BF0" w:rsidRDefault="00000000">
      <w:pPr>
        <w:spacing w:before="240" w:line="260" w:lineRule="atLeast"/>
      </w:pPr>
      <w:r>
        <w:rPr>
          <w:rFonts w:ascii="Arial" w:eastAsia="Arial" w:hAnsi="Arial" w:cs="Arial"/>
          <w:b/>
          <w:color w:val="000000"/>
          <w:sz w:val="20"/>
        </w:rPr>
        <w:t>ABSTRACT</w:t>
      </w:r>
    </w:p>
    <w:p w14:paraId="141C5473" w14:textId="77777777" w:rsidR="00054BF0" w:rsidRDefault="00000000">
      <w:pPr>
        <w:spacing w:before="200" w:line="260" w:lineRule="atLeast"/>
        <w:jc w:val="both"/>
      </w:pPr>
      <w:r>
        <w:rPr>
          <w:rFonts w:ascii="Arial" w:eastAsia="Arial" w:hAnsi="Arial" w:cs="Arial"/>
          <w:color w:val="000000"/>
          <w:sz w:val="20"/>
        </w:rPr>
        <w:t xml:space="preserve">Many developing countries have resorted to BOT (build–operate–transfer) scheme for infrastructure development. Although BOT scheme would bring significant benefits to developing countries, it conceals structural vulnerabilities. This has made the private sector hesitant in investing in BOT projects unless key risks are covered by governments under public private partnership (PPP) arrangements. Having seen this problem, developing countries have offered overly lucrative guarantees to private investors, which have ended </w:t>
      </w:r>
      <w:r>
        <w:rPr>
          <w:rFonts w:ascii="Arial" w:eastAsia="Arial" w:hAnsi="Arial" w:cs="Arial"/>
          <w:b/>
          <w:i/>
          <w:color w:val="000000"/>
          <w:sz w:val="20"/>
          <w:u w:val="single"/>
        </w:rPr>
        <w:t>up</w:t>
      </w:r>
      <w:r>
        <w:rPr>
          <w:rFonts w:ascii="Arial" w:eastAsia="Arial" w:hAnsi="Arial" w:cs="Arial"/>
          <w:color w:val="000000"/>
          <w:sz w:val="20"/>
        </w:rPr>
        <w:t xml:space="preserve"> with huge payments at a later stage. The purpose of this study is to find a kind of PPP measures which would be effective in getting the private sector to participate in BOT projects with little public-sector support being offered. For this purpose, a cross-country comparison was conducted, which has identified that some of PPP measures adopted in India are effective. Although their applicability to other developing countries is limited, it was found possible if combined with appropriate measures and confined to right sectors.</w:t>
      </w:r>
    </w:p>
    <w:p w14:paraId="1DE06CA9" w14:textId="77777777" w:rsidR="00054BF0" w:rsidRDefault="00000000">
      <w:pPr>
        <w:spacing w:before="240" w:line="260" w:lineRule="atLeast"/>
      </w:pPr>
      <w:r>
        <w:rPr>
          <w:rFonts w:ascii="Arial" w:eastAsia="Arial" w:hAnsi="Arial" w:cs="Arial"/>
          <w:b/>
          <w:color w:val="000000"/>
          <w:sz w:val="20"/>
        </w:rPr>
        <w:t>FULL TEXT</w:t>
      </w:r>
    </w:p>
    <w:p w14:paraId="45B561AA" w14:textId="77777777" w:rsidR="00054BF0" w:rsidRDefault="00000000">
      <w:pPr>
        <w:spacing w:before="240" w:line="260" w:lineRule="atLeast"/>
      </w:pPr>
      <w:r>
        <w:rPr>
          <w:rFonts w:ascii="Arial" w:eastAsia="Arial" w:hAnsi="Arial" w:cs="Arial"/>
          <w:b/>
          <w:color w:val="000000"/>
          <w:sz w:val="20"/>
        </w:rPr>
        <w:t>Introduction</w:t>
      </w:r>
    </w:p>
    <w:p w14:paraId="5A70A188" w14:textId="77777777" w:rsidR="00054BF0" w:rsidRDefault="00000000">
      <w:pPr>
        <w:spacing w:before="200" w:line="260" w:lineRule="atLeast"/>
        <w:jc w:val="both"/>
      </w:pPr>
      <w:r>
        <w:rPr>
          <w:rFonts w:ascii="Arial" w:eastAsia="Arial" w:hAnsi="Arial" w:cs="Arial"/>
          <w:color w:val="000000"/>
          <w:sz w:val="20"/>
        </w:rPr>
        <w:t>Faced with chronic capacity shortage of infrastructure, a number of developing countries have resorted to the public private partnership (PPP) for infrastructure development. The specific type of PPP widely used in developing countries is build–operate–transfer (BOT), rather than “Unitary Payment” or “Annuity” Scheme. This is due in part to the fact that the BOT type arrangement is more suited for large investment projects for economic infrastructure, while the unitary payment or annuity scheme is more suited for social infrastructure such as hospitals or schools. In developing countries, a higher priority has often been given to economic infrastructure, rather than social infrastructure.</w:t>
      </w:r>
    </w:p>
    <w:p w14:paraId="2DF1B207" w14:textId="77777777" w:rsidR="00054BF0" w:rsidRDefault="00000000">
      <w:pPr>
        <w:spacing w:before="200" w:line="260" w:lineRule="atLeast"/>
        <w:jc w:val="both"/>
      </w:pPr>
      <w:r>
        <w:rPr>
          <w:rFonts w:ascii="Arial" w:eastAsia="Arial" w:hAnsi="Arial" w:cs="Arial"/>
          <w:color w:val="000000"/>
          <w:sz w:val="20"/>
        </w:rPr>
        <w:lastRenderedPageBreak/>
        <w:t>Although the BOT plays an important role for infrastructure development, private investors are reluctant in investing in BOT projects in developing countries because of greater risks associated with BOT arrangements. Unless commercial risks are substantially covered by the governments, the private sector is unwilling to invest in BOT type projects. This trend has become even clearer after Asian Financial Crisis of 1997, which had made foreign investors more cautious about investing in risky projects in developing countries.</w:t>
      </w:r>
    </w:p>
    <w:p w14:paraId="2C47854B" w14:textId="77777777" w:rsidR="00054BF0" w:rsidRDefault="00000000">
      <w:pPr>
        <w:spacing w:before="200" w:line="260" w:lineRule="atLeast"/>
        <w:jc w:val="both"/>
      </w:pPr>
      <w:r>
        <w:rPr>
          <w:rFonts w:ascii="Arial" w:eastAsia="Arial" w:hAnsi="Arial" w:cs="Arial"/>
          <w:color w:val="000000"/>
          <w:sz w:val="20"/>
        </w:rPr>
        <w:t xml:space="preserve">Cognizant of this problem, developing countries have </w:t>
      </w:r>
      <w:r>
        <w:rPr>
          <w:rFonts w:ascii="Arial" w:eastAsia="Arial" w:hAnsi="Arial" w:cs="Arial"/>
          <w:b/>
          <w:i/>
          <w:color w:val="000000"/>
          <w:sz w:val="20"/>
          <w:u w:val="single"/>
        </w:rPr>
        <w:t>started</w:t>
      </w:r>
      <w:r>
        <w:rPr>
          <w:rFonts w:ascii="Arial" w:eastAsia="Arial" w:hAnsi="Arial" w:cs="Arial"/>
          <w:color w:val="000000"/>
          <w:sz w:val="20"/>
        </w:rPr>
        <w:t xml:space="preserve"> offering leniently structured guarantees to the private investors. As these guarantees are often very extensive, the BOT scheme is now known as PPP. As guarantees provide an easy way-out of deadlocked negotiation with investors, the developing countries can overly resort to the guarantees. Although these offers may initially help the developing governments to get the contracts concluded faster, this approach may haunt later the governments by huge obligations to pay for the losses to be suffered by the private sector. There have been a number of cases in which developing countries have ended </w:t>
      </w:r>
      <w:r>
        <w:rPr>
          <w:rFonts w:ascii="Arial" w:eastAsia="Arial" w:hAnsi="Arial" w:cs="Arial"/>
          <w:b/>
          <w:i/>
          <w:color w:val="000000"/>
          <w:sz w:val="20"/>
          <w:u w:val="single"/>
        </w:rPr>
        <w:t>up</w:t>
      </w:r>
      <w:r>
        <w:rPr>
          <w:rFonts w:ascii="Arial" w:eastAsia="Arial" w:hAnsi="Arial" w:cs="Arial"/>
          <w:color w:val="000000"/>
          <w:sz w:val="20"/>
        </w:rPr>
        <w:t xml:space="preserve"> with a huge amount of payments having been made to the private sector. A typical case is Mexican highway development program implemented under the BOT scheme from 1989 to 1994, which had paid $7 billion of bailout for the program of $13 billion.</w:t>
      </w:r>
    </w:p>
    <w:p w14:paraId="4ED1646A" w14:textId="77777777" w:rsidR="00054BF0" w:rsidRDefault="00000000">
      <w:pPr>
        <w:spacing w:before="200" w:line="260" w:lineRule="atLeast"/>
        <w:jc w:val="both"/>
      </w:pPr>
      <w:r>
        <w:rPr>
          <w:rFonts w:ascii="Arial" w:eastAsia="Arial" w:hAnsi="Arial" w:cs="Arial"/>
          <w:color w:val="000000"/>
          <w:sz w:val="20"/>
        </w:rPr>
        <w:t>This experience clearly indicates the need to pay an attention not only to the incentive side of BOT investments but also to their consequence on the fiscal balance of the future. The real challenge facing developing countries is how to secure private sector participation in BOT projects without committing too much for future losses to be suffered by the private sector.</w:t>
      </w:r>
    </w:p>
    <w:p w14:paraId="52060C00" w14:textId="77777777" w:rsidR="00054BF0" w:rsidRDefault="00000000">
      <w:pPr>
        <w:spacing w:before="240" w:line="260" w:lineRule="atLeast"/>
      </w:pPr>
      <w:r>
        <w:rPr>
          <w:rFonts w:ascii="Arial" w:eastAsia="Arial" w:hAnsi="Arial" w:cs="Arial"/>
          <w:b/>
          <w:color w:val="000000"/>
          <w:sz w:val="20"/>
        </w:rPr>
        <w:t>Scope of the Study</w:t>
      </w:r>
    </w:p>
    <w:p w14:paraId="4D073F81" w14:textId="77777777" w:rsidR="00054BF0" w:rsidRDefault="00000000">
      <w:pPr>
        <w:spacing w:before="200" w:line="260" w:lineRule="atLeast"/>
        <w:jc w:val="both"/>
      </w:pPr>
      <w:r>
        <w:rPr>
          <w:rFonts w:ascii="Arial" w:eastAsia="Arial" w:hAnsi="Arial" w:cs="Arial"/>
          <w:color w:val="000000"/>
          <w:sz w:val="20"/>
        </w:rPr>
        <w:t>Before getting into the detailed analysis, it is useful to clarify what type of PPP is primarily discussed in this article. When referring to PPP, it encompasses several types of PPP, including (a) unitary-payment scheme which are often applied to public service concession, (b) availability-payment scheme (or annuity scheme), (c) PPP arrangement which supplements the vulnerabilities of BOT scheme, and (d) a straightforward BOT scheme.</w:t>
      </w:r>
    </w:p>
    <w:p w14:paraId="2A1C1A19" w14:textId="77777777" w:rsidR="00054BF0" w:rsidRDefault="00000000">
      <w:pPr>
        <w:spacing w:before="200" w:line="260" w:lineRule="atLeast"/>
        <w:jc w:val="both"/>
      </w:pPr>
      <w:r>
        <w:rPr>
          <w:rFonts w:ascii="Arial" w:eastAsia="Arial" w:hAnsi="Arial" w:cs="Arial"/>
          <w:color w:val="000000"/>
          <w:sz w:val="20"/>
        </w:rPr>
        <w:t>PPP can be schematically categorized by two sets of criteria. The first criterion is whether it is investment-oriented or service-oriented. The second criterion is which side of the parties would primarily cover commercial risks, between the government and the private sector. Based on these two criteria, the relative positions of the above four types of PPP can be illustrated as follows (Figure 1). Among these four types of PPP, this article will primarily focus on the BOT type PPP which is indicated by the dark red.</w:t>
      </w:r>
    </w:p>
    <w:p w14:paraId="1321E995" w14:textId="77777777" w:rsidR="00054BF0" w:rsidRDefault="00000000">
      <w:pPr>
        <w:spacing w:before="240" w:line="260" w:lineRule="atLeast"/>
      </w:pPr>
      <w:r>
        <w:rPr>
          <w:rFonts w:ascii="Arial" w:eastAsia="Arial" w:hAnsi="Arial" w:cs="Arial"/>
          <w:b/>
          <w:color w:val="000000"/>
          <w:sz w:val="20"/>
        </w:rPr>
        <w:t>Figure 1.</w:t>
      </w:r>
    </w:p>
    <w:p w14:paraId="170AAAF6" w14:textId="77777777" w:rsidR="00054BF0" w:rsidRDefault="00000000">
      <w:pPr>
        <w:spacing w:before="200" w:line="260" w:lineRule="atLeast"/>
        <w:jc w:val="both"/>
      </w:pPr>
      <w:r>
        <w:rPr>
          <w:rFonts w:ascii="Arial" w:eastAsia="Arial" w:hAnsi="Arial" w:cs="Arial"/>
          <w:color w:val="000000"/>
          <w:sz w:val="20"/>
        </w:rPr>
        <w:t>Relative positions of various types of PPP.</w:t>
      </w:r>
    </w:p>
    <w:p w14:paraId="0F4D4AD4"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Prepared by S. Tsukada.</w:t>
      </w:r>
    </w:p>
    <w:p w14:paraId="233C67FB"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 BOT = build–operate–transfer.</w:t>
      </w:r>
    </w:p>
    <w:p w14:paraId="5F6DCE2A" w14:textId="77777777" w:rsidR="00054BF0" w:rsidRDefault="00000000">
      <w:pPr>
        <w:spacing w:before="240" w:line="260" w:lineRule="atLeast"/>
      </w:pPr>
      <w:r>
        <w:rPr>
          <w:rFonts w:ascii="Arial" w:eastAsia="Arial" w:hAnsi="Arial" w:cs="Arial"/>
          <w:b/>
          <w:color w:val="000000"/>
          <w:sz w:val="20"/>
        </w:rPr>
        <w:t>Purpose of the Research</w:t>
      </w:r>
    </w:p>
    <w:p w14:paraId="128B1420" w14:textId="77777777" w:rsidR="00054BF0" w:rsidRDefault="00000000">
      <w:pPr>
        <w:spacing w:before="200" w:line="260" w:lineRule="atLeast"/>
        <w:jc w:val="both"/>
      </w:pPr>
      <w:r>
        <w:rPr>
          <w:rFonts w:ascii="Arial" w:eastAsia="Arial" w:hAnsi="Arial" w:cs="Arial"/>
          <w:color w:val="000000"/>
          <w:sz w:val="20"/>
        </w:rPr>
        <w:t>The primary purpose of the research is to identify a kind of PPP measures which will be effective in securing private sector participation, but do not necessitate the large amount of later payments to cover future losses to be incurred by the private investors.</w:t>
      </w:r>
    </w:p>
    <w:p w14:paraId="7C8FD48E" w14:textId="77777777" w:rsidR="00054BF0" w:rsidRDefault="00000000">
      <w:pPr>
        <w:spacing w:before="200" w:line="260" w:lineRule="atLeast"/>
        <w:jc w:val="both"/>
      </w:pPr>
      <w:r>
        <w:rPr>
          <w:rFonts w:ascii="Arial" w:eastAsia="Arial" w:hAnsi="Arial" w:cs="Arial"/>
          <w:color w:val="000000"/>
          <w:sz w:val="20"/>
        </w:rPr>
        <w:t>To achieve this objective, the research will be conducted in the following sequence:</w:t>
      </w:r>
    </w:p>
    <w:p w14:paraId="34DA4FFC" w14:textId="77777777" w:rsidR="00054BF0" w:rsidRDefault="00000000">
      <w:pPr>
        <w:spacing w:before="200" w:line="260" w:lineRule="atLeast"/>
        <w:jc w:val="both"/>
      </w:pPr>
      <w:r>
        <w:rPr>
          <w:rFonts w:ascii="Arial" w:eastAsia="Arial" w:hAnsi="Arial" w:cs="Arial"/>
          <w:color w:val="000000"/>
          <w:sz w:val="20"/>
        </w:rPr>
        <w:t>Identification of structural vulnerabilities of BOT scheme</w:t>
      </w:r>
    </w:p>
    <w:p w14:paraId="363B4EE3" w14:textId="77777777" w:rsidR="00054BF0" w:rsidRDefault="00000000">
      <w:pPr>
        <w:spacing w:before="200" w:line="260" w:lineRule="atLeast"/>
        <w:jc w:val="both"/>
      </w:pPr>
      <w:r>
        <w:rPr>
          <w:rFonts w:ascii="Arial" w:eastAsia="Arial" w:hAnsi="Arial" w:cs="Arial"/>
          <w:color w:val="000000"/>
          <w:sz w:val="20"/>
        </w:rPr>
        <w:t>Cross-country comparison to find those PPP measures which were designed to address these vulnerabilities identified through the above analysis</w:t>
      </w:r>
    </w:p>
    <w:p w14:paraId="1C4E3A3A" w14:textId="77777777" w:rsidR="00054BF0" w:rsidRDefault="00000000">
      <w:pPr>
        <w:spacing w:before="200" w:line="260" w:lineRule="atLeast"/>
        <w:jc w:val="both"/>
      </w:pPr>
      <w:r>
        <w:rPr>
          <w:rFonts w:ascii="Arial" w:eastAsia="Arial" w:hAnsi="Arial" w:cs="Arial"/>
          <w:color w:val="000000"/>
          <w:sz w:val="20"/>
        </w:rPr>
        <w:lastRenderedPageBreak/>
        <w:t>Examination of cost-effectiveness of each of the PPP measures thus identified through the above exercise</w:t>
      </w:r>
    </w:p>
    <w:p w14:paraId="001C7BCC" w14:textId="77777777" w:rsidR="00054BF0" w:rsidRDefault="00000000">
      <w:pPr>
        <w:spacing w:before="200" w:line="260" w:lineRule="atLeast"/>
        <w:jc w:val="both"/>
      </w:pPr>
      <w:r>
        <w:rPr>
          <w:rFonts w:ascii="Arial" w:eastAsia="Arial" w:hAnsi="Arial" w:cs="Arial"/>
          <w:color w:val="000000"/>
          <w:sz w:val="20"/>
        </w:rPr>
        <w:t>Comparison of several countries in terms of cost-effectiveness of each PPP system so as to identify what country is comparatively successful in this endeavor</w:t>
      </w:r>
    </w:p>
    <w:p w14:paraId="5FC5E17A" w14:textId="77777777" w:rsidR="00054BF0" w:rsidRDefault="00000000">
      <w:pPr>
        <w:spacing w:before="200" w:line="260" w:lineRule="atLeast"/>
        <w:jc w:val="both"/>
      </w:pPr>
      <w:r>
        <w:rPr>
          <w:rFonts w:ascii="Arial" w:eastAsia="Arial" w:hAnsi="Arial" w:cs="Arial"/>
          <w:color w:val="000000"/>
          <w:sz w:val="20"/>
        </w:rPr>
        <w:t>If one country is found successful in introducing cost-effective PPP system, the identification of the underlying factors which have enabled that specific country to develop such a PPP system.</w:t>
      </w:r>
    </w:p>
    <w:p w14:paraId="4567F125" w14:textId="77777777" w:rsidR="00054BF0" w:rsidRDefault="00000000">
      <w:pPr>
        <w:spacing w:before="240" w:line="260" w:lineRule="atLeast"/>
      </w:pPr>
      <w:r>
        <w:rPr>
          <w:rFonts w:ascii="Arial" w:eastAsia="Arial" w:hAnsi="Arial" w:cs="Arial"/>
          <w:b/>
          <w:color w:val="000000"/>
          <w:sz w:val="20"/>
        </w:rPr>
        <w:t>Significance of the Study</w:t>
      </w:r>
    </w:p>
    <w:p w14:paraId="3F9AE8EA" w14:textId="77777777" w:rsidR="00054BF0" w:rsidRDefault="00000000">
      <w:pPr>
        <w:spacing w:before="200" w:line="260" w:lineRule="atLeast"/>
        <w:jc w:val="both"/>
      </w:pPr>
      <w:r>
        <w:rPr>
          <w:rFonts w:ascii="Arial" w:eastAsia="Arial" w:hAnsi="Arial" w:cs="Arial"/>
          <w:color w:val="000000"/>
          <w:sz w:val="20"/>
        </w:rPr>
        <w:t>Although there are a number of studies on the PPP, most of the studies have focused on the evaluation of performance of PPP projects/programs with an aim to learn lessons from failed or success projects/programs (Cuttaree, 2008). A general evaluation of the BOT scheme is positive because combining construction to operation has provided BOT developers with a stronger incentive for higher efficiency and reduction of the life cycle costs of projects/programs (Fisher &amp; Babbar, 2002). Papers also indicated that, in spite of this advantage, many projects failed due to overly concessional contractual agreements or unrealistic implementation schedule.</w:t>
      </w:r>
    </w:p>
    <w:p w14:paraId="34E635FF" w14:textId="77777777" w:rsidR="00054BF0" w:rsidRDefault="00000000">
      <w:pPr>
        <w:spacing w:before="200" w:line="260" w:lineRule="atLeast"/>
        <w:jc w:val="both"/>
      </w:pPr>
      <w:r>
        <w:rPr>
          <w:rFonts w:ascii="Arial" w:eastAsia="Arial" w:hAnsi="Arial" w:cs="Arial"/>
          <w:color w:val="000000"/>
          <w:sz w:val="20"/>
        </w:rPr>
        <w:t>Another type of the studies which have been carried out on the PPP is an analysis of the PPP system of a specific country, discussing legal frameworks, risk allocation, and/or institutional arrangements. These studies have stressed the importance of creating such legal frameworks or institutional environments which are conducive to the private sector investments, but few papers exist that look into the negative side of pro-investment policy or incentive measures.</w:t>
      </w:r>
    </w:p>
    <w:p w14:paraId="7EB23B12" w14:textId="77777777" w:rsidR="00054BF0" w:rsidRDefault="00000000">
      <w:pPr>
        <w:spacing w:before="200" w:line="260" w:lineRule="atLeast"/>
        <w:jc w:val="both"/>
      </w:pPr>
      <w:r>
        <w:rPr>
          <w:rFonts w:ascii="Arial" w:eastAsia="Arial" w:hAnsi="Arial" w:cs="Arial"/>
          <w:color w:val="000000"/>
          <w:sz w:val="20"/>
        </w:rPr>
        <w:t>Although relatively rare, there are some studies conducting cross-country comparisons of PPP systems, but most of them are merely descriptive so as to help their audience gain insight on varying features of the PPP systems employed (PricewaterhouseCoopers, 2007). In contrast, this article focuses on finding how those countries which have been selected for cross-country comparison have dealt with the vulnerability issue of the BOT scheme under PPP arrangements, which clearly goes further that previous research, which typically was just descriptions of PPP systems of various countries.</w:t>
      </w:r>
    </w:p>
    <w:p w14:paraId="16910DAA" w14:textId="77777777" w:rsidR="00054BF0" w:rsidRDefault="00000000">
      <w:pPr>
        <w:spacing w:before="200" w:line="260" w:lineRule="atLeast"/>
        <w:jc w:val="both"/>
      </w:pPr>
      <w:r>
        <w:rPr>
          <w:rFonts w:ascii="Arial" w:eastAsia="Arial" w:hAnsi="Arial" w:cs="Arial"/>
          <w:color w:val="000000"/>
          <w:sz w:val="20"/>
        </w:rPr>
        <w:t>The main contribution of this study is shedding light on the possible consequences of a variety of incentive measures, which could require a major outlay of compensation by the government in later stages. The article is intended to provide governments with some ideas on possible measures that would enable them to avoid being trapped in this manner. A further contribution of this study is that an increasing number of governments can be in a better negotiating position with possible private sector investors in the finalization of contracts.</w:t>
      </w:r>
    </w:p>
    <w:p w14:paraId="55C5EA6E" w14:textId="77777777" w:rsidR="00054BF0" w:rsidRDefault="00000000">
      <w:pPr>
        <w:spacing w:before="240" w:line="260" w:lineRule="atLeast"/>
      </w:pPr>
      <w:r>
        <w:rPr>
          <w:rFonts w:ascii="Arial" w:eastAsia="Arial" w:hAnsi="Arial" w:cs="Arial"/>
          <w:b/>
          <w:color w:val="000000"/>
          <w:sz w:val="20"/>
        </w:rPr>
        <w:t>Identification of Vulnerabilities of BOT</w:t>
      </w:r>
    </w:p>
    <w:p w14:paraId="24BF563A" w14:textId="77777777" w:rsidR="00054BF0" w:rsidRDefault="00000000">
      <w:pPr>
        <w:spacing w:before="200" w:line="260" w:lineRule="atLeast"/>
        <w:jc w:val="both"/>
      </w:pPr>
      <w:r>
        <w:rPr>
          <w:rFonts w:ascii="Arial" w:eastAsia="Arial" w:hAnsi="Arial" w:cs="Arial"/>
          <w:color w:val="000000"/>
          <w:sz w:val="20"/>
        </w:rPr>
        <w:t>Although the BOT offers a potentially lucrative option for both governments and developers, it conceals structural vulnerabilities. These vulnerabilities are stemmed from the original design f the BOT scheme.</w:t>
      </w:r>
    </w:p>
    <w:p w14:paraId="5B5BC7DC" w14:textId="77777777" w:rsidR="00054BF0" w:rsidRDefault="00000000">
      <w:pPr>
        <w:spacing w:before="240" w:line="260" w:lineRule="atLeast"/>
      </w:pPr>
      <w:r>
        <w:rPr>
          <w:rFonts w:ascii="Arial" w:eastAsia="Arial" w:hAnsi="Arial" w:cs="Arial"/>
          <w:b/>
          <w:color w:val="000000"/>
          <w:sz w:val="20"/>
        </w:rPr>
        <w:t>Genesis of BOT Scheme</w:t>
      </w:r>
    </w:p>
    <w:p w14:paraId="6B0F2620" w14:textId="77777777" w:rsidR="00054BF0" w:rsidRDefault="00000000">
      <w:pPr>
        <w:spacing w:before="200" w:line="260" w:lineRule="atLeast"/>
        <w:jc w:val="both"/>
      </w:pPr>
      <w:r>
        <w:rPr>
          <w:rFonts w:ascii="Arial" w:eastAsia="Arial" w:hAnsi="Arial" w:cs="Arial"/>
          <w:color w:val="000000"/>
          <w:sz w:val="20"/>
        </w:rPr>
        <w:t>In 1983, Motherland Party of Turkey led by Turgut Ozal won the general election with a promise of delivering infrastructure in an accelerated manner, but Ozal Administration found it difficult to deliver this promise due to the lack of national budget for this purpose. Having seen the situation, European construction industry extended a helping hand to the Administration with a proposal that, instead of the Government, they would build infrastructure without charging the government for the cost. Furthermore, they would maintain and operate for decades and eventually transfer back those infrastructure facilities to the government. Only condition attached to his proposal is they should be allowed to charge users for their use of infrastructure facilities they constructed.</w:t>
      </w:r>
    </w:p>
    <w:p w14:paraId="3F368659" w14:textId="77777777" w:rsidR="00054BF0" w:rsidRDefault="00000000">
      <w:pPr>
        <w:spacing w:before="200" w:line="260" w:lineRule="atLeast"/>
        <w:jc w:val="both"/>
      </w:pPr>
      <w:r>
        <w:rPr>
          <w:rFonts w:ascii="Arial" w:eastAsia="Arial" w:hAnsi="Arial" w:cs="Arial"/>
          <w:color w:val="000000"/>
          <w:sz w:val="20"/>
        </w:rPr>
        <w:t xml:space="preserve">This proposal was very attractive for the Government, but how this enticing proposal has been made possible? Before answering this question, the above concept of BOT would be rephrased in the following manner so as to link it to the arguments to be developed later: Once a winner for the project is selected through the competitive bidding </w:t>
      </w:r>
      <w:r>
        <w:rPr>
          <w:rFonts w:ascii="Arial" w:eastAsia="Arial" w:hAnsi="Arial" w:cs="Arial"/>
          <w:color w:val="000000"/>
          <w:sz w:val="20"/>
        </w:rPr>
        <w:lastRenderedPageBreak/>
        <w:t>or on a sole source basis, the private investors would be given an exclusive right (</w:t>
      </w:r>
      <w:r>
        <w:rPr>
          <w:rFonts w:ascii="Arial" w:eastAsia="Arial" w:hAnsi="Arial" w:cs="Arial"/>
          <w:i/>
          <w:color w:val="000000"/>
          <w:sz w:val="20"/>
        </w:rPr>
        <w:t>concession</w:t>
      </w:r>
      <w:r>
        <w:rPr>
          <w:rFonts w:ascii="Arial" w:eastAsia="Arial" w:hAnsi="Arial" w:cs="Arial"/>
          <w:color w:val="000000"/>
          <w:sz w:val="20"/>
        </w:rPr>
        <w:t xml:space="preserve">) to operate infrastructure facilities in a monopolistic or semi-monopolistic manner with permission to charge users for their services. Once the concession is awarded, these private investors, i.e. a consortium of private investors, would form a legal entity, </w:t>
      </w:r>
      <w:r>
        <w:rPr>
          <w:rFonts w:ascii="Arial" w:eastAsia="Arial" w:hAnsi="Arial" w:cs="Arial"/>
          <w:i/>
          <w:color w:val="000000"/>
          <w:sz w:val="20"/>
        </w:rPr>
        <w:t>Special Purpose Vehicle (SPV)</w:t>
      </w:r>
      <w:r>
        <w:rPr>
          <w:rFonts w:ascii="Arial" w:eastAsia="Arial" w:hAnsi="Arial" w:cs="Arial"/>
          <w:color w:val="000000"/>
          <w:sz w:val="20"/>
        </w:rPr>
        <w:t>, which is solely dedicated for the development and subsequent operation of the project. The SPV would then secure loans by themselves from financiers without offering collateral or any other securities to financiers, but only through the business plan which demonstrates financial viability of the project, more exactly positive free cash flow (</w:t>
      </w:r>
      <w:r>
        <w:rPr>
          <w:rFonts w:ascii="Arial" w:eastAsia="Arial" w:hAnsi="Arial" w:cs="Arial"/>
          <w:i/>
          <w:color w:val="000000"/>
          <w:sz w:val="20"/>
        </w:rPr>
        <w:t>non-recourse finance</w:t>
      </w:r>
      <w:r>
        <w:rPr>
          <w:rFonts w:ascii="Arial" w:eastAsia="Arial" w:hAnsi="Arial" w:cs="Arial"/>
          <w:color w:val="000000"/>
          <w:sz w:val="20"/>
        </w:rPr>
        <w:t>).1</w:t>
      </w:r>
    </w:p>
    <w:p w14:paraId="29CCCD64" w14:textId="77777777" w:rsidR="00054BF0" w:rsidRDefault="00000000">
      <w:pPr>
        <w:spacing w:before="200" w:line="260" w:lineRule="atLeast"/>
        <w:jc w:val="both"/>
      </w:pPr>
      <w:r>
        <w:rPr>
          <w:rFonts w:ascii="Arial" w:eastAsia="Arial" w:hAnsi="Arial" w:cs="Arial"/>
          <w:color w:val="000000"/>
          <w:sz w:val="20"/>
        </w:rPr>
        <w:t>The above definition is intended to elucidate three key elements of BOT, namely, (a) nonrecourse finance, (b) public service concession, and (c) special purpose vehicle (SPV). These three elements constitute the essential elements of the BOT scheme, but at the same time, they form as root causes of vulnerabilities.</w:t>
      </w:r>
    </w:p>
    <w:p w14:paraId="30F02CA0" w14:textId="77777777" w:rsidR="00054BF0" w:rsidRDefault="00000000">
      <w:pPr>
        <w:spacing w:before="240" w:line="260" w:lineRule="atLeast"/>
      </w:pPr>
      <w:r>
        <w:rPr>
          <w:rFonts w:ascii="Arial" w:eastAsia="Arial" w:hAnsi="Arial" w:cs="Arial"/>
          <w:b/>
          <w:color w:val="000000"/>
          <w:sz w:val="20"/>
        </w:rPr>
        <w:t>Nonrecourse finance</w:t>
      </w:r>
    </w:p>
    <w:p w14:paraId="08ECD1EA" w14:textId="77777777" w:rsidR="00054BF0" w:rsidRDefault="00000000">
      <w:pPr>
        <w:spacing w:before="200" w:line="260" w:lineRule="atLeast"/>
        <w:jc w:val="both"/>
      </w:pPr>
      <w:r>
        <w:rPr>
          <w:rFonts w:ascii="Arial" w:eastAsia="Arial" w:hAnsi="Arial" w:cs="Arial"/>
          <w:color w:val="000000"/>
          <w:sz w:val="20"/>
        </w:rPr>
        <w:t>A central trick to the BOT concept was the application of the concept of “project finance,” or “nonrecourse finance” to infrastructure projects. The project finance has been fitted well for energy projects, but not for other infrastructure projects such as ports, rail, or toll roads, as the former has off-takers for those products to be delivered later by the projects. Long term contracts to be concluded with off-takers would help BOT operators reduce commercial risks entailing the future revenue stream. A real world example for the application of the project finance approach is North Sea Oil Projects explored in 1970s to which BP, Shell, and other oil majors had committed to purchase all of the products to be delivered by the Project. In contrast, typical infrastructure projects such as toll road projects do not have any committed purchaser for the services to be delivered by those infrastructure facilities. This twisted application of the project finance concept to infrastructure projects is the main factor which has enabled this enticing arrangement to be materialized.</w:t>
      </w:r>
    </w:p>
    <w:p w14:paraId="003DC50B" w14:textId="77777777" w:rsidR="00054BF0" w:rsidRDefault="00000000">
      <w:pPr>
        <w:spacing w:before="240" w:line="260" w:lineRule="atLeast"/>
      </w:pPr>
      <w:r>
        <w:rPr>
          <w:rFonts w:ascii="Arial" w:eastAsia="Arial" w:hAnsi="Arial" w:cs="Arial"/>
          <w:b/>
          <w:color w:val="000000"/>
          <w:sz w:val="20"/>
        </w:rPr>
        <w:t>Public service concession</w:t>
      </w:r>
    </w:p>
    <w:p w14:paraId="5CBCF1F7" w14:textId="77777777" w:rsidR="00054BF0" w:rsidRDefault="00000000">
      <w:pPr>
        <w:spacing w:before="200" w:line="260" w:lineRule="atLeast"/>
        <w:jc w:val="both"/>
      </w:pPr>
      <w:r>
        <w:rPr>
          <w:rFonts w:ascii="Arial" w:eastAsia="Arial" w:hAnsi="Arial" w:cs="Arial"/>
          <w:color w:val="000000"/>
          <w:sz w:val="20"/>
        </w:rPr>
        <w:t>Public service concession is another key element enabling the BOT scheme to take off. The concession scheme has long been employed when the government decides to delegate the provision of the public services to the private sector. The first recorded example of the public service concession was a water distribution project for the City of Paris in which concession was granted to Perier Brothers in 1782 (Walker &amp; Smith, 1995). This project was followed by dozens of similar projects in 19th century in France, Spain, Italy, Belgium, and Germany.</w:t>
      </w:r>
    </w:p>
    <w:p w14:paraId="579B68B2" w14:textId="77777777" w:rsidR="00054BF0" w:rsidRDefault="00000000">
      <w:pPr>
        <w:spacing w:before="200" w:line="260" w:lineRule="atLeast"/>
        <w:jc w:val="both"/>
      </w:pPr>
      <w:r>
        <w:rPr>
          <w:rFonts w:ascii="Arial" w:eastAsia="Arial" w:hAnsi="Arial" w:cs="Arial"/>
          <w:color w:val="000000"/>
          <w:sz w:val="20"/>
        </w:rPr>
        <w:t>Under the public concession scheme, the private sector is given an exclusive right to operate government’s facilities for the provision of service to the general public. As this type of service falls under the public domain, the private operator is requested to provide services in accordance with public service obligations as stipulated in concession agreements. When the above concession comes to an end, the facilities must be returned to the government. This concept of returning the assets to the government appears to have been incorporated in the BOT scheme under the term “Transfer.”</w:t>
      </w:r>
    </w:p>
    <w:p w14:paraId="000C6656" w14:textId="77777777" w:rsidR="00054BF0" w:rsidRDefault="00000000">
      <w:pPr>
        <w:spacing w:before="200" w:line="260" w:lineRule="atLeast"/>
        <w:jc w:val="both"/>
      </w:pPr>
      <w:r>
        <w:rPr>
          <w:rFonts w:ascii="Arial" w:eastAsia="Arial" w:hAnsi="Arial" w:cs="Arial"/>
          <w:color w:val="000000"/>
          <w:sz w:val="20"/>
        </w:rPr>
        <w:t>The difference between traditional public service concession and BOT concession is the shift of emphasis from service-orientation to investment-orientation. Under the BOT scheme, while the private sector is obliged to construct facilities, the private sector is, in turn, allowed to charge users with fees for the service provision of infrastructure thus constructed. Although the private sector would be able to set prices at their preferred level, this pricing freedom would often be compromised by the intervention of the public authority. If the concessionaire charges users beyond the deemed affordability, the government may intervene. Meanwhile, if the intervention by the authority is excessive, this can jeopardize the commercial viability of the private operation. This means that the pricing freedom would be always exposed to the potential risk of excessive regulation by the government, which is another source of the vulnerability of BOT operations.</w:t>
      </w:r>
    </w:p>
    <w:p w14:paraId="76BE9368" w14:textId="77777777" w:rsidR="00054BF0" w:rsidRDefault="00000000">
      <w:pPr>
        <w:spacing w:before="240" w:line="260" w:lineRule="atLeast"/>
      </w:pPr>
      <w:r>
        <w:rPr>
          <w:rFonts w:ascii="Arial" w:eastAsia="Arial" w:hAnsi="Arial" w:cs="Arial"/>
          <w:b/>
          <w:color w:val="000000"/>
          <w:sz w:val="20"/>
        </w:rPr>
        <w:t>SPV</w:t>
      </w:r>
    </w:p>
    <w:p w14:paraId="0829F665" w14:textId="77777777" w:rsidR="00054BF0" w:rsidRDefault="00000000">
      <w:pPr>
        <w:spacing w:before="200" w:line="260" w:lineRule="atLeast"/>
        <w:jc w:val="both"/>
      </w:pPr>
      <w:r>
        <w:rPr>
          <w:rFonts w:ascii="Arial" w:eastAsia="Arial" w:hAnsi="Arial" w:cs="Arial"/>
          <w:color w:val="000000"/>
          <w:sz w:val="20"/>
        </w:rPr>
        <w:lastRenderedPageBreak/>
        <w:t>The above two concepts were wrapped by one legal device, that is, SPV. Once a SPV is established, it serves as a legal protection against financiers for immediate payback of the loans.</w:t>
      </w:r>
    </w:p>
    <w:p w14:paraId="4CDE3A50" w14:textId="77777777" w:rsidR="00054BF0" w:rsidRDefault="00000000">
      <w:pPr>
        <w:spacing w:before="200" w:line="260" w:lineRule="atLeast"/>
        <w:jc w:val="both"/>
      </w:pPr>
      <w:r>
        <w:rPr>
          <w:rFonts w:ascii="Arial" w:eastAsia="Arial" w:hAnsi="Arial" w:cs="Arial"/>
          <w:color w:val="000000"/>
          <w:sz w:val="20"/>
        </w:rPr>
        <w:t>Procedurally, when a consortium of project proponents won a contract, they form a SPV to which project proponents (often called sponsors) would make equity investments; in other words, they would become shareholders of the SPV. A portion of initial capital expenditures (often 10%-30%) would come from equity investments, but the rest of capital expenditures would be covered by borrowing from banks and/or other financiers. Although real beneficiaries of these loans are project proponents or sponsors, they are not the borrowers, but the SPV is. When the project is feared to fail, the lenders would immediately request payback of outstanding balance of loans to SPV but not to project proponents or sponsors, as they are not borrowers legally.</w:t>
      </w:r>
    </w:p>
    <w:p w14:paraId="046FDCB1" w14:textId="77777777" w:rsidR="00054BF0" w:rsidRDefault="00000000">
      <w:pPr>
        <w:spacing w:before="200" w:line="260" w:lineRule="atLeast"/>
        <w:jc w:val="both"/>
      </w:pPr>
      <w:r>
        <w:rPr>
          <w:rFonts w:ascii="Arial" w:eastAsia="Arial" w:hAnsi="Arial" w:cs="Arial"/>
          <w:color w:val="000000"/>
          <w:sz w:val="20"/>
        </w:rPr>
        <w:t>A more important but often overlooked benefit of using the SPV is that it enables project proponents to be paid much faster than usual time table of the BOT project payments, that is, at the time of delivery of equipment/services (Note. One of the main purposes of getting involved in BOT project is that the project proponents intend to sell their equipment or system to the project and to be paid from the project). If the BOT project is executed directly by project proponents, they would not be paid soon, but need to wait for a while until the BOT project generates “free cash flow.” However, this SPV arrangement would enable project proponents to be paid, based on the subcontracts which had been concluded with the SPV. It should be noted that project sponsors are in a position to influence the procurement decision by the SPV.</w:t>
      </w:r>
    </w:p>
    <w:p w14:paraId="52722CAB" w14:textId="77777777" w:rsidR="00054BF0" w:rsidRDefault="00000000">
      <w:pPr>
        <w:spacing w:before="200" w:line="260" w:lineRule="atLeast"/>
        <w:jc w:val="both"/>
      </w:pPr>
      <w:r>
        <w:rPr>
          <w:rFonts w:ascii="Arial" w:eastAsia="Arial" w:hAnsi="Arial" w:cs="Arial"/>
          <w:color w:val="000000"/>
          <w:sz w:val="20"/>
        </w:rPr>
        <w:t xml:space="preserve">This structure is a reason why financiers would become extremely cautious about financing BOT projects. When the project has failed, the resultant default would directly hit lenders. Essence of financing is the willingness to take this risk in exchange of earning higher interest from the borrowers. To prevent this from happening, banks often insist on the inclusion of several clauses in the loan agreements, such as “step-in rights” clause, “claw-back” clause, and “escrow-account”. This extreme cautiousness of the financiers toward the SPV arrangement would make hard contract negotiation between SPV and financiers, which may lead to the </w:t>
      </w:r>
      <w:r>
        <w:rPr>
          <w:rFonts w:ascii="Arial" w:eastAsia="Arial" w:hAnsi="Arial" w:cs="Arial"/>
          <w:b/>
          <w:i/>
          <w:color w:val="000000"/>
          <w:sz w:val="20"/>
          <w:u w:val="single"/>
        </w:rPr>
        <w:t>failure</w:t>
      </w:r>
      <w:r>
        <w:rPr>
          <w:rFonts w:ascii="Arial" w:eastAsia="Arial" w:hAnsi="Arial" w:cs="Arial"/>
          <w:color w:val="000000"/>
          <w:sz w:val="20"/>
        </w:rPr>
        <w:t xml:space="preserve"> to reach financial closure in a reasonable time frame.</w:t>
      </w:r>
    </w:p>
    <w:p w14:paraId="01288912" w14:textId="77777777" w:rsidR="00054BF0" w:rsidRDefault="00000000">
      <w:pPr>
        <w:spacing w:before="240" w:line="260" w:lineRule="atLeast"/>
      </w:pPr>
      <w:r>
        <w:rPr>
          <w:rFonts w:ascii="Arial" w:eastAsia="Arial" w:hAnsi="Arial" w:cs="Arial"/>
          <w:b/>
          <w:color w:val="000000"/>
          <w:sz w:val="20"/>
        </w:rPr>
        <w:t>Three vulnerabilities identified from the above analyses</w:t>
      </w:r>
    </w:p>
    <w:p w14:paraId="0B1F2F11" w14:textId="77777777" w:rsidR="00054BF0" w:rsidRDefault="00000000">
      <w:pPr>
        <w:spacing w:before="200" w:line="260" w:lineRule="atLeast"/>
        <w:jc w:val="both"/>
      </w:pPr>
      <w:r>
        <w:rPr>
          <w:rFonts w:ascii="Arial" w:eastAsia="Arial" w:hAnsi="Arial" w:cs="Arial"/>
          <w:color w:val="000000"/>
          <w:sz w:val="20"/>
        </w:rPr>
        <w:t>The above analysis has enabled us to identify the three root causes of vulnerability of BOT scheme as enumerated below.</w:t>
      </w:r>
    </w:p>
    <w:p w14:paraId="465D4324" w14:textId="77777777" w:rsidR="00054BF0" w:rsidRDefault="00000000">
      <w:pPr>
        <w:spacing w:before="200" w:line="260" w:lineRule="atLeast"/>
        <w:jc w:val="both"/>
      </w:pPr>
      <w:r>
        <w:rPr>
          <w:rFonts w:ascii="Arial" w:eastAsia="Arial" w:hAnsi="Arial" w:cs="Arial"/>
          <w:color w:val="000000"/>
          <w:sz w:val="20"/>
        </w:rPr>
        <w:t>Uncertainty in future revenue of infrastructure projects</w:t>
      </w:r>
    </w:p>
    <w:p w14:paraId="02E5A89E" w14:textId="77777777" w:rsidR="00054BF0" w:rsidRDefault="00000000">
      <w:pPr>
        <w:spacing w:before="200" w:line="260" w:lineRule="atLeast"/>
        <w:jc w:val="both"/>
      </w:pPr>
      <w:r>
        <w:rPr>
          <w:rFonts w:ascii="Arial" w:eastAsia="Arial" w:hAnsi="Arial" w:cs="Arial"/>
          <w:color w:val="000000"/>
          <w:sz w:val="20"/>
        </w:rPr>
        <w:t>Potential intervention by the government in pricing with resultant difficulty in cost recovery</w:t>
      </w:r>
    </w:p>
    <w:p w14:paraId="3F8259D0" w14:textId="77777777" w:rsidR="00054BF0" w:rsidRDefault="00000000">
      <w:pPr>
        <w:spacing w:before="200" w:line="260" w:lineRule="atLeast"/>
        <w:jc w:val="both"/>
      </w:pPr>
      <w:r>
        <w:rPr>
          <w:rFonts w:ascii="Arial" w:eastAsia="Arial" w:hAnsi="Arial" w:cs="Arial"/>
          <w:color w:val="000000"/>
          <w:sz w:val="20"/>
        </w:rPr>
        <w:t>Difficulty in securing finance for BOT projects due to the tilted-structure of the SPV toward project proponents</w:t>
      </w:r>
    </w:p>
    <w:p w14:paraId="06BC650C" w14:textId="77777777" w:rsidR="00054BF0" w:rsidRDefault="00000000">
      <w:pPr>
        <w:spacing w:before="240" w:line="260" w:lineRule="atLeast"/>
      </w:pPr>
      <w:r>
        <w:rPr>
          <w:rFonts w:ascii="Arial" w:eastAsia="Arial" w:hAnsi="Arial" w:cs="Arial"/>
          <w:b/>
          <w:color w:val="000000"/>
          <w:sz w:val="20"/>
        </w:rPr>
        <w:t>Cross-Country Comparison of PPP Systems</w:t>
      </w:r>
    </w:p>
    <w:p w14:paraId="047D37BC" w14:textId="77777777" w:rsidR="00054BF0" w:rsidRDefault="00000000">
      <w:pPr>
        <w:spacing w:before="200" w:line="260" w:lineRule="atLeast"/>
        <w:jc w:val="both"/>
      </w:pPr>
      <w:r>
        <w:rPr>
          <w:rFonts w:ascii="Arial" w:eastAsia="Arial" w:hAnsi="Arial" w:cs="Arial"/>
          <w:color w:val="000000"/>
          <w:sz w:val="20"/>
        </w:rPr>
        <w:t>Having identified major vulnerabilities of the BOT scheme, these elements would be used as a basis for evaluating the effectiveness of the PPP systems of selected countries as the most important elements of the PPP scheme is how to overcome the vulnerabilities of the BOT scheme. The reason for taking this approach is author’s belief that the PPP was essentially devised to revitalize the BOT scheme by covering its vulnerabilities with government supports.</w:t>
      </w:r>
    </w:p>
    <w:p w14:paraId="52CFC784" w14:textId="77777777" w:rsidR="00054BF0" w:rsidRDefault="00000000">
      <w:pPr>
        <w:spacing w:before="240" w:line="260" w:lineRule="atLeast"/>
      </w:pPr>
      <w:r>
        <w:rPr>
          <w:rFonts w:ascii="Arial" w:eastAsia="Arial" w:hAnsi="Arial" w:cs="Arial"/>
          <w:b/>
          <w:color w:val="000000"/>
          <w:sz w:val="20"/>
        </w:rPr>
        <w:t>Selection of Countries for Comparison</w:t>
      </w:r>
    </w:p>
    <w:p w14:paraId="0825F0D8" w14:textId="77777777" w:rsidR="00054BF0" w:rsidRDefault="00000000">
      <w:pPr>
        <w:spacing w:before="200" w:line="260" w:lineRule="atLeast"/>
        <w:jc w:val="both"/>
      </w:pPr>
      <w:r>
        <w:rPr>
          <w:rFonts w:ascii="Arial" w:eastAsia="Arial" w:hAnsi="Arial" w:cs="Arial"/>
          <w:color w:val="000000"/>
          <w:sz w:val="20"/>
        </w:rPr>
        <w:t xml:space="preserve">For conducting cross-country comparison of the PPP systems, three countries, Chile, Korea, and India, have been selected since these three countries register higher amount of PPP investments </w:t>
      </w:r>
      <w:r>
        <w:rPr>
          <w:rFonts w:ascii="Arial" w:eastAsia="Arial" w:hAnsi="Arial" w:cs="Arial"/>
          <w:i/>
          <w:color w:val="000000"/>
          <w:sz w:val="20"/>
        </w:rPr>
        <w:t>per GDP</w:t>
      </w:r>
      <w:r>
        <w:rPr>
          <w:rFonts w:ascii="Arial" w:eastAsia="Arial" w:hAnsi="Arial" w:cs="Arial"/>
          <w:color w:val="000000"/>
          <w:sz w:val="20"/>
        </w:rPr>
        <w:t xml:space="preserve"> (Figure 2). In addition, these three countries are well known for their excellent track-records of implementation of the PPP programs, together with policy frameworks.</w:t>
      </w:r>
    </w:p>
    <w:p w14:paraId="3295326F" w14:textId="77777777" w:rsidR="00054BF0" w:rsidRDefault="00000000">
      <w:pPr>
        <w:spacing w:before="240" w:line="260" w:lineRule="atLeast"/>
      </w:pPr>
      <w:r>
        <w:rPr>
          <w:rFonts w:ascii="Arial" w:eastAsia="Arial" w:hAnsi="Arial" w:cs="Arial"/>
          <w:b/>
          <w:color w:val="000000"/>
          <w:sz w:val="20"/>
        </w:rPr>
        <w:lastRenderedPageBreak/>
        <w:t>Figure 2.</w:t>
      </w:r>
    </w:p>
    <w:p w14:paraId="20BCAD5C" w14:textId="77777777" w:rsidR="00054BF0" w:rsidRDefault="00000000">
      <w:pPr>
        <w:spacing w:before="200" w:line="260" w:lineRule="atLeast"/>
        <w:jc w:val="both"/>
      </w:pPr>
      <w:r>
        <w:rPr>
          <w:rFonts w:ascii="Arial" w:eastAsia="Arial" w:hAnsi="Arial" w:cs="Arial"/>
          <w:color w:val="000000"/>
          <w:sz w:val="20"/>
        </w:rPr>
        <w:t>For PPP investments per GDP of several countries.</w:t>
      </w:r>
    </w:p>
    <w:p w14:paraId="01535E85"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Compiled by S. Tsukada based on PSI Database of the World Bank.</w:t>
      </w:r>
    </w:p>
    <w:p w14:paraId="765DBB5A"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04E95DE4" w14:textId="77777777" w:rsidR="00054BF0" w:rsidRDefault="00000000">
      <w:pPr>
        <w:spacing w:before="240" w:line="260" w:lineRule="atLeast"/>
      </w:pPr>
      <w:r>
        <w:rPr>
          <w:rFonts w:ascii="Arial" w:eastAsia="Arial" w:hAnsi="Arial" w:cs="Arial"/>
          <w:b/>
          <w:color w:val="000000"/>
          <w:sz w:val="20"/>
        </w:rPr>
        <w:t>Chilean PPP System</w:t>
      </w:r>
    </w:p>
    <w:p w14:paraId="07C3ABF4" w14:textId="77777777" w:rsidR="00054BF0" w:rsidRDefault="00000000">
      <w:pPr>
        <w:spacing w:before="240" w:line="260" w:lineRule="atLeast"/>
      </w:pPr>
      <w:r>
        <w:rPr>
          <w:rFonts w:ascii="Arial" w:eastAsia="Arial" w:hAnsi="Arial" w:cs="Arial"/>
          <w:b/>
          <w:color w:val="000000"/>
          <w:sz w:val="20"/>
        </w:rPr>
        <w:t>Overview</w:t>
      </w:r>
    </w:p>
    <w:p w14:paraId="78A864FD" w14:textId="77777777" w:rsidR="00054BF0" w:rsidRDefault="00000000">
      <w:pPr>
        <w:spacing w:before="200" w:line="260" w:lineRule="atLeast"/>
        <w:jc w:val="both"/>
      </w:pPr>
      <w:r>
        <w:rPr>
          <w:rFonts w:ascii="Arial" w:eastAsia="Arial" w:hAnsi="Arial" w:cs="Arial"/>
          <w:color w:val="000000"/>
          <w:sz w:val="20"/>
        </w:rPr>
        <w:t xml:space="preserve">Chile is the first developing country that has successfully implemented PPP programs (Although Mexico had </w:t>
      </w:r>
      <w:r>
        <w:rPr>
          <w:rFonts w:ascii="Arial" w:eastAsia="Arial" w:hAnsi="Arial" w:cs="Arial"/>
          <w:b/>
          <w:i/>
          <w:color w:val="000000"/>
          <w:sz w:val="20"/>
          <w:u w:val="single"/>
        </w:rPr>
        <w:t>started</w:t>
      </w:r>
      <w:r>
        <w:rPr>
          <w:rFonts w:ascii="Arial" w:eastAsia="Arial" w:hAnsi="Arial" w:cs="Arial"/>
          <w:color w:val="000000"/>
          <w:sz w:val="20"/>
        </w:rPr>
        <w:t xml:space="preserve"> earlier, it had ended </w:t>
      </w:r>
      <w:r>
        <w:rPr>
          <w:rFonts w:ascii="Arial" w:eastAsia="Arial" w:hAnsi="Arial" w:cs="Arial"/>
          <w:b/>
          <w:i/>
          <w:color w:val="000000"/>
          <w:sz w:val="20"/>
          <w:u w:val="single"/>
        </w:rPr>
        <w:t>up</w:t>
      </w:r>
      <w:r>
        <w:rPr>
          <w:rFonts w:ascii="Arial" w:eastAsia="Arial" w:hAnsi="Arial" w:cs="Arial"/>
          <w:color w:val="000000"/>
          <w:sz w:val="20"/>
        </w:rPr>
        <w:t xml:space="preserve"> with a major </w:t>
      </w:r>
      <w:r>
        <w:rPr>
          <w:rFonts w:ascii="Arial" w:eastAsia="Arial" w:hAnsi="Arial" w:cs="Arial"/>
          <w:b/>
          <w:i/>
          <w:color w:val="000000"/>
          <w:sz w:val="20"/>
          <w:u w:val="single"/>
        </w:rPr>
        <w:t>failure</w:t>
      </w:r>
      <w:r>
        <w:rPr>
          <w:rFonts w:ascii="Arial" w:eastAsia="Arial" w:hAnsi="Arial" w:cs="Arial"/>
          <w:color w:val="000000"/>
          <w:sz w:val="20"/>
        </w:rPr>
        <w:t xml:space="preserve"> with massive bailout extended to developers and financiers). Faced with huge investment needs for the development of highway networks, the Government of Chile (GoC) decided to get the private sector to participate in both development and operations. For this reason, Special Decree of No. 164 (called “Concession Law”) was enacted in 1991, which was supplemented by Special Decree of No. 900 in 1996 and later by Special Decree of No. 956 in 1997 (Lorenzen &amp; Barrientos, 2001). Having the legal framework been in place, GoC launched a major highway program on a PPP basis. It is a 2,000 km intercity concession program, which </w:t>
      </w:r>
      <w:r>
        <w:rPr>
          <w:rFonts w:ascii="Arial" w:eastAsia="Arial" w:hAnsi="Arial" w:cs="Arial"/>
          <w:b/>
          <w:i/>
          <w:color w:val="000000"/>
          <w:sz w:val="20"/>
          <w:u w:val="single"/>
        </w:rPr>
        <w:t>started</w:t>
      </w:r>
      <w:r>
        <w:rPr>
          <w:rFonts w:ascii="Arial" w:eastAsia="Arial" w:hAnsi="Arial" w:cs="Arial"/>
          <w:color w:val="000000"/>
          <w:sz w:val="20"/>
        </w:rPr>
        <w:t xml:space="preserve"> in 1994 with award of 12 contracts by 1998. The estimated amount of investment was US$3.3 billion.</w:t>
      </w:r>
    </w:p>
    <w:p w14:paraId="6F372456" w14:textId="77777777" w:rsidR="00054BF0" w:rsidRDefault="00000000">
      <w:pPr>
        <w:spacing w:before="200" w:line="260" w:lineRule="atLeast"/>
        <w:jc w:val="both"/>
      </w:pPr>
      <w:r>
        <w:rPr>
          <w:rFonts w:ascii="Arial" w:eastAsia="Arial" w:hAnsi="Arial" w:cs="Arial"/>
          <w:color w:val="000000"/>
          <w:sz w:val="20"/>
        </w:rPr>
        <w:t>A central feature of Chilean PPP is the active participation of foreign contractors. Attracted by the policy framework, together with procedural transparency with regard to bidding and bid evaluation, a number of foreign contractors from Spain and Mexico actively participated in the biddings. Among 12 winning bidders who had participated in the above 2,000 km intercity highway program, 11 were either foreign contractors or joint ventures.</w:t>
      </w:r>
    </w:p>
    <w:p w14:paraId="3179DCC5" w14:textId="77777777" w:rsidR="00054BF0" w:rsidRDefault="00000000">
      <w:pPr>
        <w:spacing w:before="240" w:line="260" w:lineRule="atLeast"/>
      </w:pPr>
      <w:r>
        <w:rPr>
          <w:rFonts w:ascii="Arial" w:eastAsia="Arial" w:hAnsi="Arial" w:cs="Arial"/>
          <w:b/>
          <w:color w:val="000000"/>
          <w:sz w:val="20"/>
        </w:rPr>
        <w:t>Ways to deal with these vulnerabilities under the Chilean PPP system</w:t>
      </w:r>
    </w:p>
    <w:p w14:paraId="2B175034" w14:textId="77777777" w:rsidR="00054BF0" w:rsidRDefault="00000000">
      <w:pPr>
        <w:spacing w:before="200" w:line="260" w:lineRule="atLeast"/>
        <w:jc w:val="both"/>
      </w:pPr>
      <w:r>
        <w:rPr>
          <w:rFonts w:ascii="Arial" w:eastAsia="Arial" w:hAnsi="Arial" w:cs="Arial"/>
          <w:color w:val="000000"/>
          <w:sz w:val="20"/>
        </w:rPr>
        <w:t>This section would describe how those vulnerabilities identified earlier have been handled under the PPP system of the GoC.</w:t>
      </w:r>
    </w:p>
    <w:p w14:paraId="386C9E2D" w14:textId="77777777" w:rsidR="00054BF0" w:rsidRDefault="00000000">
      <w:pPr>
        <w:spacing w:before="240" w:line="260" w:lineRule="atLeast"/>
      </w:pPr>
      <w:r>
        <w:rPr>
          <w:rFonts w:ascii="Arial" w:eastAsia="Arial" w:hAnsi="Arial" w:cs="Arial"/>
          <w:b/>
          <w:color w:val="000000"/>
          <w:sz w:val="20"/>
        </w:rPr>
        <w:t>Uncertainty in demand</w:t>
      </w:r>
    </w:p>
    <w:p w14:paraId="39FD0289" w14:textId="77777777" w:rsidR="00054BF0" w:rsidRDefault="00000000">
      <w:pPr>
        <w:spacing w:before="200" w:line="260" w:lineRule="atLeast"/>
        <w:jc w:val="both"/>
      </w:pPr>
      <w:r>
        <w:rPr>
          <w:rFonts w:ascii="Arial" w:eastAsia="Arial" w:hAnsi="Arial" w:cs="Arial"/>
          <w:color w:val="000000"/>
          <w:sz w:val="20"/>
        </w:rPr>
        <w:t>To deal with demand uncertainty, GoC has introduced minimum income guarantee (MIC). MIC was that, if the actual income to be raised from the project has failed to reach the originally projected target of income, the Government would pay the difference between the projected and actual income. It should be, however, noted that the Government would not pay the entire difference between the projected income and the actual income, but only pay the difference of 70% of the projected income and the actual income. This means that the Chilean MIC is primarily intended to provide lenders with assurance for the payment of debt services as the loans usually cover 70% of the project cost similar amount.</w:t>
      </w:r>
    </w:p>
    <w:p w14:paraId="3A57019C" w14:textId="77777777" w:rsidR="00054BF0" w:rsidRDefault="00000000">
      <w:pPr>
        <w:spacing w:before="200" w:line="260" w:lineRule="atLeast"/>
        <w:jc w:val="both"/>
      </w:pPr>
      <w:r>
        <w:rPr>
          <w:rFonts w:ascii="Arial" w:eastAsia="Arial" w:hAnsi="Arial" w:cs="Arial"/>
          <w:color w:val="000000"/>
          <w:sz w:val="20"/>
        </w:rPr>
        <w:t>Another mitigation measure the GoC has taken was least present value of the revenue (LPVR). The LPVR is that the concession would end when the project has generated the expected present value of the accumulated revenue discounted by the predetermined discount rate. Under the LPVR, when the traffic is lower than projected, the period of concession would be extended longer than the originally agreed. This would enable the project company to recover the cost of the project.</w:t>
      </w:r>
    </w:p>
    <w:p w14:paraId="36E58E38" w14:textId="77777777" w:rsidR="00054BF0" w:rsidRDefault="00000000">
      <w:pPr>
        <w:spacing w:before="240" w:line="260" w:lineRule="atLeast"/>
      </w:pPr>
      <w:r>
        <w:rPr>
          <w:rFonts w:ascii="Arial" w:eastAsia="Arial" w:hAnsi="Arial" w:cs="Arial"/>
          <w:b/>
          <w:color w:val="000000"/>
          <w:sz w:val="20"/>
        </w:rPr>
        <w:t>Difficulty in cost recovery</w:t>
      </w:r>
    </w:p>
    <w:p w14:paraId="1F8DDE4D" w14:textId="77777777" w:rsidR="00054BF0" w:rsidRDefault="00000000">
      <w:pPr>
        <w:spacing w:before="200" w:line="260" w:lineRule="atLeast"/>
        <w:jc w:val="both"/>
      </w:pPr>
      <w:r>
        <w:rPr>
          <w:rFonts w:ascii="Arial" w:eastAsia="Arial" w:hAnsi="Arial" w:cs="Arial"/>
          <w:color w:val="000000"/>
          <w:sz w:val="20"/>
        </w:rPr>
        <w:t xml:space="preserve">The possible restriction by the government on price setting is one of the major concerns for the private sector, particularly in those countries with high inflation. The GoC has come </w:t>
      </w:r>
      <w:r>
        <w:rPr>
          <w:rFonts w:ascii="Arial" w:eastAsia="Arial" w:hAnsi="Arial" w:cs="Arial"/>
          <w:b/>
          <w:i/>
          <w:color w:val="000000"/>
          <w:sz w:val="20"/>
          <w:u w:val="single"/>
        </w:rPr>
        <w:t>up</w:t>
      </w:r>
      <w:r>
        <w:rPr>
          <w:rFonts w:ascii="Arial" w:eastAsia="Arial" w:hAnsi="Arial" w:cs="Arial"/>
          <w:color w:val="000000"/>
          <w:sz w:val="20"/>
        </w:rPr>
        <w:t xml:space="preserve"> with such an indexation system which would allow the project company to increase user charges in proportion to the speed of inflation (measured by Consumer Price Index [CPI]).</w:t>
      </w:r>
    </w:p>
    <w:p w14:paraId="2095EF4A" w14:textId="77777777" w:rsidR="00054BF0" w:rsidRDefault="00000000">
      <w:pPr>
        <w:spacing w:before="240" w:line="260" w:lineRule="atLeast"/>
      </w:pPr>
      <w:r>
        <w:rPr>
          <w:rFonts w:ascii="Arial" w:eastAsia="Arial" w:hAnsi="Arial" w:cs="Arial"/>
          <w:b/>
          <w:color w:val="000000"/>
          <w:sz w:val="20"/>
        </w:rPr>
        <w:lastRenderedPageBreak/>
        <w:t>Difficulty in securing long-term loans</w:t>
      </w:r>
    </w:p>
    <w:p w14:paraId="3309B004" w14:textId="77777777" w:rsidR="00054BF0" w:rsidRDefault="00000000">
      <w:pPr>
        <w:spacing w:before="200" w:line="260" w:lineRule="atLeast"/>
        <w:jc w:val="both"/>
      </w:pPr>
      <w:r>
        <w:rPr>
          <w:rFonts w:ascii="Arial" w:eastAsia="Arial" w:hAnsi="Arial" w:cs="Arial"/>
          <w:color w:val="000000"/>
          <w:sz w:val="20"/>
        </w:rPr>
        <w:t xml:space="preserve">As seen above, one of the feature of Chilean PPP is the dominance of foreign contractors. For those contractors, a major stumbling block is the currency mismatch. Although the road project would earn its revenue from local currency, foreign project companies often mobilize funds from foreign financiers or through Euro-currency markets. Cognizant of the importance of mitigating the adverse impact of FX fluctuation, the GoC has come </w:t>
      </w:r>
      <w:r>
        <w:rPr>
          <w:rFonts w:ascii="Arial" w:eastAsia="Arial" w:hAnsi="Arial" w:cs="Arial"/>
          <w:b/>
          <w:i/>
          <w:color w:val="000000"/>
          <w:sz w:val="20"/>
          <w:u w:val="single"/>
        </w:rPr>
        <w:t>up</w:t>
      </w:r>
      <w:r>
        <w:rPr>
          <w:rFonts w:ascii="Arial" w:eastAsia="Arial" w:hAnsi="Arial" w:cs="Arial"/>
          <w:color w:val="000000"/>
          <w:sz w:val="20"/>
        </w:rPr>
        <w:t xml:space="preserve"> with an exchange-risk guarantee system. If local currency has been depreciated more than 10%, the government would cover the difference.</w:t>
      </w:r>
    </w:p>
    <w:p w14:paraId="15B263E5" w14:textId="77777777" w:rsidR="00054BF0" w:rsidRDefault="00000000">
      <w:pPr>
        <w:spacing w:before="200" w:line="260" w:lineRule="atLeast"/>
        <w:jc w:val="both"/>
      </w:pPr>
      <w:r>
        <w:rPr>
          <w:rFonts w:ascii="Arial" w:eastAsia="Arial" w:hAnsi="Arial" w:cs="Arial"/>
          <w:color w:val="000000"/>
          <w:sz w:val="20"/>
        </w:rPr>
        <w:t xml:space="preserve">Another different financing system was </w:t>
      </w:r>
      <w:r>
        <w:rPr>
          <w:rFonts w:ascii="Arial" w:eastAsia="Arial" w:hAnsi="Arial" w:cs="Arial"/>
          <w:i/>
          <w:color w:val="000000"/>
          <w:sz w:val="20"/>
        </w:rPr>
        <w:t>mono-line service</w:t>
      </w:r>
      <w:r>
        <w:rPr>
          <w:rFonts w:ascii="Arial" w:eastAsia="Arial" w:hAnsi="Arial" w:cs="Arial"/>
          <w:color w:val="000000"/>
          <w:sz w:val="20"/>
        </w:rPr>
        <w:t xml:space="preserve">. Although this is not direct support by the government, its system has facilitated the project company to mobilize the fund from the capital market. Its basic mechanism is that internationally reputed financial insurance companies such as MBIA or XL Capital would provide subscribers of project bonds with unconditional and irrevocable guarantees for the payment of interests and principle in the case of default of bonds. As these financial insurance companies are often rated AAA, project bonds themselves would also be rated similarly. An underlying factor for the use of this system is the Government policy on banking sector. In Chile, banks were not allowed to lend more than 15% of the total cost of green field projects. Instead of relaxing banking regulation, the GoC has chosen to allow project developers to raise funds from capital markets through issuance of </w:t>
      </w:r>
      <w:r>
        <w:rPr>
          <w:rFonts w:ascii="Arial" w:eastAsia="Arial" w:hAnsi="Arial" w:cs="Arial"/>
          <w:i/>
          <w:color w:val="000000"/>
          <w:sz w:val="20"/>
        </w:rPr>
        <w:t>infrastructure bonds</w:t>
      </w:r>
      <w:r>
        <w:rPr>
          <w:rFonts w:ascii="Arial" w:eastAsia="Arial" w:hAnsi="Arial" w:cs="Arial"/>
          <w:color w:val="000000"/>
          <w:sz w:val="20"/>
        </w:rPr>
        <w:t>. Since then, infrastructure bonds have become a popular method for raising funds from capital markets. In the case of the abovementioned 2,000 km intercity road program, seven out of 12 projects secured funds through issuance of bonds wrapped by “mono-line services.”</w:t>
      </w:r>
    </w:p>
    <w:p w14:paraId="77AF04E1" w14:textId="77777777" w:rsidR="00054BF0" w:rsidRDefault="00000000">
      <w:pPr>
        <w:spacing w:before="240" w:line="260" w:lineRule="atLeast"/>
      </w:pPr>
      <w:r>
        <w:rPr>
          <w:rFonts w:ascii="Arial" w:eastAsia="Arial" w:hAnsi="Arial" w:cs="Arial"/>
          <w:b/>
          <w:color w:val="000000"/>
          <w:sz w:val="20"/>
        </w:rPr>
        <w:t>Korean PPP System</w:t>
      </w:r>
    </w:p>
    <w:p w14:paraId="105B30E4" w14:textId="77777777" w:rsidR="00054BF0" w:rsidRDefault="00000000">
      <w:pPr>
        <w:spacing w:before="240" w:line="260" w:lineRule="atLeast"/>
      </w:pPr>
      <w:r>
        <w:rPr>
          <w:rFonts w:ascii="Arial" w:eastAsia="Arial" w:hAnsi="Arial" w:cs="Arial"/>
          <w:b/>
          <w:color w:val="000000"/>
          <w:sz w:val="20"/>
        </w:rPr>
        <w:t>Overview</w:t>
      </w:r>
    </w:p>
    <w:p w14:paraId="156F45C4" w14:textId="77777777" w:rsidR="00054BF0" w:rsidRDefault="00000000">
      <w:pPr>
        <w:spacing w:before="200" w:line="260" w:lineRule="atLeast"/>
        <w:jc w:val="both"/>
      </w:pPr>
      <w:r>
        <w:rPr>
          <w:rFonts w:ascii="Arial" w:eastAsia="Arial" w:hAnsi="Arial" w:cs="Arial"/>
          <w:color w:val="000000"/>
          <w:sz w:val="20"/>
        </w:rPr>
        <w:t xml:space="preserve">Although Korea has </w:t>
      </w:r>
      <w:r>
        <w:rPr>
          <w:rFonts w:ascii="Arial" w:eastAsia="Arial" w:hAnsi="Arial" w:cs="Arial"/>
          <w:b/>
          <w:i/>
          <w:color w:val="000000"/>
          <w:sz w:val="20"/>
          <w:u w:val="single"/>
        </w:rPr>
        <w:t>started</w:t>
      </w:r>
      <w:r>
        <w:rPr>
          <w:rFonts w:ascii="Arial" w:eastAsia="Arial" w:hAnsi="Arial" w:cs="Arial"/>
          <w:color w:val="000000"/>
          <w:sz w:val="20"/>
        </w:rPr>
        <w:t xml:space="preserve"> its PPP scheme later than Chile, its scale of investment has surpassed that of Chile and other developing countries by a large margin. The legal framework of Korean PPP system has evolved over years through the enactment of a series of legislations, </w:t>
      </w:r>
      <w:r>
        <w:rPr>
          <w:rFonts w:ascii="Arial" w:eastAsia="Arial" w:hAnsi="Arial" w:cs="Arial"/>
          <w:b/>
          <w:i/>
          <w:color w:val="000000"/>
          <w:sz w:val="20"/>
          <w:u w:val="single"/>
        </w:rPr>
        <w:t>starting</w:t>
      </w:r>
      <w:r>
        <w:rPr>
          <w:rFonts w:ascii="Arial" w:eastAsia="Arial" w:hAnsi="Arial" w:cs="Arial"/>
          <w:color w:val="000000"/>
          <w:sz w:val="20"/>
        </w:rPr>
        <w:t xml:space="preserve"> from the “1994 Act for Private Capital Inducement Promotion” through the “1998 Act for Private Participation in Infrastructure” to the “2005 Act for Public Private Partnership in Infrastructure (often referred to as PPP Act).” According to Korean Development Institute (KDI; 2014), the PPP investment peaked in 2007 both in terms of the amount of investments and the number of projects.</w:t>
      </w:r>
    </w:p>
    <w:p w14:paraId="68D426C0" w14:textId="77777777" w:rsidR="00054BF0" w:rsidRDefault="00000000">
      <w:pPr>
        <w:spacing w:before="200" w:line="260" w:lineRule="atLeast"/>
        <w:jc w:val="both"/>
      </w:pPr>
      <w:r>
        <w:rPr>
          <w:rFonts w:ascii="Arial" w:eastAsia="Arial" w:hAnsi="Arial" w:cs="Arial"/>
          <w:color w:val="000000"/>
          <w:sz w:val="20"/>
        </w:rPr>
        <w:t>Having established a legal framework, PPP has now become a mainstream method of infrastructure development in Korea, covering 17% of the total investment for nation’s infrastructure. Transition from the conventional public procurement to the PPP-based procurement has been underpinned by the strong institutional support provided by Private Infrastructure Investment Management Center (PIMAC). PIMAC, which was established in 1998, has played an instrumental role in popularizing the PPP scheme in Korea. Its main functions include (a) conducting researches associated with PPP, together with provision of advice on structuring PPP; (b) assessment/appraisal of the government-sponsored PPP projects; and (c) provision of assistance to government agencies in negotiation with the private sector PPP developers.</w:t>
      </w:r>
    </w:p>
    <w:p w14:paraId="2DDF7695" w14:textId="77777777" w:rsidR="00054BF0" w:rsidRDefault="00000000">
      <w:pPr>
        <w:spacing w:before="200" w:line="260" w:lineRule="atLeast"/>
        <w:jc w:val="both"/>
      </w:pPr>
      <w:r>
        <w:rPr>
          <w:rFonts w:ascii="Arial" w:eastAsia="Arial" w:hAnsi="Arial" w:cs="Arial"/>
          <w:color w:val="000000"/>
          <w:sz w:val="20"/>
        </w:rPr>
        <w:t>Another feature of Korean PPP is the active participation of business conglomerates (Chaebols). Because of their involvement, the sizes of the PPP projects have been made much greater. The average size of contract packages of PPP projects in Korea is $450 million, which is much greater than those of Chile (which is $262 million) and India (which is $156 million). Participation of Chaebols has enabled the Government of Korea (GoK) to implement infrastructure programs in an expeditious manner, but it has disadvantage as well. The negotiation has been made much longer and more complicated, which is due to the tag of war between equally powerful two negotiating parties.</w:t>
      </w:r>
    </w:p>
    <w:p w14:paraId="70D4FC01" w14:textId="77777777" w:rsidR="00054BF0" w:rsidRDefault="00000000">
      <w:pPr>
        <w:spacing w:before="240" w:line="260" w:lineRule="atLeast"/>
      </w:pPr>
      <w:r>
        <w:rPr>
          <w:rFonts w:ascii="Arial" w:eastAsia="Arial" w:hAnsi="Arial" w:cs="Arial"/>
          <w:b/>
          <w:color w:val="000000"/>
          <w:sz w:val="20"/>
        </w:rPr>
        <w:t>Ways to deal with these vulnerabilities under the Korean PPP system</w:t>
      </w:r>
    </w:p>
    <w:p w14:paraId="35D4B650" w14:textId="77777777" w:rsidR="00054BF0" w:rsidRDefault="00000000">
      <w:pPr>
        <w:spacing w:before="200" w:line="260" w:lineRule="atLeast"/>
        <w:jc w:val="both"/>
      </w:pPr>
      <w:r>
        <w:rPr>
          <w:rFonts w:ascii="Arial" w:eastAsia="Arial" w:hAnsi="Arial" w:cs="Arial"/>
          <w:color w:val="000000"/>
          <w:sz w:val="20"/>
        </w:rPr>
        <w:t>This section would describe how those vulnerabilities identified earlier have been handled under the PPP system of the GoK.</w:t>
      </w:r>
    </w:p>
    <w:p w14:paraId="3C62EFF5" w14:textId="77777777" w:rsidR="00054BF0" w:rsidRDefault="00000000">
      <w:pPr>
        <w:spacing w:before="240" w:line="260" w:lineRule="atLeast"/>
      </w:pPr>
      <w:r>
        <w:rPr>
          <w:rFonts w:ascii="Arial" w:eastAsia="Arial" w:hAnsi="Arial" w:cs="Arial"/>
          <w:b/>
          <w:color w:val="000000"/>
          <w:sz w:val="20"/>
        </w:rPr>
        <w:lastRenderedPageBreak/>
        <w:t>Uncertainty in demand</w:t>
      </w:r>
    </w:p>
    <w:p w14:paraId="3A9C5C20" w14:textId="77777777" w:rsidR="00054BF0" w:rsidRDefault="00000000">
      <w:pPr>
        <w:spacing w:before="200" w:line="260" w:lineRule="atLeast"/>
        <w:jc w:val="both"/>
      </w:pPr>
      <w:r>
        <w:rPr>
          <w:rFonts w:ascii="Arial" w:eastAsia="Arial" w:hAnsi="Arial" w:cs="Arial"/>
          <w:color w:val="000000"/>
          <w:sz w:val="20"/>
        </w:rPr>
        <w:t>To deal with demand uncertainty, Korea employed minimum revenue guarantee (MRG), a system similar to MIC in Chile, for the period of 1998 to 2009, but this was replaced by Investment Risk Sharing System (IRSS) because of the abuse of MRG by the private sector investors. Project proponents tend to overstate the forecasted level of demand so as to receive a greater amount of compensation at a later stage (KDI, 2014). The IRSS system was devised in 2009 based on this experience. Under the IRSS, the upper limit of compensation per year is set in advance at a level that would have been incurred if the project is implemented by the public sector. An important element of this approach is that this upper limit is determined by the procuring authority, but not by the bidder or by the private sector. Thus, there is no possibility for the private sector to maneuver or overstate the prospective level of demands. Since then, IRSS has become a main instrument for dealing with demand uncertainty in Korea.</w:t>
      </w:r>
    </w:p>
    <w:p w14:paraId="1B871477" w14:textId="77777777" w:rsidR="00054BF0" w:rsidRDefault="00000000">
      <w:pPr>
        <w:spacing w:before="240" w:line="260" w:lineRule="atLeast"/>
      </w:pPr>
      <w:r>
        <w:rPr>
          <w:rFonts w:ascii="Arial" w:eastAsia="Arial" w:hAnsi="Arial" w:cs="Arial"/>
          <w:b/>
          <w:color w:val="000000"/>
          <w:sz w:val="20"/>
        </w:rPr>
        <w:t>Difficulty in cost recovery</w:t>
      </w:r>
    </w:p>
    <w:p w14:paraId="2828CEBB" w14:textId="77777777" w:rsidR="00054BF0" w:rsidRDefault="00000000">
      <w:pPr>
        <w:spacing w:before="200" w:line="260" w:lineRule="atLeast"/>
        <w:jc w:val="both"/>
      </w:pPr>
      <w:r>
        <w:rPr>
          <w:rFonts w:ascii="Arial" w:eastAsia="Arial" w:hAnsi="Arial" w:cs="Arial"/>
          <w:color w:val="000000"/>
          <w:sz w:val="20"/>
        </w:rPr>
        <w:t xml:space="preserve">To deal with price escalation, the GoK has instituted full indexation. Under the full indexation, if the costs are increased due to the inflation, the user charges or tolls are permitted to be increased at the same rate as that of inflation. This provides investors with comfort for committing their funds to the projects. Additional measure that the GoK has taken was to allow the project company to undertake </w:t>
      </w:r>
      <w:r>
        <w:rPr>
          <w:rFonts w:ascii="Arial" w:eastAsia="Arial" w:hAnsi="Arial" w:cs="Arial"/>
          <w:i/>
          <w:color w:val="000000"/>
          <w:sz w:val="20"/>
        </w:rPr>
        <w:t>side-business</w:t>
      </w:r>
      <w:r>
        <w:rPr>
          <w:rFonts w:ascii="Arial" w:eastAsia="Arial" w:hAnsi="Arial" w:cs="Arial"/>
          <w:color w:val="000000"/>
          <w:sz w:val="20"/>
        </w:rPr>
        <w:t xml:space="preserve"> as a part of the project. This has enabled the project company to supplement their revenue by real estate revenue. Korean standard concession agreements have incorporated this measure.</w:t>
      </w:r>
    </w:p>
    <w:p w14:paraId="408FA9EF" w14:textId="77777777" w:rsidR="00054BF0" w:rsidRDefault="00000000">
      <w:pPr>
        <w:spacing w:before="240" w:line="260" w:lineRule="atLeast"/>
      </w:pPr>
      <w:r>
        <w:rPr>
          <w:rFonts w:ascii="Arial" w:eastAsia="Arial" w:hAnsi="Arial" w:cs="Arial"/>
          <w:b/>
          <w:color w:val="000000"/>
          <w:sz w:val="20"/>
        </w:rPr>
        <w:t>Difficulty in securing the long-term loans</w:t>
      </w:r>
    </w:p>
    <w:p w14:paraId="62771309" w14:textId="77777777" w:rsidR="00054BF0" w:rsidRDefault="00000000">
      <w:pPr>
        <w:spacing w:before="200" w:line="260" w:lineRule="atLeast"/>
        <w:jc w:val="both"/>
      </w:pPr>
      <w:r>
        <w:rPr>
          <w:rFonts w:ascii="Arial" w:eastAsia="Arial" w:hAnsi="Arial" w:cs="Arial"/>
          <w:color w:val="000000"/>
          <w:sz w:val="20"/>
        </w:rPr>
        <w:t>To facilitate finance for PPP projects, the GoK has provided loan guarantees to financiers. Guarantees have been provided under a self-managed fund, called Infrastructure Credit Guarantee Fund. Although this fund is state-run, subscribers of guarantee have to pay premium or fee to the fund.</w:t>
      </w:r>
    </w:p>
    <w:p w14:paraId="0D22189D" w14:textId="77777777" w:rsidR="00054BF0" w:rsidRDefault="00000000">
      <w:pPr>
        <w:spacing w:before="240" w:line="260" w:lineRule="atLeast"/>
      </w:pPr>
      <w:r>
        <w:rPr>
          <w:rFonts w:ascii="Arial" w:eastAsia="Arial" w:hAnsi="Arial" w:cs="Arial"/>
          <w:b/>
          <w:color w:val="000000"/>
          <w:sz w:val="20"/>
        </w:rPr>
        <w:t>Indian PPP System</w:t>
      </w:r>
    </w:p>
    <w:p w14:paraId="7016F86D" w14:textId="77777777" w:rsidR="00054BF0" w:rsidRDefault="00000000">
      <w:pPr>
        <w:spacing w:before="240" w:line="260" w:lineRule="atLeast"/>
      </w:pPr>
      <w:r>
        <w:rPr>
          <w:rFonts w:ascii="Arial" w:eastAsia="Arial" w:hAnsi="Arial" w:cs="Arial"/>
          <w:b/>
          <w:color w:val="000000"/>
          <w:sz w:val="20"/>
        </w:rPr>
        <w:t>Overview</w:t>
      </w:r>
    </w:p>
    <w:p w14:paraId="3C45730C" w14:textId="77777777" w:rsidR="00054BF0" w:rsidRDefault="00000000">
      <w:pPr>
        <w:spacing w:before="200" w:line="260" w:lineRule="atLeast"/>
        <w:jc w:val="both"/>
      </w:pPr>
      <w:r>
        <w:rPr>
          <w:rFonts w:ascii="Arial" w:eastAsia="Arial" w:hAnsi="Arial" w:cs="Arial"/>
          <w:color w:val="000000"/>
          <w:sz w:val="20"/>
        </w:rPr>
        <w:t>After several years of experiments on PPP projects in the road sector, the Government of India (GoI) decided in 2005 to introduce the PPP system as a principal modality of developing infrastructure. The decision was made by Committee of Infrastructure headed by the Prime Minister without formulation of relevant laws or acts. This is rather unique arrangement in the Indian decision-making system, in which the executive body of the government would play a major role. Many of the policy decisions have been made by bureaucrats called Indian Administrative Service (IAS) officers without seeking legislative endorsement or enactment by laws. The PPP system was also made in such as manner based on policy papers developed by IAS officers. Because of this feature, these officers were able to develop highly sophisticated and complicated policy scheme without considering possible political repercussions.</w:t>
      </w:r>
    </w:p>
    <w:p w14:paraId="4F5B5A2A" w14:textId="77777777" w:rsidR="00054BF0" w:rsidRDefault="00000000">
      <w:pPr>
        <w:spacing w:before="200" w:line="260" w:lineRule="atLeast"/>
        <w:jc w:val="both"/>
      </w:pPr>
      <w:r>
        <w:rPr>
          <w:rFonts w:ascii="Arial" w:eastAsia="Arial" w:hAnsi="Arial" w:cs="Arial"/>
          <w:color w:val="000000"/>
          <w:sz w:val="20"/>
        </w:rPr>
        <w:t>Another unique element with the Indian PPP system is a strong banking sector. Unlike Chile and Korea, the Indian bond market has been underdeveloped, thus major providers of funds for infrastructure development has been the banking sector (51% of the necessary funds for infrastructure; Khan, 2012). Under such a circumstance, it would be more effective if the capacity of the banking sector is to be utilized to its fullest extent. “Take-out finance” reviewed earlier was exactly designed for this purpose.</w:t>
      </w:r>
    </w:p>
    <w:p w14:paraId="7E9EF00B" w14:textId="77777777" w:rsidR="00054BF0" w:rsidRDefault="00000000">
      <w:pPr>
        <w:spacing w:before="200" w:line="260" w:lineRule="atLeast"/>
        <w:jc w:val="both"/>
      </w:pPr>
      <w:r>
        <w:rPr>
          <w:rFonts w:ascii="Arial" w:eastAsia="Arial" w:hAnsi="Arial" w:cs="Arial"/>
          <w:color w:val="000000"/>
          <w:sz w:val="20"/>
        </w:rPr>
        <w:t>Meanwhile, India’s PPP market is characterized by little participation of foreign contractors in the road sector. Although there is some foreign participation by foreign contractors, the extent of their participation is much less, compared with other countries. For the 10 years from 2003 to 2012, the number of projects with foreign contractor participation is 35, representing just 15% of the total national highway projects in India (226 projects), most of which are contractors from Malaysia, Russia, and China. This makes a keen contrast to Chile, where more than 90% of the projects have been implemented by foreign contractors.</w:t>
      </w:r>
    </w:p>
    <w:p w14:paraId="326BE0B1" w14:textId="77777777" w:rsidR="00054BF0" w:rsidRDefault="00000000">
      <w:pPr>
        <w:spacing w:before="240" w:line="260" w:lineRule="atLeast"/>
      </w:pPr>
      <w:r>
        <w:rPr>
          <w:rFonts w:ascii="Arial" w:eastAsia="Arial" w:hAnsi="Arial" w:cs="Arial"/>
          <w:b/>
          <w:color w:val="000000"/>
          <w:sz w:val="20"/>
        </w:rPr>
        <w:t>Ways to deal with these vulnerabilities under the Indian PPP system</w:t>
      </w:r>
    </w:p>
    <w:p w14:paraId="6F97A22A" w14:textId="77777777" w:rsidR="00054BF0" w:rsidRDefault="00000000">
      <w:pPr>
        <w:spacing w:before="200" w:line="260" w:lineRule="atLeast"/>
        <w:jc w:val="both"/>
      </w:pPr>
      <w:r>
        <w:rPr>
          <w:rFonts w:ascii="Arial" w:eastAsia="Arial" w:hAnsi="Arial" w:cs="Arial"/>
          <w:color w:val="000000"/>
          <w:sz w:val="20"/>
        </w:rPr>
        <w:lastRenderedPageBreak/>
        <w:t>This section would describe how those vulnerabilities identified earlier have been handled under the PPP system of the GoI.</w:t>
      </w:r>
    </w:p>
    <w:p w14:paraId="27352A7B" w14:textId="77777777" w:rsidR="00054BF0" w:rsidRDefault="00000000">
      <w:pPr>
        <w:spacing w:before="240" w:line="260" w:lineRule="atLeast"/>
      </w:pPr>
      <w:r>
        <w:rPr>
          <w:rFonts w:ascii="Arial" w:eastAsia="Arial" w:hAnsi="Arial" w:cs="Arial"/>
          <w:b/>
          <w:color w:val="000000"/>
          <w:sz w:val="20"/>
        </w:rPr>
        <w:t>Uncertainty in demand</w:t>
      </w:r>
    </w:p>
    <w:p w14:paraId="3DAB8906" w14:textId="77777777" w:rsidR="00054BF0" w:rsidRDefault="00000000">
      <w:pPr>
        <w:spacing w:before="200" w:line="260" w:lineRule="atLeast"/>
        <w:jc w:val="both"/>
      </w:pPr>
      <w:r>
        <w:rPr>
          <w:rFonts w:ascii="Arial" w:eastAsia="Arial" w:hAnsi="Arial" w:cs="Arial"/>
          <w:color w:val="000000"/>
          <w:sz w:val="20"/>
        </w:rPr>
        <w:t>To deal with demand uncertainty, the GoI has introduced a “flexible concession period system.” This has enabled the Government to compensate possible losses to be suffered by the private project companies without spending their own money. This scheme is that, if the actual demand has failed to reach the projected level of demand, the concessionaire would be able to get the concession period to be extended. Model Concession Agreement (MCA) of India stipulated that, when “Actual Average Traffic has fallen short of the Target Traffic by more than 2.5%, the concession period is extended at the pace of 1.5% for every 1% shortfall.” An important element of this arrangement is that it would not incur any pecuniary obligation for the government to pay in case of revenue shortfall.</w:t>
      </w:r>
    </w:p>
    <w:p w14:paraId="78B48AEF" w14:textId="77777777" w:rsidR="00054BF0" w:rsidRDefault="00000000">
      <w:pPr>
        <w:spacing w:before="240" w:line="260" w:lineRule="atLeast"/>
      </w:pPr>
      <w:r>
        <w:rPr>
          <w:rFonts w:ascii="Arial" w:eastAsia="Arial" w:hAnsi="Arial" w:cs="Arial"/>
          <w:b/>
          <w:color w:val="000000"/>
          <w:sz w:val="20"/>
        </w:rPr>
        <w:t>Difficulty in cost recovery</w:t>
      </w:r>
    </w:p>
    <w:p w14:paraId="4142F846" w14:textId="77777777" w:rsidR="00054BF0" w:rsidRDefault="00000000">
      <w:pPr>
        <w:spacing w:before="200" w:line="260" w:lineRule="atLeast"/>
        <w:jc w:val="both"/>
      </w:pPr>
      <w:r>
        <w:rPr>
          <w:rFonts w:ascii="Arial" w:eastAsia="Arial" w:hAnsi="Arial" w:cs="Arial"/>
          <w:color w:val="000000"/>
          <w:sz w:val="20"/>
        </w:rPr>
        <w:t>To deal with price escalation, India has introduced Indian version of indexation (partial indexation). Under this system, the extent of the price adjustment is confined to absorb the changes of variable costs, but not the changes of the entire costs. More specifically, it would allow only 40% of the inflation to be covered by the increase of tolls, or user charges. The rationale for this approach is that inflation only affects variable costs, but not capital expenditures or debt-service, both of which are sunk costs.</w:t>
      </w:r>
    </w:p>
    <w:p w14:paraId="413B5C3D" w14:textId="77777777" w:rsidR="00054BF0" w:rsidRDefault="00000000">
      <w:pPr>
        <w:spacing w:before="240" w:line="260" w:lineRule="atLeast"/>
      </w:pPr>
      <w:r>
        <w:rPr>
          <w:rFonts w:ascii="Arial" w:eastAsia="Arial" w:hAnsi="Arial" w:cs="Arial"/>
          <w:b/>
          <w:color w:val="000000"/>
          <w:sz w:val="20"/>
        </w:rPr>
        <w:t>Difficulty in securing the long-term loans</w:t>
      </w:r>
    </w:p>
    <w:p w14:paraId="1D4E5C97" w14:textId="77777777" w:rsidR="00054BF0" w:rsidRDefault="00000000">
      <w:pPr>
        <w:spacing w:before="200" w:line="260" w:lineRule="atLeast"/>
        <w:jc w:val="both"/>
      </w:pPr>
      <w:r>
        <w:rPr>
          <w:rFonts w:ascii="Arial" w:eastAsia="Arial" w:hAnsi="Arial" w:cs="Arial"/>
          <w:color w:val="000000"/>
          <w:sz w:val="20"/>
        </w:rPr>
        <w:t>To deal with the difficulties in financing, India introduced the “take-out financing” system, which was primarily designed to resolve a potential asset/liability mismatch problem, one of the deterrents for the provision of long-term loan to the project companies. Although borrower needs to have money of long maturity, commercial banks would not be able to provide such a loan because of the higher risk associated with long-term loans. India Infrastructure Finance Company Incorporated (IIFCL) was established to fill this gap by taking out (refinance) near-the-end-of-tenure loans earlier provided by commercial banks. If commercial banks were able to combine their loans with the funds committed to be provided later by the IIFCL, commercial banks would be able to provide project companies with “virtual” longer term loans.</w:t>
      </w:r>
    </w:p>
    <w:p w14:paraId="6242CAD2" w14:textId="77777777" w:rsidR="00054BF0" w:rsidRDefault="00000000">
      <w:pPr>
        <w:spacing w:before="200" w:line="260" w:lineRule="atLeast"/>
        <w:jc w:val="both"/>
      </w:pPr>
      <w:r>
        <w:rPr>
          <w:rFonts w:ascii="Arial" w:eastAsia="Arial" w:hAnsi="Arial" w:cs="Arial"/>
          <w:color w:val="000000"/>
          <w:sz w:val="20"/>
        </w:rPr>
        <w:t>A unique element of this arrangement is that the IIFCL will not conduct separate appraisal by themselves. IIFCL will simply “take out” earlier loans, trusting on the validity of the earlier appraisal by commercial banks. This arrangement would enable IIFCL to extend the huge amount of refinance with a very small number of staff (actually, the current number of IIFCL staff is less than 100). The provision of refinancing without appraisal by IIFCL’s own appraisal may appear precarious, but it makes sense when considered the lack of experience of the newly recruited IIFCL staff or former government officers with regard to appraisal of financial viability of projects.</w:t>
      </w:r>
    </w:p>
    <w:p w14:paraId="376BBC72" w14:textId="77777777" w:rsidR="00054BF0" w:rsidRDefault="00000000">
      <w:pPr>
        <w:spacing w:before="240" w:line="260" w:lineRule="atLeast"/>
      </w:pPr>
      <w:r>
        <w:rPr>
          <w:rFonts w:ascii="Arial" w:eastAsia="Arial" w:hAnsi="Arial" w:cs="Arial"/>
          <w:b/>
          <w:color w:val="000000"/>
          <w:sz w:val="20"/>
        </w:rPr>
        <w:t>Assessment of Cost-Effectiveness</w:t>
      </w:r>
    </w:p>
    <w:p w14:paraId="3B29394E" w14:textId="77777777" w:rsidR="00054BF0" w:rsidRDefault="00000000">
      <w:pPr>
        <w:spacing w:before="200" w:line="260" w:lineRule="atLeast"/>
        <w:jc w:val="both"/>
      </w:pPr>
      <w:r>
        <w:rPr>
          <w:rFonts w:ascii="Arial" w:eastAsia="Arial" w:hAnsi="Arial" w:cs="Arial"/>
          <w:color w:val="000000"/>
          <w:sz w:val="20"/>
        </w:rPr>
        <w:t>The above cross-country comparison has identified what kinds of PPP measures have been adopted by each of these countries in dealing with three vulnerabilities. Having conducted these analyses, this section would proceed to the assessment of cost-effectiveness of PPP measures. “Cost-effectiveness” referred here is how little the government needs to pay to get the private sector to stay in, or participate in, the PPP projects.</w:t>
      </w:r>
    </w:p>
    <w:p w14:paraId="378841A6" w14:textId="77777777" w:rsidR="00054BF0" w:rsidRDefault="00000000">
      <w:pPr>
        <w:spacing w:before="240" w:line="260" w:lineRule="atLeast"/>
      </w:pPr>
      <w:r>
        <w:rPr>
          <w:rFonts w:ascii="Arial" w:eastAsia="Arial" w:hAnsi="Arial" w:cs="Arial"/>
          <w:b/>
          <w:color w:val="000000"/>
          <w:sz w:val="20"/>
        </w:rPr>
        <w:t>Cost-Effectiveness of Individual PPP Measures</w:t>
      </w:r>
    </w:p>
    <w:p w14:paraId="014B4EC2" w14:textId="77777777" w:rsidR="00054BF0" w:rsidRDefault="00000000">
      <w:pPr>
        <w:spacing w:before="200" w:line="260" w:lineRule="atLeast"/>
        <w:jc w:val="both"/>
      </w:pPr>
      <w:r>
        <w:rPr>
          <w:rFonts w:ascii="Arial" w:eastAsia="Arial" w:hAnsi="Arial" w:cs="Arial"/>
          <w:color w:val="000000"/>
          <w:sz w:val="20"/>
        </w:rPr>
        <w:t xml:space="preserve">The cost-effectiveness of individual PPP measures would be assessed in two steps. The first-step is conducted by measuring the type of loss to be covered by a specific PPP measure, in other words, whether the entire assets/obligations would be covered by the guarantee, or only the difference between “before and after” a specific event would be covered. If the entire assets/obligations would be covered, a score of 3 is given. If the coverage is given only to the difference, a score of 2 is given. For the loss smaller than the above two cases, a score of 1 is </w:t>
      </w:r>
      <w:r>
        <w:rPr>
          <w:rFonts w:ascii="Arial" w:eastAsia="Arial" w:hAnsi="Arial" w:cs="Arial"/>
          <w:color w:val="000000"/>
          <w:sz w:val="20"/>
        </w:rPr>
        <w:lastRenderedPageBreak/>
        <w:t>given. The second step is related to the extent of coverage of the loss. If the 100% of the loss would be covered by the guarantee, a scale of 1.0 is given. If only a part of the losses is covered, a scale of 0.5 is given. The results of this two-step assessment were indicated in Table 1.</w:t>
      </w:r>
    </w:p>
    <w:p w14:paraId="41190699" w14:textId="77777777" w:rsidR="00054BF0" w:rsidRDefault="00000000">
      <w:pPr>
        <w:spacing w:before="240" w:line="260" w:lineRule="atLeast"/>
      </w:pPr>
      <w:r>
        <w:rPr>
          <w:rFonts w:ascii="Arial" w:eastAsia="Arial" w:hAnsi="Arial" w:cs="Arial"/>
          <w:b/>
          <w:color w:val="000000"/>
          <w:sz w:val="20"/>
        </w:rPr>
        <w:t>Table 1.</w:t>
      </w:r>
    </w:p>
    <w:p w14:paraId="781EF62B" w14:textId="77777777" w:rsidR="00054BF0" w:rsidRDefault="00000000">
      <w:pPr>
        <w:spacing w:before="200" w:line="260" w:lineRule="atLeast"/>
        <w:jc w:val="both"/>
      </w:pPr>
      <w:r>
        <w:rPr>
          <w:rFonts w:ascii="Arial" w:eastAsia="Arial" w:hAnsi="Arial" w:cs="Arial"/>
          <w:color w:val="000000"/>
          <w:sz w:val="20"/>
        </w:rPr>
        <w:t>Effectiveness of PPP Measures for Three Countries.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1440"/>
        <w:gridCol w:w="1440"/>
        <w:gridCol w:w="1440"/>
        <w:gridCol w:w="720"/>
        <w:gridCol w:w="1440"/>
      </w:tblGrid>
      <w:tr w:rsidR="00054BF0" w14:paraId="0AA07F0A" w14:textId="77777777">
        <w:trPr>
          <w:tblHeader/>
          <w:jc w:val="center"/>
        </w:trPr>
        <w:tc>
          <w:tcPr>
            <w:tcW w:w="2400" w:type="dxa"/>
            <w:tcBorders>
              <w:bottom w:val="nil"/>
              <w:right w:val="nil"/>
            </w:tcBorders>
            <w:tcMar>
              <w:top w:w="20" w:type="dxa"/>
              <w:bottom w:w="20" w:type="dxa"/>
            </w:tcMar>
          </w:tcPr>
          <w:p w14:paraId="56D6CC13" w14:textId="77777777" w:rsidR="00054BF0" w:rsidRDefault="00000000">
            <w:pPr>
              <w:spacing w:before="200" w:line="220" w:lineRule="atLeast"/>
            </w:pPr>
            <w:r>
              <w:rPr>
                <w:rFonts w:ascii="Arial" w:eastAsia="Arial" w:hAnsi="Arial" w:cs="Arial"/>
                <w:b/>
                <w:color w:val="000000"/>
                <w:sz w:val="18"/>
              </w:rPr>
              <w:t>PPP measures</w:t>
            </w:r>
          </w:p>
        </w:tc>
        <w:tc>
          <w:tcPr>
            <w:tcW w:w="1440" w:type="dxa"/>
            <w:tcBorders>
              <w:bottom w:val="nil"/>
              <w:right w:val="nil"/>
            </w:tcBorders>
            <w:tcMar>
              <w:top w:w="20" w:type="dxa"/>
              <w:bottom w:w="20" w:type="dxa"/>
            </w:tcMar>
          </w:tcPr>
          <w:p w14:paraId="095FE9DE" w14:textId="77777777" w:rsidR="00054BF0" w:rsidRDefault="00000000">
            <w:pPr>
              <w:spacing w:before="200" w:line="220" w:lineRule="atLeast"/>
            </w:pPr>
            <w:r>
              <w:rPr>
                <w:rFonts w:ascii="Arial" w:eastAsia="Arial" w:hAnsi="Arial" w:cs="Arial"/>
                <w:b/>
                <w:color w:val="000000"/>
                <w:sz w:val="18"/>
              </w:rPr>
              <w:t>Type of loss to be covered</w:t>
            </w:r>
          </w:p>
        </w:tc>
        <w:tc>
          <w:tcPr>
            <w:tcW w:w="1440" w:type="dxa"/>
            <w:tcBorders>
              <w:bottom w:val="nil"/>
              <w:right w:val="nil"/>
            </w:tcBorders>
            <w:tcMar>
              <w:top w:w="20" w:type="dxa"/>
              <w:bottom w:w="20" w:type="dxa"/>
            </w:tcMar>
          </w:tcPr>
          <w:p w14:paraId="3F9BB1E1" w14:textId="77777777" w:rsidR="00054BF0" w:rsidRDefault="00000000">
            <w:pPr>
              <w:spacing w:before="200" w:line="220" w:lineRule="atLeast"/>
            </w:pPr>
            <w:r>
              <w:rPr>
                <w:rFonts w:ascii="Arial" w:eastAsia="Arial" w:hAnsi="Arial" w:cs="Arial"/>
                <w:b/>
                <w:color w:val="000000"/>
                <w:sz w:val="18"/>
              </w:rPr>
              <w:t>3 level scaling</w:t>
            </w:r>
          </w:p>
        </w:tc>
        <w:tc>
          <w:tcPr>
            <w:tcW w:w="1440" w:type="dxa"/>
            <w:tcBorders>
              <w:bottom w:val="nil"/>
              <w:right w:val="nil"/>
            </w:tcBorders>
            <w:tcMar>
              <w:top w:w="20" w:type="dxa"/>
              <w:bottom w:w="20" w:type="dxa"/>
            </w:tcMar>
          </w:tcPr>
          <w:p w14:paraId="5303E279" w14:textId="77777777" w:rsidR="00054BF0" w:rsidRDefault="00000000">
            <w:pPr>
              <w:spacing w:before="200" w:line="220" w:lineRule="atLeast"/>
            </w:pPr>
            <w:r>
              <w:rPr>
                <w:rFonts w:ascii="Arial" w:eastAsia="Arial" w:hAnsi="Arial" w:cs="Arial"/>
                <w:b/>
                <w:color w:val="000000"/>
                <w:sz w:val="18"/>
              </w:rPr>
              <w:t>Extent of coverage</w:t>
            </w:r>
          </w:p>
        </w:tc>
        <w:tc>
          <w:tcPr>
            <w:tcW w:w="720" w:type="dxa"/>
            <w:tcBorders>
              <w:bottom w:val="nil"/>
              <w:right w:val="nil"/>
            </w:tcBorders>
            <w:tcMar>
              <w:top w:w="20" w:type="dxa"/>
              <w:bottom w:w="20" w:type="dxa"/>
            </w:tcMar>
          </w:tcPr>
          <w:p w14:paraId="57141EB6" w14:textId="77777777" w:rsidR="00054BF0" w:rsidRDefault="00000000">
            <w:pPr>
              <w:spacing w:before="200" w:line="220" w:lineRule="atLeast"/>
            </w:pPr>
            <w:r>
              <w:rPr>
                <w:rFonts w:ascii="Arial" w:eastAsia="Arial" w:hAnsi="Arial" w:cs="Arial"/>
                <w:b/>
                <w:color w:val="000000"/>
                <w:sz w:val="18"/>
              </w:rPr>
              <w:t>Weight</w:t>
            </w:r>
          </w:p>
        </w:tc>
        <w:tc>
          <w:tcPr>
            <w:tcW w:w="1440" w:type="dxa"/>
            <w:tcBorders>
              <w:bottom w:val="nil"/>
            </w:tcBorders>
            <w:tcMar>
              <w:top w:w="20" w:type="dxa"/>
              <w:bottom w:w="20" w:type="dxa"/>
            </w:tcMar>
          </w:tcPr>
          <w:p w14:paraId="39EB1564" w14:textId="77777777" w:rsidR="00054BF0" w:rsidRDefault="00000000">
            <w:pPr>
              <w:spacing w:before="200" w:line="220" w:lineRule="atLeast"/>
            </w:pPr>
            <w:r>
              <w:rPr>
                <w:rFonts w:ascii="Arial" w:eastAsia="Arial" w:hAnsi="Arial" w:cs="Arial"/>
                <w:b/>
                <w:color w:val="000000"/>
                <w:sz w:val="18"/>
              </w:rPr>
              <w:t>Adjusted scales</w:t>
            </w:r>
          </w:p>
        </w:tc>
      </w:tr>
      <w:tr w:rsidR="00054BF0" w14:paraId="7FCE25DB" w14:textId="77777777">
        <w:trPr>
          <w:jc w:val="center"/>
        </w:trPr>
        <w:tc>
          <w:tcPr>
            <w:tcW w:w="2400" w:type="dxa"/>
            <w:tcBorders>
              <w:bottom w:val="nil"/>
              <w:right w:val="nil"/>
            </w:tcBorders>
            <w:tcMar>
              <w:top w:w="20" w:type="dxa"/>
              <w:bottom w:w="20" w:type="dxa"/>
            </w:tcMar>
          </w:tcPr>
          <w:p w14:paraId="4A3650B7" w14:textId="77777777" w:rsidR="00054BF0" w:rsidRDefault="00000000">
            <w:pPr>
              <w:spacing w:line="220" w:lineRule="atLeast"/>
            </w:pPr>
            <w:r>
              <w:rPr>
                <w:rFonts w:ascii="Arial" w:eastAsia="Arial" w:hAnsi="Arial" w:cs="Arial"/>
                <w:color w:val="000000"/>
                <w:sz w:val="18"/>
              </w:rPr>
              <w:t>PPP measures to deal with uncertainty</w:t>
            </w:r>
          </w:p>
        </w:tc>
        <w:tc>
          <w:tcPr>
            <w:tcW w:w="1440" w:type="dxa"/>
            <w:tcBorders>
              <w:bottom w:val="nil"/>
              <w:right w:val="nil"/>
            </w:tcBorders>
            <w:tcMar>
              <w:top w:w="20" w:type="dxa"/>
              <w:bottom w:w="20" w:type="dxa"/>
            </w:tcMar>
          </w:tcPr>
          <w:p w14:paraId="20C34B28" w14:textId="77777777" w:rsidR="00054BF0" w:rsidRDefault="00054BF0"/>
        </w:tc>
        <w:tc>
          <w:tcPr>
            <w:tcW w:w="1440" w:type="dxa"/>
            <w:tcBorders>
              <w:bottom w:val="nil"/>
              <w:right w:val="nil"/>
            </w:tcBorders>
            <w:tcMar>
              <w:top w:w="20" w:type="dxa"/>
              <w:bottom w:w="20" w:type="dxa"/>
            </w:tcMar>
          </w:tcPr>
          <w:p w14:paraId="7F270CBA" w14:textId="77777777" w:rsidR="00054BF0" w:rsidRDefault="00054BF0"/>
        </w:tc>
        <w:tc>
          <w:tcPr>
            <w:tcW w:w="1440" w:type="dxa"/>
            <w:tcBorders>
              <w:bottom w:val="nil"/>
              <w:right w:val="nil"/>
            </w:tcBorders>
            <w:tcMar>
              <w:top w:w="20" w:type="dxa"/>
              <w:bottom w:w="20" w:type="dxa"/>
            </w:tcMar>
          </w:tcPr>
          <w:p w14:paraId="18203B8D" w14:textId="77777777" w:rsidR="00054BF0" w:rsidRDefault="00054BF0"/>
        </w:tc>
        <w:tc>
          <w:tcPr>
            <w:tcW w:w="720" w:type="dxa"/>
            <w:tcBorders>
              <w:bottom w:val="nil"/>
              <w:right w:val="nil"/>
            </w:tcBorders>
            <w:tcMar>
              <w:top w:w="20" w:type="dxa"/>
              <w:bottom w:w="20" w:type="dxa"/>
            </w:tcMar>
          </w:tcPr>
          <w:p w14:paraId="27994CFE" w14:textId="77777777" w:rsidR="00054BF0" w:rsidRDefault="00054BF0"/>
        </w:tc>
        <w:tc>
          <w:tcPr>
            <w:tcW w:w="1440" w:type="dxa"/>
            <w:tcBorders>
              <w:bottom w:val="nil"/>
            </w:tcBorders>
            <w:tcMar>
              <w:top w:w="20" w:type="dxa"/>
              <w:bottom w:w="20" w:type="dxa"/>
            </w:tcMar>
          </w:tcPr>
          <w:p w14:paraId="3F2B6BAA" w14:textId="77777777" w:rsidR="00054BF0" w:rsidRDefault="00054BF0"/>
        </w:tc>
      </w:tr>
      <w:tr w:rsidR="00054BF0" w14:paraId="732D162C" w14:textId="77777777">
        <w:trPr>
          <w:jc w:val="center"/>
        </w:trPr>
        <w:tc>
          <w:tcPr>
            <w:tcW w:w="2400" w:type="dxa"/>
            <w:tcBorders>
              <w:bottom w:val="nil"/>
              <w:right w:val="nil"/>
            </w:tcBorders>
            <w:tcMar>
              <w:top w:w="20" w:type="dxa"/>
              <w:bottom w:w="20" w:type="dxa"/>
            </w:tcMar>
          </w:tcPr>
          <w:p w14:paraId="228F3F3E" w14:textId="77777777" w:rsidR="00054BF0" w:rsidRDefault="00000000">
            <w:pPr>
              <w:spacing w:line="220" w:lineRule="atLeast"/>
            </w:pPr>
            <w:r>
              <w:rPr>
                <w:rFonts w:ascii="Arial" w:eastAsia="Arial" w:hAnsi="Arial" w:cs="Arial"/>
                <w:color w:val="000000"/>
                <w:sz w:val="18"/>
              </w:rPr>
              <w:t>?Minimum revenue guarantee</w:t>
            </w:r>
          </w:p>
        </w:tc>
        <w:tc>
          <w:tcPr>
            <w:tcW w:w="1440" w:type="dxa"/>
            <w:tcBorders>
              <w:bottom w:val="nil"/>
              <w:right w:val="nil"/>
            </w:tcBorders>
            <w:tcMar>
              <w:top w:w="20" w:type="dxa"/>
              <w:bottom w:w="20" w:type="dxa"/>
            </w:tcMar>
          </w:tcPr>
          <w:p w14:paraId="6C79EA96" w14:textId="77777777" w:rsidR="00054BF0" w:rsidRDefault="00000000">
            <w:pPr>
              <w:spacing w:line="220" w:lineRule="atLeast"/>
            </w:pPr>
            <w:r>
              <w:rPr>
                <w:rFonts w:ascii="Arial" w:eastAsia="Arial" w:hAnsi="Arial" w:cs="Arial"/>
                <w:color w:val="000000"/>
                <w:sz w:val="18"/>
              </w:rPr>
              <w:t>Revenue difference</w:t>
            </w:r>
          </w:p>
        </w:tc>
        <w:tc>
          <w:tcPr>
            <w:tcW w:w="1440" w:type="dxa"/>
            <w:tcBorders>
              <w:bottom w:val="nil"/>
              <w:right w:val="nil"/>
            </w:tcBorders>
            <w:tcMar>
              <w:top w:w="20" w:type="dxa"/>
              <w:bottom w:w="20" w:type="dxa"/>
            </w:tcMar>
          </w:tcPr>
          <w:p w14:paraId="1C297E1F"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7ED82806" w14:textId="77777777" w:rsidR="00054BF0" w:rsidRDefault="00000000">
            <w:pPr>
              <w:spacing w:line="220" w:lineRule="atLeast"/>
            </w:pPr>
            <w:r>
              <w:rPr>
                <w:rFonts w:ascii="Arial" w:eastAsia="Arial" w:hAnsi="Arial" w:cs="Arial"/>
                <w:color w:val="000000"/>
                <w:sz w:val="18"/>
              </w:rPr>
              <w:t>All difference</w:t>
            </w:r>
          </w:p>
        </w:tc>
        <w:tc>
          <w:tcPr>
            <w:tcW w:w="720" w:type="dxa"/>
            <w:tcBorders>
              <w:bottom w:val="nil"/>
              <w:right w:val="nil"/>
            </w:tcBorders>
            <w:tcMar>
              <w:top w:w="20" w:type="dxa"/>
              <w:bottom w:w="20" w:type="dxa"/>
            </w:tcMar>
          </w:tcPr>
          <w:p w14:paraId="45847A4C"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065482DD" w14:textId="77777777" w:rsidR="00054BF0" w:rsidRDefault="00000000">
            <w:pPr>
              <w:spacing w:line="220" w:lineRule="atLeast"/>
            </w:pPr>
            <w:r>
              <w:rPr>
                <w:rFonts w:ascii="Arial" w:eastAsia="Arial" w:hAnsi="Arial" w:cs="Arial"/>
                <w:color w:val="000000"/>
                <w:sz w:val="18"/>
              </w:rPr>
              <w:t>2.0</w:t>
            </w:r>
          </w:p>
        </w:tc>
      </w:tr>
      <w:tr w:rsidR="00054BF0" w14:paraId="59B2385C" w14:textId="77777777">
        <w:trPr>
          <w:jc w:val="center"/>
        </w:trPr>
        <w:tc>
          <w:tcPr>
            <w:tcW w:w="2400" w:type="dxa"/>
            <w:tcBorders>
              <w:bottom w:val="nil"/>
              <w:right w:val="nil"/>
            </w:tcBorders>
            <w:tcMar>
              <w:top w:w="20" w:type="dxa"/>
              <w:bottom w:w="20" w:type="dxa"/>
            </w:tcMar>
          </w:tcPr>
          <w:p w14:paraId="23B8978A" w14:textId="77777777" w:rsidR="00054BF0" w:rsidRDefault="00000000">
            <w:pPr>
              <w:spacing w:line="220" w:lineRule="atLeast"/>
            </w:pPr>
            <w:r>
              <w:rPr>
                <w:rFonts w:ascii="Arial" w:eastAsia="Arial" w:hAnsi="Arial" w:cs="Arial"/>
                <w:color w:val="000000"/>
                <w:sz w:val="18"/>
              </w:rPr>
              <w:t>?Investment risk sharing</w:t>
            </w:r>
          </w:p>
        </w:tc>
        <w:tc>
          <w:tcPr>
            <w:tcW w:w="1440" w:type="dxa"/>
            <w:tcBorders>
              <w:bottom w:val="nil"/>
              <w:right w:val="nil"/>
            </w:tcBorders>
            <w:tcMar>
              <w:top w:w="20" w:type="dxa"/>
              <w:bottom w:w="20" w:type="dxa"/>
            </w:tcMar>
          </w:tcPr>
          <w:p w14:paraId="7B9A3EDA" w14:textId="77777777" w:rsidR="00054BF0" w:rsidRDefault="00000000">
            <w:pPr>
              <w:spacing w:line="220" w:lineRule="atLeast"/>
            </w:pPr>
            <w:r>
              <w:rPr>
                <w:rFonts w:ascii="Arial" w:eastAsia="Arial" w:hAnsi="Arial" w:cs="Arial"/>
                <w:color w:val="000000"/>
                <w:sz w:val="18"/>
              </w:rPr>
              <w:t>Investment difference</w:t>
            </w:r>
          </w:p>
        </w:tc>
        <w:tc>
          <w:tcPr>
            <w:tcW w:w="1440" w:type="dxa"/>
            <w:tcBorders>
              <w:bottom w:val="nil"/>
              <w:right w:val="nil"/>
            </w:tcBorders>
            <w:tcMar>
              <w:top w:w="20" w:type="dxa"/>
              <w:bottom w:w="20" w:type="dxa"/>
            </w:tcMar>
          </w:tcPr>
          <w:p w14:paraId="676A3A76"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7151B813" w14:textId="77777777" w:rsidR="00054BF0" w:rsidRDefault="00000000">
            <w:pPr>
              <w:spacing w:line="220" w:lineRule="atLeast"/>
            </w:pPr>
            <w:r>
              <w:rPr>
                <w:rFonts w:ascii="Arial" w:eastAsia="Arial" w:hAnsi="Arial" w:cs="Arial"/>
                <w:color w:val="000000"/>
                <w:sz w:val="18"/>
              </w:rPr>
              <w:t>Part of difference</w:t>
            </w:r>
          </w:p>
        </w:tc>
        <w:tc>
          <w:tcPr>
            <w:tcW w:w="720" w:type="dxa"/>
            <w:tcBorders>
              <w:bottom w:val="nil"/>
              <w:right w:val="nil"/>
            </w:tcBorders>
            <w:tcMar>
              <w:top w:w="20" w:type="dxa"/>
              <w:bottom w:w="20" w:type="dxa"/>
            </w:tcMar>
          </w:tcPr>
          <w:p w14:paraId="670FB0BA"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5FFBCB46" w14:textId="77777777" w:rsidR="00054BF0" w:rsidRDefault="00000000">
            <w:pPr>
              <w:spacing w:line="220" w:lineRule="atLeast"/>
            </w:pPr>
            <w:r>
              <w:rPr>
                <w:rFonts w:ascii="Arial" w:eastAsia="Arial" w:hAnsi="Arial" w:cs="Arial"/>
                <w:color w:val="000000"/>
                <w:sz w:val="18"/>
              </w:rPr>
              <w:t>1.0</w:t>
            </w:r>
          </w:p>
        </w:tc>
      </w:tr>
      <w:tr w:rsidR="00054BF0" w14:paraId="42C7A414" w14:textId="77777777">
        <w:trPr>
          <w:jc w:val="center"/>
        </w:trPr>
        <w:tc>
          <w:tcPr>
            <w:tcW w:w="2400" w:type="dxa"/>
            <w:tcBorders>
              <w:bottom w:val="nil"/>
              <w:right w:val="nil"/>
            </w:tcBorders>
            <w:tcMar>
              <w:top w:w="20" w:type="dxa"/>
              <w:bottom w:w="20" w:type="dxa"/>
            </w:tcMar>
          </w:tcPr>
          <w:p w14:paraId="25290BE6" w14:textId="77777777" w:rsidR="00054BF0" w:rsidRDefault="00000000">
            <w:pPr>
              <w:spacing w:line="220" w:lineRule="atLeast"/>
            </w:pPr>
            <w:r>
              <w:rPr>
                <w:rFonts w:ascii="Arial" w:eastAsia="Arial" w:hAnsi="Arial" w:cs="Arial"/>
                <w:color w:val="000000"/>
                <w:sz w:val="18"/>
              </w:rPr>
              <w:t>?Flexible concession period</w:t>
            </w:r>
          </w:p>
        </w:tc>
        <w:tc>
          <w:tcPr>
            <w:tcW w:w="1440" w:type="dxa"/>
            <w:tcBorders>
              <w:bottom w:val="nil"/>
              <w:right w:val="nil"/>
            </w:tcBorders>
            <w:tcMar>
              <w:top w:w="20" w:type="dxa"/>
              <w:bottom w:w="20" w:type="dxa"/>
            </w:tcMar>
          </w:tcPr>
          <w:p w14:paraId="32BA2E4D" w14:textId="77777777" w:rsidR="00054BF0" w:rsidRDefault="00000000">
            <w:pPr>
              <w:spacing w:line="220" w:lineRule="atLeast"/>
            </w:pPr>
            <w:r>
              <w:rPr>
                <w:rFonts w:ascii="Arial" w:eastAsia="Arial" w:hAnsi="Arial" w:cs="Arial"/>
                <w:color w:val="000000"/>
                <w:sz w:val="18"/>
              </w:rPr>
              <w:t>Revenue difference</w:t>
            </w:r>
          </w:p>
        </w:tc>
        <w:tc>
          <w:tcPr>
            <w:tcW w:w="1440" w:type="dxa"/>
            <w:tcBorders>
              <w:bottom w:val="nil"/>
              <w:right w:val="nil"/>
            </w:tcBorders>
            <w:tcMar>
              <w:top w:w="20" w:type="dxa"/>
              <w:bottom w:w="20" w:type="dxa"/>
            </w:tcMar>
          </w:tcPr>
          <w:p w14:paraId="2B8F1F35"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2CAD08ED" w14:textId="77777777" w:rsidR="00054BF0" w:rsidRDefault="00000000">
            <w:pPr>
              <w:spacing w:line="220" w:lineRule="atLeast"/>
            </w:pPr>
            <w:r>
              <w:rPr>
                <w:rFonts w:ascii="Arial" w:eastAsia="Arial" w:hAnsi="Arial" w:cs="Arial"/>
                <w:color w:val="000000"/>
                <w:sz w:val="18"/>
              </w:rPr>
              <w:t>Not covered by money</w:t>
            </w:r>
          </w:p>
        </w:tc>
        <w:tc>
          <w:tcPr>
            <w:tcW w:w="720" w:type="dxa"/>
            <w:tcBorders>
              <w:bottom w:val="nil"/>
              <w:right w:val="nil"/>
            </w:tcBorders>
            <w:tcMar>
              <w:top w:w="20" w:type="dxa"/>
              <w:bottom w:w="20" w:type="dxa"/>
            </w:tcMar>
          </w:tcPr>
          <w:p w14:paraId="053C2951" w14:textId="77777777" w:rsidR="00054BF0" w:rsidRDefault="00000000">
            <w:pPr>
              <w:spacing w:line="220" w:lineRule="atLeast"/>
            </w:pPr>
            <w:r>
              <w:rPr>
                <w:rFonts w:ascii="Arial" w:eastAsia="Arial" w:hAnsi="Arial" w:cs="Arial"/>
                <w:color w:val="000000"/>
                <w:sz w:val="18"/>
              </w:rPr>
              <w:t>0.0</w:t>
            </w:r>
          </w:p>
        </w:tc>
        <w:tc>
          <w:tcPr>
            <w:tcW w:w="1440" w:type="dxa"/>
            <w:tcBorders>
              <w:bottom w:val="nil"/>
            </w:tcBorders>
            <w:tcMar>
              <w:top w:w="20" w:type="dxa"/>
              <w:bottom w:w="20" w:type="dxa"/>
            </w:tcMar>
          </w:tcPr>
          <w:p w14:paraId="7009CB42" w14:textId="77777777" w:rsidR="00054BF0" w:rsidRDefault="00000000">
            <w:pPr>
              <w:spacing w:line="220" w:lineRule="atLeast"/>
            </w:pPr>
            <w:r>
              <w:rPr>
                <w:rFonts w:ascii="Arial" w:eastAsia="Arial" w:hAnsi="Arial" w:cs="Arial"/>
                <w:color w:val="000000"/>
                <w:sz w:val="18"/>
              </w:rPr>
              <w:t>0.0</w:t>
            </w:r>
          </w:p>
        </w:tc>
      </w:tr>
      <w:tr w:rsidR="00054BF0" w14:paraId="750A9C59" w14:textId="77777777">
        <w:trPr>
          <w:jc w:val="center"/>
        </w:trPr>
        <w:tc>
          <w:tcPr>
            <w:tcW w:w="2400" w:type="dxa"/>
            <w:tcBorders>
              <w:bottom w:val="nil"/>
              <w:right w:val="nil"/>
            </w:tcBorders>
            <w:tcMar>
              <w:top w:w="20" w:type="dxa"/>
              <w:bottom w:w="20" w:type="dxa"/>
            </w:tcMar>
          </w:tcPr>
          <w:p w14:paraId="7FEE6BE7" w14:textId="77777777" w:rsidR="00054BF0" w:rsidRDefault="00000000">
            <w:pPr>
              <w:spacing w:line="220" w:lineRule="atLeast"/>
            </w:pPr>
            <w:r>
              <w:rPr>
                <w:rFonts w:ascii="Arial" w:eastAsia="Arial" w:hAnsi="Arial" w:cs="Arial"/>
                <w:color w:val="000000"/>
                <w:sz w:val="18"/>
              </w:rPr>
              <w:t>Note. Scaling: Project cost: 3, Difference between projected and actual: 2, Difference in interest rates: 1</w:t>
            </w:r>
          </w:p>
        </w:tc>
        <w:tc>
          <w:tcPr>
            <w:tcW w:w="1440" w:type="dxa"/>
            <w:tcBorders>
              <w:bottom w:val="nil"/>
              <w:right w:val="nil"/>
            </w:tcBorders>
            <w:tcMar>
              <w:top w:w="20" w:type="dxa"/>
              <w:bottom w:w="20" w:type="dxa"/>
            </w:tcMar>
          </w:tcPr>
          <w:p w14:paraId="78AE788C" w14:textId="77777777" w:rsidR="00054BF0" w:rsidRDefault="00054BF0"/>
        </w:tc>
        <w:tc>
          <w:tcPr>
            <w:tcW w:w="1440" w:type="dxa"/>
            <w:tcBorders>
              <w:bottom w:val="nil"/>
              <w:right w:val="nil"/>
            </w:tcBorders>
            <w:tcMar>
              <w:top w:w="20" w:type="dxa"/>
              <w:bottom w:w="20" w:type="dxa"/>
            </w:tcMar>
          </w:tcPr>
          <w:p w14:paraId="585387F9" w14:textId="77777777" w:rsidR="00054BF0" w:rsidRDefault="00054BF0"/>
        </w:tc>
        <w:tc>
          <w:tcPr>
            <w:tcW w:w="1440" w:type="dxa"/>
            <w:tcBorders>
              <w:bottom w:val="nil"/>
              <w:right w:val="nil"/>
            </w:tcBorders>
            <w:tcMar>
              <w:top w:w="20" w:type="dxa"/>
              <w:bottom w:w="20" w:type="dxa"/>
            </w:tcMar>
          </w:tcPr>
          <w:p w14:paraId="179431B4" w14:textId="77777777" w:rsidR="00054BF0" w:rsidRDefault="00054BF0"/>
        </w:tc>
        <w:tc>
          <w:tcPr>
            <w:tcW w:w="720" w:type="dxa"/>
            <w:tcBorders>
              <w:bottom w:val="nil"/>
              <w:right w:val="nil"/>
            </w:tcBorders>
            <w:tcMar>
              <w:top w:w="20" w:type="dxa"/>
              <w:bottom w:w="20" w:type="dxa"/>
            </w:tcMar>
          </w:tcPr>
          <w:p w14:paraId="2B437C7E" w14:textId="77777777" w:rsidR="00054BF0" w:rsidRDefault="00054BF0"/>
        </w:tc>
        <w:tc>
          <w:tcPr>
            <w:tcW w:w="1440" w:type="dxa"/>
            <w:tcBorders>
              <w:bottom w:val="nil"/>
            </w:tcBorders>
            <w:tcMar>
              <w:top w:w="20" w:type="dxa"/>
              <w:bottom w:w="20" w:type="dxa"/>
            </w:tcMar>
          </w:tcPr>
          <w:p w14:paraId="570BA6CB" w14:textId="77777777" w:rsidR="00054BF0" w:rsidRDefault="00054BF0"/>
        </w:tc>
      </w:tr>
      <w:tr w:rsidR="00054BF0" w14:paraId="25827E1A" w14:textId="77777777">
        <w:trPr>
          <w:jc w:val="center"/>
        </w:trPr>
        <w:tc>
          <w:tcPr>
            <w:tcW w:w="2400" w:type="dxa"/>
            <w:tcBorders>
              <w:bottom w:val="nil"/>
              <w:right w:val="nil"/>
            </w:tcBorders>
            <w:tcMar>
              <w:top w:w="20" w:type="dxa"/>
              <w:bottom w:w="20" w:type="dxa"/>
            </w:tcMar>
          </w:tcPr>
          <w:p w14:paraId="331D0409" w14:textId="77777777" w:rsidR="00054BF0" w:rsidRDefault="00000000">
            <w:pPr>
              <w:spacing w:line="220" w:lineRule="atLeast"/>
            </w:pPr>
            <w:r>
              <w:rPr>
                <w:rFonts w:ascii="Arial" w:eastAsia="Arial" w:hAnsi="Arial" w:cs="Arial"/>
                <w:color w:val="000000"/>
                <w:sz w:val="18"/>
              </w:rPr>
              <w:t>PPP measures to deal with possible restriction of pricing freedom</w:t>
            </w:r>
          </w:p>
        </w:tc>
        <w:tc>
          <w:tcPr>
            <w:tcW w:w="1440" w:type="dxa"/>
            <w:tcBorders>
              <w:bottom w:val="nil"/>
              <w:right w:val="nil"/>
            </w:tcBorders>
            <w:tcMar>
              <w:top w:w="20" w:type="dxa"/>
              <w:bottom w:w="20" w:type="dxa"/>
            </w:tcMar>
          </w:tcPr>
          <w:p w14:paraId="7B3090ED" w14:textId="77777777" w:rsidR="00054BF0" w:rsidRDefault="00054BF0"/>
        </w:tc>
        <w:tc>
          <w:tcPr>
            <w:tcW w:w="1440" w:type="dxa"/>
            <w:tcBorders>
              <w:bottom w:val="nil"/>
              <w:right w:val="nil"/>
            </w:tcBorders>
            <w:tcMar>
              <w:top w:w="20" w:type="dxa"/>
              <w:bottom w:w="20" w:type="dxa"/>
            </w:tcMar>
          </w:tcPr>
          <w:p w14:paraId="1134D521" w14:textId="77777777" w:rsidR="00054BF0" w:rsidRDefault="00054BF0"/>
        </w:tc>
        <w:tc>
          <w:tcPr>
            <w:tcW w:w="1440" w:type="dxa"/>
            <w:tcBorders>
              <w:bottom w:val="nil"/>
              <w:right w:val="nil"/>
            </w:tcBorders>
            <w:tcMar>
              <w:top w:w="20" w:type="dxa"/>
              <w:bottom w:w="20" w:type="dxa"/>
            </w:tcMar>
          </w:tcPr>
          <w:p w14:paraId="32E0FE5F" w14:textId="77777777" w:rsidR="00054BF0" w:rsidRDefault="00054BF0"/>
        </w:tc>
        <w:tc>
          <w:tcPr>
            <w:tcW w:w="720" w:type="dxa"/>
            <w:tcBorders>
              <w:bottom w:val="nil"/>
              <w:right w:val="nil"/>
            </w:tcBorders>
            <w:tcMar>
              <w:top w:w="20" w:type="dxa"/>
              <w:bottom w:w="20" w:type="dxa"/>
            </w:tcMar>
          </w:tcPr>
          <w:p w14:paraId="7C8B62DE" w14:textId="77777777" w:rsidR="00054BF0" w:rsidRDefault="00054BF0"/>
        </w:tc>
        <w:tc>
          <w:tcPr>
            <w:tcW w:w="1440" w:type="dxa"/>
            <w:tcBorders>
              <w:bottom w:val="nil"/>
            </w:tcBorders>
            <w:tcMar>
              <w:top w:w="20" w:type="dxa"/>
              <w:bottom w:w="20" w:type="dxa"/>
            </w:tcMar>
          </w:tcPr>
          <w:p w14:paraId="0A5CCF1F" w14:textId="77777777" w:rsidR="00054BF0" w:rsidRDefault="00054BF0"/>
        </w:tc>
      </w:tr>
      <w:tr w:rsidR="00054BF0" w14:paraId="7D2006FA" w14:textId="77777777">
        <w:trPr>
          <w:jc w:val="center"/>
        </w:trPr>
        <w:tc>
          <w:tcPr>
            <w:tcW w:w="2400" w:type="dxa"/>
            <w:tcBorders>
              <w:bottom w:val="nil"/>
              <w:right w:val="nil"/>
            </w:tcBorders>
            <w:tcMar>
              <w:top w:w="20" w:type="dxa"/>
              <w:bottom w:w="20" w:type="dxa"/>
            </w:tcMar>
          </w:tcPr>
          <w:p w14:paraId="1A2C7ADF" w14:textId="77777777" w:rsidR="00054BF0" w:rsidRDefault="00000000">
            <w:pPr>
              <w:spacing w:line="220" w:lineRule="atLeast"/>
            </w:pPr>
            <w:r>
              <w:rPr>
                <w:rFonts w:ascii="Arial" w:eastAsia="Arial" w:hAnsi="Arial" w:cs="Arial"/>
                <w:color w:val="000000"/>
                <w:sz w:val="18"/>
              </w:rPr>
              <w:t>?Full indexation</w:t>
            </w:r>
          </w:p>
        </w:tc>
        <w:tc>
          <w:tcPr>
            <w:tcW w:w="1440" w:type="dxa"/>
            <w:tcBorders>
              <w:bottom w:val="nil"/>
              <w:right w:val="nil"/>
            </w:tcBorders>
            <w:tcMar>
              <w:top w:w="20" w:type="dxa"/>
              <w:bottom w:w="20" w:type="dxa"/>
            </w:tcMar>
          </w:tcPr>
          <w:p w14:paraId="3772852B" w14:textId="77777777" w:rsidR="00054BF0" w:rsidRDefault="00000000">
            <w:pPr>
              <w:spacing w:line="220" w:lineRule="atLeast"/>
            </w:pPr>
            <w:r>
              <w:rPr>
                <w:rFonts w:ascii="Arial" w:eastAsia="Arial" w:hAnsi="Arial" w:cs="Arial"/>
                <w:color w:val="000000"/>
                <w:sz w:val="18"/>
              </w:rPr>
              <w:t>Inflated amount of costs</w:t>
            </w:r>
          </w:p>
        </w:tc>
        <w:tc>
          <w:tcPr>
            <w:tcW w:w="1440" w:type="dxa"/>
            <w:tcBorders>
              <w:bottom w:val="nil"/>
              <w:right w:val="nil"/>
            </w:tcBorders>
            <w:tcMar>
              <w:top w:w="20" w:type="dxa"/>
              <w:bottom w:w="20" w:type="dxa"/>
            </w:tcMar>
          </w:tcPr>
          <w:p w14:paraId="3F6B9963"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1DE851D8" w14:textId="77777777" w:rsidR="00054BF0" w:rsidRDefault="00000000">
            <w:pPr>
              <w:spacing w:line="220" w:lineRule="atLeast"/>
            </w:pPr>
            <w:r>
              <w:rPr>
                <w:rFonts w:ascii="Arial" w:eastAsia="Arial" w:hAnsi="Arial" w:cs="Arial"/>
                <w:color w:val="000000"/>
                <w:sz w:val="18"/>
              </w:rPr>
              <w:t>All increased cost</w:t>
            </w:r>
          </w:p>
        </w:tc>
        <w:tc>
          <w:tcPr>
            <w:tcW w:w="720" w:type="dxa"/>
            <w:tcBorders>
              <w:bottom w:val="nil"/>
              <w:right w:val="nil"/>
            </w:tcBorders>
            <w:tcMar>
              <w:top w:w="20" w:type="dxa"/>
              <w:bottom w:w="20" w:type="dxa"/>
            </w:tcMar>
          </w:tcPr>
          <w:p w14:paraId="74988E01"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1B8CA198" w14:textId="77777777" w:rsidR="00054BF0" w:rsidRDefault="00000000">
            <w:pPr>
              <w:spacing w:line="220" w:lineRule="atLeast"/>
            </w:pPr>
            <w:r>
              <w:rPr>
                <w:rFonts w:ascii="Arial" w:eastAsia="Arial" w:hAnsi="Arial" w:cs="Arial"/>
                <w:color w:val="000000"/>
                <w:sz w:val="18"/>
              </w:rPr>
              <w:t>2.0</w:t>
            </w:r>
          </w:p>
        </w:tc>
      </w:tr>
      <w:tr w:rsidR="00054BF0" w14:paraId="3749BF36" w14:textId="77777777">
        <w:trPr>
          <w:jc w:val="center"/>
        </w:trPr>
        <w:tc>
          <w:tcPr>
            <w:tcW w:w="2400" w:type="dxa"/>
            <w:tcBorders>
              <w:bottom w:val="nil"/>
              <w:right w:val="nil"/>
            </w:tcBorders>
            <w:tcMar>
              <w:top w:w="20" w:type="dxa"/>
              <w:bottom w:w="20" w:type="dxa"/>
            </w:tcMar>
          </w:tcPr>
          <w:p w14:paraId="50B89EF4" w14:textId="77777777" w:rsidR="00054BF0" w:rsidRDefault="00000000">
            <w:pPr>
              <w:spacing w:line="220" w:lineRule="atLeast"/>
            </w:pPr>
            <w:r>
              <w:rPr>
                <w:rFonts w:ascii="Arial" w:eastAsia="Arial" w:hAnsi="Arial" w:cs="Arial"/>
                <w:color w:val="000000"/>
                <w:sz w:val="18"/>
              </w:rPr>
              <w:t>?Partial indexation</w:t>
            </w:r>
          </w:p>
        </w:tc>
        <w:tc>
          <w:tcPr>
            <w:tcW w:w="1440" w:type="dxa"/>
            <w:tcBorders>
              <w:bottom w:val="nil"/>
              <w:right w:val="nil"/>
            </w:tcBorders>
            <w:tcMar>
              <w:top w:w="20" w:type="dxa"/>
              <w:bottom w:w="20" w:type="dxa"/>
            </w:tcMar>
          </w:tcPr>
          <w:p w14:paraId="55B6D37A" w14:textId="77777777" w:rsidR="00054BF0" w:rsidRDefault="00000000">
            <w:pPr>
              <w:spacing w:line="220" w:lineRule="atLeast"/>
            </w:pPr>
            <w:r>
              <w:rPr>
                <w:rFonts w:ascii="Arial" w:eastAsia="Arial" w:hAnsi="Arial" w:cs="Arial"/>
                <w:color w:val="000000"/>
                <w:sz w:val="18"/>
              </w:rPr>
              <w:t>Inflated amount of costs</w:t>
            </w:r>
          </w:p>
        </w:tc>
        <w:tc>
          <w:tcPr>
            <w:tcW w:w="1440" w:type="dxa"/>
            <w:tcBorders>
              <w:bottom w:val="nil"/>
              <w:right w:val="nil"/>
            </w:tcBorders>
            <w:tcMar>
              <w:top w:w="20" w:type="dxa"/>
              <w:bottom w:w="20" w:type="dxa"/>
            </w:tcMar>
          </w:tcPr>
          <w:p w14:paraId="61DBCB2E"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480E9813" w14:textId="77777777" w:rsidR="00054BF0" w:rsidRDefault="00000000">
            <w:pPr>
              <w:spacing w:line="220" w:lineRule="atLeast"/>
            </w:pPr>
            <w:r>
              <w:rPr>
                <w:rFonts w:ascii="Arial" w:eastAsia="Arial" w:hAnsi="Arial" w:cs="Arial"/>
                <w:color w:val="000000"/>
                <w:sz w:val="18"/>
              </w:rPr>
              <w:t>Part of increased cost</w:t>
            </w:r>
          </w:p>
        </w:tc>
        <w:tc>
          <w:tcPr>
            <w:tcW w:w="720" w:type="dxa"/>
            <w:tcBorders>
              <w:bottom w:val="nil"/>
              <w:right w:val="nil"/>
            </w:tcBorders>
            <w:tcMar>
              <w:top w:w="20" w:type="dxa"/>
              <w:bottom w:w="20" w:type="dxa"/>
            </w:tcMar>
          </w:tcPr>
          <w:p w14:paraId="72ECEE1C"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0677A6E1" w14:textId="77777777" w:rsidR="00054BF0" w:rsidRDefault="00000000">
            <w:pPr>
              <w:spacing w:line="220" w:lineRule="atLeast"/>
            </w:pPr>
            <w:r>
              <w:rPr>
                <w:rFonts w:ascii="Arial" w:eastAsia="Arial" w:hAnsi="Arial" w:cs="Arial"/>
                <w:color w:val="000000"/>
                <w:sz w:val="18"/>
              </w:rPr>
              <w:t>1.0</w:t>
            </w:r>
          </w:p>
        </w:tc>
      </w:tr>
      <w:tr w:rsidR="00054BF0" w14:paraId="028A61C5" w14:textId="77777777">
        <w:trPr>
          <w:jc w:val="center"/>
        </w:trPr>
        <w:tc>
          <w:tcPr>
            <w:tcW w:w="2400" w:type="dxa"/>
            <w:tcBorders>
              <w:bottom w:val="nil"/>
              <w:right w:val="nil"/>
            </w:tcBorders>
            <w:tcMar>
              <w:top w:w="20" w:type="dxa"/>
              <w:bottom w:w="20" w:type="dxa"/>
            </w:tcMar>
          </w:tcPr>
          <w:p w14:paraId="23393A4F" w14:textId="77777777" w:rsidR="00054BF0" w:rsidRDefault="00000000">
            <w:pPr>
              <w:spacing w:line="220" w:lineRule="atLeast"/>
            </w:pPr>
            <w:r>
              <w:rPr>
                <w:rFonts w:ascii="Arial" w:eastAsia="Arial" w:hAnsi="Arial" w:cs="Arial"/>
                <w:color w:val="000000"/>
                <w:sz w:val="18"/>
              </w:rPr>
              <w:t>Note. Scaling: Loan amount: 3, Difference between projected and actual: 2, Other minor differences: 1</w:t>
            </w:r>
          </w:p>
        </w:tc>
        <w:tc>
          <w:tcPr>
            <w:tcW w:w="1440" w:type="dxa"/>
            <w:tcBorders>
              <w:bottom w:val="nil"/>
              <w:right w:val="nil"/>
            </w:tcBorders>
            <w:tcMar>
              <w:top w:w="20" w:type="dxa"/>
              <w:bottom w:w="20" w:type="dxa"/>
            </w:tcMar>
          </w:tcPr>
          <w:p w14:paraId="657EAB4F" w14:textId="77777777" w:rsidR="00054BF0" w:rsidRDefault="00054BF0"/>
        </w:tc>
        <w:tc>
          <w:tcPr>
            <w:tcW w:w="1440" w:type="dxa"/>
            <w:tcBorders>
              <w:bottom w:val="nil"/>
              <w:right w:val="nil"/>
            </w:tcBorders>
            <w:tcMar>
              <w:top w:w="20" w:type="dxa"/>
              <w:bottom w:w="20" w:type="dxa"/>
            </w:tcMar>
          </w:tcPr>
          <w:p w14:paraId="477EE1E5" w14:textId="77777777" w:rsidR="00054BF0" w:rsidRDefault="00054BF0"/>
        </w:tc>
        <w:tc>
          <w:tcPr>
            <w:tcW w:w="1440" w:type="dxa"/>
            <w:tcBorders>
              <w:bottom w:val="nil"/>
              <w:right w:val="nil"/>
            </w:tcBorders>
            <w:tcMar>
              <w:top w:w="20" w:type="dxa"/>
              <w:bottom w:w="20" w:type="dxa"/>
            </w:tcMar>
          </w:tcPr>
          <w:p w14:paraId="69ACF31E" w14:textId="77777777" w:rsidR="00054BF0" w:rsidRDefault="00054BF0"/>
        </w:tc>
        <w:tc>
          <w:tcPr>
            <w:tcW w:w="720" w:type="dxa"/>
            <w:tcBorders>
              <w:bottom w:val="nil"/>
              <w:right w:val="nil"/>
            </w:tcBorders>
            <w:tcMar>
              <w:top w:w="20" w:type="dxa"/>
              <w:bottom w:w="20" w:type="dxa"/>
            </w:tcMar>
          </w:tcPr>
          <w:p w14:paraId="2AF7B971" w14:textId="77777777" w:rsidR="00054BF0" w:rsidRDefault="00054BF0"/>
        </w:tc>
        <w:tc>
          <w:tcPr>
            <w:tcW w:w="1440" w:type="dxa"/>
            <w:tcBorders>
              <w:bottom w:val="nil"/>
            </w:tcBorders>
            <w:tcMar>
              <w:top w:w="20" w:type="dxa"/>
              <w:bottom w:w="20" w:type="dxa"/>
            </w:tcMar>
          </w:tcPr>
          <w:p w14:paraId="7C91DAF8" w14:textId="77777777" w:rsidR="00054BF0" w:rsidRDefault="00054BF0"/>
        </w:tc>
      </w:tr>
      <w:tr w:rsidR="00054BF0" w14:paraId="6E1FC94E" w14:textId="77777777">
        <w:trPr>
          <w:jc w:val="center"/>
        </w:trPr>
        <w:tc>
          <w:tcPr>
            <w:tcW w:w="2400" w:type="dxa"/>
            <w:tcBorders>
              <w:bottom w:val="nil"/>
              <w:right w:val="nil"/>
            </w:tcBorders>
            <w:tcMar>
              <w:top w:w="20" w:type="dxa"/>
              <w:bottom w:w="20" w:type="dxa"/>
            </w:tcMar>
          </w:tcPr>
          <w:p w14:paraId="11D577D8" w14:textId="77777777" w:rsidR="00054BF0" w:rsidRDefault="00000000">
            <w:pPr>
              <w:spacing w:line="220" w:lineRule="atLeast"/>
            </w:pPr>
            <w:r>
              <w:rPr>
                <w:rFonts w:ascii="Arial" w:eastAsia="Arial" w:hAnsi="Arial" w:cs="Arial"/>
                <w:color w:val="000000"/>
                <w:sz w:val="18"/>
              </w:rPr>
              <w:t>PPP measures to facilitate project finance</w:t>
            </w:r>
          </w:p>
        </w:tc>
        <w:tc>
          <w:tcPr>
            <w:tcW w:w="1440" w:type="dxa"/>
            <w:tcBorders>
              <w:bottom w:val="nil"/>
              <w:right w:val="nil"/>
            </w:tcBorders>
            <w:tcMar>
              <w:top w:w="20" w:type="dxa"/>
              <w:bottom w:w="20" w:type="dxa"/>
            </w:tcMar>
          </w:tcPr>
          <w:p w14:paraId="45635291" w14:textId="77777777" w:rsidR="00054BF0" w:rsidRDefault="00054BF0"/>
        </w:tc>
        <w:tc>
          <w:tcPr>
            <w:tcW w:w="1440" w:type="dxa"/>
            <w:tcBorders>
              <w:bottom w:val="nil"/>
              <w:right w:val="nil"/>
            </w:tcBorders>
            <w:tcMar>
              <w:top w:w="20" w:type="dxa"/>
              <w:bottom w:w="20" w:type="dxa"/>
            </w:tcMar>
          </w:tcPr>
          <w:p w14:paraId="0E635EE5" w14:textId="77777777" w:rsidR="00054BF0" w:rsidRDefault="00054BF0"/>
        </w:tc>
        <w:tc>
          <w:tcPr>
            <w:tcW w:w="1440" w:type="dxa"/>
            <w:tcBorders>
              <w:bottom w:val="nil"/>
              <w:right w:val="nil"/>
            </w:tcBorders>
            <w:tcMar>
              <w:top w:w="20" w:type="dxa"/>
              <w:bottom w:w="20" w:type="dxa"/>
            </w:tcMar>
          </w:tcPr>
          <w:p w14:paraId="153C1EFB" w14:textId="77777777" w:rsidR="00054BF0" w:rsidRDefault="00054BF0"/>
        </w:tc>
        <w:tc>
          <w:tcPr>
            <w:tcW w:w="720" w:type="dxa"/>
            <w:tcBorders>
              <w:bottom w:val="nil"/>
              <w:right w:val="nil"/>
            </w:tcBorders>
            <w:tcMar>
              <w:top w:w="20" w:type="dxa"/>
              <w:bottom w:w="20" w:type="dxa"/>
            </w:tcMar>
          </w:tcPr>
          <w:p w14:paraId="3E7D47F8" w14:textId="77777777" w:rsidR="00054BF0" w:rsidRDefault="00054BF0"/>
        </w:tc>
        <w:tc>
          <w:tcPr>
            <w:tcW w:w="1440" w:type="dxa"/>
            <w:tcBorders>
              <w:bottom w:val="nil"/>
            </w:tcBorders>
            <w:tcMar>
              <w:top w:w="20" w:type="dxa"/>
              <w:bottom w:w="20" w:type="dxa"/>
            </w:tcMar>
          </w:tcPr>
          <w:p w14:paraId="673EC531" w14:textId="77777777" w:rsidR="00054BF0" w:rsidRDefault="00054BF0"/>
        </w:tc>
      </w:tr>
      <w:tr w:rsidR="00054BF0" w14:paraId="64E61E5A" w14:textId="77777777">
        <w:trPr>
          <w:jc w:val="center"/>
        </w:trPr>
        <w:tc>
          <w:tcPr>
            <w:tcW w:w="2400" w:type="dxa"/>
            <w:tcBorders>
              <w:bottom w:val="nil"/>
              <w:right w:val="nil"/>
            </w:tcBorders>
            <w:tcMar>
              <w:top w:w="20" w:type="dxa"/>
              <w:bottom w:w="20" w:type="dxa"/>
            </w:tcMar>
          </w:tcPr>
          <w:p w14:paraId="547AB3BD" w14:textId="77777777" w:rsidR="00054BF0" w:rsidRDefault="00000000">
            <w:pPr>
              <w:spacing w:line="220" w:lineRule="atLeast"/>
            </w:pPr>
            <w:r>
              <w:rPr>
                <w:rFonts w:ascii="Arial" w:eastAsia="Arial" w:hAnsi="Arial" w:cs="Arial"/>
                <w:color w:val="000000"/>
                <w:sz w:val="18"/>
              </w:rPr>
              <w:t>?Loan guarantee</w:t>
            </w:r>
          </w:p>
        </w:tc>
        <w:tc>
          <w:tcPr>
            <w:tcW w:w="1440" w:type="dxa"/>
            <w:tcBorders>
              <w:bottom w:val="nil"/>
              <w:right w:val="nil"/>
            </w:tcBorders>
            <w:tcMar>
              <w:top w:w="20" w:type="dxa"/>
              <w:bottom w:w="20" w:type="dxa"/>
            </w:tcMar>
          </w:tcPr>
          <w:p w14:paraId="024E43FD" w14:textId="77777777" w:rsidR="00054BF0" w:rsidRDefault="00000000">
            <w:pPr>
              <w:spacing w:line="220" w:lineRule="atLeast"/>
            </w:pPr>
            <w:r>
              <w:rPr>
                <w:rFonts w:ascii="Arial" w:eastAsia="Arial" w:hAnsi="Arial" w:cs="Arial"/>
                <w:color w:val="000000"/>
                <w:sz w:val="18"/>
              </w:rPr>
              <w:t>Loan amount</w:t>
            </w:r>
          </w:p>
        </w:tc>
        <w:tc>
          <w:tcPr>
            <w:tcW w:w="1440" w:type="dxa"/>
            <w:tcBorders>
              <w:bottom w:val="nil"/>
              <w:right w:val="nil"/>
            </w:tcBorders>
            <w:tcMar>
              <w:top w:w="20" w:type="dxa"/>
              <w:bottom w:w="20" w:type="dxa"/>
            </w:tcMar>
          </w:tcPr>
          <w:p w14:paraId="0F92EAB9" w14:textId="77777777" w:rsidR="00054BF0"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12437C53" w14:textId="77777777" w:rsidR="00054BF0" w:rsidRDefault="00000000">
            <w:pPr>
              <w:spacing w:line="220" w:lineRule="atLeast"/>
            </w:pPr>
            <w:r>
              <w:rPr>
                <w:rFonts w:ascii="Arial" w:eastAsia="Arial" w:hAnsi="Arial" w:cs="Arial"/>
                <w:color w:val="000000"/>
                <w:sz w:val="18"/>
              </w:rPr>
              <w:t>Entire amount</w:t>
            </w:r>
          </w:p>
        </w:tc>
        <w:tc>
          <w:tcPr>
            <w:tcW w:w="720" w:type="dxa"/>
            <w:tcBorders>
              <w:bottom w:val="nil"/>
              <w:right w:val="nil"/>
            </w:tcBorders>
            <w:tcMar>
              <w:top w:w="20" w:type="dxa"/>
              <w:bottom w:w="20" w:type="dxa"/>
            </w:tcMar>
          </w:tcPr>
          <w:p w14:paraId="420540B6"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5E9067AC" w14:textId="77777777" w:rsidR="00054BF0" w:rsidRDefault="00000000">
            <w:pPr>
              <w:spacing w:line="220" w:lineRule="atLeast"/>
            </w:pPr>
            <w:r>
              <w:rPr>
                <w:rFonts w:ascii="Arial" w:eastAsia="Arial" w:hAnsi="Arial" w:cs="Arial"/>
                <w:color w:val="000000"/>
                <w:sz w:val="18"/>
              </w:rPr>
              <w:t>3.0</w:t>
            </w:r>
          </w:p>
        </w:tc>
      </w:tr>
      <w:tr w:rsidR="00054BF0" w14:paraId="12FF01ED" w14:textId="77777777">
        <w:trPr>
          <w:jc w:val="center"/>
        </w:trPr>
        <w:tc>
          <w:tcPr>
            <w:tcW w:w="2400" w:type="dxa"/>
            <w:tcBorders>
              <w:bottom w:val="nil"/>
              <w:right w:val="nil"/>
            </w:tcBorders>
            <w:tcMar>
              <w:top w:w="20" w:type="dxa"/>
              <w:bottom w:w="20" w:type="dxa"/>
            </w:tcMar>
          </w:tcPr>
          <w:p w14:paraId="6B275FF9" w14:textId="77777777" w:rsidR="00054BF0" w:rsidRDefault="00000000">
            <w:pPr>
              <w:spacing w:line="220" w:lineRule="atLeast"/>
            </w:pPr>
            <w:r>
              <w:rPr>
                <w:rFonts w:ascii="Arial" w:eastAsia="Arial" w:hAnsi="Arial" w:cs="Arial"/>
                <w:color w:val="000000"/>
                <w:sz w:val="18"/>
              </w:rPr>
              <w:t>?Foreign exchange insurance</w:t>
            </w:r>
          </w:p>
        </w:tc>
        <w:tc>
          <w:tcPr>
            <w:tcW w:w="1440" w:type="dxa"/>
            <w:tcBorders>
              <w:bottom w:val="nil"/>
              <w:right w:val="nil"/>
            </w:tcBorders>
            <w:tcMar>
              <w:top w:w="20" w:type="dxa"/>
              <w:bottom w:w="20" w:type="dxa"/>
            </w:tcMar>
          </w:tcPr>
          <w:p w14:paraId="6099C845" w14:textId="77777777" w:rsidR="00054BF0" w:rsidRDefault="00000000">
            <w:pPr>
              <w:spacing w:line="220" w:lineRule="atLeast"/>
            </w:pPr>
            <w:r>
              <w:rPr>
                <w:rFonts w:ascii="Arial" w:eastAsia="Arial" w:hAnsi="Arial" w:cs="Arial"/>
                <w:color w:val="000000"/>
                <w:sz w:val="18"/>
              </w:rPr>
              <w:t>Fluctuated part of loan</w:t>
            </w:r>
          </w:p>
        </w:tc>
        <w:tc>
          <w:tcPr>
            <w:tcW w:w="1440" w:type="dxa"/>
            <w:tcBorders>
              <w:bottom w:val="nil"/>
              <w:right w:val="nil"/>
            </w:tcBorders>
            <w:tcMar>
              <w:top w:w="20" w:type="dxa"/>
              <w:bottom w:w="20" w:type="dxa"/>
            </w:tcMar>
          </w:tcPr>
          <w:p w14:paraId="06A4DFCD" w14:textId="77777777" w:rsidR="00054BF0"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7E2A820D" w14:textId="77777777" w:rsidR="00054BF0" w:rsidRDefault="00000000">
            <w:pPr>
              <w:spacing w:line="220" w:lineRule="atLeast"/>
            </w:pPr>
            <w:r>
              <w:rPr>
                <w:rFonts w:ascii="Arial" w:eastAsia="Arial" w:hAnsi="Arial" w:cs="Arial"/>
                <w:color w:val="000000"/>
                <w:sz w:val="18"/>
              </w:rPr>
              <w:t>All fluctuated part</w:t>
            </w:r>
          </w:p>
        </w:tc>
        <w:tc>
          <w:tcPr>
            <w:tcW w:w="720" w:type="dxa"/>
            <w:tcBorders>
              <w:bottom w:val="nil"/>
              <w:right w:val="nil"/>
            </w:tcBorders>
            <w:tcMar>
              <w:top w:w="20" w:type="dxa"/>
              <w:bottom w:w="20" w:type="dxa"/>
            </w:tcMar>
          </w:tcPr>
          <w:p w14:paraId="3FCC30F9" w14:textId="77777777" w:rsidR="00054BF0" w:rsidRDefault="00000000">
            <w:pPr>
              <w:spacing w:line="220" w:lineRule="atLeast"/>
            </w:pPr>
            <w:r>
              <w:rPr>
                <w:rFonts w:ascii="Arial" w:eastAsia="Arial" w:hAnsi="Arial" w:cs="Arial"/>
                <w:color w:val="000000"/>
                <w:sz w:val="18"/>
              </w:rPr>
              <w:t>1.0</w:t>
            </w:r>
          </w:p>
        </w:tc>
        <w:tc>
          <w:tcPr>
            <w:tcW w:w="1440" w:type="dxa"/>
            <w:tcBorders>
              <w:bottom w:val="nil"/>
            </w:tcBorders>
            <w:tcMar>
              <w:top w:w="20" w:type="dxa"/>
              <w:bottom w:w="20" w:type="dxa"/>
            </w:tcMar>
          </w:tcPr>
          <w:p w14:paraId="177F8ADD" w14:textId="77777777" w:rsidR="00054BF0" w:rsidRDefault="00000000">
            <w:pPr>
              <w:spacing w:line="220" w:lineRule="atLeast"/>
            </w:pPr>
            <w:r>
              <w:rPr>
                <w:rFonts w:ascii="Arial" w:eastAsia="Arial" w:hAnsi="Arial" w:cs="Arial"/>
                <w:color w:val="000000"/>
                <w:sz w:val="18"/>
              </w:rPr>
              <w:t>2.0</w:t>
            </w:r>
          </w:p>
        </w:tc>
      </w:tr>
      <w:tr w:rsidR="00054BF0" w14:paraId="1D2603DF" w14:textId="77777777">
        <w:trPr>
          <w:jc w:val="center"/>
        </w:trPr>
        <w:tc>
          <w:tcPr>
            <w:tcW w:w="2400" w:type="dxa"/>
            <w:tcBorders>
              <w:bottom w:val="nil"/>
              <w:right w:val="nil"/>
            </w:tcBorders>
            <w:tcMar>
              <w:top w:w="20" w:type="dxa"/>
              <w:bottom w:w="20" w:type="dxa"/>
            </w:tcMar>
          </w:tcPr>
          <w:p w14:paraId="5BF99911" w14:textId="77777777" w:rsidR="00054BF0" w:rsidRDefault="00000000">
            <w:pPr>
              <w:spacing w:line="220" w:lineRule="atLeast"/>
            </w:pPr>
            <w:r>
              <w:rPr>
                <w:rFonts w:ascii="Arial" w:eastAsia="Arial" w:hAnsi="Arial" w:cs="Arial"/>
                <w:color w:val="000000"/>
                <w:sz w:val="18"/>
              </w:rPr>
              <w:t>?Take out finance</w:t>
            </w:r>
          </w:p>
        </w:tc>
        <w:tc>
          <w:tcPr>
            <w:tcW w:w="1440" w:type="dxa"/>
            <w:tcBorders>
              <w:bottom w:val="nil"/>
              <w:right w:val="nil"/>
            </w:tcBorders>
            <w:tcMar>
              <w:top w:w="20" w:type="dxa"/>
              <w:bottom w:w="20" w:type="dxa"/>
            </w:tcMar>
          </w:tcPr>
          <w:p w14:paraId="11721551" w14:textId="77777777" w:rsidR="00054BF0" w:rsidRDefault="00000000">
            <w:pPr>
              <w:spacing w:line="220" w:lineRule="atLeast"/>
            </w:pPr>
            <w:r>
              <w:rPr>
                <w:rFonts w:ascii="Arial" w:eastAsia="Arial" w:hAnsi="Arial" w:cs="Arial"/>
                <w:color w:val="000000"/>
                <w:sz w:val="18"/>
              </w:rPr>
              <w:t>Loan amount</w:t>
            </w:r>
          </w:p>
        </w:tc>
        <w:tc>
          <w:tcPr>
            <w:tcW w:w="1440" w:type="dxa"/>
            <w:tcBorders>
              <w:bottom w:val="nil"/>
              <w:right w:val="nil"/>
            </w:tcBorders>
            <w:tcMar>
              <w:top w:w="20" w:type="dxa"/>
              <w:bottom w:w="20" w:type="dxa"/>
            </w:tcMar>
          </w:tcPr>
          <w:p w14:paraId="60A88CBB" w14:textId="77777777" w:rsidR="00054BF0"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3D2BC6A3" w14:textId="77777777" w:rsidR="00054BF0" w:rsidRDefault="00000000">
            <w:pPr>
              <w:spacing w:line="220" w:lineRule="atLeast"/>
            </w:pPr>
            <w:r>
              <w:rPr>
                <w:rFonts w:ascii="Arial" w:eastAsia="Arial" w:hAnsi="Arial" w:cs="Arial"/>
                <w:color w:val="000000"/>
                <w:sz w:val="18"/>
              </w:rPr>
              <w:t>Remaining part</w:t>
            </w:r>
          </w:p>
        </w:tc>
        <w:tc>
          <w:tcPr>
            <w:tcW w:w="720" w:type="dxa"/>
            <w:tcBorders>
              <w:bottom w:val="nil"/>
              <w:right w:val="nil"/>
            </w:tcBorders>
            <w:tcMar>
              <w:top w:w="20" w:type="dxa"/>
              <w:bottom w:w="20" w:type="dxa"/>
            </w:tcMar>
          </w:tcPr>
          <w:p w14:paraId="537039D9" w14:textId="77777777" w:rsidR="00054BF0" w:rsidRDefault="00000000">
            <w:pPr>
              <w:spacing w:line="220" w:lineRule="atLeast"/>
            </w:pPr>
            <w:r>
              <w:rPr>
                <w:rFonts w:ascii="Arial" w:eastAsia="Arial" w:hAnsi="Arial" w:cs="Arial"/>
                <w:color w:val="000000"/>
                <w:sz w:val="18"/>
              </w:rPr>
              <w:t>0.5</w:t>
            </w:r>
          </w:p>
        </w:tc>
        <w:tc>
          <w:tcPr>
            <w:tcW w:w="1440" w:type="dxa"/>
            <w:tcBorders>
              <w:bottom w:val="nil"/>
            </w:tcBorders>
            <w:tcMar>
              <w:top w:w="20" w:type="dxa"/>
              <w:bottom w:w="20" w:type="dxa"/>
            </w:tcMar>
          </w:tcPr>
          <w:p w14:paraId="1368237C" w14:textId="77777777" w:rsidR="00054BF0" w:rsidRDefault="00000000">
            <w:pPr>
              <w:spacing w:line="220" w:lineRule="atLeast"/>
            </w:pPr>
            <w:r>
              <w:rPr>
                <w:rFonts w:ascii="Arial" w:eastAsia="Arial" w:hAnsi="Arial" w:cs="Arial"/>
                <w:color w:val="000000"/>
                <w:sz w:val="18"/>
              </w:rPr>
              <w:t>1.5</w:t>
            </w:r>
          </w:p>
        </w:tc>
      </w:tr>
      <w:tr w:rsidR="00054BF0" w14:paraId="3275AAF0" w14:textId="77777777">
        <w:trPr>
          <w:jc w:val="center"/>
        </w:trPr>
        <w:tc>
          <w:tcPr>
            <w:tcW w:w="2400" w:type="dxa"/>
            <w:tcBorders>
              <w:right w:val="nil"/>
            </w:tcBorders>
            <w:tcMar>
              <w:top w:w="20" w:type="dxa"/>
              <w:bottom w:w="20" w:type="dxa"/>
            </w:tcMar>
          </w:tcPr>
          <w:p w14:paraId="566F41D9" w14:textId="77777777" w:rsidR="00054BF0" w:rsidRDefault="00000000">
            <w:pPr>
              <w:spacing w:line="220" w:lineRule="atLeast"/>
            </w:pPr>
            <w:r>
              <w:rPr>
                <w:rFonts w:ascii="Arial" w:eastAsia="Arial" w:hAnsi="Arial" w:cs="Arial"/>
                <w:color w:val="000000"/>
                <w:sz w:val="18"/>
              </w:rPr>
              <w:t>Note. Scaling: Loan amount: 3, Difference in loan amount before and after foreign exchange (FX) fluctuation 2, Difference in FX rates: 1</w:t>
            </w:r>
          </w:p>
        </w:tc>
        <w:tc>
          <w:tcPr>
            <w:tcW w:w="1440" w:type="dxa"/>
            <w:tcBorders>
              <w:right w:val="nil"/>
            </w:tcBorders>
            <w:tcMar>
              <w:top w:w="20" w:type="dxa"/>
              <w:bottom w:w="20" w:type="dxa"/>
            </w:tcMar>
          </w:tcPr>
          <w:p w14:paraId="053E18BF" w14:textId="77777777" w:rsidR="00054BF0" w:rsidRDefault="00054BF0"/>
        </w:tc>
        <w:tc>
          <w:tcPr>
            <w:tcW w:w="1440" w:type="dxa"/>
            <w:tcBorders>
              <w:right w:val="nil"/>
            </w:tcBorders>
            <w:tcMar>
              <w:top w:w="20" w:type="dxa"/>
              <w:bottom w:w="20" w:type="dxa"/>
            </w:tcMar>
          </w:tcPr>
          <w:p w14:paraId="3A4814FA" w14:textId="77777777" w:rsidR="00054BF0" w:rsidRDefault="00054BF0"/>
        </w:tc>
        <w:tc>
          <w:tcPr>
            <w:tcW w:w="1440" w:type="dxa"/>
            <w:tcBorders>
              <w:right w:val="nil"/>
            </w:tcBorders>
            <w:tcMar>
              <w:top w:w="20" w:type="dxa"/>
              <w:bottom w:w="20" w:type="dxa"/>
            </w:tcMar>
          </w:tcPr>
          <w:p w14:paraId="7A59A07F" w14:textId="77777777" w:rsidR="00054BF0" w:rsidRDefault="00054BF0"/>
        </w:tc>
        <w:tc>
          <w:tcPr>
            <w:tcW w:w="720" w:type="dxa"/>
            <w:tcBorders>
              <w:right w:val="nil"/>
            </w:tcBorders>
            <w:tcMar>
              <w:top w:w="20" w:type="dxa"/>
              <w:bottom w:w="20" w:type="dxa"/>
            </w:tcMar>
          </w:tcPr>
          <w:p w14:paraId="5B6F14A2" w14:textId="77777777" w:rsidR="00054BF0" w:rsidRDefault="00054BF0"/>
        </w:tc>
        <w:tc>
          <w:tcPr>
            <w:tcW w:w="1440" w:type="dxa"/>
            <w:tcMar>
              <w:top w:w="20" w:type="dxa"/>
              <w:bottom w:w="20" w:type="dxa"/>
            </w:tcMar>
          </w:tcPr>
          <w:p w14:paraId="4F77654A" w14:textId="77777777" w:rsidR="00054BF0" w:rsidRDefault="00054BF0"/>
        </w:tc>
      </w:tr>
    </w:tbl>
    <w:p w14:paraId="672B97F8"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0E71FCAF" w14:textId="77777777" w:rsidR="00054BF0" w:rsidRDefault="00000000">
      <w:pPr>
        <w:spacing w:before="240" w:line="260" w:lineRule="atLeast"/>
      </w:pPr>
      <w:r>
        <w:rPr>
          <w:rFonts w:ascii="Arial" w:eastAsia="Arial" w:hAnsi="Arial" w:cs="Arial"/>
          <w:b/>
          <w:color w:val="000000"/>
          <w:sz w:val="20"/>
        </w:rPr>
        <w:t>Cost-Effectiveness of PPP Systems of Selected Countries</w:t>
      </w:r>
    </w:p>
    <w:p w14:paraId="45F77527" w14:textId="77777777" w:rsidR="00054BF0" w:rsidRDefault="00000000">
      <w:pPr>
        <w:spacing w:before="200" w:line="260" w:lineRule="atLeast"/>
        <w:jc w:val="both"/>
      </w:pPr>
      <w:r>
        <w:rPr>
          <w:rFonts w:ascii="Arial" w:eastAsia="Arial" w:hAnsi="Arial" w:cs="Arial"/>
          <w:color w:val="000000"/>
          <w:sz w:val="20"/>
        </w:rPr>
        <w:t>Having assigned the scores of cost-effectiveness of individual PPP measures, this section would focus on the comparison of the PPP systems as a whole for each of the countries. This assessment would be conducted in the following manner:</w:t>
      </w:r>
    </w:p>
    <w:p w14:paraId="4156401F" w14:textId="77777777" w:rsidR="00054BF0" w:rsidRDefault="00000000">
      <w:pPr>
        <w:spacing w:before="200" w:line="260" w:lineRule="atLeast"/>
        <w:jc w:val="both"/>
      </w:pPr>
      <w:r>
        <w:rPr>
          <w:rFonts w:ascii="Arial" w:eastAsia="Arial" w:hAnsi="Arial" w:cs="Arial"/>
          <w:color w:val="000000"/>
          <w:sz w:val="20"/>
        </w:rPr>
        <w:lastRenderedPageBreak/>
        <w:t>Identify the most prevalent form of the PPP measures adopted by each of the countries to deal with three types of vulnerability in the country in question.</w:t>
      </w:r>
    </w:p>
    <w:p w14:paraId="24E6AEC5" w14:textId="77777777" w:rsidR="00054BF0" w:rsidRDefault="00000000">
      <w:pPr>
        <w:spacing w:before="200" w:line="260" w:lineRule="atLeast"/>
        <w:jc w:val="both"/>
      </w:pPr>
      <w:r>
        <w:rPr>
          <w:rFonts w:ascii="Arial" w:eastAsia="Arial" w:hAnsi="Arial" w:cs="Arial"/>
          <w:color w:val="000000"/>
          <w:sz w:val="20"/>
        </w:rPr>
        <w:t>Then, the weight earlier assigned for each of the individual PPP measures would be applied to measure the cost-effectiveness of each country’s PPP system.</w:t>
      </w:r>
    </w:p>
    <w:p w14:paraId="40CB764F" w14:textId="77777777" w:rsidR="00054BF0" w:rsidRDefault="00000000">
      <w:pPr>
        <w:spacing w:before="200" w:line="260" w:lineRule="atLeast"/>
        <w:jc w:val="both"/>
      </w:pPr>
      <w:r>
        <w:rPr>
          <w:rFonts w:ascii="Arial" w:eastAsia="Arial" w:hAnsi="Arial" w:cs="Arial"/>
          <w:color w:val="000000"/>
          <w:sz w:val="20"/>
        </w:rPr>
        <w:t>The results of this analysis are as follows (see Table 2):</w:t>
      </w:r>
    </w:p>
    <w:p w14:paraId="58869E1F" w14:textId="77777777" w:rsidR="00054BF0" w:rsidRDefault="00000000">
      <w:pPr>
        <w:spacing w:before="240" w:line="260" w:lineRule="atLeast"/>
      </w:pPr>
      <w:r>
        <w:rPr>
          <w:rFonts w:ascii="Arial" w:eastAsia="Arial" w:hAnsi="Arial" w:cs="Arial"/>
          <w:b/>
          <w:color w:val="000000"/>
          <w:sz w:val="20"/>
        </w:rPr>
        <w:t>Table 2.</w:t>
      </w:r>
    </w:p>
    <w:p w14:paraId="3F6CFAE8" w14:textId="77777777" w:rsidR="00054BF0" w:rsidRDefault="00000000">
      <w:pPr>
        <w:spacing w:before="200" w:line="260" w:lineRule="atLeast"/>
        <w:jc w:val="both"/>
      </w:pPr>
      <w:r>
        <w:rPr>
          <w:rFonts w:ascii="Arial" w:eastAsia="Arial" w:hAnsi="Arial" w:cs="Arial"/>
          <w:color w:val="000000"/>
          <w:sz w:val="20"/>
        </w:rPr>
        <w:t>Comparison of PPP Systems of Three Countries in Terms of Cost-Effectiveness.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40"/>
        <w:gridCol w:w="3000"/>
        <w:gridCol w:w="1800"/>
      </w:tblGrid>
      <w:tr w:rsidR="00054BF0" w14:paraId="617D9F4D" w14:textId="77777777">
        <w:trPr>
          <w:tblHeader/>
          <w:jc w:val="center"/>
        </w:trPr>
        <w:tc>
          <w:tcPr>
            <w:tcW w:w="4440" w:type="dxa"/>
            <w:tcBorders>
              <w:bottom w:val="nil"/>
              <w:right w:val="nil"/>
            </w:tcBorders>
            <w:tcMar>
              <w:top w:w="20" w:type="dxa"/>
              <w:bottom w:w="20" w:type="dxa"/>
            </w:tcMar>
          </w:tcPr>
          <w:p w14:paraId="52E2627C" w14:textId="77777777" w:rsidR="00054BF0" w:rsidRDefault="00000000">
            <w:pPr>
              <w:spacing w:before="200" w:line="220" w:lineRule="atLeast"/>
            </w:pPr>
            <w:r>
              <w:rPr>
                <w:rFonts w:ascii="Arial" w:eastAsia="Arial" w:hAnsi="Arial" w:cs="Arial"/>
                <w:b/>
                <w:color w:val="000000"/>
                <w:sz w:val="18"/>
              </w:rPr>
              <w:t>System selected in a time slice manner</w:t>
            </w:r>
          </w:p>
        </w:tc>
        <w:tc>
          <w:tcPr>
            <w:tcW w:w="3000" w:type="dxa"/>
            <w:tcBorders>
              <w:bottom w:val="nil"/>
              <w:right w:val="nil"/>
            </w:tcBorders>
            <w:tcMar>
              <w:top w:w="20" w:type="dxa"/>
              <w:bottom w:w="20" w:type="dxa"/>
            </w:tcMar>
          </w:tcPr>
          <w:p w14:paraId="51E8FE78" w14:textId="77777777" w:rsidR="00054BF0" w:rsidRDefault="00000000">
            <w:pPr>
              <w:spacing w:before="200" w:line="220" w:lineRule="atLeast"/>
            </w:pPr>
            <w:r>
              <w:rPr>
                <w:rFonts w:ascii="Arial" w:eastAsia="Arial" w:hAnsi="Arial" w:cs="Arial"/>
                <w:b/>
                <w:color w:val="000000"/>
                <w:sz w:val="18"/>
              </w:rPr>
              <w:t>Prevalent PPP measures</w:t>
            </w:r>
          </w:p>
        </w:tc>
        <w:tc>
          <w:tcPr>
            <w:tcW w:w="1800" w:type="dxa"/>
            <w:tcBorders>
              <w:bottom w:val="nil"/>
            </w:tcBorders>
            <w:tcMar>
              <w:top w:w="20" w:type="dxa"/>
              <w:bottom w:w="20" w:type="dxa"/>
            </w:tcMar>
          </w:tcPr>
          <w:p w14:paraId="7277301C" w14:textId="77777777" w:rsidR="00054BF0" w:rsidRDefault="00000000">
            <w:pPr>
              <w:spacing w:before="200" w:line="220" w:lineRule="atLeast"/>
            </w:pPr>
            <w:r>
              <w:rPr>
                <w:rFonts w:ascii="Arial" w:eastAsia="Arial" w:hAnsi="Arial" w:cs="Arial"/>
                <w:b/>
                <w:color w:val="000000"/>
                <w:sz w:val="18"/>
              </w:rPr>
              <w:t>Adjusted scales</w:t>
            </w:r>
          </w:p>
        </w:tc>
      </w:tr>
      <w:tr w:rsidR="00054BF0" w14:paraId="3710A16D" w14:textId="77777777">
        <w:trPr>
          <w:jc w:val="center"/>
        </w:trPr>
        <w:tc>
          <w:tcPr>
            <w:tcW w:w="4440" w:type="dxa"/>
            <w:tcBorders>
              <w:bottom w:val="nil"/>
              <w:right w:val="nil"/>
            </w:tcBorders>
            <w:tcMar>
              <w:top w:w="20" w:type="dxa"/>
              <w:bottom w:w="20" w:type="dxa"/>
            </w:tcMar>
          </w:tcPr>
          <w:p w14:paraId="2B553400" w14:textId="77777777" w:rsidR="00054BF0" w:rsidRDefault="00000000">
            <w:pPr>
              <w:spacing w:line="220" w:lineRule="atLeast"/>
            </w:pPr>
            <w:r>
              <w:rPr>
                <w:rFonts w:ascii="Arial" w:eastAsia="Arial" w:hAnsi="Arial" w:cs="Arial"/>
                <w:color w:val="000000"/>
                <w:sz w:val="18"/>
              </w:rPr>
              <w:t>Prevalent measures to deal with uncertainty</w:t>
            </w:r>
          </w:p>
        </w:tc>
        <w:tc>
          <w:tcPr>
            <w:tcW w:w="3000" w:type="dxa"/>
            <w:tcBorders>
              <w:bottom w:val="nil"/>
              <w:right w:val="nil"/>
            </w:tcBorders>
            <w:tcMar>
              <w:top w:w="20" w:type="dxa"/>
              <w:bottom w:w="20" w:type="dxa"/>
            </w:tcMar>
          </w:tcPr>
          <w:p w14:paraId="7EB8B478" w14:textId="77777777" w:rsidR="00054BF0" w:rsidRDefault="00054BF0"/>
        </w:tc>
        <w:tc>
          <w:tcPr>
            <w:tcW w:w="1800" w:type="dxa"/>
            <w:tcBorders>
              <w:bottom w:val="nil"/>
            </w:tcBorders>
            <w:tcMar>
              <w:top w:w="20" w:type="dxa"/>
              <w:bottom w:w="20" w:type="dxa"/>
            </w:tcMar>
          </w:tcPr>
          <w:p w14:paraId="0EF062F2" w14:textId="77777777" w:rsidR="00054BF0" w:rsidRDefault="00054BF0"/>
        </w:tc>
      </w:tr>
      <w:tr w:rsidR="00054BF0" w14:paraId="084E464F" w14:textId="77777777">
        <w:trPr>
          <w:jc w:val="center"/>
        </w:trPr>
        <w:tc>
          <w:tcPr>
            <w:tcW w:w="4440" w:type="dxa"/>
            <w:tcBorders>
              <w:bottom w:val="nil"/>
              <w:right w:val="nil"/>
            </w:tcBorders>
            <w:tcMar>
              <w:top w:w="20" w:type="dxa"/>
              <w:bottom w:w="20" w:type="dxa"/>
            </w:tcMar>
          </w:tcPr>
          <w:p w14:paraId="140D9F54"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69A60CFD" w14:textId="77777777" w:rsidR="00054BF0" w:rsidRDefault="00000000">
            <w:pPr>
              <w:spacing w:line="220" w:lineRule="atLeast"/>
            </w:pPr>
            <w:r>
              <w:rPr>
                <w:rFonts w:ascii="Arial" w:eastAsia="Arial" w:hAnsi="Arial" w:cs="Arial"/>
                <w:color w:val="000000"/>
                <w:sz w:val="18"/>
              </w:rPr>
              <w:t>Minimum revenue guarantee</w:t>
            </w:r>
          </w:p>
        </w:tc>
        <w:tc>
          <w:tcPr>
            <w:tcW w:w="1800" w:type="dxa"/>
            <w:tcBorders>
              <w:bottom w:val="nil"/>
            </w:tcBorders>
            <w:tcMar>
              <w:top w:w="20" w:type="dxa"/>
              <w:bottom w:w="20" w:type="dxa"/>
            </w:tcMar>
          </w:tcPr>
          <w:p w14:paraId="224D3DF3" w14:textId="77777777" w:rsidR="00054BF0" w:rsidRDefault="00000000">
            <w:pPr>
              <w:spacing w:line="220" w:lineRule="atLeast"/>
            </w:pPr>
            <w:r>
              <w:rPr>
                <w:rFonts w:ascii="Arial" w:eastAsia="Arial" w:hAnsi="Arial" w:cs="Arial"/>
                <w:color w:val="000000"/>
                <w:sz w:val="18"/>
              </w:rPr>
              <w:t>2.0</w:t>
            </w:r>
          </w:p>
        </w:tc>
      </w:tr>
      <w:tr w:rsidR="00054BF0" w14:paraId="0F8EAD0E" w14:textId="77777777">
        <w:trPr>
          <w:jc w:val="center"/>
        </w:trPr>
        <w:tc>
          <w:tcPr>
            <w:tcW w:w="4440" w:type="dxa"/>
            <w:tcBorders>
              <w:bottom w:val="nil"/>
              <w:right w:val="nil"/>
            </w:tcBorders>
            <w:tcMar>
              <w:top w:w="20" w:type="dxa"/>
              <w:bottom w:w="20" w:type="dxa"/>
            </w:tcMar>
          </w:tcPr>
          <w:p w14:paraId="3DEBEC90"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1EDF1C11" w14:textId="77777777" w:rsidR="00054BF0" w:rsidRDefault="00000000">
            <w:pPr>
              <w:spacing w:line="220" w:lineRule="atLeast"/>
            </w:pPr>
            <w:r>
              <w:rPr>
                <w:rFonts w:ascii="Arial" w:eastAsia="Arial" w:hAnsi="Arial" w:cs="Arial"/>
                <w:color w:val="000000"/>
                <w:sz w:val="18"/>
              </w:rPr>
              <w:t>Investment risk sharing</w:t>
            </w:r>
          </w:p>
        </w:tc>
        <w:tc>
          <w:tcPr>
            <w:tcW w:w="1800" w:type="dxa"/>
            <w:tcBorders>
              <w:bottom w:val="nil"/>
            </w:tcBorders>
            <w:tcMar>
              <w:top w:w="20" w:type="dxa"/>
              <w:bottom w:w="20" w:type="dxa"/>
            </w:tcMar>
          </w:tcPr>
          <w:p w14:paraId="70448427" w14:textId="77777777" w:rsidR="00054BF0" w:rsidRDefault="00000000">
            <w:pPr>
              <w:spacing w:line="220" w:lineRule="atLeast"/>
            </w:pPr>
            <w:r>
              <w:rPr>
                <w:rFonts w:ascii="Arial" w:eastAsia="Arial" w:hAnsi="Arial" w:cs="Arial"/>
                <w:color w:val="000000"/>
                <w:sz w:val="18"/>
              </w:rPr>
              <w:t>1.0</w:t>
            </w:r>
          </w:p>
        </w:tc>
      </w:tr>
      <w:tr w:rsidR="00054BF0" w14:paraId="1C300939" w14:textId="77777777">
        <w:trPr>
          <w:jc w:val="center"/>
        </w:trPr>
        <w:tc>
          <w:tcPr>
            <w:tcW w:w="4440" w:type="dxa"/>
            <w:tcBorders>
              <w:bottom w:val="nil"/>
              <w:right w:val="nil"/>
            </w:tcBorders>
            <w:tcMar>
              <w:top w:w="20" w:type="dxa"/>
              <w:bottom w:w="20" w:type="dxa"/>
            </w:tcMar>
          </w:tcPr>
          <w:p w14:paraId="6F91A050" w14:textId="77777777" w:rsidR="00054BF0" w:rsidRDefault="00000000">
            <w:pPr>
              <w:spacing w:line="220" w:lineRule="atLeast"/>
            </w:pPr>
            <w:r>
              <w:rPr>
                <w:rFonts w:ascii="Arial" w:eastAsia="Arial" w:hAnsi="Arial" w:cs="Arial"/>
                <w:color w:val="000000"/>
                <w:sz w:val="18"/>
              </w:rPr>
              <w:t>?Indian system</w:t>
            </w:r>
          </w:p>
        </w:tc>
        <w:tc>
          <w:tcPr>
            <w:tcW w:w="3000" w:type="dxa"/>
            <w:tcBorders>
              <w:bottom w:val="nil"/>
              <w:right w:val="nil"/>
            </w:tcBorders>
            <w:tcMar>
              <w:top w:w="20" w:type="dxa"/>
              <w:bottom w:w="20" w:type="dxa"/>
            </w:tcMar>
          </w:tcPr>
          <w:p w14:paraId="40C0200A" w14:textId="77777777" w:rsidR="00054BF0" w:rsidRDefault="00000000">
            <w:pPr>
              <w:spacing w:line="220" w:lineRule="atLeast"/>
            </w:pPr>
            <w:r>
              <w:rPr>
                <w:rFonts w:ascii="Arial" w:eastAsia="Arial" w:hAnsi="Arial" w:cs="Arial"/>
                <w:color w:val="000000"/>
                <w:sz w:val="18"/>
              </w:rPr>
              <w:t>Flexible concession period</w:t>
            </w:r>
          </w:p>
        </w:tc>
        <w:tc>
          <w:tcPr>
            <w:tcW w:w="1800" w:type="dxa"/>
            <w:tcBorders>
              <w:bottom w:val="nil"/>
            </w:tcBorders>
            <w:tcMar>
              <w:top w:w="20" w:type="dxa"/>
              <w:bottom w:w="20" w:type="dxa"/>
            </w:tcMar>
          </w:tcPr>
          <w:p w14:paraId="2599E698" w14:textId="77777777" w:rsidR="00054BF0" w:rsidRDefault="00000000">
            <w:pPr>
              <w:spacing w:line="220" w:lineRule="atLeast"/>
            </w:pPr>
            <w:r>
              <w:rPr>
                <w:rFonts w:ascii="Arial" w:eastAsia="Arial" w:hAnsi="Arial" w:cs="Arial"/>
                <w:color w:val="000000"/>
                <w:sz w:val="18"/>
              </w:rPr>
              <w:t>0.0</w:t>
            </w:r>
          </w:p>
        </w:tc>
      </w:tr>
      <w:tr w:rsidR="00054BF0" w14:paraId="44B0E99A" w14:textId="77777777">
        <w:trPr>
          <w:jc w:val="center"/>
        </w:trPr>
        <w:tc>
          <w:tcPr>
            <w:tcW w:w="4440" w:type="dxa"/>
            <w:tcBorders>
              <w:bottom w:val="nil"/>
              <w:right w:val="nil"/>
            </w:tcBorders>
            <w:tcMar>
              <w:top w:w="20" w:type="dxa"/>
              <w:bottom w:w="20" w:type="dxa"/>
            </w:tcMar>
          </w:tcPr>
          <w:p w14:paraId="79DE856D" w14:textId="77777777" w:rsidR="00054BF0" w:rsidRDefault="00000000">
            <w:pPr>
              <w:spacing w:line="220" w:lineRule="atLeast"/>
            </w:pPr>
            <w:r>
              <w:rPr>
                <w:rFonts w:ascii="Arial" w:eastAsia="Arial" w:hAnsi="Arial" w:cs="Arial"/>
                <w:color w:val="000000"/>
                <w:sz w:val="18"/>
              </w:rPr>
              <w:t>Prevalent measures to deal with restricted pricing</w:t>
            </w:r>
          </w:p>
        </w:tc>
        <w:tc>
          <w:tcPr>
            <w:tcW w:w="3000" w:type="dxa"/>
            <w:tcBorders>
              <w:bottom w:val="nil"/>
              <w:right w:val="nil"/>
            </w:tcBorders>
            <w:tcMar>
              <w:top w:w="20" w:type="dxa"/>
              <w:bottom w:w="20" w:type="dxa"/>
            </w:tcMar>
          </w:tcPr>
          <w:p w14:paraId="68B1AFDD" w14:textId="77777777" w:rsidR="00054BF0" w:rsidRDefault="00054BF0"/>
        </w:tc>
        <w:tc>
          <w:tcPr>
            <w:tcW w:w="1800" w:type="dxa"/>
            <w:tcBorders>
              <w:bottom w:val="nil"/>
            </w:tcBorders>
            <w:tcMar>
              <w:top w:w="20" w:type="dxa"/>
              <w:bottom w:w="20" w:type="dxa"/>
            </w:tcMar>
          </w:tcPr>
          <w:p w14:paraId="03B4A880" w14:textId="77777777" w:rsidR="00054BF0" w:rsidRDefault="00054BF0"/>
        </w:tc>
      </w:tr>
      <w:tr w:rsidR="00054BF0" w14:paraId="6E02B4F4" w14:textId="77777777">
        <w:trPr>
          <w:jc w:val="center"/>
        </w:trPr>
        <w:tc>
          <w:tcPr>
            <w:tcW w:w="4440" w:type="dxa"/>
            <w:tcBorders>
              <w:bottom w:val="nil"/>
              <w:right w:val="nil"/>
            </w:tcBorders>
            <w:tcMar>
              <w:top w:w="20" w:type="dxa"/>
              <w:bottom w:w="20" w:type="dxa"/>
            </w:tcMar>
          </w:tcPr>
          <w:p w14:paraId="51FE8E23"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2D9FC2B6" w14:textId="77777777" w:rsidR="00054BF0" w:rsidRDefault="00000000">
            <w:pPr>
              <w:spacing w:line="220" w:lineRule="atLeast"/>
            </w:pPr>
            <w:r>
              <w:rPr>
                <w:rFonts w:ascii="Arial" w:eastAsia="Arial" w:hAnsi="Arial" w:cs="Arial"/>
                <w:color w:val="000000"/>
                <w:sz w:val="18"/>
              </w:rPr>
              <w:t>Full indexation</w:t>
            </w:r>
          </w:p>
        </w:tc>
        <w:tc>
          <w:tcPr>
            <w:tcW w:w="1800" w:type="dxa"/>
            <w:tcBorders>
              <w:bottom w:val="nil"/>
            </w:tcBorders>
            <w:tcMar>
              <w:top w:w="20" w:type="dxa"/>
              <w:bottom w:w="20" w:type="dxa"/>
            </w:tcMar>
          </w:tcPr>
          <w:p w14:paraId="64FD8C78" w14:textId="77777777" w:rsidR="00054BF0" w:rsidRDefault="00000000">
            <w:pPr>
              <w:spacing w:line="220" w:lineRule="atLeast"/>
            </w:pPr>
            <w:r>
              <w:rPr>
                <w:rFonts w:ascii="Arial" w:eastAsia="Arial" w:hAnsi="Arial" w:cs="Arial"/>
                <w:color w:val="000000"/>
                <w:sz w:val="18"/>
              </w:rPr>
              <w:t>2.0</w:t>
            </w:r>
          </w:p>
        </w:tc>
      </w:tr>
      <w:tr w:rsidR="00054BF0" w14:paraId="791BA77F" w14:textId="77777777">
        <w:trPr>
          <w:jc w:val="center"/>
        </w:trPr>
        <w:tc>
          <w:tcPr>
            <w:tcW w:w="4440" w:type="dxa"/>
            <w:tcBorders>
              <w:bottom w:val="nil"/>
              <w:right w:val="nil"/>
            </w:tcBorders>
            <w:tcMar>
              <w:top w:w="20" w:type="dxa"/>
              <w:bottom w:w="20" w:type="dxa"/>
            </w:tcMar>
          </w:tcPr>
          <w:p w14:paraId="78E4DAEA"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7EAF40F5" w14:textId="77777777" w:rsidR="00054BF0" w:rsidRDefault="00000000">
            <w:pPr>
              <w:spacing w:line="220" w:lineRule="atLeast"/>
            </w:pPr>
            <w:r>
              <w:rPr>
                <w:rFonts w:ascii="Arial" w:eastAsia="Arial" w:hAnsi="Arial" w:cs="Arial"/>
                <w:color w:val="000000"/>
                <w:sz w:val="18"/>
              </w:rPr>
              <w:t>Full indexation</w:t>
            </w:r>
          </w:p>
        </w:tc>
        <w:tc>
          <w:tcPr>
            <w:tcW w:w="1800" w:type="dxa"/>
            <w:tcBorders>
              <w:bottom w:val="nil"/>
            </w:tcBorders>
            <w:tcMar>
              <w:top w:w="20" w:type="dxa"/>
              <w:bottom w:w="20" w:type="dxa"/>
            </w:tcMar>
          </w:tcPr>
          <w:p w14:paraId="245C043F" w14:textId="77777777" w:rsidR="00054BF0" w:rsidRDefault="00000000">
            <w:pPr>
              <w:spacing w:line="220" w:lineRule="atLeast"/>
            </w:pPr>
            <w:r>
              <w:rPr>
                <w:rFonts w:ascii="Arial" w:eastAsia="Arial" w:hAnsi="Arial" w:cs="Arial"/>
                <w:color w:val="000000"/>
                <w:sz w:val="18"/>
              </w:rPr>
              <w:t>2.0</w:t>
            </w:r>
          </w:p>
        </w:tc>
      </w:tr>
      <w:tr w:rsidR="00054BF0" w14:paraId="47330E29" w14:textId="77777777">
        <w:trPr>
          <w:jc w:val="center"/>
        </w:trPr>
        <w:tc>
          <w:tcPr>
            <w:tcW w:w="4440" w:type="dxa"/>
            <w:tcBorders>
              <w:bottom w:val="nil"/>
              <w:right w:val="nil"/>
            </w:tcBorders>
            <w:tcMar>
              <w:top w:w="20" w:type="dxa"/>
              <w:bottom w:w="20" w:type="dxa"/>
            </w:tcMar>
          </w:tcPr>
          <w:p w14:paraId="34F59F56" w14:textId="77777777" w:rsidR="00054BF0" w:rsidRDefault="00000000">
            <w:pPr>
              <w:spacing w:line="220" w:lineRule="atLeast"/>
            </w:pPr>
            <w:r>
              <w:rPr>
                <w:rFonts w:ascii="Arial" w:eastAsia="Arial" w:hAnsi="Arial" w:cs="Arial"/>
                <w:color w:val="000000"/>
                <w:sz w:val="18"/>
              </w:rPr>
              <w:t>?Indian system</w:t>
            </w:r>
          </w:p>
        </w:tc>
        <w:tc>
          <w:tcPr>
            <w:tcW w:w="3000" w:type="dxa"/>
            <w:tcBorders>
              <w:bottom w:val="nil"/>
              <w:right w:val="nil"/>
            </w:tcBorders>
            <w:tcMar>
              <w:top w:w="20" w:type="dxa"/>
              <w:bottom w:w="20" w:type="dxa"/>
            </w:tcMar>
          </w:tcPr>
          <w:p w14:paraId="4DEE64CF" w14:textId="77777777" w:rsidR="00054BF0" w:rsidRDefault="00000000">
            <w:pPr>
              <w:spacing w:line="220" w:lineRule="atLeast"/>
            </w:pPr>
            <w:r>
              <w:rPr>
                <w:rFonts w:ascii="Arial" w:eastAsia="Arial" w:hAnsi="Arial" w:cs="Arial"/>
                <w:color w:val="000000"/>
                <w:sz w:val="18"/>
              </w:rPr>
              <w:t>Partial indexation</w:t>
            </w:r>
          </w:p>
        </w:tc>
        <w:tc>
          <w:tcPr>
            <w:tcW w:w="1800" w:type="dxa"/>
            <w:tcBorders>
              <w:bottom w:val="nil"/>
            </w:tcBorders>
            <w:tcMar>
              <w:top w:w="20" w:type="dxa"/>
              <w:bottom w:w="20" w:type="dxa"/>
            </w:tcMar>
          </w:tcPr>
          <w:p w14:paraId="4D9E2660" w14:textId="77777777" w:rsidR="00054BF0" w:rsidRDefault="00000000">
            <w:pPr>
              <w:spacing w:line="220" w:lineRule="atLeast"/>
            </w:pPr>
            <w:r>
              <w:rPr>
                <w:rFonts w:ascii="Arial" w:eastAsia="Arial" w:hAnsi="Arial" w:cs="Arial"/>
                <w:color w:val="000000"/>
                <w:sz w:val="18"/>
              </w:rPr>
              <w:t>1.0</w:t>
            </w:r>
          </w:p>
        </w:tc>
      </w:tr>
      <w:tr w:rsidR="00054BF0" w14:paraId="55966213" w14:textId="77777777">
        <w:trPr>
          <w:jc w:val="center"/>
        </w:trPr>
        <w:tc>
          <w:tcPr>
            <w:tcW w:w="4440" w:type="dxa"/>
            <w:tcBorders>
              <w:bottom w:val="nil"/>
              <w:right w:val="nil"/>
            </w:tcBorders>
            <w:tcMar>
              <w:top w:w="20" w:type="dxa"/>
              <w:bottom w:w="20" w:type="dxa"/>
            </w:tcMar>
          </w:tcPr>
          <w:p w14:paraId="0CB31A35" w14:textId="77777777" w:rsidR="00054BF0" w:rsidRDefault="00000000">
            <w:pPr>
              <w:spacing w:line="220" w:lineRule="atLeast"/>
            </w:pPr>
            <w:r>
              <w:rPr>
                <w:rFonts w:ascii="Arial" w:eastAsia="Arial" w:hAnsi="Arial" w:cs="Arial"/>
                <w:color w:val="000000"/>
                <w:sz w:val="18"/>
              </w:rPr>
              <w:t>Prevalent measures to facilitate project finance</w:t>
            </w:r>
          </w:p>
        </w:tc>
        <w:tc>
          <w:tcPr>
            <w:tcW w:w="3000" w:type="dxa"/>
            <w:tcBorders>
              <w:bottom w:val="nil"/>
              <w:right w:val="nil"/>
            </w:tcBorders>
            <w:tcMar>
              <w:top w:w="20" w:type="dxa"/>
              <w:bottom w:w="20" w:type="dxa"/>
            </w:tcMar>
          </w:tcPr>
          <w:p w14:paraId="4E011887" w14:textId="77777777" w:rsidR="00054BF0" w:rsidRDefault="00054BF0"/>
        </w:tc>
        <w:tc>
          <w:tcPr>
            <w:tcW w:w="1800" w:type="dxa"/>
            <w:tcBorders>
              <w:bottom w:val="nil"/>
            </w:tcBorders>
            <w:tcMar>
              <w:top w:w="20" w:type="dxa"/>
              <w:bottom w:w="20" w:type="dxa"/>
            </w:tcMar>
          </w:tcPr>
          <w:p w14:paraId="1B16D281" w14:textId="77777777" w:rsidR="00054BF0" w:rsidRDefault="00054BF0"/>
        </w:tc>
      </w:tr>
      <w:tr w:rsidR="00054BF0" w14:paraId="097F3438" w14:textId="77777777">
        <w:trPr>
          <w:jc w:val="center"/>
        </w:trPr>
        <w:tc>
          <w:tcPr>
            <w:tcW w:w="4440" w:type="dxa"/>
            <w:tcBorders>
              <w:bottom w:val="nil"/>
              <w:right w:val="nil"/>
            </w:tcBorders>
            <w:tcMar>
              <w:top w:w="20" w:type="dxa"/>
              <w:bottom w:w="20" w:type="dxa"/>
            </w:tcMar>
          </w:tcPr>
          <w:p w14:paraId="053D4A1F" w14:textId="77777777" w:rsidR="00054BF0" w:rsidRDefault="00000000">
            <w:pPr>
              <w:spacing w:line="220" w:lineRule="atLeast"/>
            </w:pPr>
            <w:r>
              <w:rPr>
                <w:rFonts w:ascii="Arial" w:eastAsia="Arial" w:hAnsi="Arial" w:cs="Arial"/>
                <w:color w:val="000000"/>
                <w:sz w:val="18"/>
              </w:rPr>
              <w:t>?Chilean system</w:t>
            </w:r>
          </w:p>
        </w:tc>
        <w:tc>
          <w:tcPr>
            <w:tcW w:w="3000" w:type="dxa"/>
            <w:tcBorders>
              <w:bottom w:val="nil"/>
              <w:right w:val="nil"/>
            </w:tcBorders>
            <w:tcMar>
              <w:top w:w="20" w:type="dxa"/>
              <w:bottom w:w="20" w:type="dxa"/>
            </w:tcMar>
          </w:tcPr>
          <w:p w14:paraId="1B514B39" w14:textId="77777777" w:rsidR="00054BF0" w:rsidRDefault="00000000">
            <w:pPr>
              <w:spacing w:line="220" w:lineRule="atLeast"/>
            </w:pPr>
            <w:r>
              <w:rPr>
                <w:rFonts w:ascii="Arial" w:eastAsia="Arial" w:hAnsi="Arial" w:cs="Arial"/>
                <w:color w:val="000000"/>
                <w:sz w:val="18"/>
              </w:rPr>
              <w:t>Loan guarantee</w:t>
            </w:r>
          </w:p>
        </w:tc>
        <w:tc>
          <w:tcPr>
            <w:tcW w:w="1800" w:type="dxa"/>
            <w:tcBorders>
              <w:bottom w:val="nil"/>
            </w:tcBorders>
            <w:tcMar>
              <w:top w:w="20" w:type="dxa"/>
              <w:bottom w:w="20" w:type="dxa"/>
            </w:tcMar>
          </w:tcPr>
          <w:p w14:paraId="18BF99E2" w14:textId="77777777" w:rsidR="00054BF0" w:rsidRDefault="00000000">
            <w:pPr>
              <w:spacing w:line="220" w:lineRule="atLeast"/>
            </w:pPr>
            <w:r>
              <w:rPr>
                <w:rFonts w:ascii="Arial" w:eastAsia="Arial" w:hAnsi="Arial" w:cs="Arial"/>
                <w:color w:val="000000"/>
                <w:sz w:val="18"/>
              </w:rPr>
              <w:t>3.0</w:t>
            </w:r>
          </w:p>
        </w:tc>
      </w:tr>
      <w:tr w:rsidR="00054BF0" w14:paraId="3C84568E" w14:textId="77777777">
        <w:trPr>
          <w:jc w:val="center"/>
        </w:trPr>
        <w:tc>
          <w:tcPr>
            <w:tcW w:w="4440" w:type="dxa"/>
            <w:tcBorders>
              <w:bottom w:val="nil"/>
              <w:right w:val="nil"/>
            </w:tcBorders>
            <w:tcMar>
              <w:top w:w="20" w:type="dxa"/>
              <w:bottom w:w="20" w:type="dxa"/>
            </w:tcMar>
          </w:tcPr>
          <w:p w14:paraId="7002F5E6" w14:textId="77777777" w:rsidR="00054BF0" w:rsidRDefault="00000000">
            <w:pPr>
              <w:spacing w:line="220" w:lineRule="atLeast"/>
            </w:pPr>
            <w:r>
              <w:rPr>
                <w:rFonts w:ascii="Arial" w:eastAsia="Arial" w:hAnsi="Arial" w:cs="Arial"/>
                <w:color w:val="000000"/>
                <w:sz w:val="18"/>
              </w:rPr>
              <w:t>?Korean system</w:t>
            </w:r>
          </w:p>
        </w:tc>
        <w:tc>
          <w:tcPr>
            <w:tcW w:w="3000" w:type="dxa"/>
            <w:tcBorders>
              <w:bottom w:val="nil"/>
              <w:right w:val="nil"/>
            </w:tcBorders>
            <w:tcMar>
              <w:top w:w="20" w:type="dxa"/>
              <w:bottom w:w="20" w:type="dxa"/>
            </w:tcMar>
          </w:tcPr>
          <w:p w14:paraId="3CA0632E" w14:textId="77777777" w:rsidR="00054BF0" w:rsidRDefault="00000000">
            <w:pPr>
              <w:spacing w:line="220" w:lineRule="atLeast"/>
            </w:pPr>
            <w:r>
              <w:rPr>
                <w:rFonts w:ascii="Arial" w:eastAsia="Arial" w:hAnsi="Arial" w:cs="Arial"/>
                <w:color w:val="000000"/>
                <w:sz w:val="18"/>
              </w:rPr>
              <w:t>Foreign exchange insurance</w:t>
            </w:r>
          </w:p>
        </w:tc>
        <w:tc>
          <w:tcPr>
            <w:tcW w:w="1800" w:type="dxa"/>
            <w:tcBorders>
              <w:bottom w:val="nil"/>
            </w:tcBorders>
            <w:tcMar>
              <w:top w:w="20" w:type="dxa"/>
              <w:bottom w:w="20" w:type="dxa"/>
            </w:tcMar>
          </w:tcPr>
          <w:p w14:paraId="7009A177" w14:textId="77777777" w:rsidR="00054BF0" w:rsidRDefault="00000000">
            <w:pPr>
              <w:spacing w:line="220" w:lineRule="atLeast"/>
            </w:pPr>
            <w:r>
              <w:rPr>
                <w:rFonts w:ascii="Arial" w:eastAsia="Arial" w:hAnsi="Arial" w:cs="Arial"/>
                <w:color w:val="000000"/>
                <w:sz w:val="18"/>
              </w:rPr>
              <w:t>2.0</w:t>
            </w:r>
          </w:p>
        </w:tc>
      </w:tr>
      <w:tr w:rsidR="00054BF0" w14:paraId="260D2A05" w14:textId="77777777">
        <w:trPr>
          <w:jc w:val="center"/>
        </w:trPr>
        <w:tc>
          <w:tcPr>
            <w:tcW w:w="4440" w:type="dxa"/>
            <w:tcBorders>
              <w:right w:val="nil"/>
            </w:tcBorders>
            <w:tcMar>
              <w:top w:w="20" w:type="dxa"/>
              <w:bottom w:w="20" w:type="dxa"/>
            </w:tcMar>
          </w:tcPr>
          <w:p w14:paraId="3BF95709" w14:textId="77777777" w:rsidR="00054BF0" w:rsidRDefault="00000000">
            <w:pPr>
              <w:spacing w:line="220" w:lineRule="atLeast"/>
            </w:pPr>
            <w:r>
              <w:rPr>
                <w:rFonts w:ascii="Arial" w:eastAsia="Arial" w:hAnsi="Arial" w:cs="Arial"/>
                <w:color w:val="000000"/>
                <w:sz w:val="18"/>
              </w:rPr>
              <w:t>?Indian system</w:t>
            </w:r>
          </w:p>
        </w:tc>
        <w:tc>
          <w:tcPr>
            <w:tcW w:w="3000" w:type="dxa"/>
            <w:tcBorders>
              <w:right w:val="nil"/>
            </w:tcBorders>
            <w:tcMar>
              <w:top w:w="20" w:type="dxa"/>
              <w:bottom w:w="20" w:type="dxa"/>
            </w:tcMar>
          </w:tcPr>
          <w:p w14:paraId="678CB8C0" w14:textId="77777777" w:rsidR="00054BF0" w:rsidRDefault="00000000">
            <w:pPr>
              <w:spacing w:line="220" w:lineRule="atLeast"/>
            </w:pPr>
            <w:r>
              <w:rPr>
                <w:rFonts w:ascii="Arial" w:eastAsia="Arial" w:hAnsi="Arial" w:cs="Arial"/>
                <w:color w:val="000000"/>
                <w:sz w:val="18"/>
              </w:rPr>
              <w:t>Take out finance</w:t>
            </w:r>
          </w:p>
        </w:tc>
        <w:tc>
          <w:tcPr>
            <w:tcW w:w="1800" w:type="dxa"/>
            <w:tcMar>
              <w:top w:w="20" w:type="dxa"/>
              <w:bottom w:w="20" w:type="dxa"/>
            </w:tcMar>
          </w:tcPr>
          <w:p w14:paraId="1C989EB4" w14:textId="77777777" w:rsidR="00054BF0" w:rsidRDefault="00000000">
            <w:pPr>
              <w:spacing w:line="220" w:lineRule="atLeast"/>
            </w:pPr>
            <w:r>
              <w:rPr>
                <w:rFonts w:ascii="Arial" w:eastAsia="Arial" w:hAnsi="Arial" w:cs="Arial"/>
                <w:color w:val="000000"/>
                <w:sz w:val="18"/>
              </w:rPr>
              <w:t>1.5</w:t>
            </w:r>
          </w:p>
        </w:tc>
      </w:tr>
    </w:tbl>
    <w:p w14:paraId="6211D85B"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Prepared by the Author for the analysis of this paper.</w:t>
      </w:r>
    </w:p>
    <w:p w14:paraId="61A61364"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3B42D897" w14:textId="77777777" w:rsidR="00054BF0" w:rsidRDefault="00000000">
      <w:pPr>
        <w:spacing w:before="200" w:line="260" w:lineRule="atLeast"/>
        <w:jc w:val="both"/>
      </w:pPr>
      <w:r>
        <w:rPr>
          <w:rFonts w:ascii="Arial" w:eastAsia="Arial" w:hAnsi="Arial" w:cs="Arial"/>
          <w:color w:val="000000"/>
          <w:sz w:val="20"/>
        </w:rPr>
        <w:t>The above has been visually illustrated with use of a radar chart. Figure 3 has clearly indicated that India’s PPP system is the most cost-effective among three countries. Ideally, this analysis should have been conducted based on a series of interviews toward PPP experts with regard to the degree of cost-effectiveness of individual PPP measures, but these interviews were not carried out due to time/budgetary constraints. The above is intended to demonstrate a possible method of comparing the cost-effectiveness of the PPP systems of selected countries.</w:t>
      </w:r>
    </w:p>
    <w:p w14:paraId="0E7BFCF7" w14:textId="77777777" w:rsidR="00054BF0" w:rsidRDefault="00000000">
      <w:pPr>
        <w:spacing w:before="240" w:line="260" w:lineRule="atLeast"/>
      </w:pPr>
      <w:r>
        <w:rPr>
          <w:rFonts w:ascii="Arial" w:eastAsia="Arial" w:hAnsi="Arial" w:cs="Arial"/>
          <w:b/>
          <w:color w:val="000000"/>
          <w:sz w:val="20"/>
        </w:rPr>
        <w:t>Figure 3.</w:t>
      </w:r>
    </w:p>
    <w:p w14:paraId="45A4369E" w14:textId="77777777" w:rsidR="00054BF0" w:rsidRDefault="00000000">
      <w:pPr>
        <w:spacing w:before="200" w:line="260" w:lineRule="atLeast"/>
        <w:jc w:val="both"/>
      </w:pPr>
      <w:r>
        <w:rPr>
          <w:rFonts w:ascii="Arial" w:eastAsia="Arial" w:hAnsi="Arial" w:cs="Arial"/>
          <w:color w:val="000000"/>
          <w:sz w:val="20"/>
        </w:rPr>
        <w:t>Effectiveness of the PPP systems of selected countries.</w:t>
      </w:r>
    </w:p>
    <w:p w14:paraId="47D02FA7" w14:textId="77777777" w:rsidR="00054BF0" w:rsidRDefault="00000000">
      <w:pPr>
        <w:spacing w:before="200" w:line="260" w:lineRule="atLeast"/>
        <w:jc w:val="both"/>
      </w:pPr>
      <w:r>
        <w:rPr>
          <w:rFonts w:ascii="Arial" w:eastAsia="Arial" w:hAnsi="Arial" w:cs="Arial"/>
          <w:i/>
          <w:color w:val="000000"/>
          <w:sz w:val="20"/>
        </w:rPr>
        <w:t>Source.</w:t>
      </w:r>
      <w:r>
        <w:rPr>
          <w:rFonts w:ascii="Arial" w:eastAsia="Arial" w:hAnsi="Arial" w:cs="Arial"/>
          <w:color w:val="000000"/>
          <w:sz w:val="20"/>
        </w:rPr>
        <w:t xml:space="preserve"> Developed by S. Tsukada.</w:t>
      </w:r>
    </w:p>
    <w:p w14:paraId="18C0F4DC" w14:textId="77777777" w:rsidR="00054BF0" w:rsidRDefault="00000000">
      <w:pPr>
        <w:spacing w:before="200" w:line="260" w:lineRule="atLeast"/>
        <w:jc w:val="both"/>
      </w:pPr>
      <w:r>
        <w:rPr>
          <w:rFonts w:ascii="Arial" w:eastAsia="Arial" w:hAnsi="Arial" w:cs="Arial"/>
          <w:i/>
          <w:color w:val="000000"/>
          <w:sz w:val="20"/>
        </w:rPr>
        <w:t>Note.</w:t>
      </w:r>
      <w:r>
        <w:rPr>
          <w:rFonts w:ascii="Arial" w:eastAsia="Arial" w:hAnsi="Arial" w:cs="Arial"/>
          <w:color w:val="000000"/>
          <w:sz w:val="20"/>
        </w:rPr>
        <w:t xml:space="preserve"> PPP = public private partnership.</w:t>
      </w:r>
    </w:p>
    <w:p w14:paraId="3D7E5192" w14:textId="77777777" w:rsidR="00054BF0" w:rsidRDefault="00000000">
      <w:pPr>
        <w:spacing w:before="240" w:line="260" w:lineRule="atLeast"/>
      </w:pPr>
      <w:r>
        <w:rPr>
          <w:rFonts w:ascii="Arial" w:eastAsia="Arial" w:hAnsi="Arial" w:cs="Arial"/>
          <w:b/>
          <w:color w:val="000000"/>
          <w:sz w:val="20"/>
        </w:rPr>
        <w:t>Underlying Factors to Enable India to Adopt Cost-Effective Measures</w:t>
      </w:r>
    </w:p>
    <w:p w14:paraId="320C29FA" w14:textId="77777777" w:rsidR="00054BF0" w:rsidRDefault="00000000">
      <w:pPr>
        <w:spacing w:before="200" w:line="260" w:lineRule="atLeast"/>
        <w:jc w:val="both"/>
      </w:pPr>
      <w:r>
        <w:rPr>
          <w:rFonts w:ascii="Arial" w:eastAsia="Arial" w:hAnsi="Arial" w:cs="Arial"/>
          <w:color w:val="000000"/>
          <w:sz w:val="20"/>
        </w:rPr>
        <w:t>The above analysis indicates that India has been keeping a tight control on the issuance of contingent liabilities. In usual context, if one country is stingy in issuing the guarantee for the future possible losses that country would not able to attract the private sector to participate in PPP projects, but this did not happen in India. Why it is? The usual answer to this question is a policy/institutional framework instituted in India. Although this may be of one of the factors for the successful implementation of the PPP system in India, there are other, less noticeable, factors which have enabled India to succeed with PPP with active participation of the private sector.</w:t>
      </w:r>
    </w:p>
    <w:p w14:paraId="17B330CB" w14:textId="77777777" w:rsidR="00054BF0" w:rsidRDefault="00000000">
      <w:pPr>
        <w:spacing w:before="240" w:line="260" w:lineRule="atLeast"/>
      </w:pPr>
      <w:r>
        <w:rPr>
          <w:rFonts w:ascii="Arial" w:eastAsia="Arial" w:hAnsi="Arial" w:cs="Arial"/>
          <w:b/>
          <w:color w:val="000000"/>
          <w:sz w:val="20"/>
        </w:rPr>
        <w:t>Limitation in Choices for Other Contracts Beside the BOT-Based PPP</w:t>
      </w:r>
    </w:p>
    <w:p w14:paraId="50638E79" w14:textId="77777777" w:rsidR="00054BF0" w:rsidRDefault="00000000">
      <w:pPr>
        <w:spacing w:before="200" w:line="260" w:lineRule="atLeast"/>
        <w:jc w:val="both"/>
      </w:pPr>
      <w:r>
        <w:rPr>
          <w:rFonts w:ascii="Arial" w:eastAsia="Arial" w:hAnsi="Arial" w:cs="Arial"/>
          <w:color w:val="000000"/>
          <w:sz w:val="20"/>
        </w:rPr>
        <w:lastRenderedPageBreak/>
        <w:t>The GoI’s decision to introduce the PPP system was decisive and sweeping in scope. Her decision was, for example, that all National Highways (NHs) have to be developed or upgraded under the BOT-based PPP scheme from 2005 onward. This means that the traditional public-sector procurement would no longer be available. In other words, if the contractors wish to stay in the road construction business, the only choice available for them is to bid for BOT-based PPP projects or to become subcontractors to bigger contractors who bid for BOT-based PPP projects. The effectiveness of this system was proved by the fact that 80% of NH construction has been conducted under BOT-based PPP with use of the viability gap fund system, 16%, under the annuity-based PPP system, and only 4%, under traditional public procurement.</w:t>
      </w:r>
    </w:p>
    <w:p w14:paraId="165D90AD" w14:textId="77777777" w:rsidR="00054BF0" w:rsidRDefault="00000000">
      <w:pPr>
        <w:spacing w:before="240" w:line="260" w:lineRule="atLeast"/>
      </w:pPr>
      <w:r>
        <w:rPr>
          <w:rFonts w:ascii="Arial" w:eastAsia="Arial" w:hAnsi="Arial" w:cs="Arial"/>
          <w:b/>
          <w:color w:val="000000"/>
          <w:sz w:val="20"/>
        </w:rPr>
        <w:t>Introduction of Measures to Facilitate the Participation of Domestic Contractors</w:t>
      </w:r>
    </w:p>
    <w:p w14:paraId="1E83F2B9" w14:textId="77777777" w:rsidR="00054BF0" w:rsidRDefault="00000000">
      <w:pPr>
        <w:spacing w:before="200" w:line="260" w:lineRule="atLeast"/>
        <w:jc w:val="both"/>
      </w:pPr>
      <w:r>
        <w:rPr>
          <w:rFonts w:ascii="Arial" w:eastAsia="Arial" w:hAnsi="Arial" w:cs="Arial"/>
          <w:color w:val="000000"/>
          <w:sz w:val="20"/>
        </w:rPr>
        <w:t>As seen earlier, a unique element of India’s PPP system is lesser degree of dependence on foreign investors. This has enabled the GoI to develop her procurement/contract systems for PPP system solely in consideration of the needs of domestic contractors. The size of contract packages has been made very small so that small-scale domestic contractors can bid. The average size of the contract packages under the National Highway Development Program (NHDP) III program was $156 million per project,2 which is much smaller than those of Chile ($262 million per project at 1996 price3) and Korea ($450 million per project4).</w:t>
      </w:r>
    </w:p>
    <w:p w14:paraId="47036DB0" w14:textId="77777777" w:rsidR="00054BF0" w:rsidRDefault="00000000">
      <w:pPr>
        <w:spacing w:before="200" w:line="260" w:lineRule="atLeast"/>
        <w:jc w:val="both"/>
      </w:pPr>
      <w:r>
        <w:rPr>
          <w:rFonts w:ascii="Arial" w:eastAsia="Arial" w:hAnsi="Arial" w:cs="Arial"/>
          <w:color w:val="000000"/>
          <w:sz w:val="20"/>
        </w:rPr>
        <w:t>Another action taken by the GoI is the standardization of BOT/PPP contracts. This specific action has significantly reduced transaction costs associated with negotiations of contracts, a major deterrent for domestic contractors. The GoI developed a MCA which was universally applied to all PPP contracts. This has enabled both the government and contractors to go without extensive negotiations. This has resulted not only in reducing transaction costs, but also facilitated the participation of domestic contractors in BOT-based PPP projects.</w:t>
      </w:r>
    </w:p>
    <w:p w14:paraId="6993C18A" w14:textId="77777777" w:rsidR="00054BF0" w:rsidRDefault="00000000">
      <w:pPr>
        <w:spacing w:before="240" w:line="260" w:lineRule="atLeast"/>
      </w:pPr>
      <w:r>
        <w:rPr>
          <w:rFonts w:ascii="Arial" w:eastAsia="Arial" w:hAnsi="Arial" w:cs="Arial"/>
          <w:b/>
          <w:color w:val="000000"/>
          <w:sz w:val="20"/>
        </w:rPr>
        <w:t>Applicability of the Above Measures to Other Developing Countries</w:t>
      </w:r>
    </w:p>
    <w:p w14:paraId="6474CBB5" w14:textId="77777777" w:rsidR="00054BF0" w:rsidRDefault="00000000">
      <w:pPr>
        <w:spacing w:before="200" w:line="260" w:lineRule="atLeast"/>
        <w:jc w:val="both"/>
      </w:pPr>
      <w:r>
        <w:rPr>
          <w:rFonts w:ascii="Arial" w:eastAsia="Arial" w:hAnsi="Arial" w:cs="Arial"/>
          <w:color w:val="000000"/>
          <w:sz w:val="20"/>
        </w:rPr>
        <w:t>Although the above measures are very unique to India, it is not impossible for other developing countries to adopt if the sector in question is those areas in which domestic contractors are available and also those sectors whose development does not require high level of technologies or complicated management system. India’s approach may not be applied to electricity sectors, but it can be applied to road sector and other similar sectors.</w:t>
      </w:r>
    </w:p>
    <w:p w14:paraId="6FB7D344" w14:textId="77777777" w:rsidR="00054BF0" w:rsidRDefault="00000000">
      <w:pPr>
        <w:spacing w:before="240" w:line="260" w:lineRule="atLeast"/>
      </w:pPr>
      <w:r>
        <w:rPr>
          <w:rFonts w:ascii="Arial" w:eastAsia="Arial" w:hAnsi="Arial" w:cs="Arial"/>
          <w:b/>
          <w:color w:val="000000"/>
          <w:sz w:val="20"/>
        </w:rPr>
        <w:t>Conclusion</w:t>
      </w:r>
    </w:p>
    <w:p w14:paraId="7A30C2D9" w14:textId="77777777" w:rsidR="00054BF0" w:rsidRDefault="00000000">
      <w:pPr>
        <w:spacing w:before="200" w:line="260" w:lineRule="atLeast"/>
        <w:jc w:val="both"/>
      </w:pPr>
      <w:r>
        <w:rPr>
          <w:rFonts w:ascii="Arial" w:eastAsia="Arial" w:hAnsi="Arial" w:cs="Arial"/>
          <w:color w:val="000000"/>
          <w:sz w:val="20"/>
        </w:rPr>
        <w:t xml:space="preserve">When discussing key success factors for PPP, the importance of incorporating a proper set of incentives is often emphasized. Although incentives are important, we should not overlook their cost implication. Investor-oriented policy measures tend to end </w:t>
      </w:r>
      <w:r>
        <w:rPr>
          <w:rFonts w:ascii="Arial" w:eastAsia="Arial" w:hAnsi="Arial" w:cs="Arial"/>
          <w:b/>
          <w:i/>
          <w:color w:val="000000"/>
          <w:sz w:val="20"/>
          <w:u w:val="single"/>
        </w:rPr>
        <w:t>up</w:t>
      </w:r>
      <w:r>
        <w:rPr>
          <w:rFonts w:ascii="Arial" w:eastAsia="Arial" w:hAnsi="Arial" w:cs="Arial"/>
          <w:color w:val="000000"/>
          <w:sz w:val="20"/>
        </w:rPr>
        <w:t xml:space="preserve"> with huge obligation to pay later by the governments.</w:t>
      </w:r>
    </w:p>
    <w:p w14:paraId="3BAFF572" w14:textId="77777777" w:rsidR="00054BF0" w:rsidRDefault="00000000">
      <w:pPr>
        <w:spacing w:before="200" w:line="260" w:lineRule="atLeast"/>
        <w:jc w:val="both"/>
      </w:pPr>
      <w:r>
        <w:rPr>
          <w:rFonts w:ascii="Arial" w:eastAsia="Arial" w:hAnsi="Arial" w:cs="Arial"/>
          <w:color w:val="000000"/>
          <w:sz w:val="20"/>
        </w:rPr>
        <w:t>The real challenge facing developing countries is how to realize two contradictory objectives at the same time: (a) securing private sector participation in PPP projects, but (b) minimizing fiscal obligation to be shouldered later. India’s PPP system clearly demonstrates that it is possible to realize these two objectives at the same time. India has taken a tight control over contingent liabilities, but she has still manage to secure active participation of the private sector for PPP projects. Their carefully crafted PPP measures have enable to make this difficult challenge to be materialized. This would provide useful hints to those developing countries who are trying to attract the private sector without overly committing themselves for the coverage of the future losses to be incurred by the private sector.</w:t>
      </w:r>
    </w:p>
    <w:p w14:paraId="6867DE91" w14:textId="77777777" w:rsidR="00054BF0" w:rsidRDefault="00000000">
      <w:pPr>
        <w:keepNext/>
        <w:spacing w:before="240" w:line="340" w:lineRule="atLeast"/>
      </w:pPr>
      <w:r>
        <w:br/>
      </w:r>
      <w:r>
        <w:rPr>
          <w:rFonts w:ascii="Arial" w:eastAsia="Arial" w:hAnsi="Arial" w:cs="Arial"/>
          <w:b/>
          <w:color w:val="000000"/>
          <w:sz w:val="28"/>
        </w:rPr>
        <w:t>Notes</w:t>
      </w:r>
    </w:p>
    <w:p w14:paraId="73D25DCE" w14:textId="77777777" w:rsidR="00054BF0" w:rsidRDefault="00000000">
      <w:pPr>
        <w:spacing w:line="60" w:lineRule="exact"/>
      </w:pPr>
      <w:r>
        <w:pict w14:anchorId="581F8EAD">
          <v:line id="_x0000_s2165" style="position:absolute;z-index:251729920" from="0,2pt" to="512pt,2pt" strokecolor="#009ddb" strokeweight="2pt">
            <w10:wrap type="topAndBottom"/>
          </v:line>
        </w:pict>
      </w:r>
    </w:p>
    <w:p w14:paraId="68658EB6" w14:textId="77777777" w:rsidR="00054BF0" w:rsidRDefault="00000000">
      <w:pPr>
        <w:spacing w:before="120" w:line="260" w:lineRule="atLeast"/>
      </w:pPr>
      <w:r>
        <w:rPr>
          <w:rFonts w:ascii="Arial" w:eastAsia="Arial" w:hAnsi="Arial" w:cs="Arial"/>
          <w:color w:val="000000"/>
          <w:sz w:val="20"/>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1. This portion is not a citation, but the author’s statement.; 2. This was estimated by the author on the basis of Guidelines for Investment in Road Sector (August 2011 version) </w:t>
      </w:r>
      <w:r>
        <w:rPr>
          <w:rFonts w:ascii="Arial" w:eastAsia="Arial" w:hAnsi="Arial" w:cs="Arial"/>
          <w:color w:val="000000"/>
          <w:sz w:val="20"/>
        </w:rPr>
        <w:lastRenderedPageBreak/>
        <w:t>which listed 25 projects from NHDP III as possible investment opportunities.; 3. This was estimated by the author with use of data “Toll Road Concession: The Chilean experience” (Lorenzen &amp; Barrientos, 2001).; 4. Korean Development Institute (KDI) report on “Success Stories and Lessons Learned from PPP Projects in Korea,” September 2014, which was submitted to Asia-Pacific Economic Cooperation (APEC) Committee.</w:t>
      </w:r>
    </w:p>
    <w:p w14:paraId="1B20C518" w14:textId="77777777" w:rsidR="00054BF0" w:rsidRDefault="00000000">
      <w:pPr>
        <w:keepNext/>
        <w:spacing w:before="240" w:line="340" w:lineRule="atLeast"/>
      </w:pPr>
      <w:bookmarkStart w:id="68" w:name="Bibliography_1"/>
      <w:bookmarkEnd w:id="68"/>
      <w:r>
        <w:rPr>
          <w:rFonts w:ascii="Arial" w:eastAsia="Arial" w:hAnsi="Arial" w:cs="Arial"/>
          <w:b/>
          <w:color w:val="000000"/>
          <w:sz w:val="28"/>
        </w:rPr>
        <w:t>Bibliography</w:t>
      </w:r>
    </w:p>
    <w:p w14:paraId="5335EF8D" w14:textId="77777777" w:rsidR="00054BF0" w:rsidRDefault="00000000">
      <w:pPr>
        <w:spacing w:line="60" w:lineRule="exact"/>
      </w:pPr>
      <w:r>
        <w:pict w14:anchorId="4DB16394">
          <v:line id="_x0000_s2166" style="position:absolute;z-index:251730944" from="0,2pt" to="512pt,2pt" strokecolor="#009ddb" strokeweight="2pt">
            <w10:wrap type="topAndBottom"/>
          </v:line>
        </w:pict>
      </w:r>
    </w:p>
    <w:p w14:paraId="5733D926" w14:textId="77777777" w:rsidR="00054BF0" w:rsidRDefault="00054BF0"/>
    <w:p w14:paraId="7B1E7A57" w14:textId="77777777" w:rsidR="00054BF0" w:rsidRDefault="00000000">
      <w:pPr>
        <w:spacing w:before="240" w:line="260" w:lineRule="atLeast"/>
      </w:pPr>
      <w:r>
        <w:rPr>
          <w:rFonts w:ascii="Arial" w:eastAsia="Arial" w:hAnsi="Arial" w:cs="Arial"/>
          <w:b/>
          <w:color w:val="000000"/>
          <w:sz w:val="20"/>
        </w:rPr>
        <w:t>REFERENCES</w:t>
      </w:r>
    </w:p>
    <w:p w14:paraId="5B485F41" w14:textId="77777777" w:rsidR="00054BF0" w:rsidRDefault="00000000">
      <w:pPr>
        <w:spacing w:before="200" w:line="260" w:lineRule="atLeast"/>
        <w:jc w:val="both"/>
      </w:pPr>
      <w:r>
        <w:rPr>
          <w:rFonts w:ascii="Arial" w:eastAsia="Arial" w:hAnsi="Arial" w:cs="Arial"/>
          <w:color w:val="000000"/>
          <w:sz w:val="20"/>
        </w:rPr>
        <w:t xml:space="preserve">Cuttaree V.,   (Feb. 2008). Successes and </w:t>
      </w:r>
      <w:r>
        <w:rPr>
          <w:rFonts w:ascii="Arial" w:eastAsia="Arial" w:hAnsi="Arial" w:cs="Arial"/>
          <w:b/>
          <w:i/>
          <w:color w:val="000000"/>
          <w:sz w:val="20"/>
          <w:u w:val="single"/>
        </w:rPr>
        <w:t>failures</w:t>
      </w:r>
      <w:r>
        <w:rPr>
          <w:rFonts w:ascii="Arial" w:eastAsia="Arial" w:hAnsi="Arial" w:cs="Arial"/>
          <w:color w:val="000000"/>
          <w:sz w:val="20"/>
        </w:rPr>
        <w:t xml:space="preserve"> of PPP projects. World Bank Conference in Warsaw, Washington, DC. </w:t>
      </w:r>
    </w:p>
    <w:p w14:paraId="027B2000" w14:textId="77777777" w:rsidR="00054BF0" w:rsidRDefault="00000000">
      <w:pPr>
        <w:spacing w:before="200" w:line="260" w:lineRule="atLeast"/>
        <w:jc w:val="both"/>
      </w:pPr>
      <w:r>
        <w:rPr>
          <w:rFonts w:ascii="Arial" w:eastAsia="Arial" w:hAnsi="Arial" w:cs="Arial"/>
          <w:color w:val="000000"/>
          <w:sz w:val="20"/>
        </w:rPr>
        <w:t xml:space="preserve">Fisher G., Babbar S.,   (2002). Private financing of toll road concession (RMC Discussion Paper Series No. 117). Washington, DC: The World Bank. </w:t>
      </w:r>
    </w:p>
    <w:p w14:paraId="48875C3E" w14:textId="77777777" w:rsidR="00054BF0" w:rsidRDefault="00000000">
      <w:pPr>
        <w:spacing w:before="200" w:line="260" w:lineRule="atLeast"/>
        <w:jc w:val="both"/>
      </w:pPr>
      <w:r>
        <w:rPr>
          <w:rFonts w:ascii="Arial" w:eastAsia="Arial" w:hAnsi="Arial" w:cs="Arial"/>
          <w:color w:val="000000"/>
          <w:sz w:val="20"/>
        </w:rPr>
        <w:t xml:space="preserve">Khan H. R.,   (2012, February). Infrastructure financing in India—Progress and prospects (Monthly report). Mumbai: Reserved Bank of India. Retrieved from  </w:t>
      </w:r>
    </w:p>
    <w:p w14:paraId="0BEA91DE" w14:textId="77777777" w:rsidR="00054BF0" w:rsidRDefault="00000000">
      <w:pPr>
        <w:spacing w:before="200" w:line="260" w:lineRule="atLeast"/>
        <w:jc w:val="both"/>
      </w:pPr>
      <w:r>
        <w:rPr>
          <w:rFonts w:ascii="Arial" w:eastAsia="Arial" w:hAnsi="Arial" w:cs="Arial"/>
          <w:color w:val="000000"/>
          <w:sz w:val="20"/>
        </w:rPr>
        <w:t xml:space="preserve">Korean Development Institute. (2014, September 2014). Success stories and lessons learned from PPP projects in Korea. Sejoung-si 30149 Korea. A report submitted to APEC Committee. </w:t>
      </w:r>
    </w:p>
    <w:p w14:paraId="40EAA5E0" w14:textId="77777777" w:rsidR="00054BF0" w:rsidRDefault="00000000">
      <w:pPr>
        <w:spacing w:before="200" w:line="260" w:lineRule="atLeast"/>
        <w:jc w:val="both"/>
      </w:pPr>
      <w:r>
        <w:rPr>
          <w:rFonts w:ascii="Arial" w:eastAsia="Arial" w:hAnsi="Arial" w:cs="Arial"/>
          <w:color w:val="000000"/>
          <w:sz w:val="20"/>
        </w:rPr>
        <w:t xml:space="preserve">Lorenzen C. C., Barrientos M. E.,   (2001). Toll road concessions: The Chilean experience. Washington, DC: The World Bank. </w:t>
      </w:r>
    </w:p>
    <w:p w14:paraId="04EA4D02" w14:textId="77777777" w:rsidR="00054BF0" w:rsidRDefault="00000000">
      <w:pPr>
        <w:spacing w:before="200" w:line="260" w:lineRule="atLeast"/>
        <w:jc w:val="both"/>
      </w:pPr>
      <w:r>
        <w:rPr>
          <w:rFonts w:ascii="Arial" w:eastAsia="Arial" w:hAnsi="Arial" w:cs="Arial"/>
          <w:color w:val="000000"/>
          <w:sz w:val="20"/>
        </w:rPr>
        <w:t xml:space="preserve">PricewaterhouseCoopers. (2007). Evaluating the project implementation options for NHAI. New Delhi, India. Current Office appears to have moved, which can not be verified now. </w:t>
      </w:r>
    </w:p>
    <w:p w14:paraId="2B98F5E8" w14:textId="77777777" w:rsidR="00054BF0" w:rsidRDefault="00000000">
      <w:pPr>
        <w:spacing w:before="200" w:line="260" w:lineRule="atLeast"/>
        <w:jc w:val="both"/>
      </w:pPr>
      <w:r>
        <w:rPr>
          <w:rFonts w:ascii="Arial" w:eastAsia="Arial" w:hAnsi="Arial" w:cs="Arial"/>
          <w:color w:val="000000"/>
          <w:sz w:val="20"/>
        </w:rPr>
        <w:t xml:space="preserve">Tsukada S.,   (2011). Package type overseas infrastructure construction and structural fragility of BOT/PPP projects. Tokyo, Japan: Transportation and Economics, Institute of Transportation Economics. </w:t>
      </w:r>
    </w:p>
    <w:p w14:paraId="261E9741" w14:textId="77777777" w:rsidR="00054BF0" w:rsidRDefault="00000000">
      <w:pPr>
        <w:spacing w:before="200" w:line="260" w:lineRule="atLeast"/>
        <w:jc w:val="both"/>
      </w:pPr>
      <w:r>
        <w:rPr>
          <w:rFonts w:ascii="Arial" w:eastAsia="Arial" w:hAnsi="Arial" w:cs="Arial"/>
          <w:color w:val="000000"/>
          <w:sz w:val="20"/>
        </w:rPr>
        <w:t xml:space="preserve">Tsukada S.,   (2012). Overseas infrastructure construction and BOT/PPP projects. Tokyo, Japan: SCOPE NET, Service Center of Port Engineering. </w:t>
      </w:r>
    </w:p>
    <w:p w14:paraId="7E9D6782" w14:textId="77777777" w:rsidR="00054BF0" w:rsidRDefault="00000000">
      <w:pPr>
        <w:spacing w:before="200" w:line="260" w:lineRule="atLeast"/>
        <w:jc w:val="both"/>
      </w:pPr>
      <w:r>
        <w:rPr>
          <w:rFonts w:ascii="Arial" w:eastAsia="Arial" w:hAnsi="Arial" w:cs="Arial"/>
          <w:color w:val="000000"/>
          <w:sz w:val="20"/>
        </w:rPr>
        <w:t xml:space="preserve">Tsukada S.,   (2013). Potential pitfalls of PPP policy application: Lessons learned from NHDP programs in India. Journal of Infrastructure Development, 5(1), 87-102. </w:t>
      </w:r>
    </w:p>
    <w:p w14:paraId="7798F0B1" w14:textId="77777777" w:rsidR="00054BF0" w:rsidRDefault="00000000">
      <w:pPr>
        <w:spacing w:before="200" w:line="260" w:lineRule="atLeast"/>
        <w:jc w:val="both"/>
      </w:pPr>
      <w:r>
        <w:rPr>
          <w:rFonts w:ascii="Arial" w:eastAsia="Arial" w:hAnsi="Arial" w:cs="Arial"/>
          <w:color w:val="000000"/>
          <w:sz w:val="20"/>
        </w:rPr>
        <w:t xml:space="preserve">Walker C., Smith A. J.,   (1995). Privatized infrastructure—The BOT approach. London, England: Thomas Telford. </w:t>
      </w:r>
    </w:p>
    <w:p w14:paraId="4156A9EA"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20, 2020</w:t>
      </w:r>
    </w:p>
    <w:p w14:paraId="34C15A56" w14:textId="77777777" w:rsidR="00054BF0" w:rsidRDefault="00054BF0"/>
    <w:p w14:paraId="78B37765" w14:textId="77777777" w:rsidR="00054BF0" w:rsidRDefault="00000000">
      <w:pPr>
        <w:ind w:left="200"/>
        <w:sectPr w:rsidR="00054BF0">
          <w:type w:val="continuous"/>
          <w:pgSz w:w="12240" w:h="15840"/>
          <w:pgMar w:top="840" w:right="1000" w:bottom="840" w:left="1000" w:header="400" w:footer="400" w:gutter="0"/>
          <w:cols w:space="720"/>
        </w:sectPr>
      </w:pPr>
      <w:r>
        <w:br/>
      </w:r>
      <w:r>
        <w:pict w14:anchorId="294611B7">
          <v:line id="_x0000_s2167" style="position:absolute;left:0;text-align:left;z-index:251731968;mso-position-horizontal-relative:text;mso-position-vertical-relative:text" from="0,10pt" to="512pt,10pt" strokeweight="1pt"/>
        </w:pict>
      </w:r>
      <w:r>
        <w:rPr>
          <w:rFonts w:ascii="Arial" w:eastAsia="Arial" w:hAnsi="Arial" w:cs="Arial"/>
          <w:b/>
          <w:color w:val="767676"/>
          <w:sz w:val="16"/>
        </w:rPr>
        <w:t>End of Document</w:t>
      </w:r>
    </w:p>
    <w:p w14:paraId="17F85BF3" w14:textId="77777777" w:rsidR="00054BF0" w:rsidRDefault="00054BF0">
      <w:pPr>
        <w:sectPr w:rsidR="00054BF0">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gutter="0"/>
          <w:cols w:space="720"/>
          <w:titlePg/>
        </w:sectPr>
      </w:pPr>
    </w:p>
    <w:p w14:paraId="2DEC2F4D" w14:textId="77777777" w:rsidR="00054BF0" w:rsidRDefault="00054BF0">
      <w:bookmarkStart w:id="69" w:name="Bookmark_34"/>
      <w:bookmarkEnd w:id="69"/>
    </w:p>
    <w:p w14:paraId="58DF7563" w14:textId="77777777" w:rsidR="00054BF0" w:rsidRDefault="00BE2275">
      <w:r>
        <w:pict w14:anchorId="00225102">
          <v:shape id="_x0000_i1072" type="#_x0000_t75" alt="LexisNexis®" style="width:148pt;height:30pt">
            <v:imagedata r:id="rId6" o:title=""/>
          </v:shape>
        </w:pict>
      </w:r>
      <w:r w:rsidR="00A540D1">
        <w:cr/>
      </w:r>
    </w:p>
    <w:p w14:paraId="0FA73DB2" w14:textId="77777777" w:rsidR="00054BF0" w:rsidRDefault="00000000">
      <w:pPr>
        <w:spacing w:before="240" w:after="200" w:line="340" w:lineRule="atLeast"/>
        <w:jc w:val="center"/>
        <w:outlineLvl w:val="0"/>
        <w:rPr>
          <w:rFonts w:ascii="Arial" w:hAnsi="Arial" w:cs="Arial"/>
          <w:b/>
          <w:bCs/>
          <w:kern w:val="32"/>
          <w:sz w:val="32"/>
          <w:szCs w:val="32"/>
        </w:rPr>
      </w:pPr>
      <w:hyperlink r:id="rId540" w:history="1">
        <w:r>
          <w:rPr>
            <w:rFonts w:ascii="Arial" w:eastAsia="Arial" w:hAnsi="Arial" w:cs="Arial"/>
            <w:b/>
            <w:bCs/>
            <w:i/>
            <w:color w:val="0077CC"/>
            <w:kern w:val="32"/>
            <w:sz w:val="28"/>
            <w:szCs w:val="32"/>
            <w:u w:val="single"/>
            <w:shd w:val="clear" w:color="auto" w:fill="FFFFFF"/>
          </w:rPr>
          <w:t>Salman, Godfather Forever</w:t>
        </w:r>
      </w:hyperlink>
    </w:p>
    <w:p w14:paraId="1DF68A44" w14:textId="77777777" w:rsidR="00054BF0" w:rsidRDefault="00000000">
      <w:pPr>
        <w:spacing w:before="120" w:line="260" w:lineRule="atLeast"/>
        <w:jc w:val="center"/>
      </w:pPr>
      <w:r>
        <w:rPr>
          <w:rFonts w:ascii="Arial" w:eastAsia="Arial" w:hAnsi="Arial" w:cs="Arial"/>
          <w:color w:val="000000"/>
          <w:sz w:val="20"/>
        </w:rPr>
        <w:t>Society</w:t>
      </w:r>
    </w:p>
    <w:p w14:paraId="162319D0" w14:textId="77777777" w:rsidR="00054BF0" w:rsidRDefault="00000000">
      <w:pPr>
        <w:spacing w:before="120" w:line="260" w:lineRule="atLeast"/>
        <w:jc w:val="center"/>
      </w:pPr>
      <w:r>
        <w:rPr>
          <w:rFonts w:ascii="Arial" w:eastAsia="Arial" w:hAnsi="Arial" w:cs="Arial"/>
          <w:color w:val="000000"/>
          <w:sz w:val="20"/>
        </w:rPr>
        <w:t>February 28, 2018</w:t>
      </w:r>
    </w:p>
    <w:p w14:paraId="5BA2027F" w14:textId="77777777" w:rsidR="00054BF0" w:rsidRDefault="00054BF0">
      <w:pPr>
        <w:spacing w:line="240" w:lineRule="atLeast"/>
        <w:jc w:val="both"/>
      </w:pPr>
    </w:p>
    <w:p w14:paraId="7146BC58" w14:textId="77777777" w:rsidR="00054BF0"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41B45FA0" w14:textId="77777777" w:rsidR="00054BF0" w:rsidRDefault="00000000">
      <w:pPr>
        <w:spacing w:before="120" w:line="220" w:lineRule="atLeast"/>
      </w:pPr>
      <w:r>
        <w:br/>
      </w:r>
      <w:r w:rsidR="00BE2275">
        <w:pict w14:anchorId="3F8A5DB1">
          <v:shape id="_x0000_i1073" type="#_x0000_t75" style="width:169pt;height:51pt">
            <v:imagedata r:id="rId239" o:title=""/>
          </v:shape>
        </w:pict>
      </w:r>
    </w:p>
    <w:p w14:paraId="3FC54714"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98 words</w:t>
      </w:r>
    </w:p>
    <w:p w14:paraId="0E44AED3"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BF37EFC" w14:textId="77777777" w:rsidR="00054BF0" w:rsidRDefault="00000000">
      <w:pPr>
        <w:keepNext/>
        <w:spacing w:before="240" w:line="340" w:lineRule="atLeast"/>
      </w:pPr>
      <w:bookmarkStart w:id="70" w:name="Body_32"/>
      <w:bookmarkEnd w:id="70"/>
      <w:r>
        <w:rPr>
          <w:rFonts w:ascii="Arial" w:eastAsia="Arial" w:hAnsi="Arial" w:cs="Arial"/>
          <w:b/>
          <w:color w:val="000000"/>
          <w:sz w:val="28"/>
        </w:rPr>
        <w:t>Body</w:t>
      </w:r>
    </w:p>
    <w:p w14:paraId="475B7B70" w14:textId="77777777" w:rsidR="00054BF0" w:rsidRDefault="00000000">
      <w:pPr>
        <w:spacing w:line="60" w:lineRule="exact"/>
      </w:pPr>
      <w:r>
        <w:pict w14:anchorId="3A393056">
          <v:line id="_x0000_s2170" style="position:absolute;z-index:251732992" from="0,2pt" to="512pt,2pt" strokecolor="#009ddb" strokeweight="2pt">
            <w10:wrap type="topAndBottom"/>
          </v:line>
        </w:pict>
      </w:r>
    </w:p>
    <w:p w14:paraId="1B9B5520" w14:textId="77777777" w:rsidR="00054BF0" w:rsidRDefault="00054BF0"/>
    <w:p w14:paraId="311D7382" w14:textId="77777777" w:rsidR="00054BF0" w:rsidRDefault="00000000">
      <w:pPr>
        <w:spacing w:before="200" w:line="260" w:lineRule="atLeast"/>
        <w:jc w:val="both"/>
      </w:pPr>
      <w:r>
        <w:rPr>
          <w:rFonts w:ascii="Arial" w:eastAsia="Arial" w:hAnsi="Arial" w:cs="Arial"/>
          <w:color w:val="000000"/>
          <w:sz w:val="20"/>
        </w:rPr>
        <w:t xml:space="preserve"> New Delhi, Feb. 28 --  EVERYONE KNOWS about Salman Khan's magnanimity and largesse and the thousands of people he has helped. But, it seems King Khan is concerned about the number of star aspirants who come to the city from far off destinations with big dreams and are clueless about whom to approach or ask for guidance. As a result, most get lost in the big city and end </w:t>
      </w:r>
      <w:r>
        <w:rPr>
          <w:rFonts w:ascii="Arial" w:eastAsia="Arial" w:hAnsi="Arial" w:cs="Arial"/>
          <w:b/>
          <w:i/>
          <w:color w:val="000000"/>
          <w:sz w:val="20"/>
          <w:u w:val="single"/>
        </w:rPr>
        <w:t>up</w:t>
      </w:r>
      <w:r>
        <w:rPr>
          <w:rFonts w:ascii="Arial" w:eastAsia="Arial" w:hAnsi="Arial" w:cs="Arial"/>
          <w:color w:val="000000"/>
          <w:sz w:val="20"/>
        </w:rPr>
        <w:t xml:space="preserve"> as </w:t>
      </w:r>
      <w:r>
        <w:rPr>
          <w:rFonts w:ascii="Arial" w:eastAsia="Arial" w:hAnsi="Arial" w:cs="Arial"/>
          <w:b/>
          <w:i/>
          <w:color w:val="000000"/>
          <w:sz w:val="20"/>
          <w:u w:val="single"/>
        </w:rPr>
        <w:t>failures</w:t>
      </w:r>
      <w:r>
        <w:rPr>
          <w:rFonts w:ascii="Arial" w:eastAsia="Arial" w:hAnsi="Arial" w:cs="Arial"/>
          <w:color w:val="000000"/>
          <w:sz w:val="20"/>
        </w:rPr>
        <w:t xml:space="preserve">. Now, Salman has </w:t>
      </w:r>
      <w:r>
        <w:rPr>
          <w:rFonts w:ascii="Arial" w:eastAsia="Arial" w:hAnsi="Arial" w:cs="Arial"/>
          <w:b/>
          <w:i/>
          <w:color w:val="000000"/>
          <w:sz w:val="20"/>
          <w:u w:val="single"/>
        </w:rPr>
        <w:t>started</w:t>
      </w:r>
      <w:r>
        <w:rPr>
          <w:rFonts w:ascii="Arial" w:eastAsia="Arial" w:hAnsi="Arial" w:cs="Arial"/>
          <w:color w:val="000000"/>
          <w:sz w:val="20"/>
        </w:rPr>
        <w:t xml:space="preserve"> a casting agency where any new wannabe actor can come and show his talent. Then, it will groom them and cast them in Salman's future productions. He truly has a heart of gold.</w:t>
      </w:r>
    </w:p>
    <w:p w14:paraId="51E5159F"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6, 2018</w:t>
      </w:r>
    </w:p>
    <w:p w14:paraId="5C7B54F8" w14:textId="77777777" w:rsidR="00054BF0" w:rsidRDefault="00054BF0"/>
    <w:p w14:paraId="027790A1" w14:textId="77777777" w:rsidR="00054BF0" w:rsidRDefault="00000000">
      <w:pPr>
        <w:ind w:left="200"/>
        <w:sectPr w:rsidR="00054BF0">
          <w:type w:val="continuous"/>
          <w:pgSz w:w="12240" w:h="15840"/>
          <w:pgMar w:top="840" w:right="1000" w:bottom="840" w:left="1000" w:header="400" w:footer="400" w:gutter="0"/>
          <w:cols w:space="720"/>
        </w:sectPr>
      </w:pPr>
      <w:r>
        <w:br/>
      </w:r>
      <w:r>
        <w:pict w14:anchorId="3F001DB9">
          <v:line id="_x0000_s2171" style="position:absolute;left:0;text-align:left;z-index:251734016;mso-position-horizontal-relative:text;mso-position-vertical-relative:text" from="0,10pt" to="512pt,10pt" strokeweight="1pt"/>
        </w:pict>
      </w:r>
      <w:r>
        <w:rPr>
          <w:rFonts w:ascii="Arial" w:eastAsia="Arial" w:hAnsi="Arial" w:cs="Arial"/>
          <w:b/>
          <w:color w:val="767676"/>
          <w:sz w:val="16"/>
        </w:rPr>
        <w:t>End of Document</w:t>
      </w:r>
    </w:p>
    <w:p w14:paraId="3FF41E7F" w14:textId="77777777" w:rsidR="00054BF0" w:rsidRDefault="00054BF0">
      <w:pPr>
        <w:sectPr w:rsidR="00054BF0">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gutter="0"/>
          <w:cols w:space="720"/>
          <w:titlePg/>
        </w:sectPr>
      </w:pPr>
    </w:p>
    <w:p w14:paraId="1342B5D9" w14:textId="77777777" w:rsidR="00054BF0" w:rsidRDefault="00054BF0">
      <w:bookmarkStart w:id="71" w:name="Bookmark_35"/>
      <w:bookmarkEnd w:id="71"/>
    </w:p>
    <w:p w14:paraId="014709CC" w14:textId="77777777" w:rsidR="00054BF0" w:rsidRDefault="00BE2275">
      <w:r>
        <w:pict w14:anchorId="02810AD1">
          <v:shape id="_x0000_i1074" type="#_x0000_t75" alt="LexisNexis®" style="width:148pt;height:30pt">
            <v:imagedata r:id="rId6" o:title=""/>
          </v:shape>
        </w:pict>
      </w:r>
      <w:r w:rsidR="00A540D1">
        <w:cr/>
      </w:r>
    </w:p>
    <w:p w14:paraId="1D4F80EC" w14:textId="77777777" w:rsidR="00054BF0" w:rsidRDefault="00000000">
      <w:pPr>
        <w:spacing w:before="240" w:after="200" w:line="340" w:lineRule="atLeast"/>
        <w:jc w:val="center"/>
        <w:outlineLvl w:val="0"/>
        <w:rPr>
          <w:rFonts w:ascii="Arial" w:hAnsi="Arial" w:cs="Arial"/>
          <w:b/>
          <w:bCs/>
          <w:kern w:val="32"/>
          <w:sz w:val="32"/>
          <w:szCs w:val="32"/>
        </w:rPr>
      </w:pPr>
      <w:hyperlink r:id="rId547" w:history="1">
        <w:r>
          <w:rPr>
            <w:rFonts w:ascii="Arial" w:eastAsia="Arial" w:hAnsi="Arial" w:cs="Arial"/>
            <w:b/>
            <w:bCs/>
            <w:i/>
            <w:color w:val="0077CC"/>
            <w:kern w:val="32"/>
            <w:sz w:val="28"/>
            <w:szCs w:val="32"/>
            <w:u w:val="single"/>
            <w:shd w:val="clear" w:color="auto" w:fill="FFFFFF"/>
          </w:rPr>
          <w:t xml:space="preserve">Success Rate Of Indian </w:t>
        </w:r>
      </w:hyperlink>
      <w:hyperlink r:id="rId548" w:history="1">
        <w:r>
          <w:rPr>
            <w:rFonts w:ascii="Arial" w:eastAsia="Arial" w:hAnsi="Arial" w:cs="Arial"/>
            <w:b/>
            <w:bCs/>
            <w:i/>
            <w:color w:val="0077CC"/>
            <w:kern w:val="32"/>
            <w:sz w:val="28"/>
            <w:szCs w:val="32"/>
            <w:u w:val="single"/>
            <w:shd w:val="clear" w:color="auto" w:fill="FFFFFF"/>
          </w:rPr>
          <w:t>Startups</w:t>
        </w:r>
      </w:hyperlink>
      <w:hyperlink r:id="rId549" w:history="1">
        <w:r>
          <w:rPr>
            <w:rFonts w:ascii="Arial" w:eastAsia="Arial" w:hAnsi="Arial" w:cs="Arial"/>
            <w:b/>
            <w:bCs/>
            <w:i/>
            <w:color w:val="0077CC"/>
            <w:kern w:val="32"/>
            <w:sz w:val="28"/>
            <w:szCs w:val="32"/>
            <w:u w:val="single"/>
            <w:shd w:val="clear" w:color="auto" w:fill="FFFFFF"/>
          </w:rPr>
          <w:t xml:space="preserve"> Is Higher Than Rest Of World: Piyush Goyal</w:t>
        </w:r>
      </w:hyperlink>
    </w:p>
    <w:p w14:paraId="0E119EDA" w14:textId="77777777" w:rsidR="00054BF0" w:rsidRDefault="00000000">
      <w:pPr>
        <w:spacing w:before="120" w:line="260" w:lineRule="atLeast"/>
        <w:jc w:val="center"/>
      </w:pPr>
      <w:r>
        <w:rPr>
          <w:rFonts w:ascii="Arial" w:eastAsia="Arial" w:hAnsi="Arial" w:cs="Arial"/>
          <w:color w:val="000000"/>
          <w:sz w:val="20"/>
        </w:rPr>
        <w:t>Business World</w:t>
      </w:r>
    </w:p>
    <w:p w14:paraId="5507CA41" w14:textId="77777777" w:rsidR="00054BF0" w:rsidRDefault="00000000">
      <w:pPr>
        <w:spacing w:before="120" w:line="260" w:lineRule="atLeast"/>
        <w:jc w:val="center"/>
      </w:pPr>
      <w:r>
        <w:rPr>
          <w:rFonts w:ascii="Arial" w:eastAsia="Arial" w:hAnsi="Arial" w:cs="Arial"/>
          <w:color w:val="000000"/>
          <w:sz w:val="20"/>
        </w:rPr>
        <w:t>December 15, 2022</w:t>
      </w:r>
    </w:p>
    <w:p w14:paraId="26E6F286" w14:textId="77777777" w:rsidR="00054BF0" w:rsidRDefault="00054BF0">
      <w:pPr>
        <w:spacing w:line="240" w:lineRule="atLeast"/>
        <w:jc w:val="both"/>
      </w:pPr>
    </w:p>
    <w:p w14:paraId="04F2C4D1" w14:textId="77777777" w:rsidR="00054BF0"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70753A00"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192 words</w:t>
      </w:r>
    </w:p>
    <w:p w14:paraId="5C3EF50E"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764BF904" w14:textId="77777777" w:rsidR="00054BF0" w:rsidRDefault="00000000">
      <w:pPr>
        <w:keepNext/>
        <w:spacing w:before="240" w:line="340" w:lineRule="atLeast"/>
      </w:pPr>
      <w:bookmarkStart w:id="72" w:name="Body_33"/>
      <w:bookmarkEnd w:id="72"/>
      <w:r>
        <w:rPr>
          <w:rFonts w:ascii="Arial" w:eastAsia="Arial" w:hAnsi="Arial" w:cs="Arial"/>
          <w:b/>
          <w:color w:val="000000"/>
          <w:sz w:val="28"/>
        </w:rPr>
        <w:t>Body</w:t>
      </w:r>
    </w:p>
    <w:p w14:paraId="5B9D13F9" w14:textId="77777777" w:rsidR="00054BF0" w:rsidRDefault="00000000">
      <w:pPr>
        <w:spacing w:line="60" w:lineRule="exact"/>
      </w:pPr>
      <w:r>
        <w:pict w14:anchorId="2B88A7C7">
          <v:line id="_x0000_s2173" style="position:absolute;z-index:251735040" from="0,2pt" to="512pt,2pt" strokecolor="#009ddb" strokeweight="2pt">
            <w10:wrap type="topAndBottom"/>
          </v:line>
        </w:pict>
      </w:r>
    </w:p>
    <w:p w14:paraId="34142BAC" w14:textId="77777777" w:rsidR="00054BF0" w:rsidRDefault="00054BF0"/>
    <w:p w14:paraId="04DC34C3" w14:textId="77777777" w:rsidR="00054BF0" w:rsidRDefault="00000000">
      <w:pPr>
        <w:spacing w:before="200" w:line="260" w:lineRule="atLeast"/>
        <w:jc w:val="both"/>
      </w:pPr>
      <w:r>
        <w:rPr>
          <w:rFonts w:ascii="Arial" w:eastAsia="Arial" w:hAnsi="Arial" w:cs="Arial"/>
          <w:color w:val="000000"/>
          <w:sz w:val="20"/>
        </w:rPr>
        <w:t xml:space="preserve">Piyush Goyal, Union Minister of India commerce and Industry lauds the success of Indian </w:t>
      </w:r>
      <w:r>
        <w:rPr>
          <w:rFonts w:ascii="Arial" w:eastAsia="Arial" w:hAnsi="Arial" w:cs="Arial"/>
          <w:b/>
          <w:i/>
          <w:color w:val="000000"/>
          <w:sz w:val="20"/>
          <w:u w:val="single"/>
        </w:rPr>
        <w:t>startups</w:t>
      </w:r>
      <w:r>
        <w:rPr>
          <w:rFonts w:ascii="Arial" w:eastAsia="Arial" w:hAnsi="Arial" w:cs="Arial"/>
          <w:color w:val="000000"/>
          <w:sz w:val="20"/>
        </w:rPr>
        <w:t>' growth from the 2016 till now when the country is home to 108 unicorns</w:t>
      </w:r>
    </w:p>
    <w:p w14:paraId="0EE0D710" w14:textId="77777777" w:rsidR="00054BF0" w:rsidRDefault="00000000">
      <w:pPr>
        <w:spacing w:before="200" w:line="260" w:lineRule="atLeast"/>
        <w:jc w:val="both"/>
      </w:pPr>
      <w:r>
        <w:rPr>
          <w:rFonts w:ascii="Arial" w:eastAsia="Arial" w:hAnsi="Arial" w:cs="Arial"/>
          <w:color w:val="000000"/>
          <w:sz w:val="20"/>
        </w:rPr>
        <w:t xml:space="preserve">Trace the growth from the early times of </w:t>
      </w:r>
      <w:r>
        <w:rPr>
          <w:rFonts w:ascii="Arial" w:eastAsia="Arial" w:hAnsi="Arial" w:cs="Arial"/>
          <w:b/>
          <w:i/>
          <w:color w:val="000000"/>
          <w:sz w:val="20"/>
          <w:u w:val="single"/>
        </w:rPr>
        <w:t>startups</w:t>
      </w:r>
      <w:r>
        <w:rPr>
          <w:rFonts w:ascii="Arial" w:eastAsia="Arial" w:hAnsi="Arial" w:cs="Arial"/>
          <w:color w:val="000000"/>
          <w:sz w:val="20"/>
        </w:rPr>
        <w:t xml:space="preserve"> in India when the Government of India launched the </w:t>
      </w:r>
      <w:r>
        <w:rPr>
          <w:rFonts w:ascii="Arial" w:eastAsia="Arial" w:hAnsi="Arial" w:cs="Arial"/>
          <w:b/>
          <w:i/>
          <w:color w:val="000000"/>
          <w:sz w:val="20"/>
          <w:u w:val="single"/>
        </w:rPr>
        <w:t>Startup</w:t>
      </w:r>
      <w:r>
        <w:rPr>
          <w:rFonts w:ascii="Arial" w:eastAsia="Arial" w:hAnsi="Arial" w:cs="Arial"/>
          <w:color w:val="000000"/>
          <w:sz w:val="20"/>
        </w:rPr>
        <w:t xml:space="preserve"> India Mission on January 16, 2016.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has increased from 452 in 2016 to 84,012 as on November 30, 2022.</w:t>
      </w:r>
    </w:p>
    <w:p w14:paraId="62A73975" w14:textId="77777777" w:rsidR="00054BF0" w:rsidRDefault="00000000">
      <w:pPr>
        <w:spacing w:before="200" w:line="260" w:lineRule="atLeast"/>
        <w:jc w:val="both"/>
      </w:pPr>
      <w:r>
        <w:rPr>
          <w:rFonts w:ascii="Arial" w:eastAsia="Arial" w:hAnsi="Arial" w:cs="Arial"/>
          <w:color w:val="000000"/>
          <w:sz w:val="20"/>
        </w:rPr>
        <w:t xml:space="preserve">The success rates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and there were 84 thousand </w:t>
      </w:r>
      <w:r>
        <w:rPr>
          <w:rFonts w:ascii="Arial" w:eastAsia="Arial" w:hAnsi="Arial" w:cs="Arial"/>
          <w:b/>
          <w:i/>
          <w:color w:val="000000"/>
          <w:sz w:val="20"/>
          <w:u w:val="single"/>
        </w:rPr>
        <w:t>startups</w:t>
      </w:r>
      <w:r>
        <w:rPr>
          <w:rFonts w:ascii="Arial" w:eastAsia="Arial" w:hAnsi="Arial" w:cs="Arial"/>
          <w:color w:val="000000"/>
          <w:sz w:val="20"/>
        </w:rPr>
        <w:t xml:space="preserve"> in the country at the end of November, said Piyush Goyal, Union Minister, according to the media reports.</w:t>
      </w:r>
    </w:p>
    <w:p w14:paraId="445423A2" w14:textId="77777777" w:rsidR="00054BF0" w:rsidRDefault="00000000">
      <w:pPr>
        <w:spacing w:before="200" w:line="260" w:lineRule="atLeast"/>
        <w:jc w:val="both"/>
      </w:pPr>
      <w:r>
        <w:rPr>
          <w:rFonts w:ascii="Arial" w:eastAsia="Arial" w:hAnsi="Arial" w:cs="Arial"/>
          <w:color w:val="000000"/>
          <w:sz w:val="20"/>
        </w:rPr>
        <w:t xml:space="preserve">The report also states that Goyal mentioned that the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failures</w:t>
      </w:r>
      <w:r>
        <w:rPr>
          <w:rFonts w:ascii="Arial" w:eastAsia="Arial" w:hAnsi="Arial" w:cs="Arial"/>
          <w:color w:val="000000"/>
          <w:sz w:val="20"/>
        </w:rPr>
        <w:t xml:space="preserve"> is a very high probability. However,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in the rest of the world.</w:t>
      </w:r>
    </w:p>
    <w:p w14:paraId="6AE7C76E" w14:textId="77777777" w:rsidR="00054BF0" w:rsidRDefault="00000000">
      <w:pPr>
        <w:spacing w:before="200" w:line="260" w:lineRule="atLeast"/>
        <w:jc w:val="both"/>
      </w:pPr>
      <w:r>
        <w:rPr>
          <w:rFonts w:ascii="Arial" w:eastAsia="Arial" w:hAnsi="Arial" w:cs="Arial"/>
          <w:color w:val="000000"/>
          <w:sz w:val="20"/>
        </w:rPr>
        <w:t xml:space="preserve">The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and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provide support to </w:t>
      </w:r>
      <w:r>
        <w:rPr>
          <w:rFonts w:ascii="Arial" w:eastAsia="Arial" w:hAnsi="Arial" w:cs="Arial"/>
          <w:b/>
          <w:i/>
          <w:color w:val="000000"/>
          <w:sz w:val="20"/>
          <w:u w:val="single"/>
        </w:rPr>
        <w:t>startups</w:t>
      </w:r>
      <w:r>
        <w:rPr>
          <w:rFonts w:ascii="Arial" w:eastAsia="Arial" w:hAnsi="Arial" w:cs="Arial"/>
          <w:color w:val="000000"/>
          <w:sz w:val="20"/>
        </w:rPr>
        <w:t xml:space="preserve"> at different stages of their business cycle.</w:t>
      </w:r>
    </w:p>
    <w:p w14:paraId="58DAAF09" w14:textId="77777777" w:rsidR="00054BF0" w:rsidRDefault="00000000">
      <w:pPr>
        <w:spacing w:before="200" w:line="260" w:lineRule="atLeast"/>
        <w:jc w:val="both"/>
      </w:pPr>
      <w:r>
        <w:rPr>
          <w:rFonts w:ascii="Arial" w:eastAsia="Arial" w:hAnsi="Arial" w:cs="Arial"/>
          <w:color w:val="000000"/>
          <w:sz w:val="20"/>
        </w:rPr>
        <w:t xml:space="preserve">The government of India launched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to boost the </w:t>
      </w:r>
      <w:r>
        <w:rPr>
          <w:rFonts w:ascii="Arial" w:eastAsia="Arial" w:hAnsi="Arial" w:cs="Arial"/>
          <w:b/>
          <w:i/>
          <w:color w:val="000000"/>
          <w:sz w:val="20"/>
          <w:u w:val="single"/>
        </w:rPr>
        <w:t>startup</w:t>
      </w:r>
      <w:r>
        <w:rPr>
          <w:rFonts w:ascii="Arial" w:eastAsia="Arial" w:hAnsi="Arial" w:cs="Arial"/>
          <w:color w:val="000000"/>
          <w:sz w:val="20"/>
        </w:rPr>
        <w:t xml:space="preserve"> ecosystem in India.</w:t>
      </w:r>
    </w:p>
    <w:p w14:paraId="5879D1A5"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15, 2022</w:t>
      </w:r>
    </w:p>
    <w:p w14:paraId="546C9DED" w14:textId="77777777" w:rsidR="00054BF0" w:rsidRDefault="00054BF0"/>
    <w:p w14:paraId="65F37805" w14:textId="77777777" w:rsidR="00054BF0" w:rsidRDefault="00000000">
      <w:pPr>
        <w:ind w:left="200"/>
        <w:sectPr w:rsidR="00054BF0">
          <w:type w:val="continuous"/>
          <w:pgSz w:w="12240" w:h="15840"/>
          <w:pgMar w:top="840" w:right="1000" w:bottom="840" w:left="1000" w:header="400" w:footer="400" w:gutter="0"/>
          <w:cols w:space="720"/>
        </w:sectPr>
      </w:pPr>
      <w:r>
        <w:br/>
      </w:r>
      <w:r>
        <w:pict w14:anchorId="34994B72">
          <v:line id="_x0000_s2174" style="position:absolute;left:0;text-align:left;z-index:251736064;mso-position-horizontal-relative:text;mso-position-vertical-relative:text" from="0,10pt" to="512pt,10pt" strokeweight="1pt"/>
        </w:pict>
      </w:r>
      <w:r>
        <w:rPr>
          <w:rFonts w:ascii="Arial" w:eastAsia="Arial" w:hAnsi="Arial" w:cs="Arial"/>
          <w:b/>
          <w:color w:val="767676"/>
          <w:sz w:val="16"/>
        </w:rPr>
        <w:t>End of Document</w:t>
      </w:r>
    </w:p>
    <w:p w14:paraId="4850395F" w14:textId="77777777" w:rsidR="00054BF0" w:rsidRDefault="00054BF0">
      <w:pPr>
        <w:sectPr w:rsidR="00054BF0">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gutter="0"/>
          <w:cols w:space="720"/>
          <w:titlePg/>
        </w:sectPr>
      </w:pPr>
    </w:p>
    <w:p w14:paraId="48B5DE62" w14:textId="77777777" w:rsidR="00054BF0" w:rsidRDefault="00054BF0">
      <w:bookmarkStart w:id="73" w:name="Bookmark_36"/>
      <w:bookmarkEnd w:id="73"/>
    </w:p>
    <w:p w14:paraId="04212C86" w14:textId="77777777" w:rsidR="00054BF0" w:rsidRDefault="00BE2275">
      <w:r>
        <w:pict w14:anchorId="77F03033">
          <v:shape id="_x0000_i1075" type="#_x0000_t75" alt="LexisNexis®" style="width:148pt;height:30pt">
            <v:imagedata r:id="rId6" o:title=""/>
          </v:shape>
        </w:pict>
      </w:r>
      <w:r w:rsidR="00A540D1">
        <w:cr/>
      </w:r>
    </w:p>
    <w:p w14:paraId="07B5B8C5" w14:textId="77777777" w:rsidR="00054BF0" w:rsidRDefault="00000000">
      <w:pPr>
        <w:spacing w:before="240" w:after="200" w:line="340" w:lineRule="atLeast"/>
        <w:jc w:val="center"/>
        <w:outlineLvl w:val="0"/>
        <w:rPr>
          <w:rFonts w:ascii="Arial" w:hAnsi="Arial" w:cs="Arial"/>
          <w:b/>
          <w:bCs/>
          <w:kern w:val="32"/>
          <w:sz w:val="32"/>
          <w:szCs w:val="32"/>
        </w:rPr>
      </w:pPr>
      <w:hyperlink r:id="rId556" w:history="1">
        <w:r>
          <w:rPr>
            <w:rFonts w:ascii="Arial" w:eastAsia="Arial" w:hAnsi="Arial" w:cs="Arial"/>
            <w:b/>
            <w:bCs/>
            <w:i/>
            <w:color w:val="0077CC"/>
            <w:kern w:val="32"/>
            <w:sz w:val="28"/>
            <w:szCs w:val="32"/>
            <w:u w:val="single"/>
            <w:shd w:val="clear" w:color="auto" w:fill="FFFFFF"/>
          </w:rPr>
          <w:t>What you need to know about becoming an angel investor in India</w:t>
        </w:r>
      </w:hyperlink>
    </w:p>
    <w:p w14:paraId="617E17DC" w14:textId="77777777" w:rsidR="00054BF0" w:rsidRDefault="00000000">
      <w:pPr>
        <w:spacing w:before="120" w:line="260" w:lineRule="atLeast"/>
        <w:jc w:val="center"/>
      </w:pPr>
      <w:r>
        <w:rPr>
          <w:rFonts w:ascii="Arial" w:eastAsia="Arial" w:hAnsi="Arial" w:cs="Arial"/>
          <w:color w:val="000000"/>
          <w:sz w:val="20"/>
        </w:rPr>
        <w:t>MINT</w:t>
      </w:r>
    </w:p>
    <w:p w14:paraId="3D6638E6" w14:textId="77777777" w:rsidR="00054BF0" w:rsidRDefault="00000000">
      <w:pPr>
        <w:spacing w:before="120" w:line="260" w:lineRule="atLeast"/>
        <w:jc w:val="center"/>
      </w:pPr>
      <w:r>
        <w:rPr>
          <w:rFonts w:ascii="Arial" w:eastAsia="Arial" w:hAnsi="Arial" w:cs="Arial"/>
          <w:color w:val="000000"/>
          <w:sz w:val="20"/>
        </w:rPr>
        <w:t>January 28, 2022 Friday</w:t>
      </w:r>
    </w:p>
    <w:p w14:paraId="15A1B190" w14:textId="77777777" w:rsidR="00054BF0" w:rsidRDefault="00054BF0">
      <w:pPr>
        <w:spacing w:line="240" w:lineRule="atLeast"/>
        <w:jc w:val="both"/>
      </w:pPr>
    </w:p>
    <w:p w14:paraId="7725AB44" w14:textId="77777777" w:rsidR="00054BF0" w:rsidRDefault="00000000">
      <w:pPr>
        <w:spacing w:before="120" w:line="220" w:lineRule="atLeast"/>
      </w:pPr>
      <w:r>
        <w:br/>
      </w:r>
      <w:r>
        <w:rPr>
          <w:rFonts w:ascii="Arial" w:eastAsia="Arial" w:hAnsi="Arial" w:cs="Arial"/>
          <w:color w:val="000000"/>
          <w:sz w:val="16"/>
        </w:rPr>
        <w:t>Copyright 2022 HT Media Ltd. All Rights Reserved</w:t>
      </w:r>
    </w:p>
    <w:p w14:paraId="7B283441"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832 words</w:t>
      </w:r>
    </w:p>
    <w:p w14:paraId="506998D3"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E18B030" w14:textId="77777777" w:rsidR="00054BF0" w:rsidRDefault="00000000">
      <w:pPr>
        <w:keepNext/>
        <w:spacing w:before="240" w:line="340" w:lineRule="atLeast"/>
      </w:pPr>
      <w:bookmarkStart w:id="74" w:name="Body_34"/>
      <w:bookmarkEnd w:id="74"/>
      <w:r>
        <w:rPr>
          <w:rFonts w:ascii="Arial" w:eastAsia="Arial" w:hAnsi="Arial" w:cs="Arial"/>
          <w:b/>
          <w:color w:val="000000"/>
          <w:sz w:val="28"/>
        </w:rPr>
        <w:t>Body</w:t>
      </w:r>
    </w:p>
    <w:p w14:paraId="142C23F7" w14:textId="77777777" w:rsidR="00054BF0" w:rsidRDefault="00000000">
      <w:pPr>
        <w:spacing w:line="60" w:lineRule="exact"/>
      </w:pPr>
      <w:r>
        <w:pict w14:anchorId="547601EC">
          <v:line id="_x0000_s2176" style="position:absolute;z-index:251737088" from="0,2pt" to="512pt,2pt" strokecolor="#009ddb" strokeweight="2pt">
            <w10:wrap type="topAndBottom"/>
          </v:line>
        </w:pict>
      </w:r>
    </w:p>
    <w:p w14:paraId="7C6C7E63" w14:textId="77777777" w:rsidR="00054BF0" w:rsidRDefault="00054BF0"/>
    <w:p w14:paraId="69399CFD" w14:textId="77777777" w:rsidR="00054BF0" w:rsidRDefault="00000000">
      <w:pPr>
        <w:spacing w:before="200" w:line="260" w:lineRule="atLeast"/>
        <w:jc w:val="both"/>
      </w:pPr>
      <w:r>
        <w:rPr>
          <w:rFonts w:ascii="Arial" w:eastAsia="Arial" w:hAnsi="Arial" w:cs="Arial"/>
          <w:color w:val="000000"/>
          <w:sz w:val="20"/>
        </w:rPr>
        <w:t xml:space="preserve">New Delhi, Jan. 28 -- </w:t>
      </w:r>
      <w:r>
        <w:rPr>
          <w:rFonts w:ascii="Arial" w:eastAsia="Arial" w:hAnsi="Arial" w:cs="Arial"/>
          <w:b/>
          <w:i/>
          <w:color w:val="000000"/>
          <w:sz w:val="20"/>
          <w:u w:val="single"/>
        </w:rPr>
        <w:t>Startup</w:t>
      </w:r>
      <w:r>
        <w:rPr>
          <w:rFonts w:ascii="Arial" w:eastAsia="Arial" w:hAnsi="Arial" w:cs="Arial"/>
          <w:color w:val="000000"/>
          <w:sz w:val="20"/>
        </w:rPr>
        <w:t xml:space="preserve"> investing has been glamourised in the media through shows like Shark Tank and headlines about various </w:t>
      </w:r>
      <w:r>
        <w:rPr>
          <w:rFonts w:ascii="Arial" w:eastAsia="Arial" w:hAnsi="Arial" w:cs="Arial"/>
          <w:b/>
          <w:i/>
          <w:color w:val="000000"/>
          <w:sz w:val="20"/>
          <w:u w:val="single"/>
        </w:rPr>
        <w:t>startups</w:t>
      </w:r>
      <w:r>
        <w:rPr>
          <w:rFonts w:ascii="Arial" w:eastAsia="Arial" w:hAnsi="Arial" w:cs="Arial"/>
          <w:color w:val="000000"/>
          <w:sz w:val="20"/>
        </w:rPr>
        <w:t xml:space="preserve"> turning unicorns (a valuation of $1 billion). However, it is traditionally not featured among the basket of investments available to individuals. In this piece, we explore the advantages and risks of being an angel investor.</w:t>
      </w:r>
    </w:p>
    <w:p w14:paraId="62488E05" w14:textId="77777777" w:rsidR="00054BF0" w:rsidRDefault="00000000">
      <w:pPr>
        <w:spacing w:before="200" w:line="260" w:lineRule="atLeast"/>
        <w:jc w:val="both"/>
      </w:pPr>
      <w:r>
        <w:rPr>
          <w:rFonts w:ascii="Arial" w:eastAsia="Arial" w:hAnsi="Arial" w:cs="Arial"/>
          <w:color w:val="000000"/>
          <w:sz w:val="20"/>
        </w:rPr>
        <w:t xml:space="preserve">Individuals can become angel investors in two ways. First, they can source 'direct deals' or investment opportunities in </w:t>
      </w:r>
      <w:r>
        <w:rPr>
          <w:rFonts w:ascii="Arial" w:eastAsia="Arial" w:hAnsi="Arial" w:cs="Arial"/>
          <w:b/>
          <w:i/>
          <w:color w:val="000000"/>
          <w:sz w:val="20"/>
          <w:u w:val="single"/>
        </w:rPr>
        <w:t>startups</w:t>
      </w:r>
      <w:r>
        <w:rPr>
          <w:rFonts w:ascii="Arial" w:eastAsia="Arial" w:hAnsi="Arial" w:cs="Arial"/>
          <w:color w:val="000000"/>
          <w:sz w:val="20"/>
        </w:rPr>
        <w:t xml:space="preserve"> through their own social network. Second, they can join platforms dedicated to angel investing such as Angellist, Mumbai Angels and Let's Venture. These platforms provide avenues for </w:t>
      </w:r>
      <w:r>
        <w:rPr>
          <w:rFonts w:ascii="Arial" w:eastAsia="Arial" w:hAnsi="Arial" w:cs="Arial"/>
          <w:b/>
          <w:i/>
          <w:color w:val="000000"/>
          <w:sz w:val="20"/>
          <w:u w:val="single"/>
        </w:rPr>
        <w:t>startups</w:t>
      </w:r>
      <w:r>
        <w:rPr>
          <w:rFonts w:ascii="Arial" w:eastAsia="Arial" w:hAnsi="Arial" w:cs="Arial"/>
          <w:color w:val="000000"/>
          <w:sz w:val="20"/>
        </w:rPr>
        <w:t xml:space="preserve"> to approach individuals for angel or seed funding. Post-pandemic, most platforms conduct their operations online. Entrepreneurs pitch ideas to </w:t>
      </w:r>
      <w:r>
        <w:rPr>
          <w:rFonts w:ascii="Arial" w:eastAsia="Arial" w:hAnsi="Arial" w:cs="Arial"/>
          <w:b/>
          <w:i/>
          <w:color w:val="000000"/>
          <w:sz w:val="20"/>
          <w:u w:val="single"/>
        </w:rPr>
        <w:t>startup</w:t>
      </w:r>
      <w:r>
        <w:rPr>
          <w:rFonts w:ascii="Arial" w:eastAsia="Arial" w:hAnsi="Arial" w:cs="Arial"/>
          <w:color w:val="000000"/>
          <w:sz w:val="20"/>
        </w:rPr>
        <w:t xml:space="preserve"> investors over Zoom and other online meeting channels and investors then decide whether to invest. The angel round is the very first round of funding for a </w:t>
      </w:r>
      <w:r>
        <w:rPr>
          <w:rFonts w:ascii="Arial" w:eastAsia="Arial" w:hAnsi="Arial" w:cs="Arial"/>
          <w:b/>
          <w:i/>
          <w:color w:val="000000"/>
          <w:sz w:val="20"/>
          <w:u w:val="single"/>
        </w:rPr>
        <w:t>startup</w:t>
      </w:r>
      <w:r>
        <w:rPr>
          <w:rFonts w:ascii="Arial" w:eastAsia="Arial" w:hAnsi="Arial" w:cs="Arial"/>
          <w:color w:val="000000"/>
          <w:sz w:val="20"/>
        </w:rPr>
        <w:t xml:space="preserve"> that is typically followed by venture capital rounds such as Series A, Series B and so on. Venture capital rounds are generally followed by late stage or pre-IPO funding and ultimately followed by an initial public offering (IPO).</w:t>
      </w:r>
    </w:p>
    <w:p w14:paraId="147D362D" w14:textId="77777777" w:rsidR="00054BF0" w:rsidRDefault="00000000">
      <w:pPr>
        <w:spacing w:before="200" w:line="260" w:lineRule="atLeast"/>
        <w:jc w:val="both"/>
      </w:pPr>
      <w:r>
        <w:rPr>
          <w:rFonts w:ascii="Arial" w:eastAsia="Arial" w:hAnsi="Arial" w:cs="Arial"/>
          <w:color w:val="000000"/>
          <w:sz w:val="20"/>
        </w:rPr>
        <w:t xml:space="preserve">The big advantage of entering a company at angel or seed round is the ability to gain from its growth long before it becomes publicly listed. The big disadvantage is a much higher level of risk. However, going through an angel platform can reduce the risk. Typically, these platforms perform an initial round of due diligence before </w:t>
      </w:r>
      <w:r>
        <w:rPr>
          <w:rFonts w:ascii="Arial" w:eastAsia="Arial" w:hAnsi="Arial" w:cs="Arial"/>
          <w:b/>
          <w:i/>
          <w:color w:val="000000"/>
          <w:sz w:val="20"/>
          <w:u w:val="single"/>
        </w:rPr>
        <w:t>startups</w:t>
      </w:r>
      <w:r>
        <w:rPr>
          <w:rFonts w:ascii="Arial" w:eastAsia="Arial" w:hAnsi="Arial" w:cs="Arial"/>
          <w:color w:val="000000"/>
          <w:sz w:val="20"/>
        </w:rPr>
        <w:t xml:space="preserve"> are allowed to pitch and even after investment they perform additional checks and monitoring of the </w:t>
      </w:r>
      <w:r>
        <w:rPr>
          <w:rFonts w:ascii="Arial" w:eastAsia="Arial" w:hAnsi="Arial" w:cs="Arial"/>
          <w:b/>
          <w:i/>
          <w:color w:val="000000"/>
          <w:sz w:val="20"/>
          <w:u w:val="single"/>
        </w:rPr>
        <w:t>startups</w:t>
      </w:r>
      <w:r>
        <w:rPr>
          <w:rFonts w:ascii="Arial" w:eastAsia="Arial" w:hAnsi="Arial" w:cs="Arial"/>
          <w:color w:val="000000"/>
          <w:sz w:val="20"/>
        </w:rPr>
        <w:t>. According to Nakul Saxena, head - fund strategy &amp; investor relations, LetsVenture, the platform provides a strong curation process, performs due diligence, manages fund accounting and portfolio information for the investors and protects investor rights, "We used to get 50-60 new investors every week till 2021. Last year that number doubled to 100-120," he added.</w:t>
      </w:r>
    </w:p>
    <w:p w14:paraId="22942674" w14:textId="77777777" w:rsidR="00054BF0" w:rsidRDefault="00000000">
      <w:pPr>
        <w:spacing w:before="200" w:line="260" w:lineRule="atLeast"/>
        <w:jc w:val="both"/>
      </w:pPr>
      <w:r>
        <w:rPr>
          <w:rFonts w:ascii="Arial" w:eastAsia="Arial" w:hAnsi="Arial" w:cs="Arial"/>
          <w:color w:val="000000"/>
          <w:sz w:val="20"/>
        </w:rPr>
        <w:t xml:space="preserve">Both Let's Venture and Angellist, another </w:t>
      </w:r>
      <w:r>
        <w:rPr>
          <w:rFonts w:ascii="Arial" w:eastAsia="Arial" w:hAnsi="Arial" w:cs="Arial"/>
          <w:b/>
          <w:i/>
          <w:color w:val="000000"/>
          <w:sz w:val="20"/>
          <w:u w:val="single"/>
        </w:rPr>
        <w:t>startup</w:t>
      </w:r>
      <w:r>
        <w:rPr>
          <w:rFonts w:ascii="Arial" w:eastAsia="Arial" w:hAnsi="Arial" w:cs="Arial"/>
          <w:color w:val="000000"/>
          <w:sz w:val="20"/>
        </w:rPr>
        <w:t xml:space="preserve"> investment platform, operate through the 'Angel Fund' structure. Angel funds are Category I Alternative Investment Funds, regulated by Sebi. These funds require you to have a minimum net worth of Rs.2 crore (excluding your primary residence) and you must invest a minimum amount of Rs.25 lakh in the fund. "Apart from money you should have access-the ability to help founders with your personal and professional network and the ability to analyse deals. This is not a passive investment by any means," said Utsav Somani, partner, Angellist India.</w:t>
      </w:r>
    </w:p>
    <w:p w14:paraId="2893FC45" w14:textId="77777777" w:rsidR="00054BF0" w:rsidRDefault="00000000">
      <w:pPr>
        <w:spacing w:before="200" w:line="260" w:lineRule="atLeast"/>
        <w:jc w:val="both"/>
      </w:pPr>
      <w:r>
        <w:rPr>
          <w:rFonts w:ascii="Arial" w:eastAsia="Arial" w:hAnsi="Arial" w:cs="Arial"/>
          <w:color w:val="000000"/>
          <w:sz w:val="20"/>
        </w:rPr>
        <w:t xml:space="preserve">However, some wealth management professionals remain sceptical. "Angel investing suffers from an adverse selection problem. </w:t>
      </w:r>
      <w:r>
        <w:rPr>
          <w:rFonts w:ascii="Arial" w:eastAsia="Arial" w:hAnsi="Arial" w:cs="Arial"/>
          <w:b/>
          <w:i/>
          <w:color w:val="000000"/>
          <w:sz w:val="20"/>
          <w:u w:val="single"/>
        </w:rPr>
        <w:t>Startups</w:t>
      </w:r>
      <w:r>
        <w:rPr>
          <w:rFonts w:ascii="Arial" w:eastAsia="Arial" w:hAnsi="Arial" w:cs="Arial"/>
          <w:color w:val="000000"/>
          <w:sz w:val="20"/>
        </w:rPr>
        <w:t xml:space="preserve"> want a single large cheque than multiple small cheques (multiple small investors) and so their first preference is ultra high net worth individuals (HNIs) or funds. The deals that come to smaller investors </w:t>
      </w:r>
      <w:r>
        <w:rPr>
          <w:rFonts w:ascii="Arial" w:eastAsia="Arial" w:hAnsi="Arial" w:cs="Arial"/>
          <w:color w:val="000000"/>
          <w:sz w:val="20"/>
        </w:rPr>
        <w:lastRenderedPageBreak/>
        <w:t>need more diligence and possibly expert help. Angel investments typically have a longer gestation period and need to be diversified well," said Sandeep Jethwani, co-founder Dezerv, a wealth tech platform.</w:t>
      </w:r>
    </w:p>
    <w:p w14:paraId="5041AB85" w14:textId="77777777" w:rsidR="00054BF0" w:rsidRDefault="00000000">
      <w:pPr>
        <w:spacing w:before="200" w:line="260" w:lineRule="atLeast"/>
        <w:jc w:val="both"/>
      </w:pPr>
      <w:r>
        <w:rPr>
          <w:rFonts w:ascii="Arial" w:eastAsia="Arial" w:hAnsi="Arial" w:cs="Arial"/>
          <w:color w:val="000000"/>
          <w:sz w:val="20"/>
        </w:rPr>
        <w:t xml:space="preserve">Roopali Prabhu who is co-head, products and investments at Sanctum Wealth, added a few more objections. "Only a small percentage of </w:t>
      </w:r>
      <w:r>
        <w:rPr>
          <w:rFonts w:ascii="Arial" w:eastAsia="Arial" w:hAnsi="Arial" w:cs="Arial"/>
          <w:b/>
          <w:i/>
          <w:color w:val="000000"/>
          <w:sz w:val="20"/>
          <w:u w:val="single"/>
        </w:rPr>
        <w:t>startups</w:t>
      </w:r>
      <w:r>
        <w:rPr>
          <w:rFonts w:ascii="Arial" w:eastAsia="Arial" w:hAnsi="Arial" w:cs="Arial"/>
          <w:color w:val="000000"/>
          <w:sz w:val="20"/>
        </w:rPr>
        <w:t xml:space="preserve"> actually succeed and hence diversification across deals is important. Second, it is not a one-time investment. </w:t>
      </w:r>
      <w:r>
        <w:rPr>
          <w:rFonts w:ascii="Arial" w:eastAsia="Arial" w:hAnsi="Arial" w:cs="Arial"/>
          <w:b/>
          <w:i/>
          <w:color w:val="000000"/>
          <w:sz w:val="20"/>
          <w:u w:val="single"/>
        </w:rPr>
        <w:t>Startups</w:t>
      </w:r>
      <w:r>
        <w:rPr>
          <w:rFonts w:ascii="Arial" w:eastAsia="Arial" w:hAnsi="Arial" w:cs="Arial"/>
          <w:color w:val="000000"/>
          <w:sz w:val="20"/>
        </w:rPr>
        <w:t xml:space="preserve"> keep needing capital in the initial stages of their existence. Investors with a net worth less than Rs.100 crore should go through angel funds if they are really keen. In our case, we suggest pre-Series A investments rather than angel to reduce the risk. Many </w:t>
      </w:r>
      <w:r>
        <w:rPr>
          <w:rFonts w:ascii="Arial" w:eastAsia="Arial" w:hAnsi="Arial" w:cs="Arial"/>
          <w:b/>
          <w:i/>
          <w:color w:val="000000"/>
          <w:sz w:val="20"/>
          <w:u w:val="single"/>
        </w:rPr>
        <w:t>startups</w:t>
      </w:r>
      <w:r>
        <w:rPr>
          <w:rFonts w:ascii="Arial" w:eastAsia="Arial" w:hAnsi="Arial" w:cs="Arial"/>
          <w:color w:val="000000"/>
          <w:sz w:val="20"/>
        </w:rPr>
        <w:t xml:space="preserve"> die before they even get to pre-Series A," she said.</w:t>
      </w:r>
    </w:p>
    <w:p w14:paraId="025DFFF6" w14:textId="77777777" w:rsidR="00054BF0" w:rsidRDefault="00000000">
      <w:pPr>
        <w:spacing w:before="200" w:line="260" w:lineRule="atLeast"/>
        <w:jc w:val="both"/>
      </w:pPr>
      <w:r>
        <w:rPr>
          <w:rFonts w:ascii="Arial" w:eastAsia="Arial" w:hAnsi="Arial" w:cs="Arial"/>
          <w:color w:val="000000"/>
          <w:sz w:val="20"/>
        </w:rPr>
        <w:t>Taxation: According to Parizad Sirwalla, partner and head, global mobility services-tax, KPMG India, investments by angel investors in unlisted shares attract capital gains tax on exit. If the sale consideration is less than the prescribed Fair Market value (FMV), then the latter will be considered for tax purposes rather than actual sale price, subject to other specific conditions. As with other unlisted shares, gains made within 24 months of purchase are subject to Short Term Capital Gains (STCG) Tax which is as per the investor's slab rate. After a 24-month holding period, Long Term Capital Gains Tax (LTCG) at 20% applies and you also get the benefit of indexation.</w:t>
      </w:r>
    </w:p>
    <w:p w14:paraId="6B313065" w14:textId="77777777" w:rsidR="00054BF0" w:rsidRDefault="00000000">
      <w:pPr>
        <w:spacing w:before="200" w:line="260" w:lineRule="atLeast"/>
        <w:jc w:val="both"/>
      </w:pPr>
      <w:r>
        <w:rPr>
          <w:rFonts w:ascii="Arial" w:eastAsia="Arial" w:hAnsi="Arial" w:cs="Arial"/>
          <w:color w:val="000000"/>
          <w:sz w:val="20"/>
        </w:rPr>
        <w:t xml:space="preserve">Mint Take: </w:t>
      </w:r>
      <w:r>
        <w:rPr>
          <w:rFonts w:ascii="Arial" w:eastAsia="Arial" w:hAnsi="Arial" w:cs="Arial"/>
          <w:b/>
          <w:i/>
          <w:color w:val="000000"/>
          <w:sz w:val="20"/>
          <w:u w:val="single"/>
        </w:rPr>
        <w:t>Startup</w:t>
      </w:r>
      <w:r>
        <w:rPr>
          <w:rFonts w:ascii="Arial" w:eastAsia="Arial" w:hAnsi="Arial" w:cs="Arial"/>
          <w:color w:val="000000"/>
          <w:sz w:val="20"/>
        </w:rPr>
        <w:t xml:space="preserve"> investing is being democratized and presents an attractive investment opportunity. However, given the high chances of </w:t>
      </w:r>
      <w:r>
        <w:rPr>
          <w:rFonts w:ascii="Arial" w:eastAsia="Arial" w:hAnsi="Arial" w:cs="Arial"/>
          <w:b/>
          <w:i/>
          <w:color w:val="000000"/>
          <w:sz w:val="20"/>
          <w:u w:val="single"/>
        </w:rPr>
        <w:t>startups</w:t>
      </w:r>
      <w:r>
        <w:rPr>
          <w:rFonts w:ascii="Arial" w:eastAsia="Arial" w:hAnsi="Arial" w:cs="Arial"/>
          <w:color w:val="000000"/>
          <w:sz w:val="20"/>
        </w:rPr>
        <w:t xml:space="preserve"> going bust, you should have a portfolio that is large enough to accommodate such </w:t>
      </w:r>
      <w:r>
        <w:rPr>
          <w:rFonts w:ascii="Arial" w:eastAsia="Arial" w:hAnsi="Arial" w:cs="Arial"/>
          <w:b/>
          <w:i/>
          <w:color w:val="000000"/>
          <w:sz w:val="20"/>
          <w:u w:val="single"/>
        </w:rPr>
        <w:t>failures</w:t>
      </w:r>
      <w:r>
        <w:rPr>
          <w:rFonts w:ascii="Arial" w:eastAsia="Arial" w:hAnsi="Arial" w:cs="Arial"/>
          <w:color w:val="000000"/>
          <w:sz w:val="20"/>
        </w:rPr>
        <w:t xml:space="preserve">. The allocation to </w:t>
      </w:r>
      <w:r>
        <w:rPr>
          <w:rFonts w:ascii="Arial" w:eastAsia="Arial" w:hAnsi="Arial" w:cs="Arial"/>
          <w:b/>
          <w:i/>
          <w:color w:val="000000"/>
          <w:sz w:val="20"/>
          <w:u w:val="single"/>
        </w:rPr>
        <w:t>startups</w:t>
      </w:r>
      <w:r>
        <w:rPr>
          <w:rFonts w:ascii="Arial" w:eastAsia="Arial" w:hAnsi="Arial" w:cs="Arial"/>
          <w:color w:val="000000"/>
          <w:sz w:val="20"/>
        </w:rPr>
        <w:t xml:space="preserve"> also should be a small part of your portfolio since this is a high risk-high reward asset.</w:t>
      </w:r>
    </w:p>
    <w:p w14:paraId="591A7D17"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557" w:history="1">
        <w:r>
          <w:rPr>
            <w:rFonts w:ascii="Arial" w:eastAsia="Arial" w:hAnsi="Arial" w:cs="Arial"/>
            <w:i/>
            <w:color w:val="0077CC"/>
            <w:sz w:val="20"/>
            <w:u w:val="single"/>
            <w:shd w:val="clear" w:color="auto" w:fill="FFFFFF"/>
          </w:rPr>
          <w:t>contentservices@htlive.com</w:t>
        </w:r>
      </w:hyperlink>
    </w:p>
    <w:p w14:paraId="683DC993"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2022</w:t>
      </w:r>
    </w:p>
    <w:p w14:paraId="256AEDA9" w14:textId="77777777" w:rsidR="00054BF0" w:rsidRDefault="00054BF0"/>
    <w:p w14:paraId="122C3D65" w14:textId="77777777" w:rsidR="00054BF0" w:rsidRDefault="00000000">
      <w:pPr>
        <w:ind w:left="200"/>
        <w:sectPr w:rsidR="00054BF0">
          <w:type w:val="continuous"/>
          <w:pgSz w:w="12240" w:h="15840"/>
          <w:pgMar w:top="840" w:right="1000" w:bottom="840" w:left="1000" w:header="400" w:footer="400" w:gutter="0"/>
          <w:cols w:space="720"/>
        </w:sectPr>
      </w:pPr>
      <w:r>
        <w:br/>
      </w:r>
      <w:r>
        <w:pict w14:anchorId="4E349C11">
          <v:line id="_x0000_s2177" style="position:absolute;left:0;text-align:left;z-index:251738112;mso-position-horizontal-relative:text;mso-position-vertical-relative:text" from="0,10pt" to="512pt,10pt" strokeweight="1pt"/>
        </w:pict>
      </w:r>
      <w:r>
        <w:rPr>
          <w:rFonts w:ascii="Arial" w:eastAsia="Arial" w:hAnsi="Arial" w:cs="Arial"/>
          <w:b/>
          <w:color w:val="767676"/>
          <w:sz w:val="16"/>
        </w:rPr>
        <w:t>End of Document</w:t>
      </w:r>
    </w:p>
    <w:p w14:paraId="463C0CBB" w14:textId="77777777" w:rsidR="00054BF0" w:rsidRDefault="00054BF0">
      <w:pPr>
        <w:sectPr w:rsidR="00054BF0">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gutter="0"/>
          <w:cols w:space="720"/>
          <w:titlePg/>
        </w:sectPr>
      </w:pPr>
    </w:p>
    <w:p w14:paraId="08C12EE3" w14:textId="77777777" w:rsidR="00054BF0" w:rsidRDefault="00054BF0">
      <w:bookmarkStart w:id="75" w:name="Bookmark_37"/>
      <w:bookmarkEnd w:id="75"/>
    </w:p>
    <w:p w14:paraId="763082D8" w14:textId="77777777" w:rsidR="00054BF0" w:rsidRDefault="00BE2275">
      <w:r>
        <w:pict w14:anchorId="53541024">
          <v:shape id="_x0000_i1076" type="#_x0000_t75" alt="LexisNexis®" style="width:148pt;height:30pt">
            <v:imagedata r:id="rId6" o:title=""/>
          </v:shape>
        </w:pict>
      </w:r>
      <w:r w:rsidR="00A540D1">
        <w:cr/>
      </w:r>
    </w:p>
    <w:p w14:paraId="3E188424" w14:textId="77777777" w:rsidR="00054BF0" w:rsidRDefault="00000000">
      <w:pPr>
        <w:spacing w:before="240" w:after="200" w:line="340" w:lineRule="atLeast"/>
        <w:jc w:val="center"/>
        <w:outlineLvl w:val="0"/>
        <w:rPr>
          <w:rFonts w:ascii="Arial" w:hAnsi="Arial" w:cs="Arial"/>
          <w:b/>
          <w:bCs/>
          <w:kern w:val="32"/>
          <w:sz w:val="32"/>
          <w:szCs w:val="32"/>
        </w:rPr>
      </w:pPr>
      <w:hyperlink r:id="rId564" w:history="1">
        <w:r>
          <w:rPr>
            <w:rFonts w:ascii="Arial" w:eastAsia="Arial" w:hAnsi="Arial" w:cs="Arial"/>
            <w:b/>
            <w:bCs/>
            <w:i/>
            <w:color w:val="0077CC"/>
            <w:kern w:val="32"/>
            <w:sz w:val="28"/>
            <w:szCs w:val="32"/>
            <w:u w:val="single"/>
            <w:shd w:val="clear" w:color="auto" w:fill="FFFFFF"/>
          </w:rPr>
          <w:t>Here's how you can become an angel investor in India</w:t>
        </w:r>
      </w:hyperlink>
    </w:p>
    <w:p w14:paraId="4D9233AA" w14:textId="77777777" w:rsidR="00054BF0" w:rsidRDefault="00000000">
      <w:pPr>
        <w:spacing w:before="120" w:line="260" w:lineRule="atLeast"/>
        <w:jc w:val="center"/>
      </w:pPr>
      <w:r>
        <w:rPr>
          <w:rFonts w:ascii="Arial" w:eastAsia="Arial" w:hAnsi="Arial" w:cs="Arial"/>
          <w:color w:val="000000"/>
          <w:sz w:val="20"/>
        </w:rPr>
        <w:t>MINT</w:t>
      </w:r>
    </w:p>
    <w:p w14:paraId="7CD4F1BF" w14:textId="77777777" w:rsidR="00054BF0" w:rsidRDefault="00000000">
      <w:pPr>
        <w:spacing w:before="120" w:line="260" w:lineRule="atLeast"/>
        <w:jc w:val="center"/>
      </w:pPr>
      <w:r>
        <w:rPr>
          <w:rFonts w:ascii="Arial" w:eastAsia="Arial" w:hAnsi="Arial" w:cs="Arial"/>
          <w:color w:val="000000"/>
          <w:sz w:val="20"/>
        </w:rPr>
        <w:t>January 28, 2022 Friday</w:t>
      </w:r>
    </w:p>
    <w:p w14:paraId="104B294C" w14:textId="77777777" w:rsidR="00054BF0" w:rsidRDefault="00054BF0">
      <w:pPr>
        <w:spacing w:line="240" w:lineRule="atLeast"/>
        <w:jc w:val="both"/>
      </w:pPr>
    </w:p>
    <w:p w14:paraId="2E7BF44B" w14:textId="77777777" w:rsidR="00054BF0" w:rsidRDefault="00000000">
      <w:pPr>
        <w:spacing w:before="120" w:line="220" w:lineRule="atLeast"/>
      </w:pPr>
      <w:r>
        <w:br/>
      </w:r>
      <w:r>
        <w:rPr>
          <w:rFonts w:ascii="Arial" w:eastAsia="Arial" w:hAnsi="Arial" w:cs="Arial"/>
          <w:color w:val="000000"/>
          <w:sz w:val="16"/>
        </w:rPr>
        <w:t>Copyright 2022 HT Media Ltd. All Rights Reserved</w:t>
      </w:r>
    </w:p>
    <w:p w14:paraId="6457B71D"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832 words</w:t>
      </w:r>
    </w:p>
    <w:p w14:paraId="1418B385" w14:textId="77777777" w:rsidR="00054BF0"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2ABC2F2" w14:textId="77777777" w:rsidR="00054BF0" w:rsidRDefault="00000000">
      <w:pPr>
        <w:keepNext/>
        <w:spacing w:before="240" w:line="340" w:lineRule="atLeast"/>
      </w:pPr>
      <w:bookmarkStart w:id="76" w:name="Body_35"/>
      <w:bookmarkEnd w:id="76"/>
      <w:r>
        <w:rPr>
          <w:rFonts w:ascii="Arial" w:eastAsia="Arial" w:hAnsi="Arial" w:cs="Arial"/>
          <w:b/>
          <w:color w:val="000000"/>
          <w:sz w:val="28"/>
        </w:rPr>
        <w:t>Body</w:t>
      </w:r>
    </w:p>
    <w:p w14:paraId="62627848" w14:textId="77777777" w:rsidR="00054BF0" w:rsidRDefault="00000000">
      <w:pPr>
        <w:spacing w:line="60" w:lineRule="exact"/>
      </w:pPr>
      <w:r>
        <w:pict w14:anchorId="5AFC185B">
          <v:line id="_x0000_s2179" style="position:absolute;z-index:251739136" from="0,2pt" to="512pt,2pt" strokecolor="#009ddb" strokeweight="2pt">
            <w10:wrap type="topAndBottom"/>
          </v:line>
        </w:pict>
      </w:r>
    </w:p>
    <w:p w14:paraId="76AD4F19" w14:textId="77777777" w:rsidR="00054BF0" w:rsidRDefault="00054BF0"/>
    <w:p w14:paraId="71C07654" w14:textId="77777777" w:rsidR="00054BF0" w:rsidRDefault="00000000">
      <w:pPr>
        <w:spacing w:before="200" w:line="260" w:lineRule="atLeast"/>
        <w:jc w:val="both"/>
      </w:pPr>
      <w:r>
        <w:rPr>
          <w:rFonts w:ascii="Arial" w:eastAsia="Arial" w:hAnsi="Arial" w:cs="Arial"/>
          <w:color w:val="000000"/>
          <w:sz w:val="20"/>
        </w:rPr>
        <w:t xml:space="preserve">New Delhi, Jan. 28 -- </w:t>
      </w:r>
      <w:r>
        <w:rPr>
          <w:rFonts w:ascii="Arial" w:eastAsia="Arial" w:hAnsi="Arial" w:cs="Arial"/>
          <w:b/>
          <w:i/>
          <w:color w:val="000000"/>
          <w:sz w:val="20"/>
          <w:u w:val="single"/>
        </w:rPr>
        <w:t>Startup</w:t>
      </w:r>
      <w:r>
        <w:rPr>
          <w:rFonts w:ascii="Arial" w:eastAsia="Arial" w:hAnsi="Arial" w:cs="Arial"/>
          <w:color w:val="000000"/>
          <w:sz w:val="20"/>
        </w:rPr>
        <w:t xml:space="preserve"> investing has been glamourised in the media through shows like Shark Tank and headlines about various </w:t>
      </w:r>
      <w:r>
        <w:rPr>
          <w:rFonts w:ascii="Arial" w:eastAsia="Arial" w:hAnsi="Arial" w:cs="Arial"/>
          <w:b/>
          <w:i/>
          <w:color w:val="000000"/>
          <w:sz w:val="20"/>
          <w:u w:val="single"/>
        </w:rPr>
        <w:t>startups</w:t>
      </w:r>
      <w:r>
        <w:rPr>
          <w:rFonts w:ascii="Arial" w:eastAsia="Arial" w:hAnsi="Arial" w:cs="Arial"/>
          <w:color w:val="000000"/>
          <w:sz w:val="20"/>
        </w:rPr>
        <w:t xml:space="preserve"> turning unicorns (a valuation of $1 billion). However, it is traditionally not featured among the basket of investments available to individuals. In this piece, we explore the advantages and risks of being an angel investor.</w:t>
      </w:r>
    </w:p>
    <w:p w14:paraId="7F886547" w14:textId="77777777" w:rsidR="00054BF0" w:rsidRDefault="00000000">
      <w:pPr>
        <w:spacing w:before="200" w:line="260" w:lineRule="atLeast"/>
        <w:jc w:val="both"/>
      </w:pPr>
      <w:r>
        <w:rPr>
          <w:rFonts w:ascii="Arial" w:eastAsia="Arial" w:hAnsi="Arial" w:cs="Arial"/>
          <w:color w:val="000000"/>
          <w:sz w:val="20"/>
        </w:rPr>
        <w:t xml:space="preserve">Individuals can become angel investors in two ways. First, they can source 'direct deals' or investment opportunities in </w:t>
      </w:r>
      <w:r>
        <w:rPr>
          <w:rFonts w:ascii="Arial" w:eastAsia="Arial" w:hAnsi="Arial" w:cs="Arial"/>
          <w:b/>
          <w:i/>
          <w:color w:val="000000"/>
          <w:sz w:val="20"/>
          <w:u w:val="single"/>
        </w:rPr>
        <w:t>startups</w:t>
      </w:r>
      <w:r>
        <w:rPr>
          <w:rFonts w:ascii="Arial" w:eastAsia="Arial" w:hAnsi="Arial" w:cs="Arial"/>
          <w:color w:val="000000"/>
          <w:sz w:val="20"/>
        </w:rPr>
        <w:t xml:space="preserve"> through their own social network. Second, they can join platforms dedicated to angel investing such as Angellist, Mumbai Angels and Let's Venture. These platforms provide avenues for </w:t>
      </w:r>
      <w:r>
        <w:rPr>
          <w:rFonts w:ascii="Arial" w:eastAsia="Arial" w:hAnsi="Arial" w:cs="Arial"/>
          <w:b/>
          <w:i/>
          <w:color w:val="000000"/>
          <w:sz w:val="20"/>
          <w:u w:val="single"/>
        </w:rPr>
        <w:t>startups</w:t>
      </w:r>
      <w:r>
        <w:rPr>
          <w:rFonts w:ascii="Arial" w:eastAsia="Arial" w:hAnsi="Arial" w:cs="Arial"/>
          <w:color w:val="000000"/>
          <w:sz w:val="20"/>
        </w:rPr>
        <w:t xml:space="preserve"> to approach individuals for angel or seed funding. Post-pandemic, most platforms conduct their operations online. Entrepreneurs pitch ideas to </w:t>
      </w:r>
      <w:r>
        <w:rPr>
          <w:rFonts w:ascii="Arial" w:eastAsia="Arial" w:hAnsi="Arial" w:cs="Arial"/>
          <w:b/>
          <w:i/>
          <w:color w:val="000000"/>
          <w:sz w:val="20"/>
          <w:u w:val="single"/>
        </w:rPr>
        <w:t>startup</w:t>
      </w:r>
      <w:r>
        <w:rPr>
          <w:rFonts w:ascii="Arial" w:eastAsia="Arial" w:hAnsi="Arial" w:cs="Arial"/>
          <w:color w:val="000000"/>
          <w:sz w:val="20"/>
        </w:rPr>
        <w:t xml:space="preserve"> investors over Zoom and other online meeting channels and investors then decide whether to invest. The angel round is the very first round of funding for a </w:t>
      </w:r>
      <w:r>
        <w:rPr>
          <w:rFonts w:ascii="Arial" w:eastAsia="Arial" w:hAnsi="Arial" w:cs="Arial"/>
          <w:b/>
          <w:i/>
          <w:color w:val="000000"/>
          <w:sz w:val="20"/>
          <w:u w:val="single"/>
        </w:rPr>
        <w:t>startup</w:t>
      </w:r>
      <w:r>
        <w:rPr>
          <w:rFonts w:ascii="Arial" w:eastAsia="Arial" w:hAnsi="Arial" w:cs="Arial"/>
          <w:color w:val="000000"/>
          <w:sz w:val="20"/>
        </w:rPr>
        <w:t xml:space="preserve"> that is typically followed by venture capital rounds such as Series A, Series B and so on. Venture capital rounds are generally followed by late stage or pre-IPO funding and ultimately followed by an initial public offering (IPO).</w:t>
      </w:r>
    </w:p>
    <w:p w14:paraId="2EA2633C" w14:textId="77777777" w:rsidR="00054BF0" w:rsidRDefault="00000000">
      <w:pPr>
        <w:spacing w:before="200" w:line="260" w:lineRule="atLeast"/>
        <w:jc w:val="both"/>
      </w:pPr>
      <w:r>
        <w:rPr>
          <w:rFonts w:ascii="Arial" w:eastAsia="Arial" w:hAnsi="Arial" w:cs="Arial"/>
          <w:color w:val="000000"/>
          <w:sz w:val="20"/>
        </w:rPr>
        <w:t xml:space="preserve">The big advantage of entering a company at angel or seed round is the ability to gain from its growth long before it becomes publicly listed. The big disadvantage is a much higher level of risk. However, going through an angel platform can reduce the risk. Typically, these platforms perform an initial round of due diligence before </w:t>
      </w:r>
      <w:r>
        <w:rPr>
          <w:rFonts w:ascii="Arial" w:eastAsia="Arial" w:hAnsi="Arial" w:cs="Arial"/>
          <w:b/>
          <w:i/>
          <w:color w:val="000000"/>
          <w:sz w:val="20"/>
          <w:u w:val="single"/>
        </w:rPr>
        <w:t>startups</w:t>
      </w:r>
      <w:r>
        <w:rPr>
          <w:rFonts w:ascii="Arial" w:eastAsia="Arial" w:hAnsi="Arial" w:cs="Arial"/>
          <w:color w:val="000000"/>
          <w:sz w:val="20"/>
        </w:rPr>
        <w:t xml:space="preserve"> are allowed to pitch and even after investment they perform additional checks and monitoring of the </w:t>
      </w:r>
      <w:r>
        <w:rPr>
          <w:rFonts w:ascii="Arial" w:eastAsia="Arial" w:hAnsi="Arial" w:cs="Arial"/>
          <w:b/>
          <w:i/>
          <w:color w:val="000000"/>
          <w:sz w:val="20"/>
          <w:u w:val="single"/>
        </w:rPr>
        <w:t>startups</w:t>
      </w:r>
      <w:r>
        <w:rPr>
          <w:rFonts w:ascii="Arial" w:eastAsia="Arial" w:hAnsi="Arial" w:cs="Arial"/>
          <w:color w:val="000000"/>
          <w:sz w:val="20"/>
        </w:rPr>
        <w:t>. According to Nakul Saxena, head - fund strategy &amp; investor relations, LetsVenture, the platform provides a strong curation process, performs due diligence, manages fund accounting and portfolio information for the investors and protects investor rights, "We used to get 50-60 new investors every week till 2021. Last year that number doubled to 100-120," he added.</w:t>
      </w:r>
    </w:p>
    <w:p w14:paraId="26C5B3D0" w14:textId="77777777" w:rsidR="00054BF0" w:rsidRDefault="00000000">
      <w:pPr>
        <w:spacing w:before="200" w:line="260" w:lineRule="atLeast"/>
        <w:jc w:val="both"/>
      </w:pPr>
      <w:r>
        <w:rPr>
          <w:rFonts w:ascii="Arial" w:eastAsia="Arial" w:hAnsi="Arial" w:cs="Arial"/>
          <w:color w:val="000000"/>
          <w:sz w:val="20"/>
        </w:rPr>
        <w:t xml:space="preserve">Both Let's Venture and Angellist, another </w:t>
      </w:r>
      <w:r>
        <w:rPr>
          <w:rFonts w:ascii="Arial" w:eastAsia="Arial" w:hAnsi="Arial" w:cs="Arial"/>
          <w:b/>
          <w:i/>
          <w:color w:val="000000"/>
          <w:sz w:val="20"/>
          <w:u w:val="single"/>
        </w:rPr>
        <w:t>startup</w:t>
      </w:r>
      <w:r>
        <w:rPr>
          <w:rFonts w:ascii="Arial" w:eastAsia="Arial" w:hAnsi="Arial" w:cs="Arial"/>
          <w:color w:val="000000"/>
          <w:sz w:val="20"/>
        </w:rPr>
        <w:t xml:space="preserve"> investment platform, operate through the 'Angel Fund' structure. Angel funds are Category I Alternative Investment Funds, regulated by Sebi. These funds require you to have a minimum net worth of Rs.2 crore (excluding your primary residence) and you must invest a minimum amount of Rs.25 lakh in the fund. "Apart from money you should have access-the ability to help founders with your personal and professional network and the ability to analyse deals. This is not a passive investment by any means," said Utsav Somani, partner, Angellist India.</w:t>
      </w:r>
    </w:p>
    <w:p w14:paraId="09900330" w14:textId="77777777" w:rsidR="00054BF0" w:rsidRDefault="00000000">
      <w:pPr>
        <w:spacing w:before="200" w:line="260" w:lineRule="atLeast"/>
        <w:jc w:val="both"/>
      </w:pPr>
      <w:r>
        <w:rPr>
          <w:rFonts w:ascii="Arial" w:eastAsia="Arial" w:hAnsi="Arial" w:cs="Arial"/>
          <w:color w:val="000000"/>
          <w:sz w:val="20"/>
        </w:rPr>
        <w:t xml:space="preserve">However, some wealth management professionals remain sceptical. "Angel investing suffers from an adverse selection problem. </w:t>
      </w:r>
      <w:r>
        <w:rPr>
          <w:rFonts w:ascii="Arial" w:eastAsia="Arial" w:hAnsi="Arial" w:cs="Arial"/>
          <w:b/>
          <w:i/>
          <w:color w:val="000000"/>
          <w:sz w:val="20"/>
          <w:u w:val="single"/>
        </w:rPr>
        <w:t>Startups</w:t>
      </w:r>
      <w:r>
        <w:rPr>
          <w:rFonts w:ascii="Arial" w:eastAsia="Arial" w:hAnsi="Arial" w:cs="Arial"/>
          <w:color w:val="000000"/>
          <w:sz w:val="20"/>
        </w:rPr>
        <w:t xml:space="preserve"> want a single large cheque than multiple small cheques (multiple small investors) and so their first preference is ultra high net worth individuals (HNIs) or funds. The deals that come to smaller investors </w:t>
      </w:r>
      <w:r>
        <w:rPr>
          <w:rFonts w:ascii="Arial" w:eastAsia="Arial" w:hAnsi="Arial" w:cs="Arial"/>
          <w:color w:val="000000"/>
          <w:sz w:val="20"/>
        </w:rPr>
        <w:lastRenderedPageBreak/>
        <w:t>need more diligence and possibly expert help. Angel investments typically have a longer gestation period and need to be diversified well," said Sandeep Jethwani, co-founder Dezerv, a wealth tech platform.</w:t>
      </w:r>
    </w:p>
    <w:p w14:paraId="74D70CFE" w14:textId="77777777" w:rsidR="00054BF0" w:rsidRDefault="00000000">
      <w:pPr>
        <w:spacing w:before="200" w:line="260" w:lineRule="atLeast"/>
        <w:jc w:val="both"/>
      </w:pPr>
      <w:r>
        <w:rPr>
          <w:rFonts w:ascii="Arial" w:eastAsia="Arial" w:hAnsi="Arial" w:cs="Arial"/>
          <w:color w:val="000000"/>
          <w:sz w:val="20"/>
        </w:rPr>
        <w:t xml:space="preserve">Roopali Prabhu who is co-head, products and investments at Sanctum Wealth, added a few more objections. "Only a small percentage of </w:t>
      </w:r>
      <w:r>
        <w:rPr>
          <w:rFonts w:ascii="Arial" w:eastAsia="Arial" w:hAnsi="Arial" w:cs="Arial"/>
          <w:b/>
          <w:i/>
          <w:color w:val="000000"/>
          <w:sz w:val="20"/>
          <w:u w:val="single"/>
        </w:rPr>
        <w:t>startups</w:t>
      </w:r>
      <w:r>
        <w:rPr>
          <w:rFonts w:ascii="Arial" w:eastAsia="Arial" w:hAnsi="Arial" w:cs="Arial"/>
          <w:color w:val="000000"/>
          <w:sz w:val="20"/>
        </w:rPr>
        <w:t xml:space="preserve"> actually succeed and hence diversification across deals is important. Second, it is not a one-time investment. </w:t>
      </w:r>
      <w:r>
        <w:rPr>
          <w:rFonts w:ascii="Arial" w:eastAsia="Arial" w:hAnsi="Arial" w:cs="Arial"/>
          <w:b/>
          <w:i/>
          <w:color w:val="000000"/>
          <w:sz w:val="20"/>
          <w:u w:val="single"/>
        </w:rPr>
        <w:t>Startups</w:t>
      </w:r>
      <w:r>
        <w:rPr>
          <w:rFonts w:ascii="Arial" w:eastAsia="Arial" w:hAnsi="Arial" w:cs="Arial"/>
          <w:color w:val="000000"/>
          <w:sz w:val="20"/>
        </w:rPr>
        <w:t xml:space="preserve"> keep needing capital in the initial stages of their existence. Investors with a net worth less than Rs.100 crore should go through angel funds if they are really keen. In our case, we suggest pre-Series A investments rather than angel to reduce the risk. Many </w:t>
      </w:r>
      <w:r>
        <w:rPr>
          <w:rFonts w:ascii="Arial" w:eastAsia="Arial" w:hAnsi="Arial" w:cs="Arial"/>
          <w:b/>
          <w:i/>
          <w:color w:val="000000"/>
          <w:sz w:val="20"/>
          <w:u w:val="single"/>
        </w:rPr>
        <w:t>startups</w:t>
      </w:r>
      <w:r>
        <w:rPr>
          <w:rFonts w:ascii="Arial" w:eastAsia="Arial" w:hAnsi="Arial" w:cs="Arial"/>
          <w:color w:val="000000"/>
          <w:sz w:val="20"/>
        </w:rPr>
        <w:t xml:space="preserve"> die before they even get to pre-Series A," she said.</w:t>
      </w:r>
    </w:p>
    <w:p w14:paraId="791A7431" w14:textId="77777777" w:rsidR="00054BF0" w:rsidRDefault="00000000">
      <w:pPr>
        <w:spacing w:before="200" w:line="260" w:lineRule="atLeast"/>
        <w:jc w:val="both"/>
      </w:pPr>
      <w:r>
        <w:rPr>
          <w:rFonts w:ascii="Arial" w:eastAsia="Arial" w:hAnsi="Arial" w:cs="Arial"/>
          <w:color w:val="000000"/>
          <w:sz w:val="20"/>
        </w:rPr>
        <w:t>Taxation: According to Parizad Sirwalla, partner and head, global mobility services-tax, KPMG India, investments by angel investors in unlisted shares attract capital gains tax on exit. If the sale consideration is less than the prescribed Fair Market value (FMV), then the latter will be considered for tax purposes rather than actual sale price, subject to other specific conditions. As with other unlisted shares, gains made within 24 months of purchase are subject to Short Term Capital Gains (STCG) Tax which is as per the investor's slab rate. After a 24-month holding period, Long Term Capital Gains Tax (LTCG) at 20% applies and you also get the benefit of indexation.</w:t>
      </w:r>
    </w:p>
    <w:p w14:paraId="06E868D3" w14:textId="77777777" w:rsidR="00054BF0" w:rsidRDefault="00000000">
      <w:pPr>
        <w:spacing w:before="200" w:line="260" w:lineRule="atLeast"/>
        <w:jc w:val="both"/>
      </w:pPr>
      <w:r>
        <w:rPr>
          <w:rFonts w:ascii="Arial" w:eastAsia="Arial" w:hAnsi="Arial" w:cs="Arial"/>
          <w:color w:val="000000"/>
          <w:sz w:val="20"/>
        </w:rPr>
        <w:t xml:space="preserve">Mint Take: </w:t>
      </w:r>
      <w:r>
        <w:rPr>
          <w:rFonts w:ascii="Arial" w:eastAsia="Arial" w:hAnsi="Arial" w:cs="Arial"/>
          <w:b/>
          <w:i/>
          <w:color w:val="000000"/>
          <w:sz w:val="20"/>
          <w:u w:val="single"/>
        </w:rPr>
        <w:t>Startup</w:t>
      </w:r>
      <w:r>
        <w:rPr>
          <w:rFonts w:ascii="Arial" w:eastAsia="Arial" w:hAnsi="Arial" w:cs="Arial"/>
          <w:color w:val="000000"/>
          <w:sz w:val="20"/>
        </w:rPr>
        <w:t xml:space="preserve"> investing is being democratized and presents an attractive investment opportunity. However, given the high chances of </w:t>
      </w:r>
      <w:r>
        <w:rPr>
          <w:rFonts w:ascii="Arial" w:eastAsia="Arial" w:hAnsi="Arial" w:cs="Arial"/>
          <w:b/>
          <w:i/>
          <w:color w:val="000000"/>
          <w:sz w:val="20"/>
          <w:u w:val="single"/>
        </w:rPr>
        <w:t>startups</w:t>
      </w:r>
      <w:r>
        <w:rPr>
          <w:rFonts w:ascii="Arial" w:eastAsia="Arial" w:hAnsi="Arial" w:cs="Arial"/>
          <w:color w:val="000000"/>
          <w:sz w:val="20"/>
        </w:rPr>
        <w:t xml:space="preserve"> going bust, you should have a portfolio that is large enough to accommodate such </w:t>
      </w:r>
      <w:r>
        <w:rPr>
          <w:rFonts w:ascii="Arial" w:eastAsia="Arial" w:hAnsi="Arial" w:cs="Arial"/>
          <w:b/>
          <w:i/>
          <w:color w:val="000000"/>
          <w:sz w:val="20"/>
          <w:u w:val="single"/>
        </w:rPr>
        <w:t>failures</w:t>
      </w:r>
      <w:r>
        <w:rPr>
          <w:rFonts w:ascii="Arial" w:eastAsia="Arial" w:hAnsi="Arial" w:cs="Arial"/>
          <w:color w:val="000000"/>
          <w:sz w:val="20"/>
        </w:rPr>
        <w:t xml:space="preserve">. The allocation to </w:t>
      </w:r>
      <w:r>
        <w:rPr>
          <w:rFonts w:ascii="Arial" w:eastAsia="Arial" w:hAnsi="Arial" w:cs="Arial"/>
          <w:b/>
          <w:i/>
          <w:color w:val="000000"/>
          <w:sz w:val="20"/>
          <w:u w:val="single"/>
        </w:rPr>
        <w:t>startups</w:t>
      </w:r>
      <w:r>
        <w:rPr>
          <w:rFonts w:ascii="Arial" w:eastAsia="Arial" w:hAnsi="Arial" w:cs="Arial"/>
          <w:color w:val="000000"/>
          <w:sz w:val="20"/>
        </w:rPr>
        <w:t xml:space="preserve"> also should be a small part of your portfolio since this is a high risk-high reward asset.</w:t>
      </w:r>
    </w:p>
    <w:p w14:paraId="1D0A2538" w14:textId="77777777" w:rsidR="00054BF0"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565" w:history="1">
        <w:r>
          <w:rPr>
            <w:rFonts w:ascii="Arial" w:eastAsia="Arial" w:hAnsi="Arial" w:cs="Arial"/>
            <w:i/>
            <w:color w:val="0077CC"/>
            <w:sz w:val="20"/>
            <w:u w:val="single"/>
            <w:shd w:val="clear" w:color="auto" w:fill="FFFFFF"/>
          </w:rPr>
          <w:t>contentservices@htlive.com</w:t>
        </w:r>
      </w:hyperlink>
    </w:p>
    <w:p w14:paraId="2942A286"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2022</w:t>
      </w:r>
    </w:p>
    <w:p w14:paraId="7C61A599" w14:textId="77777777" w:rsidR="00054BF0" w:rsidRDefault="00054BF0"/>
    <w:p w14:paraId="491AE441" w14:textId="77777777" w:rsidR="00054BF0" w:rsidRDefault="00000000">
      <w:pPr>
        <w:ind w:left="200"/>
        <w:sectPr w:rsidR="00054BF0">
          <w:type w:val="continuous"/>
          <w:pgSz w:w="12240" w:h="15840"/>
          <w:pgMar w:top="840" w:right="1000" w:bottom="840" w:left="1000" w:header="400" w:footer="400" w:gutter="0"/>
          <w:cols w:space="720"/>
        </w:sectPr>
      </w:pPr>
      <w:r>
        <w:br/>
      </w:r>
      <w:r>
        <w:pict w14:anchorId="143F4EC0">
          <v:line id="_x0000_s2180" style="position:absolute;left:0;text-align:left;z-index:251740160;mso-position-horizontal-relative:text;mso-position-vertical-relative:text" from="0,10pt" to="512pt,10pt" strokeweight="1pt"/>
        </w:pict>
      </w:r>
      <w:r>
        <w:rPr>
          <w:rFonts w:ascii="Arial" w:eastAsia="Arial" w:hAnsi="Arial" w:cs="Arial"/>
          <w:b/>
          <w:color w:val="767676"/>
          <w:sz w:val="16"/>
        </w:rPr>
        <w:t>End of Document</w:t>
      </w:r>
    </w:p>
    <w:p w14:paraId="27B36D41" w14:textId="77777777" w:rsidR="00054BF0" w:rsidRDefault="00054BF0">
      <w:pPr>
        <w:sectPr w:rsidR="00054BF0">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gutter="0"/>
          <w:cols w:space="720"/>
          <w:titlePg/>
        </w:sectPr>
      </w:pPr>
    </w:p>
    <w:p w14:paraId="29730FB6" w14:textId="77777777" w:rsidR="00054BF0" w:rsidRDefault="00054BF0">
      <w:bookmarkStart w:id="77" w:name="Bookmark_38"/>
      <w:bookmarkEnd w:id="77"/>
    </w:p>
    <w:p w14:paraId="3E2E7C54" w14:textId="77777777" w:rsidR="00054BF0" w:rsidRDefault="00BE2275">
      <w:r>
        <w:pict w14:anchorId="5BBCE09C">
          <v:shape id="_x0000_i1077" type="#_x0000_t75" alt="LexisNexis®" style="width:148pt;height:30pt">
            <v:imagedata r:id="rId6" o:title=""/>
          </v:shape>
        </w:pict>
      </w:r>
      <w:r w:rsidR="00A540D1">
        <w:cr/>
      </w:r>
    </w:p>
    <w:p w14:paraId="186479BC" w14:textId="77777777" w:rsidR="00054BF0" w:rsidRDefault="00000000">
      <w:pPr>
        <w:spacing w:before="240" w:after="200" w:line="340" w:lineRule="atLeast"/>
        <w:jc w:val="center"/>
        <w:outlineLvl w:val="0"/>
        <w:rPr>
          <w:rFonts w:ascii="Arial" w:hAnsi="Arial" w:cs="Arial"/>
          <w:b/>
          <w:bCs/>
          <w:kern w:val="32"/>
          <w:sz w:val="32"/>
          <w:szCs w:val="32"/>
        </w:rPr>
      </w:pPr>
      <w:hyperlink r:id="rId572" w:history="1">
        <w:r>
          <w:rPr>
            <w:rFonts w:ascii="Arial" w:eastAsia="Arial" w:hAnsi="Arial" w:cs="Arial"/>
            <w:b/>
            <w:bCs/>
            <w:i/>
            <w:color w:val="0077CC"/>
            <w:kern w:val="32"/>
            <w:sz w:val="28"/>
            <w:szCs w:val="32"/>
            <w:u w:val="single"/>
            <w:shd w:val="clear" w:color="auto" w:fill="FFFFFF"/>
          </w:rPr>
          <w:t>Meet the VC - Meet Chun Xia, founding partner at TSVC</w:t>
        </w:r>
      </w:hyperlink>
    </w:p>
    <w:p w14:paraId="619EE541" w14:textId="77777777" w:rsidR="00054BF0" w:rsidRDefault="00000000">
      <w:pPr>
        <w:spacing w:before="120" w:line="260" w:lineRule="atLeast"/>
        <w:jc w:val="center"/>
      </w:pPr>
      <w:r>
        <w:rPr>
          <w:rFonts w:ascii="Arial" w:eastAsia="Arial" w:hAnsi="Arial" w:cs="Arial"/>
          <w:color w:val="000000"/>
          <w:sz w:val="20"/>
        </w:rPr>
        <w:t xml:space="preserve">Newstex Blogs </w:t>
      </w:r>
    </w:p>
    <w:p w14:paraId="27CDE527" w14:textId="77777777" w:rsidR="00054BF0" w:rsidRDefault="00000000">
      <w:pPr>
        <w:spacing w:before="120" w:line="260" w:lineRule="atLeast"/>
        <w:jc w:val="center"/>
      </w:pPr>
      <w:r>
        <w:rPr>
          <w:rFonts w:ascii="Arial" w:eastAsia="Arial" w:hAnsi="Arial" w:cs="Arial"/>
          <w:color w:val="000000"/>
          <w:sz w:val="20"/>
        </w:rPr>
        <w:t>Vator News</w:t>
      </w:r>
    </w:p>
    <w:p w14:paraId="20DCCA48" w14:textId="77777777" w:rsidR="00054BF0" w:rsidRDefault="00000000">
      <w:pPr>
        <w:spacing w:before="120" w:line="260" w:lineRule="atLeast"/>
        <w:jc w:val="center"/>
      </w:pPr>
      <w:r>
        <w:rPr>
          <w:rFonts w:ascii="Arial" w:eastAsia="Arial" w:hAnsi="Arial" w:cs="Arial"/>
          <w:color w:val="000000"/>
          <w:sz w:val="20"/>
        </w:rPr>
        <w:t>January 25, 2021 Monday 7:45 PM EST</w:t>
      </w:r>
    </w:p>
    <w:p w14:paraId="51490013" w14:textId="77777777" w:rsidR="00054BF0" w:rsidRDefault="00054BF0">
      <w:pPr>
        <w:spacing w:line="240" w:lineRule="atLeast"/>
        <w:jc w:val="both"/>
      </w:pPr>
    </w:p>
    <w:p w14:paraId="7894C386" w14:textId="77777777" w:rsidR="00054BF0" w:rsidRDefault="00000000">
      <w:pPr>
        <w:spacing w:before="120" w:line="220" w:lineRule="atLeast"/>
      </w:pPr>
      <w:r>
        <w:br/>
      </w:r>
      <w:r>
        <w:rPr>
          <w:rFonts w:ascii="Arial" w:eastAsia="Arial" w:hAnsi="Arial" w:cs="Arial"/>
          <w:color w:val="000000"/>
          <w:sz w:val="16"/>
        </w:rPr>
        <w:t>Copyright 2021 Newstex LLC All Rights Reserved</w:t>
      </w:r>
    </w:p>
    <w:p w14:paraId="7E1DD7B9"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2954 words</w:t>
      </w:r>
    </w:p>
    <w:p w14:paraId="59E9D1B6"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Steven Loeb</w:t>
      </w:r>
    </w:p>
    <w:p w14:paraId="7A1F168B" w14:textId="77777777" w:rsidR="00054BF0" w:rsidRDefault="00000000">
      <w:pPr>
        <w:keepNext/>
        <w:spacing w:before="240" w:line="340" w:lineRule="atLeast"/>
      </w:pPr>
      <w:bookmarkStart w:id="78" w:name="Body_36"/>
      <w:bookmarkEnd w:id="78"/>
      <w:r>
        <w:rPr>
          <w:rFonts w:ascii="Arial" w:eastAsia="Arial" w:hAnsi="Arial" w:cs="Arial"/>
          <w:b/>
          <w:color w:val="000000"/>
          <w:sz w:val="28"/>
        </w:rPr>
        <w:t>Body</w:t>
      </w:r>
    </w:p>
    <w:p w14:paraId="15B0D420" w14:textId="77777777" w:rsidR="00054BF0" w:rsidRDefault="00000000">
      <w:pPr>
        <w:spacing w:line="60" w:lineRule="exact"/>
      </w:pPr>
      <w:r>
        <w:pict w14:anchorId="780197BC">
          <v:line id="_x0000_s2182" style="position:absolute;z-index:251741184" from="0,2pt" to="512pt,2pt" strokecolor="#009ddb" strokeweight="2pt">
            <w10:wrap type="topAndBottom"/>
          </v:line>
        </w:pict>
      </w:r>
    </w:p>
    <w:p w14:paraId="3BC68C64" w14:textId="77777777" w:rsidR="00054BF0" w:rsidRDefault="00054BF0"/>
    <w:p w14:paraId="4B04BE15" w14:textId="77777777" w:rsidR="00054BF0" w:rsidRDefault="00000000">
      <w:pPr>
        <w:spacing w:before="200" w:line="260" w:lineRule="atLeast"/>
        <w:jc w:val="both"/>
      </w:pPr>
      <w:r>
        <w:rPr>
          <w:rFonts w:ascii="Arial" w:eastAsia="Arial" w:hAnsi="Arial" w:cs="Arial"/>
          <w:color w:val="000000"/>
          <w:sz w:val="20"/>
        </w:rPr>
        <w:t xml:space="preserve">Jan 25, 2021( Vator News: </w:t>
      </w:r>
      <w:hyperlink r:id="rId573" w:history="1">
        <w:r>
          <w:rPr>
            <w:rFonts w:ascii="Arial" w:eastAsia="Arial" w:hAnsi="Arial" w:cs="Arial"/>
            <w:i/>
            <w:color w:val="0077CC"/>
            <w:sz w:val="20"/>
            <w:u w:val="single"/>
            <w:shd w:val="clear" w:color="auto" w:fill="FFFFFF"/>
          </w:rPr>
          <w:t>http://vator.tv/news</w:t>
        </w:r>
      </w:hyperlink>
      <w:r>
        <w:rPr>
          <w:rFonts w:ascii="Arial" w:eastAsia="Arial" w:hAnsi="Arial" w:cs="Arial"/>
          <w:color w:val="000000"/>
          <w:sz w:val="20"/>
        </w:rPr>
        <w:t xml:space="preserve"> Delivered by Newstex)  TSVC, formerly TEEC Angel Fund, makes 10 to 20 deals a year from a $25 million fundVenture capital used to be a cottage industry, with very few investing in tomorrow's products and services. Oh, how times have changed! While there are more </w:t>
      </w:r>
      <w:r>
        <w:rPr>
          <w:rFonts w:ascii="Arial" w:eastAsia="Arial" w:hAnsi="Arial" w:cs="Arial"/>
          <w:b/>
          <w:i/>
          <w:color w:val="000000"/>
          <w:sz w:val="20"/>
          <w:u w:val="single"/>
        </w:rPr>
        <w:t>startups</w:t>
      </w:r>
      <w:r>
        <w:rPr>
          <w:rFonts w:ascii="Arial" w:eastAsia="Arial" w:hAnsi="Arial" w:cs="Arial"/>
          <w:color w:val="000000"/>
          <w:sz w:val="20"/>
        </w:rPr>
        <w:t xml:space="preserve"> than ever, there's also more money chasing them. In this series, we look at the new (or relatively new) VCs in the early stages: seed and Series A. But just who are these funds and venture capitalists that run them?</w:t>
      </w:r>
    </w:p>
    <w:p w14:paraId="0FFCF8BC" w14:textId="77777777" w:rsidR="00054BF0" w:rsidRDefault="00000000">
      <w:pPr>
        <w:spacing w:before="240" w:line="260" w:lineRule="atLeast"/>
        <w:jc w:val="both"/>
      </w:pPr>
      <w:r>
        <w:rPr>
          <w:rFonts w:ascii="Arial" w:eastAsia="Arial" w:hAnsi="Arial" w:cs="Arial"/>
          <w:color w:val="000000"/>
          <w:sz w:val="20"/>
        </w:rPr>
        <w:t xml:space="preserve"> What kinds of investments do they like making, and how do they see themselves in the VC landscape? We're highlighting key members of the community to find out. Chun Xia is a founding partner at TSVC. Concurrent to his role at TSVC, Chun is the founder and CEO of Mash5Technologies, a company that focuses on IoT for smart devices. Mash5 isdedicated to help enterprises improve their user experience, reduce costs,and transform businesses by consolidating technologies, products, andoperations. Mash5 is headquartered in Silicon Valley, with operations in Beijingand Suzhou. From 2000 to 2001, Chun was President and CTO of Thinkmart, which offersweb marketing solutions for small to medium intellectual service providers,including legal, accounting, design, and many other sectors. Prior to that,Xia was the co-founder and CTO of brightinfo.com, a leading company ine-merchandising management for B2C online retailers. He holds a Ph.D. in Computer Science from University of Illinois at Urbana-Champaign, and a Bachelor of Engineering from Tsinghua University, Beijing. VatorNews: What is your investment philosophy or methodology? Chun Xia: TSVC is an angel fund. We invest mostly in the seed stage and we have 10 years of history. Our philosophy is to constantly look for unicorns. We need to get a unicorn. We write the very first check, like in Zoom we were the first person to invest, and then to make returns we need to have a unicorn. We've already had five, and two more are coming. Also part of a philosophy is that we believe in big trends. Even when those trends are not so obvious, if we do believe they have big potential then we want to invest. Also, if we believe that the team has very strong execution and ability, and they can be a winner. VN: Talk to me about some of those trends that you have invested in over the years. CX: One of the old ones, for example, when we invested in 2011, the trend was mobile internet for enterprise. Apple announced its iPhone in 2007 and after a few years we believed it was pretty much ready to get into the enterprise. So, that was a big trend. The current trend, of course, is what we see with COVID. COVID is really a huge cultural shift, and will change our behavior, like how everyone is now working from home. There is a lot of change, and some changes will stay. That'll create new opportunities, so we'll see that happen in a lot of ways and new ecosystems. VN: What are some of the trends that you've seen now because of COVID that you want to invest in going forward? CX: One good example is one of our recent portfolio companies, MyYogaTeacher[1]. People </w:t>
      </w:r>
      <w:r>
        <w:rPr>
          <w:rFonts w:ascii="Arial" w:eastAsia="Arial" w:hAnsi="Arial" w:cs="Arial"/>
          <w:b/>
          <w:i/>
          <w:color w:val="000000"/>
          <w:sz w:val="20"/>
          <w:u w:val="single"/>
        </w:rPr>
        <w:t>started</w:t>
      </w:r>
      <w:r>
        <w:rPr>
          <w:rFonts w:ascii="Arial" w:eastAsia="Arial" w:hAnsi="Arial" w:cs="Arial"/>
          <w:color w:val="000000"/>
          <w:sz w:val="20"/>
        </w:rPr>
        <w:t xml:space="preserve"> practicing yoga at home instead of going to a classroom, so this </w:t>
      </w:r>
      <w:r>
        <w:rPr>
          <w:rFonts w:ascii="Arial" w:eastAsia="Arial" w:hAnsi="Arial" w:cs="Arial"/>
          <w:b/>
          <w:i/>
          <w:color w:val="000000"/>
          <w:sz w:val="20"/>
          <w:u w:val="single"/>
        </w:rPr>
        <w:t>startup</w:t>
      </w:r>
      <w:r>
        <w:rPr>
          <w:rFonts w:ascii="Arial" w:eastAsia="Arial" w:hAnsi="Arial" w:cs="Arial"/>
          <w:color w:val="000000"/>
          <w:sz w:val="20"/>
        </w:rPr>
        <w:t xml:space="preserve"> has a yoga teacher on the other end of the globe, in India; you get a one-to-one Indian </w:t>
      </w:r>
      <w:r>
        <w:rPr>
          <w:rFonts w:ascii="Arial" w:eastAsia="Arial" w:hAnsi="Arial" w:cs="Arial"/>
          <w:color w:val="000000"/>
          <w:sz w:val="20"/>
        </w:rPr>
        <w:lastRenderedPageBreak/>
        <w:t xml:space="preserve">teacher and everything happens on Zoom. This is something new and we believe it will stay after COVID.  VN: What are your categories of interest? CX: In general, we can invest in whatever is IT related technology, from semiconductors and software and hardware to artificial intelligence. We don't do things like mature science, we don't do agriculture technology. VN: What's the big macro trend you're betting on? CX: As a fund, we just recently discussed a lot internally that the big trend is big VCs dominating the market. We call them the 'blue chip VCs.' So, then, how does a micro VC survive? This is a big challenge for us. So, we need to find our survival strategy, find our angle. VN: What is the size of your current fund and how many investments do you typically make in a year? CX: We are on Fund IV; we </w:t>
      </w:r>
      <w:r>
        <w:rPr>
          <w:rFonts w:ascii="Arial" w:eastAsia="Arial" w:hAnsi="Arial" w:cs="Arial"/>
          <w:b/>
          <w:i/>
          <w:color w:val="000000"/>
          <w:sz w:val="20"/>
          <w:u w:val="single"/>
        </w:rPr>
        <w:t>started</w:t>
      </w:r>
      <w:r>
        <w:rPr>
          <w:rFonts w:ascii="Arial" w:eastAsia="Arial" w:hAnsi="Arial" w:cs="Arial"/>
          <w:color w:val="000000"/>
          <w:sz w:val="20"/>
        </w:rPr>
        <w:t xml:space="preserve"> at $5 million and now it's a $25 million fund, so it's a small fund. Every year we invest in 10 to 20 deals, and so far we have 180 portfolio companies. VN: How much is that in dollar amount for you? CX: The typical check size is $250,000 to $1 million. VN: What kind of traction does a </w:t>
      </w:r>
      <w:r>
        <w:rPr>
          <w:rFonts w:ascii="Arial" w:eastAsia="Arial" w:hAnsi="Arial" w:cs="Arial"/>
          <w:b/>
          <w:i/>
          <w:color w:val="000000"/>
          <w:sz w:val="20"/>
          <w:u w:val="single"/>
        </w:rPr>
        <w:t>startup</w:t>
      </w:r>
      <w:r>
        <w:rPr>
          <w:rFonts w:ascii="Arial" w:eastAsia="Arial" w:hAnsi="Arial" w:cs="Arial"/>
          <w:color w:val="000000"/>
          <w:sz w:val="20"/>
        </w:rPr>
        <w:t xml:space="preserve"> need for you to invest? Do you have any specific numbers? CX: That's the difficult part because, in our view, we and the </w:t>
      </w:r>
      <w:r>
        <w:rPr>
          <w:rFonts w:ascii="Arial" w:eastAsia="Arial" w:hAnsi="Arial" w:cs="Arial"/>
          <w:b/>
          <w:i/>
          <w:color w:val="000000"/>
          <w:sz w:val="20"/>
          <w:u w:val="single"/>
        </w:rPr>
        <w:t>startup</w:t>
      </w:r>
      <w:r>
        <w:rPr>
          <w:rFonts w:ascii="Arial" w:eastAsia="Arial" w:hAnsi="Arial" w:cs="Arial"/>
          <w:color w:val="000000"/>
          <w:sz w:val="20"/>
        </w:rPr>
        <w:t xml:space="preserve">, we are in the jungle and there's no clear path, no traction. It's very different from the people who invest in the A round and can see numbers; we cannot look at any financial numbers, in that sense. So, the traction, you can consider it in two parts: one is whatever they're currently doing, and whatever they've done in the past. The big part is their history. We can backtrack what they have done as a founder and that'll give us some kind of a prediction or assessment to see if the actual traction, in this sense, is proof of execution. Is too early for numbers so we need to see if the team or the founder is strong enough. VN: What do you want to see in terms of the team when you invest? CX: For us it's extremely important. We want to see if there's a DNA fit. Zoom is a very good example. When Eric talked to us and said, 'I want to do video conferencing on mobile, so people can use a cell phone, even when working at an airport,' we said 'Well, this is great, we believe that will happen.' But Eric said, 'I want to do this for Facebook users, for consumers,' and I said, 'Yeah, you don't have that DNA, but I do believe in you. You guys come from WebX and you have enterprise experience, you can do a terrific job for enterprise.' After one year they switched from consumer to enterprise and they made it. So, this is their DNA. The enterprise guy may have a very difficult time doing consumer and for each </w:t>
      </w:r>
      <w:r>
        <w:rPr>
          <w:rFonts w:ascii="Arial" w:eastAsia="Arial" w:hAnsi="Arial" w:cs="Arial"/>
          <w:b/>
          <w:i/>
          <w:color w:val="000000"/>
          <w:sz w:val="20"/>
          <w:u w:val="single"/>
        </w:rPr>
        <w:t>startup</w:t>
      </w:r>
      <w:r>
        <w:rPr>
          <w:rFonts w:ascii="Arial" w:eastAsia="Arial" w:hAnsi="Arial" w:cs="Arial"/>
          <w:color w:val="000000"/>
          <w:sz w:val="20"/>
        </w:rPr>
        <w:t xml:space="preserve">, they need to consider they have one life, one shot; don't think you have three lives. This is your life and we don't want to waste your precious time and resources and talent. Use the best energy you have. So, DNA matters. It's what we want to look at. It's why we want to see the last 10 years of your history, it's because we want to do this kind of DNA test. VN: What about the product or the market? Do you also look at those? CX: Most </w:t>
      </w:r>
      <w:r>
        <w:rPr>
          <w:rFonts w:ascii="Arial" w:eastAsia="Arial" w:hAnsi="Arial" w:cs="Arial"/>
          <w:b/>
          <w:i/>
          <w:color w:val="000000"/>
          <w:sz w:val="20"/>
          <w:u w:val="single"/>
        </w:rPr>
        <w:t>startups</w:t>
      </w:r>
      <w:r>
        <w:rPr>
          <w:rFonts w:ascii="Arial" w:eastAsia="Arial" w:hAnsi="Arial" w:cs="Arial"/>
          <w:color w:val="000000"/>
          <w:sz w:val="20"/>
        </w:rPr>
        <w:t xml:space="preserve"> have a vision they put on their deck and I always say that most of them will be wrong. Even then, we are not sure because this is so dynamic. As I said, we're in the jungle, we can not know the ending clearly. The thing we believe in is the big potential or the rough direction. Just like in the jungle, 'Yeah, you're heading north but you really don't know what the next step is.' So, the big potential, like the mobile internet, or AI, how it can improve and create more automation. That's the big wave. For example, COVID created a big opportunity because people quickly switched to digital. In the past, companies spent so much money trying to create this demand; then, all of the sudden, there's this demand that's just a given. VN: How have you seen COVID affect valuations? CX: It really depends on the sector. Like there's one company called Zum[2]. They do a terrific job. It's kind of an Uber for the kids going to school, but all the kids are doing homeschool, your classroom is on Zoom, so that's a big hurt for this type of company. However, anything you can do online, we see the big potential. Those valuations are high. VN: What sectors have been well affected positively in terms of valuations, what sectors have you seen that are affected negatively? CX: It's easy to tell. Anything where you rely on physical contact, there was a big downturn. Anything that could be done virtually did well. We evaluate it this way: if you can really leverage Zoom's ecosystem, that'll be good. We made an investment earlier in the quarter, it's called, it's for Zoom recording and you can use AI to create an automatic transcript. This kind of business really benefited from COVID. VN: Yeah, it's a bad time to be in the co-working space, for example. Funny enough, I think Airbnb is doing well because people want to go on like a staycation. So, in some cases, you actually can benefit even though you're in a physical and not virtual space. CX: This is something we also talk a lot about. We really appreciate an Airbnb type of team, which has very strong execution. They can sense the new opportunity, they can grab the new opportunity. That's the kind of team we're looking for. VN: There are many venture funds out there today, how do you differentiate yourself to limited partners? CX: Everyone has to do this kind of job. 'We're special, we're unique.' For our uniqueness, we will say we have a lot of unique points. One is our team; we are all domain experts and all of us were previously engineers. We have very strong technical backgrounds, and everyone has a particular field. We have a lot of cumulative knowledge and also have our own networks. So, this technical expertise helps us a lot in our investments since we don't have to rely on outsiders and we can judge for ourselves. For example, when we looked at Zoom, when they talked about AI and inventing their own codec, we knew what they were talking about. </w:t>
      </w:r>
      <w:r>
        <w:rPr>
          <w:rFonts w:ascii="Arial" w:eastAsia="Arial" w:hAnsi="Arial" w:cs="Arial"/>
          <w:color w:val="000000"/>
          <w:sz w:val="20"/>
        </w:rPr>
        <w:lastRenderedPageBreak/>
        <w:t xml:space="preserve">We could ask, 'how do you make your own codec? That's a data transformation format.' Actually, we had a huge advantage, because we could see the quality was much better. The other part is the </w:t>
      </w:r>
      <w:r>
        <w:rPr>
          <w:rFonts w:ascii="Arial" w:eastAsia="Arial" w:hAnsi="Arial" w:cs="Arial"/>
          <w:b/>
          <w:i/>
          <w:color w:val="000000"/>
          <w:sz w:val="20"/>
          <w:u w:val="single"/>
        </w:rPr>
        <w:t>startup</w:t>
      </w:r>
      <w:r>
        <w:rPr>
          <w:rFonts w:ascii="Arial" w:eastAsia="Arial" w:hAnsi="Arial" w:cs="Arial"/>
          <w:color w:val="000000"/>
          <w:sz w:val="20"/>
        </w:rPr>
        <w:t xml:space="preserve"> experience. Most of our team, we had our own </w:t>
      </w:r>
      <w:r>
        <w:rPr>
          <w:rFonts w:ascii="Arial" w:eastAsia="Arial" w:hAnsi="Arial" w:cs="Arial"/>
          <w:b/>
          <w:i/>
          <w:color w:val="000000"/>
          <w:sz w:val="20"/>
          <w:u w:val="single"/>
        </w:rPr>
        <w:t>startups</w:t>
      </w:r>
      <w:r>
        <w:rPr>
          <w:rFonts w:ascii="Arial" w:eastAsia="Arial" w:hAnsi="Arial" w:cs="Arial"/>
          <w:color w:val="000000"/>
          <w:sz w:val="20"/>
        </w:rPr>
        <w:t xml:space="preserve"> and some of us are serial entrepreneurs, like myself. We understand how to grow from zero to one; we focus on zero to one, not one to 100. So, then using this experience, we can help us to evaluate the team, whether they are likely to make it. Also, down the road, when they go from the seed stage to the A round, we can help the team a lot with our experience. One more thing is the team size, since we have a very special composition structure. Our team is not small, even though we're a very small fund: we have 12 partners, so we can cover a lot of different areas and different experiences. The way we work is that each deal we have a 10 points credit and then we assign the credit to the different partners. So, for example, say you feed us a deal; even if you're not part of our team I can give you one to three points as a sourcing partner. You could be a one time sourcing partner for us, since we have a big network, we have a lot of friends, university and the company alumni. So, that's a big network that helps give us a lot of deals. VN: I want to actually go back a little bit of what you said about going from zero to one, instead of zero to 100. Is zero to one the hardest part? CX: Yeah. If you look at the </w:t>
      </w:r>
      <w:r>
        <w:rPr>
          <w:rFonts w:ascii="Arial" w:eastAsia="Arial" w:hAnsi="Arial" w:cs="Arial"/>
          <w:b/>
          <w:i/>
          <w:color w:val="000000"/>
          <w:sz w:val="20"/>
          <w:u w:val="single"/>
        </w:rPr>
        <w:t>failure</w:t>
      </w:r>
      <w:r>
        <w:rPr>
          <w:rFonts w:ascii="Arial" w:eastAsia="Arial" w:hAnsi="Arial" w:cs="Arial"/>
          <w:color w:val="000000"/>
          <w:sz w:val="20"/>
        </w:rPr>
        <w:t xml:space="preserve"> rate, most </w:t>
      </w:r>
      <w:r>
        <w:rPr>
          <w:rFonts w:ascii="Arial" w:eastAsia="Arial" w:hAnsi="Arial" w:cs="Arial"/>
          <w:b/>
          <w:i/>
          <w:color w:val="000000"/>
          <w:sz w:val="20"/>
          <w:u w:val="single"/>
        </w:rPr>
        <w:t>startups</w:t>
      </w:r>
      <w:r>
        <w:rPr>
          <w:rFonts w:ascii="Arial" w:eastAsia="Arial" w:hAnsi="Arial" w:cs="Arial"/>
          <w:color w:val="000000"/>
          <w:sz w:val="20"/>
        </w:rPr>
        <w:t xml:space="preserve"> fail. The hardest part is maybe zero to 0.3, or even before. That is the really, really tough part. VN: Venture is a two-way street, where investors also have to pitch themselves. How do you differentiate your fund to entrepreneurs? CX: Let me share an image with you. We are trying to rebrand ourselves a little bit and this picture will be on the homepage. Say you're the founder, and your </w:t>
      </w:r>
      <w:r>
        <w:rPr>
          <w:rFonts w:ascii="Arial" w:eastAsia="Arial" w:hAnsi="Arial" w:cs="Arial"/>
          <w:b/>
          <w:i/>
          <w:color w:val="000000"/>
          <w:sz w:val="20"/>
          <w:u w:val="single"/>
        </w:rPr>
        <w:t>startup</w:t>
      </w:r>
      <w:r>
        <w:rPr>
          <w:rFonts w:ascii="Arial" w:eastAsia="Arial" w:hAnsi="Arial" w:cs="Arial"/>
          <w:color w:val="000000"/>
          <w:sz w:val="20"/>
        </w:rPr>
        <w:t xml:space="preserve"> is a house, then funding is actually just one part, it's kind of a raw material, building material. Then what we offer is our founders' experiences, which is just like electricity, and we constantly help you run this house. Our resources and network are like water, you need that, and with our technical expertise we can give you a lot of tips on how to build the house. Our advisory experience can help you with designing the house. So, this is what we're working on.  We're trying to position ourselves behind the scenes, and a lot of founders, especially deep tech companies, love talking to us. Quite often they'll say, 'oh, you're the first VC I can really, really truly talk about our technology. You guys really understand. You even understand some particulars better than me, and you can give me advice.' VN: What are some of the investments you've made that you're super excited about? Why did you want to invest in those companies? CX: The first thing we really need to see is if the company has a great vision. The vision can fit into the big potential or the big emerging market, or even the existing market that will change and is moving to a different direction, just like Zoom. Video conferencing was not a new thing, but going after mobile, that was different. Even today, I think Zoom needs to reinvent themselves after COVID. So, everyone has a good story but we'll see if this is truly a good story or if it's just a bluff. The other part is, of course, if we are we're so excited when we see the great team, a great founder. So, we have our sense, we have our judgment. We have, for example, Carta[3]. That's a really a true innovator in their space, and also Quanergy[4], which is probably the first to do LiDAR. For the self driving car, you need to have a laser radar sensor. Even today that is a no name, but we do see that they have a big potential. Just like last year, we invested in MyYogaTeacher, there's one small example on how to leverage the COVID effect and create this kind of a business. And it has potential to be a unicorn because why not? We are not 100% sure, it really depends on the market and also their execution. VN: What are some lessons you learned? CX: I came from China and got a PhD at the University of Illinois. I came to Silicon Valley in 1996 and joined Sun Microsystems. That was a terrific experience because what I quickly realized was that Sun was a really a huge </w:t>
      </w:r>
      <w:r>
        <w:rPr>
          <w:rFonts w:ascii="Arial" w:eastAsia="Arial" w:hAnsi="Arial" w:cs="Arial"/>
          <w:b/>
          <w:i/>
          <w:color w:val="000000"/>
          <w:sz w:val="20"/>
          <w:u w:val="single"/>
        </w:rPr>
        <w:t>startup</w:t>
      </w:r>
      <w:r>
        <w:rPr>
          <w:rFonts w:ascii="Arial" w:eastAsia="Arial" w:hAnsi="Arial" w:cs="Arial"/>
          <w:color w:val="000000"/>
          <w:sz w:val="20"/>
        </w:rPr>
        <w:t xml:space="preserve"> company. Each product is an internal </w:t>
      </w:r>
      <w:r>
        <w:rPr>
          <w:rFonts w:ascii="Arial" w:eastAsia="Arial" w:hAnsi="Arial" w:cs="Arial"/>
          <w:b/>
          <w:i/>
          <w:color w:val="000000"/>
          <w:sz w:val="20"/>
          <w:u w:val="single"/>
        </w:rPr>
        <w:t>startup</w:t>
      </w:r>
      <w:r>
        <w:rPr>
          <w:rFonts w:ascii="Arial" w:eastAsia="Arial" w:hAnsi="Arial" w:cs="Arial"/>
          <w:color w:val="000000"/>
          <w:sz w:val="20"/>
        </w:rPr>
        <w:t xml:space="preserve">, so my first </w:t>
      </w:r>
      <w:r>
        <w:rPr>
          <w:rFonts w:ascii="Arial" w:eastAsia="Arial" w:hAnsi="Arial" w:cs="Arial"/>
          <w:b/>
          <w:i/>
          <w:color w:val="000000"/>
          <w:sz w:val="20"/>
          <w:u w:val="single"/>
        </w:rPr>
        <w:t>startup</w:t>
      </w:r>
      <w:r>
        <w:rPr>
          <w:rFonts w:ascii="Arial" w:eastAsia="Arial" w:hAnsi="Arial" w:cs="Arial"/>
          <w:color w:val="000000"/>
          <w:sz w:val="20"/>
        </w:rPr>
        <w:t xml:space="preserve">, actually not my own </w:t>
      </w:r>
      <w:r>
        <w:rPr>
          <w:rFonts w:ascii="Arial" w:eastAsia="Arial" w:hAnsi="Arial" w:cs="Arial"/>
          <w:b/>
          <w:i/>
          <w:color w:val="000000"/>
          <w:sz w:val="20"/>
          <w:u w:val="single"/>
        </w:rPr>
        <w:t>startup</w:t>
      </w:r>
      <w:r>
        <w:rPr>
          <w:rFonts w:ascii="Arial" w:eastAsia="Arial" w:hAnsi="Arial" w:cs="Arial"/>
          <w:color w:val="000000"/>
          <w:sz w:val="20"/>
        </w:rPr>
        <w:t xml:space="preserve">, was at Sun. That project was the earliest cloud project; we did cloud computing, so we learned a lot. After that, I had my own </w:t>
      </w:r>
      <w:r>
        <w:rPr>
          <w:rFonts w:ascii="Arial" w:eastAsia="Arial" w:hAnsi="Arial" w:cs="Arial"/>
          <w:b/>
          <w:i/>
          <w:color w:val="000000"/>
          <w:sz w:val="20"/>
          <w:u w:val="single"/>
        </w:rPr>
        <w:t>startup</w:t>
      </w:r>
      <w:r>
        <w:rPr>
          <w:rFonts w:ascii="Arial" w:eastAsia="Arial" w:hAnsi="Arial" w:cs="Arial"/>
          <w:color w:val="000000"/>
          <w:sz w:val="20"/>
        </w:rPr>
        <w:t xml:space="preserve">: we were the first to do e-merchandising because in 1997 and 1998 e-commerce had just gotten </w:t>
      </w:r>
      <w:r>
        <w:rPr>
          <w:rFonts w:ascii="Arial" w:eastAsia="Arial" w:hAnsi="Arial" w:cs="Arial"/>
          <w:b/>
          <w:i/>
          <w:color w:val="000000"/>
          <w:sz w:val="20"/>
          <w:u w:val="single"/>
        </w:rPr>
        <w:t>started</w:t>
      </w:r>
      <w:r>
        <w:rPr>
          <w:rFonts w:ascii="Arial" w:eastAsia="Arial" w:hAnsi="Arial" w:cs="Arial"/>
          <w:color w:val="000000"/>
          <w:sz w:val="20"/>
        </w:rPr>
        <w:t xml:space="preserve">. Even if you looked at the Kmart website, it was just a catalog, from A to Z, and there was no merchandising or way to place a product. There was no personalization. We were the first to do that. That was a very exciting experience and then the </w:t>
      </w:r>
      <w:r>
        <w:rPr>
          <w:rFonts w:ascii="Arial" w:eastAsia="Arial" w:hAnsi="Arial" w:cs="Arial"/>
          <w:b/>
          <w:i/>
          <w:color w:val="000000"/>
          <w:sz w:val="20"/>
          <w:u w:val="single"/>
        </w:rPr>
        <w:t>startup</w:t>
      </w:r>
      <w:r>
        <w:rPr>
          <w:rFonts w:ascii="Arial" w:eastAsia="Arial" w:hAnsi="Arial" w:cs="Arial"/>
          <w:color w:val="000000"/>
          <w:sz w:val="20"/>
        </w:rPr>
        <w:t xml:space="preserve"> quickly got acquired by somebody else. I feel this kind of innovation, doing new things right now, is so exciting. For me, VC is a lifetime career direction. Whatever </w:t>
      </w:r>
      <w:r>
        <w:rPr>
          <w:rFonts w:ascii="Arial" w:eastAsia="Arial" w:hAnsi="Arial" w:cs="Arial"/>
          <w:b/>
          <w:i/>
          <w:color w:val="000000"/>
          <w:sz w:val="20"/>
          <w:u w:val="single"/>
        </w:rPr>
        <w:t>startup</w:t>
      </w:r>
      <w:r>
        <w:rPr>
          <w:rFonts w:ascii="Arial" w:eastAsia="Arial" w:hAnsi="Arial" w:cs="Arial"/>
          <w:color w:val="000000"/>
          <w:sz w:val="20"/>
        </w:rPr>
        <w:t xml:space="preserve"> or investment, we need to look at new things and that's my ideal job. I find it's very, very fascinating to do this. The fund </w:t>
      </w:r>
      <w:r>
        <w:rPr>
          <w:rFonts w:ascii="Arial" w:eastAsia="Arial" w:hAnsi="Arial" w:cs="Arial"/>
          <w:b/>
          <w:i/>
          <w:color w:val="000000"/>
          <w:sz w:val="20"/>
          <w:u w:val="single"/>
        </w:rPr>
        <w:t>started</w:t>
      </w:r>
      <w:r>
        <w:rPr>
          <w:rFonts w:ascii="Arial" w:eastAsia="Arial" w:hAnsi="Arial" w:cs="Arial"/>
          <w:color w:val="000000"/>
          <w:sz w:val="20"/>
        </w:rPr>
        <w:t xml:space="preserve"> 10 years ago as a kind of a nonprofit project, because I graduated from Tsinghua University, which is like the MIT in China, and we have a lot of alumni, like 15,000 alumni, in Silicon Valley. A lot of people want to do </w:t>
      </w:r>
      <w:r>
        <w:rPr>
          <w:rFonts w:ascii="Arial" w:eastAsia="Arial" w:hAnsi="Arial" w:cs="Arial"/>
          <w:b/>
          <w:i/>
          <w:color w:val="000000"/>
          <w:sz w:val="20"/>
          <w:u w:val="single"/>
        </w:rPr>
        <w:t>startups</w:t>
      </w:r>
      <w:r>
        <w:rPr>
          <w:rFonts w:ascii="Arial" w:eastAsia="Arial" w:hAnsi="Arial" w:cs="Arial"/>
          <w:color w:val="000000"/>
          <w:sz w:val="20"/>
        </w:rPr>
        <w:t xml:space="preserve"> and they seek us as an NGO investor. I talked to Eugene Zhang and we </w:t>
      </w:r>
      <w:r>
        <w:rPr>
          <w:rFonts w:ascii="Arial" w:eastAsia="Arial" w:hAnsi="Arial" w:cs="Arial"/>
          <w:b/>
          <w:i/>
          <w:color w:val="000000"/>
          <w:sz w:val="20"/>
          <w:u w:val="single"/>
        </w:rPr>
        <w:t>started</w:t>
      </w:r>
      <w:r>
        <w:rPr>
          <w:rFonts w:ascii="Arial" w:eastAsia="Arial" w:hAnsi="Arial" w:cs="Arial"/>
          <w:color w:val="000000"/>
          <w:sz w:val="20"/>
        </w:rPr>
        <w:t xml:space="preserve"> this fund because there was a big trend 10 years ago called a super NGO, like a funder's fund; they paved the path, so we said why not just do a super NGO? So, that was the </w:t>
      </w:r>
      <w:r>
        <w:rPr>
          <w:rFonts w:ascii="Arial" w:eastAsia="Arial" w:hAnsi="Arial" w:cs="Arial"/>
          <w:b/>
          <w:i/>
          <w:color w:val="000000"/>
          <w:sz w:val="20"/>
          <w:u w:val="single"/>
        </w:rPr>
        <w:t>starting</w:t>
      </w:r>
      <w:r>
        <w:rPr>
          <w:rFonts w:ascii="Arial" w:eastAsia="Arial" w:hAnsi="Arial" w:cs="Arial"/>
          <w:color w:val="000000"/>
          <w:sz w:val="20"/>
        </w:rPr>
        <w:t xml:space="preserve"> point. So, this is a really exciting career for me. I really love to see new things, I love that. VN: What excites you the most about your position as VC? CX: I was born in 1962, so, at this age, I think I should heavily leverage my experience and my accumulated resources. I try to do whatever I feel I can </w:t>
      </w:r>
      <w:r>
        <w:rPr>
          <w:rFonts w:ascii="Arial" w:eastAsia="Arial" w:hAnsi="Arial" w:cs="Arial"/>
          <w:color w:val="000000"/>
          <w:sz w:val="20"/>
        </w:rPr>
        <w:lastRenderedPageBreak/>
        <w:t xml:space="preserve">do best, so it's really like the book the Outliers, where you spend 10,000 hours working on one particular thing; I have spent a lot of time and work to create a new thing and innovate something that never existed. That was in my past career, and that was my accumulated experience. That actually really helped me to spot new trends and new potential. Even when it's not so obvious, we can spot that early and also leverage it to look at the people and whether or not a team can really execute, can really make it. We made a lot of mistakes, and we learned a lot of lessons. VN: Is there anything else that you think I should know about you or the firm or your thoughts about the venture industry in general? CX: We are trying to raise a Fund V, and we want to tell people about our strengths. We are extremely focused on how to identify the next unicorn and leverage our expertise and our experience and our very uniqueness of operating our fund, especially with compensation. We can make a fund as a platform. So, even you could be part of a fund, in that sense. We can contribute and we can give a piece to you. That's the whole idea. VN: I like that idea, it's inclusive. I think venture capital can sometimes feel exclusive. 'I don't have a lot of money, I can't be an investor.' So, I like that idea that anybody can be part of it. That's like democratizing it. CX: We want to make it open. The whole technology world and the culture is going in that direction. Just like in the media, where it used to be dominated by the big players, and now we have social media making it more open. VN: Do you see other firms going in that similar direction? Is that a trend in the industry? CX: It's hard to tell. So far, to the best of our knowledge, we're the first in Silicon Valley. But we do see some of that trend and some people have </w:t>
      </w:r>
      <w:r>
        <w:rPr>
          <w:rFonts w:ascii="Arial" w:eastAsia="Arial" w:hAnsi="Arial" w:cs="Arial"/>
          <w:b/>
          <w:i/>
          <w:color w:val="000000"/>
          <w:sz w:val="20"/>
          <w:u w:val="single"/>
        </w:rPr>
        <w:t>started</w:t>
      </w:r>
      <w:r>
        <w:rPr>
          <w:rFonts w:ascii="Arial" w:eastAsia="Arial" w:hAnsi="Arial" w:cs="Arial"/>
          <w:color w:val="000000"/>
          <w:sz w:val="20"/>
        </w:rPr>
        <w:t xml:space="preserve"> to accumulate small money LPs and they claim to be a platform. We need to see what the best model is to operate and we already have a 10 years of history. I think we were able to prove that our model really works.Read this article on Vator.tv at </w:t>
      </w:r>
      <w:hyperlink r:id="rId574" w:history="1">
        <w:r>
          <w:rPr>
            <w:rFonts w:ascii="Arial" w:eastAsia="Arial" w:hAnsi="Arial" w:cs="Arial"/>
            <w:i/>
            <w:color w:val="0077CC"/>
            <w:sz w:val="20"/>
            <w:u w:val="single"/>
            <w:shd w:val="clear" w:color="auto" w:fill="FFFFFF"/>
          </w:rPr>
          <w:t>https://vator.tv/n/51b4</w:t>
        </w:r>
      </w:hyperlink>
      <w:r>
        <w:rPr>
          <w:rFonts w:ascii="Arial" w:eastAsia="Arial" w:hAnsi="Arial" w:cs="Arial"/>
          <w:color w:val="000000"/>
          <w:sz w:val="20"/>
        </w:rPr>
        <w:t xml:space="preserve">[5] [ 1]: </w:t>
      </w:r>
      <w:hyperlink r:id="rId575" w:history="1">
        <w:r>
          <w:rPr>
            <w:rFonts w:ascii="Arial" w:eastAsia="Arial" w:hAnsi="Arial" w:cs="Arial"/>
            <w:i/>
            <w:color w:val="0077CC"/>
            <w:sz w:val="20"/>
            <w:u w:val="single"/>
            <w:shd w:val="clear" w:color="auto" w:fill="FFFFFF"/>
          </w:rPr>
          <w:t>https://www.myyogateacher.com/'</w:t>
        </w:r>
      </w:hyperlink>
      <w:r>
        <w:rPr>
          <w:rFonts w:ascii="Arial" w:eastAsia="Arial" w:hAnsi="Arial" w:cs="Arial"/>
          <w:color w:val="000000"/>
          <w:sz w:val="20"/>
        </w:rPr>
        <w:t xml:space="preserve"> [ 2]: </w:t>
      </w:r>
      <w:hyperlink r:id="rId576" w:history="1">
        <w:r>
          <w:rPr>
            <w:rFonts w:ascii="Arial" w:eastAsia="Arial" w:hAnsi="Arial" w:cs="Arial"/>
            <w:i/>
            <w:color w:val="0077CC"/>
            <w:sz w:val="20"/>
            <w:u w:val="single"/>
            <w:shd w:val="clear" w:color="auto" w:fill="FFFFFF"/>
          </w:rPr>
          <w:t>https://www.ridezum.com</w:t>
        </w:r>
      </w:hyperlink>
      <w:r>
        <w:rPr>
          <w:rFonts w:ascii="Arial" w:eastAsia="Arial" w:hAnsi="Arial" w:cs="Arial"/>
          <w:color w:val="000000"/>
          <w:sz w:val="20"/>
        </w:rPr>
        <w:t xml:space="preserve">/ [ 3]: </w:t>
      </w:r>
      <w:hyperlink r:id="rId577" w:history="1">
        <w:r>
          <w:rPr>
            <w:rFonts w:ascii="Arial" w:eastAsia="Arial" w:hAnsi="Arial" w:cs="Arial"/>
            <w:i/>
            <w:color w:val="0077CC"/>
            <w:sz w:val="20"/>
            <w:u w:val="single"/>
            <w:shd w:val="clear" w:color="auto" w:fill="FFFFFF"/>
          </w:rPr>
          <w:t>https://carta.com</w:t>
        </w:r>
      </w:hyperlink>
      <w:r>
        <w:rPr>
          <w:rFonts w:ascii="Arial" w:eastAsia="Arial" w:hAnsi="Arial" w:cs="Arial"/>
          <w:color w:val="000000"/>
          <w:sz w:val="20"/>
        </w:rPr>
        <w:t xml:space="preserve">/ [ 4]: </w:t>
      </w:r>
      <w:hyperlink r:id="rId578" w:history="1">
        <w:r>
          <w:rPr>
            <w:rFonts w:ascii="Arial" w:eastAsia="Arial" w:hAnsi="Arial" w:cs="Arial"/>
            <w:i/>
            <w:color w:val="0077CC"/>
            <w:sz w:val="20"/>
            <w:u w:val="single"/>
            <w:shd w:val="clear" w:color="auto" w:fill="FFFFFF"/>
          </w:rPr>
          <w:t>https://quanergy.com</w:t>
        </w:r>
      </w:hyperlink>
      <w:r>
        <w:rPr>
          <w:rFonts w:ascii="Arial" w:eastAsia="Arial" w:hAnsi="Arial" w:cs="Arial"/>
          <w:color w:val="000000"/>
          <w:sz w:val="20"/>
        </w:rPr>
        <w:t xml:space="preserve">/ [ 5]: </w:t>
      </w:r>
      <w:hyperlink r:id="rId579" w:history="1">
        <w:r>
          <w:rPr>
            <w:rFonts w:ascii="Arial" w:eastAsia="Arial" w:hAnsi="Arial" w:cs="Arial"/>
            <w:i/>
            <w:color w:val="0077CC"/>
            <w:sz w:val="20"/>
            <w:u w:val="single"/>
            <w:shd w:val="clear" w:color="auto" w:fill="FFFFFF"/>
          </w:rPr>
          <w:t>https://vator.tv/news/2021-01-25-meet-chun-xia-founding-partner-at-tsvc</w:t>
        </w:r>
      </w:hyperlink>
      <w:r>
        <w:rPr>
          <w:rFonts w:ascii="Arial" w:eastAsia="Arial" w:hAnsi="Arial" w:cs="Arial"/>
          <w:color w:val="000000"/>
          <w:sz w:val="20"/>
        </w:rPr>
        <w:t xml:space="preserve"> </w:t>
      </w:r>
    </w:p>
    <w:p w14:paraId="76DEF43F"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25, 2021</w:t>
      </w:r>
    </w:p>
    <w:p w14:paraId="624D1EAE" w14:textId="77777777" w:rsidR="00054BF0" w:rsidRDefault="00054BF0"/>
    <w:p w14:paraId="439ED48C" w14:textId="77777777" w:rsidR="00054BF0" w:rsidRDefault="00000000">
      <w:pPr>
        <w:ind w:left="200"/>
        <w:sectPr w:rsidR="00054BF0">
          <w:type w:val="continuous"/>
          <w:pgSz w:w="12240" w:h="15840"/>
          <w:pgMar w:top="840" w:right="1000" w:bottom="840" w:left="1000" w:header="400" w:footer="400" w:gutter="0"/>
          <w:cols w:space="720"/>
        </w:sectPr>
      </w:pPr>
      <w:r>
        <w:br/>
      </w:r>
      <w:r>
        <w:pict w14:anchorId="70270A0B">
          <v:line id="_x0000_s2183" style="position:absolute;left:0;text-align:left;z-index:251742208;mso-position-horizontal-relative:text;mso-position-vertical-relative:text" from="0,10pt" to="512pt,10pt" strokeweight="1pt"/>
        </w:pict>
      </w:r>
      <w:r>
        <w:rPr>
          <w:rFonts w:ascii="Arial" w:eastAsia="Arial" w:hAnsi="Arial" w:cs="Arial"/>
          <w:b/>
          <w:color w:val="767676"/>
          <w:sz w:val="16"/>
        </w:rPr>
        <w:t>End of Document</w:t>
      </w:r>
    </w:p>
    <w:p w14:paraId="3F4CE8CF" w14:textId="77777777" w:rsidR="00054BF0" w:rsidRDefault="00054BF0">
      <w:pPr>
        <w:sectPr w:rsidR="00054BF0">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gutter="0"/>
          <w:cols w:space="720"/>
          <w:titlePg/>
        </w:sectPr>
      </w:pPr>
    </w:p>
    <w:p w14:paraId="048C20E6" w14:textId="77777777" w:rsidR="00054BF0" w:rsidRDefault="00054BF0">
      <w:bookmarkStart w:id="79" w:name="Bookmark_39"/>
      <w:bookmarkEnd w:id="79"/>
    </w:p>
    <w:p w14:paraId="0ED6C6EA" w14:textId="77777777" w:rsidR="00054BF0" w:rsidRDefault="00BE2275">
      <w:r>
        <w:pict w14:anchorId="24B946DA">
          <v:shape id="_x0000_i1078" type="#_x0000_t75" alt="LexisNexis®" style="width:148pt;height:30pt">
            <v:imagedata r:id="rId6" o:title=""/>
          </v:shape>
        </w:pict>
      </w:r>
      <w:r w:rsidR="00A540D1">
        <w:cr/>
      </w:r>
    </w:p>
    <w:p w14:paraId="6099AAB0" w14:textId="77777777" w:rsidR="00054BF0" w:rsidRDefault="00000000">
      <w:pPr>
        <w:spacing w:before="240" w:after="200" w:line="340" w:lineRule="atLeast"/>
        <w:jc w:val="center"/>
        <w:outlineLvl w:val="0"/>
        <w:rPr>
          <w:rFonts w:ascii="Arial" w:hAnsi="Arial" w:cs="Arial"/>
          <w:b/>
          <w:bCs/>
          <w:kern w:val="32"/>
          <w:sz w:val="32"/>
          <w:szCs w:val="32"/>
        </w:rPr>
      </w:pPr>
      <w:hyperlink r:id="rId586" w:history="1">
        <w:r>
          <w:rPr>
            <w:rFonts w:ascii="Arial" w:eastAsia="Arial" w:hAnsi="Arial" w:cs="Arial"/>
            <w:b/>
            <w:bCs/>
            <w:i/>
            <w:color w:val="0077CC"/>
            <w:kern w:val="32"/>
            <w:sz w:val="28"/>
            <w:szCs w:val="32"/>
            <w:u w:val="single"/>
            <w:shd w:val="clear" w:color="auto" w:fill="FFFFFF"/>
          </w:rPr>
          <w:t>SoftBank-Backed Oyo to Reduce Planned IPO Amid Tech Headwinds</w:t>
        </w:r>
      </w:hyperlink>
    </w:p>
    <w:p w14:paraId="02361E2C" w14:textId="77777777" w:rsidR="00054BF0" w:rsidRDefault="00000000">
      <w:pPr>
        <w:spacing w:before="120" w:line="260" w:lineRule="atLeast"/>
        <w:jc w:val="center"/>
      </w:pPr>
      <w:r>
        <w:rPr>
          <w:rFonts w:ascii="Arial" w:eastAsia="Arial" w:hAnsi="Arial" w:cs="Arial"/>
          <w:color w:val="000000"/>
          <w:sz w:val="20"/>
        </w:rPr>
        <w:t>WebNews - English</w:t>
      </w:r>
    </w:p>
    <w:p w14:paraId="7130379A" w14:textId="77777777" w:rsidR="00054BF0" w:rsidRDefault="00000000">
      <w:pPr>
        <w:spacing w:before="120" w:line="260" w:lineRule="atLeast"/>
        <w:jc w:val="center"/>
      </w:pPr>
      <w:r>
        <w:rPr>
          <w:rFonts w:ascii="Arial" w:eastAsia="Arial" w:hAnsi="Arial" w:cs="Arial"/>
          <w:color w:val="000000"/>
          <w:sz w:val="20"/>
        </w:rPr>
        <w:t>BNN Bloomberg</w:t>
      </w:r>
    </w:p>
    <w:p w14:paraId="61D202EF" w14:textId="77777777" w:rsidR="00054BF0" w:rsidRDefault="00000000">
      <w:pPr>
        <w:spacing w:before="240" w:line="260" w:lineRule="atLeast"/>
        <w:jc w:val="center"/>
      </w:pPr>
      <w:hyperlink r:id="rId587" w:history="1">
        <w:r>
          <w:rPr>
            <w:rFonts w:ascii="Arial" w:eastAsia="Arial" w:hAnsi="Arial" w:cs="Arial"/>
            <w:i/>
            <w:color w:val="0077CC"/>
            <w:sz w:val="20"/>
            <w:u w:val="single"/>
            <w:shd w:val="clear" w:color="auto" w:fill="FFFFFF"/>
          </w:rPr>
          <w:t>https://www.bnnbloomberg.ca/softbank-backed-oyo-to-reduce-planned-ipo-amid-tech-headwinds-1.1900800</w:t>
        </w:r>
      </w:hyperlink>
      <w:r>
        <w:br/>
      </w:r>
      <w:r>
        <w:rPr>
          <w:rFonts w:ascii="Arial" w:eastAsia="Arial" w:hAnsi="Arial" w:cs="Arial"/>
          <w:color w:val="000000"/>
          <w:sz w:val="20"/>
        </w:rPr>
        <w:t>March 27, 2023 Monday</w:t>
      </w:r>
    </w:p>
    <w:p w14:paraId="50C782A2" w14:textId="77777777" w:rsidR="00054BF0" w:rsidRDefault="00054BF0">
      <w:pPr>
        <w:spacing w:line="240" w:lineRule="atLeast"/>
        <w:jc w:val="both"/>
      </w:pPr>
    </w:p>
    <w:p w14:paraId="10EB6BB4" w14:textId="77777777" w:rsidR="00054BF0" w:rsidRDefault="00054BF0">
      <w:pPr>
        <w:spacing w:line="200" w:lineRule="exact"/>
      </w:pPr>
    </w:p>
    <w:p w14:paraId="328F8C9E" w14:textId="77777777" w:rsidR="00054BF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696 words</w:t>
      </w:r>
    </w:p>
    <w:p w14:paraId="48125407" w14:textId="77777777" w:rsidR="00054BF0" w:rsidRDefault="00000000">
      <w:pPr>
        <w:keepNext/>
        <w:spacing w:before="240" w:line="340" w:lineRule="atLeast"/>
      </w:pPr>
      <w:bookmarkStart w:id="80" w:name="Body_37"/>
      <w:bookmarkEnd w:id="80"/>
      <w:r>
        <w:rPr>
          <w:rFonts w:ascii="Arial" w:eastAsia="Arial" w:hAnsi="Arial" w:cs="Arial"/>
          <w:b/>
          <w:color w:val="000000"/>
          <w:sz w:val="28"/>
        </w:rPr>
        <w:t>Body</w:t>
      </w:r>
    </w:p>
    <w:p w14:paraId="022E6717" w14:textId="77777777" w:rsidR="00054BF0" w:rsidRDefault="00000000">
      <w:pPr>
        <w:spacing w:line="60" w:lineRule="exact"/>
      </w:pPr>
      <w:r>
        <w:pict w14:anchorId="72DFE099">
          <v:line id="_x0000_s2185" style="position:absolute;z-index:251743232" from="0,2pt" to="512pt,2pt" strokecolor="#009ddb" strokeweight="2pt">
            <w10:wrap type="topAndBottom"/>
          </v:line>
        </w:pict>
      </w:r>
    </w:p>
    <w:p w14:paraId="493588F7" w14:textId="77777777" w:rsidR="00054BF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(Bloomberg) -- Oyo Hotels is reducing the shares it aims to sell via a stock-market debut by about two-thirds, an effort by its founder to get the sale done even after tech valuations plunged. The once-high-flying company is preparing to file a fresh initial public offering document as soon as this week, said two people familiar with...</w:t>
      </w:r>
    </w:p>
    <w:p w14:paraId="6095F186" w14:textId="77777777" w:rsidR="00BE2275" w:rsidRDefault="00BE2275">
      <w:pPr>
        <w:spacing w:before="200" w:line="260" w:lineRule="atLeast"/>
        <w:jc w:val="both"/>
        <w:rPr>
          <w:rFonts w:ascii="Arial" w:eastAsia="Arial" w:hAnsi="Arial" w:cs="Arial"/>
          <w:color w:val="000000"/>
          <w:sz w:val="20"/>
        </w:rPr>
      </w:pPr>
    </w:p>
    <w:p w14:paraId="32BBDBD9" w14:textId="2FB79BC1" w:rsidR="00BE2275" w:rsidRDefault="00BE2275">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March 27, 2023</w:t>
      </w:r>
    </w:p>
    <w:p w14:paraId="25D43AA2" w14:textId="77777777" w:rsidR="00054BF0" w:rsidRDefault="00054BF0"/>
    <w:p w14:paraId="59DA2D98" w14:textId="77777777" w:rsidR="00054BF0" w:rsidRDefault="00000000">
      <w:pPr>
        <w:ind w:left="200"/>
        <w:sectPr w:rsidR="00054BF0">
          <w:type w:val="continuous"/>
          <w:pgSz w:w="12240" w:h="15840"/>
          <w:pgMar w:top="840" w:right="1000" w:bottom="840" w:left="1000" w:header="400" w:footer="400" w:gutter="0"/>
          <w:cols w:space="720"/>
        </w:sectPr>
      </w:pPr>
      <w:r>
        <w:br/>
      </w:r>
      <w:r>
        <w:pict w14:anchorId="11B851C2">
          <v:line id="_x0000_s2186" style="position:absolute;left:0;text-align:left;z-index:251744256;mso-position-horizontal-relative:text;mso-position-vertical-relative:text" from="0,10pt" to="512pt,10pt" strokeweight="1pt"/>
        </w:pict>
      </w:r>
      <w:r>
        <w:rPr>
          <w:rFonts w:ascii="Arial" w:eastAsia="Arial" w:hAnsi="Arial" w:cs="Arial"/>
          <w:b/>
          <w:color w:val="767676"/>
          <w:sz w:val="16"/>
        </w:rPr>
        <w:t>End of Document</w:t>
      </w:r>
    </w:p>
    <w:p w14:paraId="22140AC5" w14:textId="77777777" w:rsidR="00054BF0" w:rsidRDefault="00054BF0">
      <w:pPr>
        <w:sectPr w:rsidR="00054BF0">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gutter="0"/>
          <w:cols w:space="720"/>
          <w:titlePg/>
        </w:sectPr>
      </w:pPr>
    </w:p>
    <w:p w14:paraId="75EDE647" w14:textId="77777777" w:rsidR="00054BF0" w:rsidRDefault="00054BF0">
      <w:bookmarkStart w:id="81" w:name="Bookmark_40"/>
      <w:bookmarkEnd w:id="81"/>
    </w:p>
    <w:p w14:paraId="42A83345" w14:textId="77777777" w:rsidR="00054BF0" w:rsidRDefault="00BE2275">
      <w:r>
        <w:pict w14:anchorId="672542D6">
          <v:shape id="_x0000_i1079" type="#_x0000_t75" alt="LexisNexis®" style="width:148pt;height:30pt">
            <v:imagedata r:id="rId6" o:title=""/>
          </v:shape>
        </w:pict>
      </w:r>
      <w:r w:rsidR="00A540D1">
        <w:cr/>
      </w:r>
    </w:p>
    <w:p w14:paraId="49C3B31C" w14:textId="77777777" w:rsidR="00054BF0" w:rsidRDefault="00000000">
      <w:pPr>
        <w:spacing w:before="240" w:after="200" w:line="340" w:lineRule="atLeast"/>
        <w:jc w:val="center"/>
        <w:outlineLvl w:val="0"/>
        <w:rPr>
          <w:rFonts w:ascii="Arial" w:hAnsi="Arial" w:cs="Arial"/>
          <w:b/>
          <w:bCs/>
          <w:kern w:val="32"/>
          <w:sz w:val="32"/>
          <w:szCs w:val="32"/>
        </w:rPr>
      </w:pPr>
      <w:hyperlink r:id="rId594" w:history="1">
        <w:r>
          <w:rPr>
            <w:rFonts w:ascii="Arial" w:eastAsia="Arial" w:hAnsi="Arial" w:cs="Arial"/>
            <w:b/>
            <w:bCs/>
            <w:i/>
            <w:color w:val="0077CC"/>
            <w:kern w:val="32"/>
            <w:sz w:val="28"/>
            <w:szCs w:val="32"/>
            <w:u w:val="single"/>
            <w:shd w:val="clear" w:color="auto" w:fill="FFFFFF"/>
          </w:rPr>
          <w:t>[Year in Review 2020] The Top 10 Books of 2020 for Entrepreneurs</w:t>
        </w:r>
      </w:hyperlink>
    </w:p>
    <w:p w14:paraId="73BB193A" w14:textId="77777777" w:rsidR="00054BF0" w:rsidRDefault="00000000">
      <w:pPr>
        <w:spacing w:before="120" w:line="260" w:lineRule="atLeast"/>
        <w:jc w:val="center"/>
      </w:pPr>
      <w:r>
        <w:rPr>
          <w:rFonts w:ascii="Arial" w:eastAsia="Arial" w:hAnsi="Arial" w:cs="Arial"/>
          <w:color w:val="000000"/>
          <w:sz w:val="20"/>
        </w:rPr>
        <w:t>Yourstory.in</w:t>
      </w:r>
    </w:p>
    <w:p w14:paraId="6BC3C106" w14:textId="77777777" w:rsidR="00054BF0" w:rsidRDefault="00000000">
      <w:pPr>
        <w:spacing w:before="120" w:line="260" w:lineRule="atLeast"/>
        <w:jc w:val="center"/>
      </w:pPr>
      <w:r>
        <w:rPr>
          <w:rFonts w:ascii="Arial" w:eastAsia="Arial" w:hAnsi="Arial" w:cs="Arial"/>
          <w:color w:val="000000"/>
          <w:sz w:val="20"/>
        </w:rPr>
        <w:t>November 30, 2020 Monday 6:30 AM EST</w:t>
      </w:r>
    </w:p>
    <w:p w14:paraId="4FD1063B" w14:textId="77777777" w:rsidR="00054BF0" w:rsidRDefault="00054BF0">
      <w:pPr>
        <w:spacing w:line="240" w:lineRule="atLeast"/>
        <w:jc w:val="both"/>
      </w:pPr>
    </w:p>
    <w:p w14:paraId="20E8D370" w14:textId="77777777" w:rsidR="00054BF0"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1F04268A"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1355 words</w:t>
      </w:r>
    </w:p>
    <w:p w14:paraId="7D472E1B" w14:textId="77777777" w:rsidR="00054BF0"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2EC0C7EE" w14:textId="77777777" w:rsidR="00054BF0" w:rsidRDefault="00000000">
      <w:pPr>
        <w:keepNext/>
        <w:spacing w:before="240" w:line="340" w:lineRule="atLeast"/>
      </w:pPr>
      <w:bookmarkStart w:id="82" w:name="Body_38"/>
      <w:bookmarkEnd w:id="82"/>
      <w:r>
        <w:rPr>
          <w:rFonts w:ascii="Arial" w:eastAsia="Arial" w:hAnsi="Arial" w:cs="Arial"/>
          <w:b/>
          <w:color w:val="000000"/>
          <w:sz w:val="28"/>
        </w:rPr>
        <w:t>Body</w:t>
      </w:r>
    </w:p>
    <w:p w14:paraId="34C2D4B2" w14:textId="77777777" w:rsidR="00054BF0" w:rsidRDefault="00000000">
      <w:pPr>
        <w:spacing w:line="60" w:lineRule="exact"/>
      </w:pPr>
      <w:r>
        <w:pict w14:anchorId="1B81F0E6">
          <v:line id="_x0000_s2188" style="position:absolute;z-index:251745280" from="0,2pt" to="512pt,2pt" strokecolor="#009ddb" strokeweight="2pt">
            <w10:wrap type="topAndBottom"/>
          </v:line>
        </w:pict>
      </w:r>
    </w:p>
    <w:p w14:paraId="31668556" w14:textId="77777777" w:rsidR="00054BF0" w:rsidRDefault="00054BF0"/>
    <w:p w14:paraId="4515F175" w14:textId="77777777" w:rsidR="00054BF0" w:rsidRDefault="00000000">
      <w:pPr>
        <w:spacing w:before="200" w:line="260" w:lineRule="atLeast"/>
        <w:jc w:val="both"/>
      </w:pPr>
      <w:r>
        <w:rPr>
          <w:rFonts w:ascii="Arial" w:eastAsia="Arial" w:hAnsi="Arial" w:cs="Arial"/>
          <w:color w:val="000000"/>
          <w:sz w:val="20"/>
        </w:rPr>
        <w:t xml:space="preserve">From the stacks of books received for review this year, here are some of the best titles for </w:t>
      </w:r>
      <w:r>
        <w:rPr>
          <w:rFonts w:ascii="Arial" w:eastAsia="Arial" w:hAnsi="Arial" w:cs="Arial"/>
          <w:b/>
          <w:i/>
          <w:color w:val="000000"/>
          <w:sz w:val="20"/>
          <w:u w:val="single"/>
        </w:rPr>
        <w:t>startup</w:t>
      </w:r>
      <w:r>
        <w:rPr>
          <w:rFonts w:ascii="Arial" w:eastAsia="Arial" w:hAnsi="Arial" w:cs="Arial"/>
          <w:color w:val="000000"/>
          <w:sz w:val="20"/>
        </w:rPr>
        <w:t xml:space="preserve"> founders, social entrepreneurs, innovators, and changemakers!</w:t>
      </w:r>
    </w:p>
    <w:p w14:paraId="75DCFEB3" w14:textId="77777777" w:rsidR="00054BF0" w:rsidRDefault="00000000">
      <w:pPr>
        <w:spacing w:before="200" w:line="260" w:lineRule="atLeast"/>
        <w:jc w:val="both"/>
      </w:pPr>
      <w:r>
        <w:rPr>
          <w:rFonts w:ascii="Arial" w:eastAsia="Arial" w:hAnsi="Arial" w:cs="Arial"/>
          <w:color w:val="000000"/>
          <w:sz w:val="20"/>
        </w:rPr>
        <w:t xml:space="preserve">Launched in 2012, YourStory's Book Reviewsection features over 280 titles on innovation, entrepreneurship, creativity, and digital media. 2020 has been another outstanding year for books on the </w:t>
      </w:r>
      <w:r>
        <w:rPr>
          <w:rFonts w:ascii="Arial" w:eastAsia="Arial" w:hAnsi="Arial" w:cs="Arial"/>
          <w:b/>
          <w:i/>
          <w:color w:val="000000"/>
          <w:sz w:val="20"/>
          <w:u w:val="single"/>
        </w:rPr>
        <w:t>startup</w:t>
      </w:r>
      <w:r>
        <w:rPr>
          <w:rFonts w:ascii="Arial" w:eastAsia="Arial" w:hAnsi="Arial" w:cs="Arial"/>
          <w:color w:val="000000"/>
          <w:sz w:val="20"/>
        </w:rPr>
        <w:t xml:space="preserve"> movement, with more of a focus on co-creation, inner dialogues, and business model designs - reflecting the growing maturity of the </w:t>
      </w:r>
      <w:r>
        <w:rPr>
          <w:rFonts w:ascii="Arial" w:eastAsia="Arial" w:hAnsi="Arial" w:cs="Arial"/>
          <w:b/>
          <w:i/>
          <w:color w:val="000000"/>
          <w:sz w:val="20"/>
          <w:u w:val="single"/>
        </w:rPr>
        <w:t>startup</w:t>
      </w:r>
      <w:r>
        <w:rPr>
          <w:rFonts w:ascii="Arial" w:eastAsia="Arial" w:hAnsi="Arial" w:cs="Arial"/>
          <w:color w:val="000000"/>
          <w:sz w:val="20"/>
        </w:rPr>
        <w:t xml:space="preserve"> ecosystem around the world.</w:t>
      </w:r>
    </w:p>
    <w:p w14:paraId="3A241A21" w14:textId="77777777" w:rsidR="00054BF0" w:rsidRDefault="00000000">
      <w:pPr>
        <w:spacing w:before="200" w:line="260" w:lineRule="atLeast"/>
        <w:jc w:val="both"/>
      </w:pPr>
      <w:r>
        <w:rPr>
          <w:rFonts w:ascii="Arial" w:eastAsia="Arial" w:hAnsi="Arial" w:cs="Arial"/>
          <w:color w:val="000000"/>
          <w:sz w:val="20"/>
        </w:rPr>
        <w:t>See our earlier lists of 'Top 10 Books for Entrepreneurs' from the past eight years as well: 2019,2018,2017,2016,2015,2014,2013, and2012.YourStory has also published the pocketbook Proverbs and Quotes for Entrepreneurs: A World of Inspiration for Startupsas a creative and motivational guide for innovators, accessible as apps (Apple; free Android version).</w:t>
      </w:r>
    </w:p>
    <w:p w14:paraId="160B3CA2" w14:textId="77777777" w:rsidR="00054BF0" w:rsidRDefault="00000000">
      <w:pPr>
        <w:spacing w:before="200" w:line="260" w:lineRule="atLeast"/>
        <w:jc w:val="both"/>
      </w:pPr>
      <w:r>
        <w:rPr>
          <w:rFonts w:ascii="Arial" w:eastAsia="Arial" w:hAnsi="Arial" w:cs="Arial"/>
          <w:color w:val="000000"/>
          <w:sz w:val="20"/>
        </w:rPr>
        <w:t>Undoubtedly and unfortunately, the biggest development of the year 2020 was the coronavirus pandemic - with triple shock effects in health, economic, and social spheres. Though a big setback to many firms, a side-effect was a boost to digital adoption and hybrid business models. See our reviews of the books Pandemic Inc. and Coming Back from COVID for insights on business resilience.</w:t>
      </w:r>
    </w:p>
    <w:p w14:paraId="4821C1C2" w14:textId="77777777" w:rsidR="00054BF0" w:rsidRDefault="00000000">
      <w:pPr>
        <w:spacing w:before="200" w:line="260" w:lineRule="atLeast"/>
        <w:jc w:val="both"/>
      </w:pPr>
      <w:r>
        <w:rPr>
          <w:rFonts w:ascii="Arial" w:eastAsia="Arial" w:hAnsi="Arial" w:cs="Arial"/>
          <w:color w:val="000000"/>
          <w:sz w:val="20"/>
        </w:rPr>
        <w:t xml:space="preserve">The selection of our Top Ten Books this year provides advice for business models, leadership, tech trends, design thinking, </w:t>
      </w:r>
      <w:r>
        <w:rPr>
          <w:rFonts w:ascii="Arial" w:eastAsia="Arial" w:hAnsi="Arial" w:cs="Arial"/>
          <w:b/>
          <w:i/>
          <w:color w:val="000000"/>
          <w:sz w:val="20"/>
          <w:u w:val="single"/>
        </w:rPr>
        <w:t>startup</w:t>
      </w:r>
      <w:r>
        <w:rPr>
          <w:rFonts w:ascii="Arial" w:eastAsia="Arial" w:hAnsi="Arial" w:cs="Arial"/>
          <w:color w:val="000000"/>
          <w:sz w:val="20"/>
        </w:rPr>
        <w:t xml:space="preserve"> ecosystems, storytelling, and connecting to a larger purpose. Country-specific titles focus on India and Spain as well.</w:t>
      </w:r>
    </w:p>
    <w:p w14:paraId="5212FE13" w14:textId="77777777" w:rsidR="00054BF0" w:rsidRDefault="00000000">
      <w:pPr>
        <w:spacing w:before="200" w:line="260" w:lineRule="atLeast"/>
        <w:jc w:val="both"/>
      </w:pPr>
      <w:r>
        <w:rPr>
          <w:rFonts w:ascii="Arial" w:eastAsia="Arial" w:hAnsi="Arial" w:cs="Arial"/>
          <w:color w:val="000000"/>
          <w:sz w:val="20"/>
        </w:rPr>
        <w:t>Click on each title below to see the full book review; also check out our author interview section for more in-depth insights into entrepreneurship.</w:t>
      </w:r>
    </w:p>
    <w:p w14:paraId="3DAA0D7F" w14:textId="77777777" w:rsidR="00054BF0" w:rsidRDefault="00000000">
      <w:pPr>
        <w:spacing w:before="200" w:line="260" w:lineRule="atLeast"/>
        <w:jc w:val="both"/>
      </w:pPr>
      <w:r>
        <w:rPr>
          <w:rFonts w:ascii="Arial" w:eastAsia="Arial" w:hAnsi="Arial" w:cs="Arial"/>
          <w:color w:val="000000"/>
          <w:sz w:val="20"/>
        </w:rPr>
        <w:t>Out-Innovate: How Global Entrepreneurs - from Delhi to Detroit - Are Rewriting the Rules of Silicon Valley, by Alexandre Lazarow</w:t>
      </w:r>
    </w:p>
    <w:p w14:paraId="3FD49EDF" w14:textId="77777777" w:rsidR="00054BF0" w:rsidRDefault="00000000">
      <w:pPr>
        <w:spacing w:before="200" w:line="260" w:lineRule="atLeast"/>
        <w:jc w:val="both"/>
      </w:pPr>
      <w:r>
        <w:rPr>
          <w:rFonts w:ascii="Arial" w:eastAsia="Arial" w:hAnsi="Arial" w:cs="Arial"/>
          <w:color w:val="000000"/>
          <w:sz w:val="20"/>
        </w:rPr>
        <w:t xml:space="preserve">The global canvas of this book adds to the wealth of analysis on what makes </w:t>
      </w:r>
      <w:r>
        <w:rPr>
          <w:rFonts w:ascii="Arial" w:eastAsia="Arial" w:hAnsi="Arial" w:cs="Arial"/>
          <w:b/>
          <w:i/>
          <w:color w:val="000000"/>
          <w:sz w:val="20"/>
          <w:u w:val="single"/>
        </w:rPr>
        <w:t>startups</w:t>
      </w:r>
      <w:r>
        <w:rPr>
          <w:rFonts w:ascii="Arial" w:eastAsia="Arial" w:hAnsi="Arial" w:cs="Arial"/>
          <w:color w:val="000000"/>
          <w:sz w:val="20"/>
        </w:rPr>
        <w:t xml:space="preserve"> succeed. It goes beyond the usual "Silicon Valley gospel" to showcase new business models, leadership strategies, team dynamics, financing models, and ecosystem partnerships. Lessons from the differing realities of </w:t>
      </w:r>
      <w:r>
        <w:rPr>
          <w:rFonts w:ascii="Arial" w:eastAsia="Arial" w:hAnsi="Arial" w:cs="Arial"/>
          <w:b/>
          <w:i/>
          <w:color w:val="000000"/>
          <w:sz w:val="20"/>
          <w:u w:val="single"/>
        </w:rPr>
        <w:t>startup</w:t>
      </w:r>
      <w:r>
        <w:rPr>
          <w:rFonts w:ascii="Arial" w:eastAsia="Arial" w:hAnsi="Arial" w:cs="Arial"/>
          <w:color w:val="000000"/>
          <w:sz w:val="20"/>
        </w:rPr>
        <w:t xml:space="preserve"> environments in Asia, Africa, and Latin America enrich us all, and will be particularly useful for the emerging hyper-connected world.</w:t>
      </w:r>
    </w:p>
    <w:p w14:paraId="5ADFB3C4" w14:textId="77777777" w:rsidR="00054BF0" w:rsidRDefault="00000000">
      <w:pPr>
        <w:spacing w:before="200" w:line="260" w:lineRule="atLeast"/>
        <w:jc w:val="both"/>
      </w:pPr>
      <w:r>
        <w:rPr>
          <w:rFonts w:ascii="Arial" w:eastAsia="Arial" w:hAnsi="Arial" w:cs="Arial"/>
          <w:color w:val="000000"/>
          <w:sz w:val="20"/>
        </w:rPr>
        <w:t>The Unfair Advantage: How You Already Have What it Takes to Succeed, by Ash Ali and Hasan Kubba</w:t>
      </w:r>
    </w:p>
    <w:p w14:paraId="53004F7A" w14:textId="77777777" w:rsidR="00054BF0" w:rsidRDefault="00000000">
      <w:pPr>
        <w:spacing w:before="200" w:line="260" w:lineRule="atLeast"/>
        <w:jc w:val="both"/>
      </w:pPr>
      <w:r>
        <w:rPr>
          <w:rFonts w:ascii="Arial" w:eastAsia="Arial" w:hAnsi="Arial" w:cs="Arial"/>
          <w:color w:val="000000"/>
          <w:sz w:val="20"/>
        </w:rPr>
        <w:lastRenderedPageBreak/>
        <w:t>This book shows how it's not just hard work and talent that determine entrepreneurial success. An unfair advantage is something unique and internal to each person that gives a competitive upper hard, and exists even without having worked for it. Even adversity can be converted into an opportunity, as the frameworks and examples in this book show. The authors' framework for entrepreneurs goes by the acronym MILES: money, intelligence/insight, location/luck, education/expertise, and status.</w:t>
      </w:r>
    </w:p>
    <w:p w14:paraId="4DF5DD07" w14:textId="77777777" w:rsidR="00054BF0" w:rsidRDefault="00000000">
      <w:pPr>
        <w:spacing w:before="200" w:line="260" w:lineRule="atLeast"/>
        <w:jc w:val="both"/>
      </w:pPr>
      <w:r>
        <w:rPr>
          <w:rFonts w:ascii="Arial" w:eastAsia="Arial" w:hAnsi="Arial" w:cs="Arial"/>
          <w:color w:val="000000"/>
          <w:sz w:val="20"/>
        </w:rPr>
        <w:t xml:space="preserve">Funding your </w:t>
      </w:r>
      <w:r>
        <w:rPr>
          <w:rFonts w:ascii="Arial" w:eastAsia="Arial" w:hAnsi="Arial" w:cs="Arial"/>
          <w:b/>
          <w:i/>
          <w:color w:val="000000"/>
          <w:sz w:val="20"/>
          <w:u w:val="single"/>
        </w:rPr>
        <w:t>Startup</w:t>
      </w:r>
      <w:r>
        <w:rPr>
          <w:rFonts w:ascii="Arial" w:eastAsia="Arial" w:hAnsi="Arial" w:cs="Arial"/>
          <w:color w:val="000000"/>
          <w:sz w:val="20"/>
        </w:rPr>
        <w:t xml:space="preserve">, by Dhruv Nath and Sushanto Mitra </w:t>
      </w:r>
    </w:p>
    <w:p w14:paraId="6C2D29FC" w14:textId="77777777" w:rsidR="00054BF0" w:rsidRDefault="00000000">
      <w:pPr>
        <w:spacing w:before="200" w:line="260" w:lineRule="atLeast"/>
        <w:jc w:val="both"/>
      </w:pPr>
      <w:r>
        <w:rPr>
          <w:rFonts w:ascii="Arial" w:eastAsia="Arial" w:hAnsi="Arial" w:cs="Arial"/>
          <w:color w:val="000000"/>
          <w:sz w:val="20"/>
        </w:rPr>
        <w:t xml:space="preserve">This book provides aspiring founders with a practical guide on choosing business ideas, making them viable, and raising funds from investors. In an engaging, conversational style, the authors document </w:t>
      </w:r>
      <w:r>
        <w:rPr>
          <w:rFonts w:ascii="Arial" w:eastAsia="Arial" w:hAnsi="Arial" w:cs="Arial"/>
          <w:b/>
          <w:i/>
          <w:color w:val="000000"/>
          <w:sz w:val="20"/>
          <w:u w:val="single"/>
        </w:rPr>
        <w:t>startup</w:t>
      </w:r>
      <w:r>
        <w:rPr>
          <w:rFonts w:ascii="Arial" w:eastAsia="Arial" w:hAnsi="Arial" w:cs="Arial"/>
          <w:color w:val="000000"/>
          <w:sz w:val="20"/>
        </w:rPr>
        <w:t xml:space="preserve"> successes and </w:t>
      </w:r>
      <w:r>
        <w:rPr>
          <w:rFonts w:ascii="Arial" w:eastAsia="Arial" w:hAnsi="Arial" w:cs="Arial"/>
          <w:b/>
          <w:i/>
          <w:color w:val="000000"/>
          <w:sz w:val="20"/>
          <w:u w:val="single"/>
        </w:rPr>
        <w:t>failures</w:t>
      </w:r>
      <w:r>
        <w:rPr>
          <w:rFonts w:ascii="Arial" w:eastAsia="Arial" w:hAnsi="Arial" w:cs="Arial"/>
          <w:color w:val="000000"/>
          <w:sz w:val="20"/>
        </w:rPr>
        <w:t xml:space="preserve"> in India. The framework is based on the apt acronym PERSISTENT: Problem, Earnings model, Risks, Size of the market, Innovation, Scalability, Team, Entry barriers, Niche, and Traction. Each chapter ends with some discussion on the COVID-19 impact on different </w:t>
      </w:r>
      <w:r>
        <w:rPr>
          <w:rFonts w:ascii="Arial" w:eastAsia="Arial" w:hAnsi="Arial" w:cs="Arial"/>
          <w:b/>
          <w:i/>
          <w:color w:val="000000"/>
          <w:sz w:val="20"/>
          <w:u w:val="single"/>
        </w:rPr>
        <w:t>startups</w:t>
      </w:r>
      <w:r>
        <w:rPr>
          <w:rFonts w:ascii="Arial" w:eastAsia="Arial" w:hAnsi="Arial" w:cs="Arial"/>
          <w:color w:val="000000"/>
          <w:sz w:val="20"/>
        </w:rPr>
        <w:t xml:space="preserve"> and sectors.</w:t>
      </w:r>
    </w:p>
    <w:p w14:paraId="1BB09D96" w14:textId="77777777" w:rsidR="00054BF0" w:rsidRDefault="00000000">
      <w:pPr>
        <w:spacing w:before="200" w:line="260" w:lineRule="atLeast"/>
        <w:jc w:val="both"/>
      </w:pPr>
      <w:r>
        <w:rPr>
          <w:rFonts w:ascii="Arial" w:eastAsia="Arial" w:hAnsi="Arial" w:cs="Arial"/>
          <w:color w:val="000000"/>
          <w:sz w:val="20"/>
        </w:rPr>
        <w:t>The Innovation Ultimatum: How Six Strategic Technologies will Reshape Every Business in the 2020s, by Steve Brown</w:t>
      </w:r>
    </w:p>
    <w:p w14:paraId="619A52D7" w14:textId="77777777" w:rsidR="00054BF0" w:rsidRDefault="00000000">
      <w:pPr>
        <w:spacing w:before="200" w:line="260" w:lineRule="atLeast"/>
        <w:jc w:val="both"/>
      </w:pPr>
      <w:r>
        <w:rPr>
          <w:rFonts w:ascii="Arial" w:eastAsia="Arial" w:hAnsi="Arial" w:cs="Arial"/>
          <w:color w:val="000000"/>
          <w:sz w:val="20"/>
        </w:rPr>
        <w:t xml:space="preserve">Intel's former futurist presents a deep dive into tech trends, business responses, and emerging </w:t>
      </w:r>
      <w:r>
        <w:rPr>
          <w:rFonts w:ascii="Arial" w:eastAsia="Arial" w:hAnsi="Arial" w:cs="Arial"/>
          <w:b/>
          <w:i/>
          <w:color w:val="000000"/>
          <w:sz w:val="20"/>
          <w:u w:val="single"/>
        </w:rPr>
        <w:t>startups</w:t>
      </w:r>
      <w:r>
        <w:rPr>
          <w:rFonts w:ascii="Arial" w:eastAsia="Arial" w:hAnsi="Arial" w:cs="Arial"/>
          <w:color w:val="000000"/>
          <w:sz w:val="20"/>
        </w:rPr>
        <w:t>. Waves of technology are combining and converging to reshape every industry, and present an ultimatum to business leaders to innovate or perish. The six key strategic technologies for business are artificial intelligence, augmented reality, blockchain, the Internet of Things, 5G networks, and autonomous machines. "Businesses will experience more technology-driven change in the next ten years than in the last forty," the author predicts.</w:t>
      </w:r>
    </w:p>
    <w:p w14:paraId="7868E9A7" w14:textId="77777777" w:rsidR="00054BF0" w:rsidRDefault="00000000">
      <w:pPr>
        <w:spacing w:before="200" w:line="260" w:lineRule="atLeast"/>
        <w:jc w:val="both"/>
      </w:pPr>
      <w:r>
        <w:rPr>
          <w:rFonts w:ascii="Arial" w:eastAsia="Arial" w:hAnsi="Arial" w:cs="Arial"/>
          <w:color w:val="000000"/>
          <w:sz w:val="20"/>
        </w:rPr>
        <w:t>Design your Thinking: The Mindsets, Toolsets and Skillsets for Creative Problem-Solving, by Pavan Soni</w:t>
      </w:r>
    </w:p>
    <w:p w14:paraId="6BD8ACEB" w14:textId="77777777" w:rsidR="00054BF0" w:rsidRDefault="00000000">
      <w:pPr>
        <w:spacing w:before="200" w:line="260" w:lineRule="atLeast"/>
        <w:jc w:val="both"/>
      </w:pPr>
      <w:r>
        <w:rPr>
          <w:rFonts w:ascii="Arial" w:eastAsia="Arial" w:hAnsi="Arial" w:cs="Arial"/>
          <w:color w:val="000000"/>
          <w:sz w:val="20"/>
        </w:rPr>
        <w:t>This book builds on earlier frameworks of design thinking by IDEO and Stanford d.School, and provides case studies from over 50 companies in India. It extends the importance of design thinking not just for product development but to problem-solving in all walks of life. The book combines academic rigour with business practicality, and there is also a handy tear-away poster with a mindmap of the book's topics. There are recommendations at the individual, organisational and cultural level.</w:t>
      </w:r>
    </w:p>
    <w:p w14:paraId="726E99F2" w14:textId="77777777" w:rsidR="00054BF0" w:rsidRDefault="00000000">
      <w:pPr>
        <w:spacing w:before="200" w:line="260" w:lineRule="atLeast"/>
        <w:jc w:val="both"/>
      </w:pPr>
      <w:r>
        <w:rPr>
          <w:rFonts w:ascii="Arial" w:eastAsia="Arial" w:hAnsi="Arial" w:cs="Arial"/>
          <w:color w:val="000000"/>
          <w:sz w:val="20"/>
        </w:rPr>
        <w:t>The Invincible Company, by Alex Osterwalder, Yves Pigneur, Fred Etiemble and Alan Smith</w:t>
      </w:r>
    </w:p>
    <w:p w14:paraId="1814CC62" w14:textId="77777777" w:rsidR="00054BF0" w:rsidRDefault="00000000">
      <w:pPr>
        <w:spacing w:before="200" w:line="260" w:lineRule="atLeast"/>
        <w:jc w:val="both"/>
      </w:pPr>
      <w:r>
        <w:rPr>
          <w:rFonts w:ascii="Arial" w:eastAsia="Arial" w:hAnsi="Arial" w:cs="Arial"/>
          <w:color w:val="000000"/>
          <w:sz w:val="20"/>
        </w:rPr>
        <w:t>This title is the fourth in the book series by innovation consultancy Strategyzer. Their earlier bestsellers are Business Model Generation, Value Proposition Design, and Testing Business Ideas. The book is packed with descriptions of "the world's best business models" across categories in stages of 'explore' and 'exploit', as well as patterns and lessons for cultural transformation in business. The design of the book is outstanding, and the visually-appealing presentation invites browsing as well as in-depth analysis.</w:t>
      </w:r>
    </w:p>
    <w:p w14:paraId="70F17BA1" w14:textId="77777777" w:rsidR="00054BF0" w:rsidRDefault="00000000">
      <w:pPr>
        <w:spacing w:before="200" w:line="260" w:lineRule="atLeast"/>
        <w:jc w:val="both"/>
      </w:pPr>
      <w:r>
        <w:rPr>
          <w:rFonts w:ascii="Arial" w:eastAsia="Arial" w:hAnsi="Arial" w:cs="Arial"/>
          <w:color w:val="000000"/>
          <w:sz w:val="20"/>
        </w:rPr>
        <w:t>The Serendipity Mindset: The Art and Science of Creating Good Luck, by Christian Busch</w:t>
      </w:r>
    </w:p>
    <w:p w14:paraId="7B20B9E2" w14:textId="77777777" w:rsidR="00054BF0" w:rsidRDefault="00000000">
      <w:pPr>
        <w:spacing w:before="200" w:line="260" w:lineRule="atLeast"/>
        <w:jc w:val="both"/>
      </w:pPr>
      <w:r>
        <w:rPr>
          <w:rFonts w:ascii="Arial" w:eastAsia="Arial" w:hAnsi="Arial" w:cs="Arial"/>
          <w:color w:val="000000"/>
          <w:sz w:val="20"/>
        </w:rPr>
        <w:t xml:space="preserve">Individuals and organisations can make luck favour them by taking conscious steps to cultivate the serendipity mindset and "serendipity field," according to this book. Luck can be about enabling fortunate connections to happen, and systematically harnessing them- which is also good marketing advice for </w:t>
      </w:r>
      <w:r>
        <w:rPr>
          <w:rFonts w:ascii="Arial" w:eastAsia="Arial" w:hAnsi="Arial" w:cs="Arial"/>
          <w:b/>
          <w:i/>
          <w:color w:val="000000"/>
          <w:sz w:val="20"/>
          <w:u w:val="single"/>
        </w:rPr>
        <w:t>startups</w:t>
      </w:r>
      <w:r>
        <w:rPr>
          <w:rFonts w:ascii="Arial" w:eastAsia="Arial" w:hAnsi="Arial" w:cs="Arial"/>
          <w:color w:val="000000"/>
          <w:sz w:val="20"/>
        </w:rPr>
        <w:t>. Success comes from an open and experimental mindset, and not just from a focus on efficiency. From entrepreneurs to scientists, this book features a range of case studies, and a 38-question checklist to assess one's serendipity.</w:t>
      </w:r>
    </w:p>
    <w:p w14:paraId="3188109C" w14:textId="77777777" w:rsidR="00054BF0" w:rsidRDefault="00000000">
      <w:pPr>
        <w:spacing w:before="200" w:line="260" w:lineRule="atLeast"/>
        <w:jc w:val="both"/>
      </w:pPr>
      <w:r>
        <w:rPr>
          <w:rFonts w:ascii="Arial" w:eastAsia="Arial" w:hAnsi="Arial" w:cs="Arial"/>
          <w:color w:val="000000"/>
          <w:sz w:val="20"/>
        </w:rPr>
        <w:t>Once Upon an Innovation: Business Storytelling Techniques for Creative Problem Solving, by Jean Storlie and Mimi Sherlock</w:t>
      </w:r>
    </w:p>
    <w:p w14:paraId="4BF1EDBD" w14:textId="77777777" w:rsidR="00054BF0" w:rsidRDefault="00000000">
      <w:pPr>
        <w:spacing w:before="200" w:line="260" w:lineRule="atLeast"/>
        <w:jc w:val="both"/>
      </w:pPr>
      <w:r>
        <w:rPr>
          <w:rFonts w:ascii="Arial" w:eastAsia="Arial" w:hAnsi="Arial" w:cs="Arial"/>
          <w:color w:val="000000"/>
          <w:sz w:val="20"/>
        </w:rPr>
        <w:t>Business communication and creativity come together in this handy book for innovators. It shows how story approaches can be embedded throughout the journey of innovation and change. The book describes activities and storytelling tools for each of the steps in the innovation journey: visioning, clarification, ideation, prototyping, stakeholder buy-in, and pitches. There are also suggestions for group activities revolving around stories, right from room setup and props to gallery photos and seating design.</w:t>
      </w:r>
    </w:p>
    <w:p w14:paraId="1B3A46ED" w14:textId="77777777" w:rsidR="00054BF0" w:rsidRDefault="00000000">
      <w:pPr>
        <w:spacing w:before="200" w:line="260" w:lineRule="atLeast"/>
        <w:jc w:val="both"/>
      </w:pPr>
      <w:r>
        <w:rPr>
          <w:rFonts w:ascii="Arial" w:eastAsia="Arial" w:hAnsi="Arial" w:cs="Arial"/>
          <w:color w:val="000000"/>
          <w:sz w:val="20"/>
        </w:rPr>
        <w:lastRenderedPageBreak/>
        <w:t>Social Entrepreneurship in India: Quarter Idealism and a Pound of Pragmatism, by Madhukar Shukla</w:t>
      </w:r>
    </w:p>
    <w:p w14:paraId="25BFAEB7" w14:textId="77777777" w:rsidR="00054BF0" w:rsidRDefault="00000000">
      <w:pPr>
        <w:spacing w:before="200" w:line="260" w:lineRule="atLeast"/>
        <w:jc w:val="both"/>
      </w:pPr>
      <w:r>
        <w:rPr>
          <w:rFonts w:ascii="Arial" w:eastAsia="Arial" w:hAnsi="Arial" w:cs="Arial"/>
          <w:color w:val="000000"/>
          <w:sz w:val="20"/>
        </w:rPr>
        <w:t>The rise of the social innovation movement in India, along with profiles and roadmaps, is well documented in this book. It draws on 120 organisational examples, and provides useful frameworks and tips for aspiring social entrepreneurs, innovators, academics, policymakers, and impact investors. The analysis of mindsets, business models, organisational structure, sustainability, and scale strategies is particularly useful. The foreword is written by Nobel Laureate Muhammad Yunus.</w:t>
      </w:r>
    </w:p>
    <w:p w14:paraId="459E7A4C" w14:textId="77777777" w:rsidR="00054BF0"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Guide Barcelona</w:t>
      </w:r>
    </w:p>
    <w:p w14:paraId="6BC68AF3" w14:textId="77777777" w:rsidR="00054BF0"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Guide series of books, published by Sissel Hansen in Copenhagen, covers the </w:t>
      </w:r>
      <w:r>
        <w:rPr>
          <w:rFonts w:ascii="Arial" w:eastAsia="Arial" w:hAnsi="Arial" w:cs="Arial"/>
          <w:b/>
          <w:i/>
          <w:color w:val="000000"/>
          <w:sz w:val="20"/>
          <w:u w:val="single"/>
        </w:rPr>
        <w:t>startup</w:t>
      </w:r>
      <w:r>
        <w:rPr>
          <w:rFonts w:ascii="Arial" w:eastAsia="Arial" w:hAnsi="Arial" w:cs="Arial"/>
          <w:color w:val="000000"/>
          <w:sz w:val="20"/>
        </w:rPr>
        <w:t xml:space="preserve"> ecosystem in over 30 cities, such as London, New York, Berlin, Johannesburg, Cairo, Bangkok, Singapore and Tokyo. The publisher and editorial team deserve an award for the entire book series, each of which features interviews with founders, investors, accelerators and educators. We pick this title on Barcelona because it is a showcase of the power of co-creation and also one of the most picturesque </w:t>
      </w:r>
      <w:r>
        <w:rPr>
          <w:rFonts w:ascii="Arial" w:eastAsia="Arial" w:hAnsi="Arial" w:cs="Arial"/>
          <w:b/>
          <w:i/>
          <w:color w:val="000000"/>
          <w:sz w:val="20"/>
          <w:u w:val="single"/>
        </w:rPr>
        <w:t>startup</w:t>
      </w:r>
      <w:r>
        <w:rPr>
          <w:rFonts w:ascii="Arial" w:eastAsia="Arial" w:hAnsi="Arial" w:cs="Arial"/>
          <w:color w:val="000000"/>
          <w:sz w:val="20"/>
        </w:rPr>
        <w:t xml:space="preserve"> books around!</w:t>
      </w:r>
    </w:p>
    <w:p w14:paraId="3ACD8836" w14:textId="77777777" w:rsidR="00054BF0" w:rsidRDefault="00000000">
      <w:pPr>
        <w:spacing w:before="200" w:line="260" w:lineRule="atLeast"/>
        <w:jc w:val="both"/>
      </w:pPr>
      <w:r>
        <w:rPr>
          <w:rFonts w:ascii="Arial" w:eastAsia="Arial" w:hAnsi="Arial" w:cs="Arial"/>
          <w:color w:val="000000"/>
          <w:sz w:val="20"/>
        </w:rPr>
        <w:t xml:space="preserve">We look forward to your comments as well as your suggestions for books to review in 2021. All of us at YourStory wish our readers and partners a happy holiday season and a terrific year ahead in 'The Next Normal' - may a million successful </w:t>
      </w:r>
      <w:r>
        <w:rPr>
          <w:rFonts w:ascii="Arial" w:eastAsia="Arial" w:hAnsi="Arial" w:cs="Arial"/>
          <w:b/>
          <w:i/>
          <w:color w:val="000000"/>
          <w:sz w:val="20"/>
          <w:u w:val="single"/>
        </w:rPr>
        <w:t>startups</w:t>
      </w:r>
      <w:r>
        <w:rPr>
          <w:rFonts w:ascii="Arial" w:eastAsia="Arial" w:hAnsi="Arial" w:cs="Arial"/>
          <w:color w:val="000000"/>
          <w:sz w:val="20"/>
        </w:rPr>
        <w:t xml:space="preserve"> bloom!</w:t>
      </w:r>
    </w:p>
    <w:p w14:paraId="79EF43E0" w14:textId="77777777" w:rsidR="00054BF0"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as a creative and motivational guide for innovators (downloadable as apps here: Apple, Android).</w:t>
      </w:r>
    </w:p>
    <w:p w14:paraId="6B0BD46B" w14:textId="77777777" w:rsidR="00054BF0" w:rsidRDefault="00000000">
      <w:pPr>
        <w:spacing w:before="200" w:line="260" w:lineRule="atLeast"/>
        <w:jc w:val="both"/>
      </w:pPr>
      <w:r>
        <w:rPr>
          <w:rFonts w:ascii="Arial" w:eastAsia="Arial" w:hAnsi="Arial" w:cs="Arial"/>
          <w:color w:val="000000"/>
          <w:sz w:val="20"/>
        </w:rPr>
        <w:t>Edited by Suman Singh</w:t>
      </w:r>
    </w:p>
    <w:p w14:paraId="3FE10A60"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3, 2020</w:t>
      </w:r>
    </w:p>
    <w:p w14:paraId="3757E84E" w14:textId="77777777" w:rsidR="00054BF0" w:rsidRDefault="00054BF0"/>
    <w:p w14:paraId="4277D399" w14:textId="77777777" w:rsidR="00054BF0" w:rsidRDefault="00000000">
      <w:pPr>
        <w:ind w:left="200"/>
        <w:sectPr w:rsidR="00054BF0">
          <w:type w:val="continuous"/>
          <w:pgSz w:w="12240" w:h="15840"/>
          <w:pgMar w:top="840" w:right="1000" w:bottom="840" w:left="1000" w:header="400" w:footer="400" w:gutter="0"/>
          <w:cols w:space="720"/>
        </w:sectPr>
      </w:pPr>
      <w:r>
        <w:br/>
      </w:r>
      <w:r>
        <w:pict w14:anchorId="63036345">
          <v:line id="_x0000_s2189" style="position:absolute;left:0;text-align:left;z-index:251746304;mso-position-horizontal-relative:text;mso-position-vertical-relative:text" from="0,10pt" to="512pt,10pt" strokeweight="1pt"/>
        </w:pict>
      </w:r>
      <w:r>
        <w:rPr>
          <w:rFonts w:ascii="Arial" w:eastAsia="Arial" w:hAnsi="Arial" w:cs="Arial"/>
          <w:b/>
          <w:color w:val="767676"/>
          <w:sz w:val="16"/>
        </w:rPr>
        <w:t>End of Document</w:t>
      </w:r>
    </w:p>
    <w:p w14:paraId="09FD7791" w14:textId="77777777" w:rsidR="00054BF0" w:rsidRDefault="00054BF0">
      <w:pPr>
        <w:sectPr w:rsidR="00054BF0">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gutter="0"/>
          <w:cols w:space="720"/>
          <w:titlePg/>
        </w:sectPr>
      </w:pPr>
    </w:p>
    <w:p w14:paraId="5BE0A721" w14:textId="77777777" w:rsidR="00054BF0" w:rsidRDefault="00054BF0">
      <w:bookmarkStart w:id="83" w:name="Bookmark_41"/>
      <w:bookmarkEnd w:id="83"/>
    </w:p>
    <w:p w14:paraId="54787255" w14:textId="77777777" w:rsidR="00054BF0" w:rsidRDefault="00BE2275">
      <w:r>
        <w:pict w14:anchorId="1404455B">
          <v:shape id="_x0000_i1080" type="#_x0000_t75" alt="LexisNexis®" style="width:148pt;height:30pt">
            <v:imagedata r:id="rId6" o:title=""/>
          </v:shape>
        </w:pict>
      </w:r>
      <w:r w:rsidR="00A540D1">
        <w:cr/>
      </w:r>
    </w:p>
    <w:p w14:paraId="2BC6FC73" w14:textId="77777777" w:rsidR="00054BF0" w:rsidRDefault="00000000">
      <w:pPr>
        <w:spacing w:before="240" w:after="200" w:line="340" w:lineRule="atLeast"/>
        <w:jc w:val="center"/>
        <w:outlineLvl w:val="0"/>
        <w:rPr>
          <w:rFonts w:ascii="Arial" w:hAnsi="Arial" w:cs="Arial"/>
          <w:b/>
          <w:bCs/>
          <w:kern w:val="32"/>
          <w:sz w:val="32"/>
          <w:szCs w:val="32"/>
        </w:rPr>
      </w:pPr>
      <w:hyperlink r:id="rId601" w:history="1">
        <w:r>
          <w:rPr>
            <w:rFonts w:ascii="Arial" w:eastAsia="Arial" w:hAnsi="Arial" w:cs="Arial"/>
            <w:b/>
            <w:bCs/>
            <w:i/>
            <w:color w:val="0077CC"/>
            <w:kern w:val="32"/>
            <w:sz w:val="28"/>
            <w:szCs w:val="32"/>
            <w:u w:val="single"/>
            <w:shd w:val="clear" w:color="auto" w:fill="FFFFFF"/>
          </w:rPr>
          <w:t>SoftBank-backed Oyo to reduce planned IPO amid tech headwinds</w:t>
        </w:r>
      </w:hyperlink>
    </w:p>
    <w:p w14:paraId="0BCF8BE4" w14:textId="77777777" w:rsidR="00054BF0" w:rsidRDefault="00000000">
      <w:pPr>
        <w:spacing w:before="120" w:line="260" w:lineRule="atLeast"/>
        <w:jc w:val="center"/>
      </w:pPr>
      <w:r>
        <w:rPr>
          <w:rFonts w:ascii="Arial" w:eastAsia="Arial" w:hAnsi="Arial" w:cs="Arial"/>
          <w:color w:val="000000"/>
          <w:sz w:val="20"/>
        </w:rPr>
        <w:t>WebNews - English</w:t>
      </w:r>
    </w:p>
    <w:p w14:paraId="34366193" w14:textId="77777777" w:rsidR="00054BF0" w:rsidRDefault="00000000">
      <w:pPr>
        <w:spacing w:before="120" w:line="260" w:lineRule="atLeast"/>
        <w:jc w:val="center"/>
      </w:pPr>
      <w:r>
        <w:rPr>
          <w:rFonts w:ascii="Arial" w:eastAsia="Arial" w:hAnsi="Arial" w:cs="Arial"/>
          <w:color w:val="000000"/>
          <w:sz w:val="20"/>
        </w:rPr>
        <w:t>Edge Markets</w:t>
      </w:r>
    </w:p>
    <w:p w14:paraId="254A23A3" w14:textId="77777777" w:rsidR="00054BF0" w:rsidRDefault="00000000">
      <w:pPr>
        <w:spacing w:before="240" w:line="260" w:lineRule="atLeast"/>
        <w:jc w:val="center"/>
      </w:pPr>
      <w:hyperlink r:id="rId602" w:history="1">
        <w:r>
          <w:rPr>
            <w:rFonts w:ascii="Arial" w:eastAsia="Arial" w:hAnsi="Arial" w:cs="Arial"/>
            <w:i/>
            <w:color w:val="0077CC"/>
            <w:sz w:val="20"/>
            <w:u w:val="single"/>
            <w:shd w:val="clear" w:color="auto" w:fill="FFFFFF"/>
          </w:rPr>
          <w:t>https://www.theedgemarkets.com/node/660975</w:t>
        </w:r>
      </w:hyperlink>
      <w:r>
        <w:br/>
      </w:r>
      <w:r>
        <w:rPr>
          <w:rFonts w:ascii="Arial" w:eastAsia="Arial" w:hAnsi="Arial" w:cs="Arial"/>
          <w:color w:val="000000"/>
          <w:sz w:val="20"/>
        </w:rPr>
        <w:t>March 27, 2023 Monday</w:t>
      </w:r>
    </w:p>
    <w:p w14:paraId="2845F8E3" w14:textId="77777777" w:rsidR="00054BF0" w:rsidRDefault="00054BF0">
      <w:pPr>
        <w:spacing w:line="240" w:lineRule="atLeast"/>
        <w:jc w:val="both"/>
      </w:pPr>
    </w:p>
    <w:p w14:paraId="1F69D9AF" w14:textId="77777777" w:rsidR="00054BF0" w:rsidRDefault="00054BF0">
      <w:pPr>
        <w:spacing w:line="200" w:lineRule="exact"/>
      </w:pPr>
    </w:p>
    <w:p w14:paraId="3AD0D169" w14:textId="77777777" w:rsidR="00054BF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698 words</w:t>
      </w:r>
    </w:p>
    <w:p w14:paraId="77FE83E1" w14:textId="77777777" w:rsidR="00054BF0" w:rsidRDefault="00000000">
      <w:pPr>
        <w:keepNext/>
        <w:spacing w:before="240" w:line="340" w:lineRule="atLeast"/>
      </w:pPr>
      <w:bookmarkStart w:id="84" w:name="Body_39"/>
      <w:bookmarkEnd w:id="84"/>
      <w:r>
        <w:rPr>
          <w:rFonts w:ascii="Arial" w:eastAsia="Arial" w:hAnsi="Arial" w:cs="Arial"/>
          <w:b/>
          <w:color w:val="000000"/>
          <w:sz w:val="28"/>
        </w:rPr>
        <w:t>Body</w:t>
      </w:r>
    </w:p>
    <w:p w14:paraId="7A164DAA" w14:textId="77777777" w:rsidR="00054BF0" w:rsidRDefault="00000000">
      <w:pPr>
        <w:spacing w:line="60" w:lineRule="exact"/>
      </w:pPr>
      <w:r>
        <w:pict w14:anchorId="02E56E22">
          <v:line id="_x0000_s2191" style="position:absolute;z-index:251747328" from="0,2pt" to="512pt,2pt" strokecolor="#009ddb" strokeweight="2pt">
            <w10:wrap type="topAndBottom"/>
          </v:line>
        </w:pict>
      </w:r>
    </w:p>
    <w:p w14:paraId="44AE6792" w14:textId="77777777" w:rsidR="00054BF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(March 27): Oyo Hotels is reducing the shares it aims to sell via a stock-market debut by about two-thirds, an effort by its founder to get the sale done, even after tech valuations plunged. The once high-flying company is preparing to file a fresh initial public offering document as soon as this week, said two people familiar...</w:t>
      </w:r>
    </w:p>
    <w:p w14:paraId="51F6324B" w14:textId="77777777" w:rsidR="00BE2275" w:rsidRDefault="00BE2275">
      <w:pPr>
        <w:spacing w:before="200" w:line="260" w:lineRule="atLeast"/>
        <w:jc w:val="both"/>
        <w:rPr>
          <w:rFonts w:ascii="Arial" w:eastAsia="Arial" w:hAnsi="Arial" w:cs="Arial"/>
          <w:color w:val="000000"/>
          <w:sz w:val="20"/>
        </w:rPr>
      </w:pPr>
    </w:p>
    <w:p w14:paraId="7004AB16" w14:textId="4E1AEE7B" w:rsidR="00BE2275" w:rsidRDefault="00BE2275">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March 27, 2023</w:t>
      </w:r>
    </w:p>
    <w:p w14:paraId="71C82CC5" w14:textId="77777777" w:rsidR="00054BF0" w:rsidRDefault="00054BF0"/>
    <w:p w14:paraId="276A6E84" w14:textId="77777777" w:rsidR="00054BF0" w:rsidRDefault="00000000">
      <w:pPr>
        <w:ind w:left="200"/>
        <w:sectPr w:rsidR="00054BF0">
          <w:type w:val="continuous"/>
          <w:pgSz w:w="12240" w:h="15840"/>
          <w:pgMar w:top="840" w:right="1000" w:bottom="840" w:left="1000" w:header="400" w:footer="400" w:gutter="0"/>
          <w:cols w:space="720"/>
        </w:sectPr>
      </w:pPr>
      <w:r>
        <w:br/>
      </w:r>
      <w:r>
        <w:pict w14:anchorId="36BEB910">
          <v:line id="_x0000_s2192" style="position:absolute;left:0;text-align:left;z-index:251748352;mso-position-horizontal-relative:text;mso-position-vertical-relative:text" from="0,10pt" to="512pt,10pt" strokeweight="1pt"/>
        </w:pict>
      </w:r>
      <w:r>
        <w:rPr>
          <w:rFonts w:ascii="Arial" w:eastAsia="Arial" w:hAnsi="Arial" w:cs="Arial"/>
          <w:b/>
          <w:color w:val="767676"/>
          <w:sz w:val="16"/>
        </w:rPr>
        <w:t>End of Document</w:t>
      </w:r>
    </w:p>
    <w:p w14:paraId="391E75A0" w14:textId="77777777" w:rsidR="00054BF0" w:rsidRDefault="00054BF0">
      <w:pPr>
        <w:sectPr w:rsidR="00054BF0">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gutter="0"/>
          <w:cols w:space="720"/>
          <w:titlePg/>
        </w:sectPr>
      </w:pPr>
    </w:p>
    <w:p w14:paraId="60935364" w14:textId="77777777" w:rsidR="00054BF0" w:rsidRDefault="00054BF0">
      <w:bookmarkStart w:id="85" w:name="Bookmark_42"/>
      <w:bookmarkEnd w:id="85"/>
    </w:p>
    <w:p w14:paraId="0EF2FC1F" w14:textId="77777777" w:rsidR="00054BF0" w:rsidRDefault="00BE2275">
      <w:r>
        <w:pict w14:anchorId="4DCE62D2">
          <v:shape id="_x0000_i1081" type="#_x0000_t75" alt="LexisNexis®" style="width:148pt;height:30pt">
            <v:imagedata r:id="rId6" o:title=""/>
          </v:shape>
        </w:pict>
      </w:r>
      <w:r w:rsidR="00A540D1">
        <w:cr/>
      </w:r>
    </w:p>
    <w:p w14:paraId="1ABEEE1B" w14:textId="77777777" w:rsidR="00054BF0" w:rsidRDefault="00000000">
      <w:pPr>
        <w:spacing w:before="240" w:after="200" w:line="340" w:lineRule="atLeast"/>
        <w:jc w:val="center"/>
        <w:outlineLvl w:val="0"/>
        <w:rPr>
          <w:rFonts w:ascii="Arial" w:hAnsi="Arial" w:cs="Arial"/>
          <w:b/>
          <w:bCs/>
          <w:kern w:val="32"/>
          <w:sz w:val="32"/>
          <w:szCs w:val="32"/>
        </w:rPr>
      </w:pPr>
      <w:hyperlink r:id="rId609" w:history="1">
        <w:r>
          <w:rPr>
            <w:rFonts w:ascii="Arial" w:eastAsia="Arial" w:hAnsi="Arial" w:cs="Arial"/>
            <w:b/>
            <w:bCs/>
            <w:i/>
            <w:color w:val="0077CC"/>
            <w:kern w:val="32"/>
            <w:sz w:val="28"/>
            <w:szCs w:val="32"/>
            <w:u w:val="single"/>
            <w:shd w:val="clear" w:color="auto" w:fill="FFFFFF"/>
          </w:rPr>
          <w:t>SoftBank-backed Oyo to reduce planned IPO amid tech headwinds</w:t>
        </w:r>
      </w:hyperlink>
    </w:p>
    <w:p w14:paraId="29C1482B" w14:textId="77777777" w:rsidR="00054BF0" w:rsidRDefault="00000000">
      <w:pPr>
        <w:spacing w:before="120" w:line="260" w:lineRule="atLeast"/>
        <w:jc w:val="center"/>
      </w:pPr>
      <w:r>
        <w:rPr>
          <w:rFonts w:ascii="Arial" w:eastAsia="Arial" w:hAnsi="Arial" w:cs="Arial"/>
          <w:color w:val="000000"/>
          <w:sz w:val="20"/>
        </w:rPr>
        <w:t>WebNews - English</w:t>
      </w:r>
    </w:p>
    <w:p w14:paraId="76FA6299" w14:textId="77777777" w:rsidR="00054BF0" w:rsidRDefault="00000000">
      <w:pPr>
        <w:spacing w:before="120" w:line="260" w:lineRule="atLeast"/>
        <w:jc w:val="center"/>
      </w:pPr>
      <w:r>
        <w:rPr>
          <w:rFonts w:ascii="Arial" w:eastAsia="Arial" w:hAnsi="Arial" w:cs="Arial"/>
          <w:color w:val="000000"/>
          <w:sz w:val="20"/>
        </w:rPr>
        <w:t>Moneycontrol.com</w:t>
      </w:r>
    </w:p>
    <w:p w14:paraId="7EA584A2" w14:textId="77777777" w:rsidR="00054BF0" w:rsidRDefault="00000000">
      <w:pPr>
        <w:spacing w:before="240" w:line="260" w:lineRule="atLeast"/>
        <w:jc w:val="center"/>
      </w:pPr>
      <w:hyperlink r:id="rId610" w:history="1">
        <w:r>
          <w:rPr>
            <w:rFonts w:ascii="Arial" w:eastAsia="Arial" w:hAnsi="Arial" w:cs="Arial"/>
            <w:i/>
            <w:color w:val="0077CC"/>
            <w:sz w:val="20"/>
            <w:u w:val="single"/>
            <w:shd w:val="clear" w:color="auto" w:fill="FFFFFF"/>
          </w:rPr>
          <w:t>https://www.moneycontrol.com/news/business/ipo/softbank-backed-oyo-to-reduce-planned-ipo-amid-tech-headwinds-10318861.html</w:t>
        </w:r>
      </w:hyperlink>
      <w:r>
        <w:br/>
      </w:r>
      <w:r>
        <w:rPr>
          <w:rFonts w:ascii="Arial" w:eastAsia="Arial" w:hAnsi="Arial" w:cs="Arial"/>
          <w:color w:val="000000"/>
          <w:sz w:val="20"/>
        </w:rPr>
        <w:t>March 27, 2023 Monday</w:t>
      </w:r>
    </w:p>
    <w:p w14:paraId="2EDE4133" w14:textId="77777777" w:rsidR="00054BF0" w:rsidRDefault="00054BF0">
      <w:pPr>
        <w:spacing w:line="240" w:lineRule="atLeast"/>
        <w:jc w:val="both"/>
      </w:pPr>
    </w:p>
    <w:p w14:paraId="1F780F3B" w14:textId="77777777" w:rsidR="00054BF0" w:rsidRDefault="00054BF0">
      <w:pPr>
        <w:spacing w:line="200" w:lineRule="exact"/>
      </w:pPr>
    </w:p>
    <w:p w14:paraId="5BED0BC5" w14:textId="77777777" w:rsidR="00054BF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745 words</w:t>
      </w:r>
    </w:p>
    <w:p w14:paraId="2FE96D64" w14:textId="77777777" w:rsidR="00054BF0" w:rsidRDefault="00000000">
      <w:pPr>
        <w:keepNext/>
        <w:spacing w:before="240" w:line="340" w:lineRule="atLeast"/>
      </w:pPr>
      <w:bookmarkStart w:id="86" w:name="Body_40"/>
      <w:bookmarkEnd w:id="86"/>
      <w:r>
        <w:rPr>
          <w:rFonts w:ascii="Arial" w:eastAsia="Arial" w:hAnsi="Arial" w:cs="Arial"/>
          <w:b/>
          <w:color w:val="000000"/>
          <w:sz w:val="28"/>
        </w:rPr>
        <w:t>Body</w:t>
      </w:r>
    </w:p>
    <w:p w14:paraId="29167397" w14:textId="77777777" w:rsidR="00054BF0" w:rsidRDefault="00000000">
      <w:pPr>
        <w:spacing w:line="60" w:lineRule="exact"/>
      </w:pPr>
      <w:r>
        <w:pict w14:anchorId="01B1F220">
          <v:line id="_x0000_s2194" style="position:absolute;z-index:251749376" from="0,2pt" to="512pt,2pt" strokecolor="#009ddb" strokeweight="2pt">
            <w10:wrap type="topAndBottom"/>
          </v:line>
        </w:pict>
      </w:r>
    </w:p>
    <w:p w14:paraId="5D5D2EA9" w14:textId="77777777" w:rsidR="00054BF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The once-high-flying company is preparing to file a fresh initial public offering document as soon as this week, two people familiar with the matter told Bloomberg. Oyo’s business has showed signs of recovery after the pandemic (Reuters file image) Oyo Hotels is reducing the shares it aims to sell via a stock-market debut by about two-thirds, an...</w:t>
      </w:r>
    </w:p>
    <w:p w14:paraId="23770713" w14:textId="77777777" w:rsidR="00BE2275" w:rsidRDefault="00BE2275">
      <w:pPr>
        <w:spacing w:before="200" w:line="260" w:lineRule="atLeast"/>
        <w:jc w:val="both"/>
        <w:rPr>
          <w:rFonts w:ascii="Arial" w:eastAsia="Arial" w:hAnsi="Arial" w:cs="Arial"/>
          <w:color w:val="000000"/>
          <w:sz w:val="20"/>
        </w:rPr>
      </w:pPr>
    </w:p>
    <w:p w14:paraId="3430A77C" w14:textId="55274C81" w:rsidR="00BE2275" w:rsidRDefault="00BE2275">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March 27, 2023</w:t>
      </w:r>
    </w:p>
    <w:p w14:paraId="5AD3FC2F" w14:textId="77777777" w:rsidR="00054BF0" w:rsidRDefault="00054BF0"/>
    <w:p w14:paraId="117E7B68" w14:textId="77777777" w:rsidR="00054BF0" w:rsidRDefault="00000000">
      <w:pPr>
        <w:ind w:left="200"/>
        <w:sectPr w:rsidR="00054BF0">
          <w:type w:val="continuous"/>
          <w:pgSz w:w="12240" w:h="15840"/>
          <w:pgMar w:top="840" w:right="1000" w:bottom="840" w:left="1000" w:header="400" w:footer="400" w:gutter="0"/>
          <w:cols w:space="720"/>
        </w:sectPr>
      </w:pPr>
      <w:r>
        <w:br/>
      </w:r>
      <w:r>
        <w:pict w14:anchorId="22A27551">
          <v:line id="_x0000_s2195" style="position:absolute;left:0;text-align:left;z-index:251750400;mso-position-horizontal-relative:text;mso-position-vertical-relative:text" from="0,10pt" to="512pt,10pt" strokeweight="1pt"/>
        </w:pict>
      </w:r>
      <w:r>
        <w:rPr>
          <w:rFonts w:ascii="Arial" w:eastAsia="Arial" w:hAnsi="Arial" w:cs="Arial"/>
          <w:b/>
          <w:color w:val="767676"/>
          <w:sz w:val="16"/>
        </w:rPr>
        <w:t>End of Document</w:t>
      </w:r>
    </w:p>
    <w:p w14:paraId="3C510093" w14:textId="77777777" w:rsidR="00054BF0" w:rsidRDefault="00054BF0">
      <w:pPr>
        <w:sectPr w:rsidR="00054BF0">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gutter="0"/>
          <w:cols w:space="720"/>
          <w:titlePg/>
        </w:sectPr>
      </w:pPr>
    </w:p>
    <w:p w14:paraId="0A8FDF4C" w14:textId="77777777" w:rsidR="00054BF0" w:rsidRDefault="00054BF0">
      <w:bookmarkStart w:id="87" w:name="Bookmark_43"/>
      <w:bookmarkEnd w:id="87"/>
    </w:p>
    <w:p w14:paraId="4C761C8F" w14:textId="77777777" w:rsidR="00054BF0" w:rsidRDefault="00BE2275">
      <w:r>
        <w:pict w14:anchorId="4D7B670A">
          <v:shape id="_x0000_i1082" type="#_x0000_t75" alt="LexisNexis®" style="width:148pt;height:30pt">
            <v:imagedata r:id="rId6" o:title=""/>
          </v:shape>
        </w:pict>
      </w:r>
      <w:r w:rsidR="00A540D1">
        <w:cr/>
      </w:r>
    </w:p>
    <w:p w14:paraId="6A326B65" w14:textId="77777777" w:rsidR="00054BF0" w:rsidRDefault="00000000">
      <w:pPr>
        <w:spacing w:before="240" w:after="200" w:line="340" w:lineRule="atLeast"/>
        <w:jc w:val="center"/>
        <w:outlineLvl w:val="0"/>
        <w:rPr>
          <w:rFonts w:ascii="Arial" w:hAnsi="Arial" w:cs="Arial"/>
          <w:b/>
          <w:bCs/>
          <w:kern w:val="32"/>
          <w:sz w:val="32"/>
          <w:szCs w:val="32"/>
        </w:rPr>
      </w:pPr>
      <w:hyperlink r:id="rId617" w:history="1">
        <w:r>
          <w:rPr>
            <w:rFonts w:ascii="Arial" w:eastAsia="Arial" w:hAnsi="Arial" w:cs="Arial"/>
            <w:b/>
            <w:bCs/>
            <w:i/>
            <w:color w:val="0077CC"/>
            <w:kern w:val="32"/>
            <w:sz w:val="28"/>
            <w:szCs w:val="32"/>
            <w:u w:val="single"/>
            <w:shd w:val="clear" w:color="auto" w:fill="FFFFFF"/>
          </w:rPr>
          <w:t>Oyo to reduce planned IPO amid tech headwinds</w:t>
        </w:r>
      </w:hyperlink>
    </w:p>
    <w:p w14:paraId="2B4EEC8A" w14:textId="77777777" w:rsidR="00054BF0" w:rsidRDefault="00000000">
      <w:pPr>
        <w:spacing w:before="120" w:line="260" w:lineRule="atLeast"/>
        <w:jc w:val="center"/>
      </w:pPr>
      <w:r>
        <w:rPr>
          <w:rFonts w:ascii="Arial" w:eastAsia="Arial" w:hAnsi="Arial" w:cs="Arial"/>
          <w:color w:val="000000"/>
          <w:sz w:val="20"/>
        </w:rPr>
        <w:t>WebNews - English</w:t>
      </w:r>
    </w:p>
    <w:p w14:paraId="0DD544B9" w14:textId="77777777" w:rsidR="00054BF0" w:rsidRDefault="00000000">
      <w:pPr>
        <w:spacing w:before="120" w:line="260" w:lineRule="atLeast"/>
        <w:jc w:val="center"/>
      </w:pPr>
      <w:r>
        <w:rPr>
          <w:rFonts w:ascii="Arial" w:eastAsia="Arial" w:hAnsi="Arial" w:cs="Arial"/>
          <w:color w:val="000000"/>
          <w:sz w:val="20"/>
        </w:rPr>
        <w:t>Deccan Herald</w:t>
      </w:r>
    </w:p>
    <w:p w14:paraId="49BA37D6" w14:textId="77777777" w:rsidR="00054BF0" w:rsidRDefault="00000000">
      <w:pPr>
        <w:spacing w:before="240" w:line="260" w:lineRule="atLeast"/>
        <w:jc w:val="center"/>
      </w:pPr>
      <w:hyperlink r:id="rId618" w:history="1">
        <w:r>
          <w:rPr>
            <w:rFonts w:ascii="Arial" w:eastAsia="Arial" w:hAnsi="Arial" w:cs="Arial"/>
            <w:i/>
            <w:color w:val="0077CC"/>
            <w:sz w:val="20"/>
            <w:u w:val="single"/>
            <w:shd w:val="clear" w:color="auto" w:fill="FFFFFF"/>
          </w:rPr>
          <w:t>https://www.deccanherald.com/business/business-news/oyo-to-reduce-planned-ipo-amid-tech-headwinds-1204002.html</w:t>
        </w:r>
      </w:hyperlink>
      <w:r>
        <w:br/>
      </w:r>
      <w:r>
        <w:rPr>
          <w:rFonts w:ascii="Arial" w:eastAsia="Arial" w:hAnsi="Arial" w:cs="Arial"/>
          <w:color w:val="000000"/>
          <w:sz w:val="20"/>
        </w:rPr>
        <w:t>March 27, 2023 Monday</w:t>
      </w:r>
    </w:p>
    <w:p w14:paraId="07FCE34A" w14:textId="77777777" w:rsidR="00054BF0" w:rsidRDefault="00054BF0">
      <w:pPr>
        <w:spacing w:line="240" w:lineRule="atLeast"/>
        <w:jc w:val="both"/>
      </w:pPr>
    </w:p>
    <w:p w14:paraId="0BA8397F" w14:textId="77777777" w:rsidR="00054BF0" w:rsidRDefault="00054BF0">
      <w:pPr>
        <w:spacing w:line="200" w:lineRule="exact"/>
      </w:pPr>
    </w:p>
    <w:p w14:paraId="4FB265AC" w14:textId="77777777" w:rsidR="00054BF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707 words</w:t>
      </w:r>
    </w:p>
    <w:p w14:paraId="09F35B98" w14:textId="77777777" w:rsidR="00054BF0" w:rsidRDefault="00000000">
      <w:pPr>
        <w:keepNext/>
        <w:spacing w:before="240" w:line="340" w:lineRule="atLeast"/>
      </w:pPr>
      <w:bookmarkStart w:id="88" w:name="Body_41"/>
      <w:bookmarkEnd w:id="88"/>
      <w:r>
        <w:rPr>
          <w:rFonts w:ascii="Arial" w:eastAsia="Arial" w:hAnsi="Arial" w:cs="Arial"/>
          <w:b/>
          <w:color w:val="000000"/>
          <w:sz w:val="28"/>
        </w:rPr>
        <w:t>Body</w:t>
      </w:r>
    </w:p>
    <w:p w14:paraId="580D7D1B" w14:textId="77777777" w:rsidR="00054BF0" w:rsidRDefault="00000000">
      <w:pPr>
        <w:spacing w:line="60" w:lineRule="exact"/>
      </w:pPr>
      <w:r>
        <w:pict w14:anchorId="122CC779">
          <v:line id="_x0000_s2197" style="position:absolute;z-index:251751424" from="0,2pt" to="512pt,2pt" strokecolor="#009ddb" strokeweight="2pt">
            <w10:wrap type="topAndBottom"/>
          </v:line>
        </w:pict>
      </w:r>
    </w:p>
    <w:p w14:paraId="18855911" w14:textId="77777777" w:rsidR="00054BF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By Saritha Rai Oyo Hotels is reducing the shares it aims to sell via a stock-market debut by about two-thirds, an effort by its founder to get the sale done even after tech valuations plunged. The once-high-flying company is preparing to file a fresh initial public offering document as soon as this week, said two people familiar...</w:t>
      </w:r>
    </w:p>
    <w:p w14:paraId="6269A83D" w14:textId="77777777" w:rsidR="00BE2275" w:rsidRDefault="00BE2275">
      <w:pPr>
        <w:spacing w:before="200" w:line="260" w:lineRule="atLeast"/>
        <w:jc w:val="both"/>
        <w:rPr>
          <w:rFonts w:ascii="Arial" w:eastAsia="Arial" w:hAnsi="Arial" w:cs="Arial"/>
          <w:color w:val="000000"/>
          <w:sz w:val="20"/>
        </w:rPr>
      </w:pPr>
    </w:p>
    <w:p w14:paraId="55111048" w14:textId="7313FF29" w:rsidR="00BE2275" w:rsidRDefault="00BE2275">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March 27, 2023</w:t>
      </w:r>
    </w:p>
    <w:p w14:paraId="4EB69600" w14:textId="77777777" w:rsidR="00054BF0" w:rsidRDefault="00054BF0"/>
    <w:p w14:paraId="4DA55A03" w14:textId="77777777" w:rsidR="00054BF0" w:rsidRDefault="00000000">
      <w:pPr>
        <w:ind w:left="200"/>
        <w:sectPr w:rsidR="00054BF0">
          <w:type w:val="continuous"/>
          <w:pgSz w:w="12240" w:h="15840"/>
          <w:pgMar w:top="840" w:right="1000" w:bottom="840" w:left="1000" w:header="400" w:footer="400" w:gutter="0"/>
          <w:cols w:space="720"/>
        </w:sectPr>
      </w:pPr>
      <w:r>
        <w:br/>
      </w:r>
      <w:r>
        <w:pict w14:anchorId="5AED2274">
          <v:line id="_x0000_s2198" style="position:absolute;left:0;text-align:left;z-index:251752448;mso-position-horizontal-relative:text;mso-position-vertical-relative:text" from="0,10pt" to="512pt,10pt" strokeweight="1pt"/>
        </w:pict>
      </w:r>
      <w:r>
        <w:rPr>
          <w:rFonts w:ascii="Arial" w:eastAsia="Arial" w:hAnsi="Arial" w:cs="Arial"/>
          <w:b/>
          <w:color w:val="767676"/>
          <w:sz w:val="16"/>
        </w:rPr>
        <w:t>End of Document</w:t>
      </w:r>
    </w:p>
    <w:p w14:paraId="5B7B0107" w14:textId="77777777" w:rsidR="00054BF0" w:rsidRDefault="00054BF0">
      <w:pPr>
        <w:sectPr w:rsidR="00054BF0">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gutter="0"/>
          <w:cols w:space="720"/>
          <w:titlePg/>
        </w:sectPr>
      </w:pPr>
    </w:p>
    <w:p w14:paraId="18E33E84" w14:textId="77777777" w:rsidR="00054BF0" w:rsidRDefault="00054BF0">
      <w:bookmarkStart w:id="89" w:name="Bookmark_44"/>
      <w:bookmarkEnd w:id="89"/>
    </w:p>
    <w:p w14:paraId="60E200AE" w14:textId="77777777" w:rsidR="00054BF0" w:rsidRDefault="00BE2275">
      <w:r>
        <w:pict w14:anchorId="564FB081">
          <v:shape id="_x0000_i1083" type="#_x0000_t75" alt="LexisNexis®" style="width:148pt;height:30pt">
            <v:imagedata r:id="rId6" o:title=""/>
          </v:shape>
        </w:pict>
      </w:r>
      <w:r w:rsidR="00A540D1">
        <w:cr/>
      </w:r>
    </w:p>
    <w:p w14:paraId="5940EBED" w14:textId="77777777" w:rsidR="00054BF0" w:rsidRDefault="00000000">
      <w:pPr>
        <w:spacing w:before="240" w:after="200" w:line="340" w:lineRule="atLeast"/>
        <w:jc w:val="center"/>
        <w:outlineLvl w:val="0"/>
        <w:rPr>
          <w:rFonts w:ascii="Arial" w:hAnsi="Arial" w:cs="Arial"/>
          <w:b/>
          <w:bCs/>
          <w:kern w:val="32"/>
          <w:sz w:val="32"/>
          <w:szCs w:val="32"/>
        </w:rPr>
      </w:pPr>
      <w:hyperlink r:id="rId625" w:history="1">
        <w:r>
          <w:rPr>
            <w:rFonts w:ascii="Arial" w:eastAsia="Arial" w:hAnsi="Arial" w:cs="Arial"/>
            <w:b/>
            <w:bCs/>
            <w:i/>
            <w:color w:val="0077CC"/>
            <w:kern w:val="32"/>
            <w:sz w:val="28"/>
            <w:szCs w:val="32"/>
            <w:u w:val="single"/>
            <w:shd w:val="clear" w:color="auto" w:fill="FFFFFF"/>
          </w:rPr>
          <w:t>ஸ்டார்ட்அப் நிறுவனங்களுக்கு கோகுல் ராஜாராம் எச்சரிக்கை.. அடுத்த 9 மாதம் ரிஸ்க் தான்..!</w:t>
        </w:r>
      </w:hyperlink>
    </w:p>
    <w:p w14:paraId="2AA7BF56" w14:textId="77777777" w:rsidR="00054BF0" w:rsidRDefault="00000000">
      <w:pPr>
        <w:spacing w:before="120" w:line="260" w:lineRule="atLeast"/>
        <w:jc w:val="center"/>
      </w:pPr>
      <w:r>
        <w:rPr>
          <w:rFonts w:ascii="Arial" w:eastAsia="Arial" w:hAnsi="Arial" w:cs="Arial"/>
          <w:color w:val="000000"/>
          <w:sz w:val="20"/>
        </w:rPr>
        <w:t>WebNews - Tamil</w:t>
      </w:r>
    </w:p>
    <w:p w14:paraId="006410BA" w14:textId="77777777" w:rsidR="00054BF0" w:rsidRDefault="00000000">
      <w:pPr>
        <w:spacing w:before="120" w:line="260" w:lineRule="atLeast"/>
        <w:jc w:val="center"/>
      </w:pPr>
      <w:r>
        <w:rPr>
          <w:rFonts w:ascii="Arial" w:eastAsia="Arial" w:hAnsi="Arial" w:cs="Arial"/>
          <w:color w:val="000000"/>
          <w:sz w:val="20"/>
        </w:rPr>
        <w:t>Goodreturns Tamil</w:t>
      </w:r>
    </w:p>
    <w:p w14:paraId="19E251D1" w14:textId="77777777" w:rsidR="00054BF0" w:rsidRDefault="00000000">
      <w:pPr>
        <w:spacing w:before="240" w:line="260" w:lineRule="atLeast"/>
        <w:jc w:val="center"/>
      </w:pPr>
      <w:hyperlink r:id="rId626" w:history="1">
        <w:r>
          <w:rPr>
            <w:rFonts w:ascii="Arial" w:eastAsia="Arial" w:hAnsi="Arial" w:cs="Arial"/>
            <w:i/>
            <w:color w:val="0077CC"/>
            <w:sz w:val="20"/>
            <w:u w:val="single"/>
            <w:shd w:val="clear" w:color="auto" w:fill="FFFFFF"/>
          </w:rPr>
          <w:t>https://tamil.goodreturns.in/news/gokul-rajaram-says-next-9-months-</w:t>
        </w:r>
      </w:hyperlink>
      <w:hyperlink r:id="rId627" w:history="1">
        <w:r>
          <w:rPr>
            <w:rFonts w:ascii="Arial" w:eastAsia="Arial" w:hAnsi="Arial" w:cs="Arial"/>
            <w:i/>
            <w:color w:val="0077CC"/>
            <w:sz w:val="20"/>
            <w:u w:val="single"/>
            <w:shd w:val="clear" w:color="auto" w:fill="FFFFFF"/>
          </w:rPr>
          <w:t>startups</w:t>
        </w:r>
      </w:hyperlink>
      <w:hyperlink r:id="rId628" w:history="1">
        <w:r>
          <w:rPr>
            <w:rFonts w:ascii="Arial" w:eastAsia="Arial" w:hAnsi="Arial" w:cs="Arial"/>
            <w:i/>
            <w:color w:val="0077CC"/>
            <w:sz w:val="20"/>
            <w:u w:val="single"/>
            <w:shd w:val="clear" w:color="auto" w:fill="FFFFFF"/>
          </w:rPr>
          <w:t>-lead-to-</w:t>
        </w:r>
      </w:hyperlink>
      <w:hyperlink r:id="rId629" w:history="1">
        <w:r>
          <w:rPr>
            <w:rFonts w:ascii="Arial" w:eastAsia="Arial" w:hAnsi="Arial" w:cs="Arial"/>
            <w:i/>
            <w:color w:val="0077CC"/>
            <w:sz w:val="20"/>
            <w:u w:val="single"/>
            <w:shd w:val="clear" w:color="auto" w:fill="FFFFFF"/>
          </w:rPr>
          <w:t>failures</w:t>
        </w:r>
      </w:hyperlink>
      <w:hyperlink r:id="rId630" w:history="1">
        <w:r>
          <w:rPr>
            <w:rFonts w:ascii="Arial" w:eastAsia="Arial" w:hAnsi="Arial" w:cs="Arial"/>
            <w:i/>
            <w:color w:val="0077CC"/>
            <w:sz w:val="20"/>
            <w:u w:val="single"/>
            <w:shd w:val="clear" w:color="auto" w:fill="FFFFFF"/>
          </w:rPr>
          <w:t>-shutdowns-034566.html</w:t>
        </w:r>
      </w:hyperlink>
      <w:r>
        <w:br/>
      </w:r>
      <w:r>
        <w:rPr>
          <w:rFonts w:ascii="Arial" w:eastAsia="Arial" w:hAnsi="Arial" w:cs="Arial"/>
          <w:color w:val="000000"/>
          <w:sz w:val="20"/>
        </w:rPr>
        <w:t>30 March 2023 Thursday</w:t>
      </w:r>
    </w:p>
    <w:p w14:paraId="1A6972C8" w14:textId="77777777" w:rsidR="00054BF0" w:rsidRDefault="00054BF0">
      <w:pPr>
        <w:spacing w:line="240" w:lineRule="atLeast"/>
        <w:jc w:val="both"/>
      </w:pPr>
    </w:p>
    <w:p w14:paraId="5A6518CF" w14:textId="77777777" w:rsidR="00054BF0" w:rsidRDefault="00054BF0">
      <w:pPr>
        <w:spacing w:line="200" w:lineRule="exact"/>
      </w:pPr>
    </w:p>
    <w:p w14:paraId="7375AB66" w14:textId="77777777" w:rsidR="00054BF0"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517 words</w:t>
      </w:r>
    </w:p>
    <w:p w14:paraId="043D512F" w14:textId="77777777" w:rsidR="00054BF0" w:rsidRDefault="00000000">
      <w:pPr>
        <w:keepNext/>
        <w:spacing w:before="240" w:line="340" w:lineRule="atLeast"/>
      </w:pPr>
      <w:bookmarkStart w:id="90" w:name="Body_42"/>
      <w:bookmarkEnd w:id="90"/>
      <w:r>
        <w:rPr>
          <w:rFonts w:ascii="Arial" w:eastAsia="Arial" w:hAnsi="Arial" w:cs="Arial"/>
          <w:b/>
          <w:color w:val="000000"/>
          <w:sz w:val="28"/>
        </w:rPr>
        <w:t>Body</w:t>
      </w:r>
    </w:p>
    <w:p w14:paraId="3F60258E" w14:textId="77777777" w:rsidR="00054BF0" w:rsidRDefault="00000000">
      <w:pPr>
        <w:spacing w:line="60" w:lineRule="exact"/>
      </w:pPr>
      <w:r>
        <w:pict w14:anchorId="4A332213">
          <v:line id="_x0000_s2200" style="position:absolute;z-index:251753472" from="0,2pt" to="512pt,2pt" strokecolor="#009ddb" strokeweight="2pt">
            <w10:wrap type="topAndBottom"/>
          </v:line>
        </w:pict>
      </w:r>
    </w:p>
    <w:p w14:paraId="668D9C3D" w14:textId="27A5CF30" w:rsidR="00054BF0"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கூகுள் Adsense-ன் காட்பாதர் என அழைக்கப்படும் கோகுல் ராஜாராம் அடுத்த 9 மாதத்தில் நிறுவனங்கள் தோல்வி அடையும், மூடப்படும், பணிநீக்கம் செய்யும் என எச்சிரித்துள்ளார். ரெசிஷன், முதலீடுகள் ஈர்பதில் தொய்வு, வர்த்தக மந்தநிலை, அதிகமான வட்டி விகிதம் என பல முக்கியமான விஷயத்தில் வர்த்தக சந்தை.</w:t>
      </w:r>
    </w:p>
    <w:p w14:paraId="21C76671" w14:textId="77777777" w:rsidR="00BE2275" w:rsidRDefault="00BE2275">
      <w:pPr>
        <w:spacing w:before="200" w:line="260" w:lineRule="atLeast"/>
        <w:jc w:val="both"/>
        <w:rPr>
          <w:rFonts w:ascii="Arial" w:eastAsia="Arial" w:hAnsi="Arial" w:cs="Arial"/>
          <w:color w:val="000000"/>
          <w:sz w:val="20"/>
        </w:rPr>
      </w:pPr>
    </w:p>
    <w:p w14:paraId="34601397" w14:textId="14B31382" w:rsidR="00BE2275" w:rsidRDefault="00BE2275">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30 March, 2023</w:t>
      </w:r>
    </w:p>
    <w:p w14:paraId="61AFC053" w14:textId="77777777" w:rsidR="00054BF0" w:rsidRDefault="00054BF0"/>
    <w:p w14:paraId="2E722D22" w14:textId="77777777" w:rsidR="00054BF0" w:rsidRDefault="00000000">
      <w:pPr>
        <w:ind w:left="200"/>
        <w:sectPr w:rsidR="00054BF0">
          <w:type w:val="continuous"/>
          <w:pgSz w:w="12240" w:h="15840"/>
          <w:pgMar w:top="840" w:right="1000" w:bottom="840" w:left="1000" w:header="400" w:footer="400" w:gutter="0"/>
          <w:cols w:space="720"/>
        </w:sectPr>
      </w:pPr>
      <w:r>
        <w:br/>
      </w:r>
      <w:r>
        <w:pict w14:anchorId="26AF0B3F">
          <v:line id="_x0000_s2201" style="position:absolute;left:0;text-align:left;z-index:251754496;mso-position-horizontal-relative:text;mso-position-vertical-relative:text" from="0,10pt" to="512pt,10pt" strokeweight="1pt"/>
        </w:pict>
      </w:r>
      <w:r>
        <w:rPr>
          <w:rFonts w:ascii="Arial" w:eastAsia="Arial" w:hAnsi="Arial" w:cs="Arial"/>
          <w:b/>
          <w:color w:val="767676"/>
          <w:sz w:val="16"/>
        </w:rPr>
        <w:t>End of Document</w:t>
      </w:r>
    </w:p>
    <w:p w14:paraId="6D3A4A4A" w14:textId="77777777" w:rsidR="00054BF0" w:rsidRDefault="00054BF0">
      <w:pPr>
        <w:sectPr w:rsidR="00054BF0">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gutter="0"/>
          <w:cols w:space="720"/>
          <w:titlePg/>
        </w:sectPr>
      </w:pPr>
    </w:p>
    <w:p w14:paraId="7040EA06" w14:textId="77777777" w:rsidR="00054BF0" w:rsidRDefault="00054BF0">
      <w:bookmarkStart w:id="91" w:name="Bookmark_45"/>
      <w:bookmarkEnd w:id="91"/>
    </w:p>
    <w:p w14:paraId="055ECCD0" w14:textId="77777777" w:rsidR="00054BF0" w:rsidRDefault="00BE2275">
      <w:r>
        <w:pict w14:anchorId="244F2949">
          <v:shape id="_x0000_i1084" type="#_x0000_t75" alt="LexisNexis®" style="width:148pt;height:30pt">
            <v:imagedata r:id="rId6" o:title=""/>
          </v:shape>
        </w:pict>
      </w:r>
      <w:r w:rsidR="00A540D1">
        <w:cr/>
      </w:r>
    </w:p>
    <w:p w14:paraId="20E3F8F1" w14:textId="3A04BD6F" w:rsidR="00054BF0" w:rsidRDefault="00000000">
      <w:pPr>
        <w:spacing w:before="240" w:after="200" w:line="340" w:lineRule="atLeast"/>
        <w:jc w:val="center"/>
        <w:outlineLvl w:val="0"/>
        <w:rPr>
          <w:rFonts w:ascii="Arial" w:hAnsi="Arial" w:cs="Arial"/>
          <w:b/>
          <w:bCs/>
          <w:kern w:val="32"/>
          <w:sz w:val="32"/>
          <w:szCs w:val="32"/>
        </w:rPr>
      </w:pPr>
      <w:hyperlink r:id="rId637" w:history="1">
        <w:r>
          <w:rPr>
            <w:rFonts w:ascii="Arial" w:eastAsia="Arial" w:hAnsi="Arial" w:cs="Arial"/>
            <w:b/>
            <w:bCs/>
            <w:i/>
            <w:color w:val="0077CC"/>
            <w:kern w:val="32"/>
            <w:sz w:val="28"/>
            <w:szCs w:val="32"/>
            <w:u w:val="single"/>
            <w:shd w:val="clear" w:color="auto" w:fill="FFFFFF"/>
          </w:rPr>
          <w:t xml:space="preserve">Rise in Prevalence of Depression That Boosts the Growth </w:t>
        </w:r>
        <w:r w:rsidR="00F32C50">
          <w:rPr>
            <w:rFonts w:ascii="Arial" w:eastAsia="Arial" w:hAnsi="Arial" w:cs="Arial"/>
            <w:b/>
            <w:bCs/>
            <w:i/>
            <w:color w:val="0077CC"/>
            <w:kern w:val="32"/>
            <w:sz w:val="28"/>
            <w:szCs w:val="32"/>
            <w:u w:val="single"/>
            <w:shd w:val="clear" w:color="auto" w:fill="FFFFFF"/>
          </w:rPr>
          <w:t xml:space="preserve">of </w:t>
        </w:r>
        <w:r>
          <w:rPr>
            <w:rFonts w:ascii="Arial" w:eastAsia="Arial" w:hAnsi="Arial" w:cs="Arial"/>
            <w:b/>
            <w:bCs/>
            <w:i/>
            <w:color w:val="0077CC"/>
            <w:kern w:val="32"/>
            <w:sz w:val="28"/>
            <w:szCs w:val="32"/>
            <w:u w:val="single"/>
            <w:shd w:val="clear" w:color="auto" w:fill="FFFFFF"/>
          </w:rPr>
          <w:t>Extremities</w:t>
        </w:r>
        <w:r w:rsidR="00F32C50">
          <w:rPr>
            <w:rFonts w:ascii="Arial" w:eastAsia="Arial" w:hAnsi="Arial" w:cs="Arial"/>
            <w:b/>
            <w:bCs/>
            <w:i/>
            <w:color w:val="0077CC"/>
            <w:kern w:val="32"/>
            <w:sz w:val="28"/>
            <w:szCs w:val="32"/>
            <w:u w:val="single"/>
            <w:shd w:val="clear" w:color="auto" w:fill="FFFFFF"/>
          </w:rPr>
          <w:t xml:space="preserve"> </w:t>
        </w:r>
        <w:r>
          <w:rPr>
            <w:rFonts w:ascii="Arial" w:eastAsia="Arial" w:hAnsi="Arial" w:cs="Arial"/>
            <w:b/>
            <w:bCs/>
            <w:i/>
            <w:color w:val="0077CC"/>
            <w:kern w:val="32"/>
            <w:sz w:val="28"/>
            <w:szCs w:val="32"/>
            <w:u w:val="single"/>
            <w:shd w:val="clear" w:color="auto" w:fill="FFFFFF"/>
          </w:rPr>
          <w:t>Reconstruction Market in Healthcare Industry</w:t>
        </w:r>
      </w:hyperlink>
    </w:p>
    <w:p w14:paraId="64D203ED" w14:textId="77777777" w:rsidR="00054BF0" w:rsidRDefault="00000000">
      <w:pPr>
        <w:spacing w:before="120" w:line="260" w:lineRule="atLeast"/>
        <w:jc w:val="center"/>
      </w:pPr>
      <w:r>
        <w:rPr>
          <w:rFonts w:ascii="Arial" w:eastAsia="Arial" w:hAnsi="Arial" w:cs="Arial"/>
          <w:color w:val="000000"/>
          <w:sz w:val="20"/>
        </w:rPr>
        <w:t>ReleaseWire</w:t>
      </w:r>
    </w:p>
    <w:p w14:paraId="67ED74C9" w14:textId="77777777" w:rsidR="00054BF0" w:rsidRDefault="00000000">
      <w:pPr>
        <w:spacing w:before="120" w:line="260" w:lineRule="atLeast"/>
        <w:jc w:val="center"/>
      </w:pPr>
      <w:r>
        <w:rPr>
          <w:rFonts w:ascii="Arial" w:eastAsia="Arial" w:hAnsi="Arial" w:cs="Arial"/>
          <w:color w:val="000000"/>
          <w:sz w:val="20"/>
        </w:rPr>
        <w:t>February 21, 2019 Thursday 12:05 AM EST</w:t>
      </w:r>
    </w:p>
    <w:p w14:paraId="1BA62D1F" w14:textId="77777777" w:rsidR="00054BF0" w:rsidRDefault="00054BF0">
      <w:pPr>
        <w:spacing w:line="240" w:lineRule="atLeast"/>
        <w:jc w:val="both"/>
      </w:pPr>
    </w:p>
    <w:p w14:paraId="511DB987" w14:textId="77777777" w:rsidR="00054BF0" w:rsidRDefault="00000000">
      <w:pPr>
        <w:spacing w:before="120" w:line="220" w:lineRule="atLeast"/>
      </w:pPr>
      <w:r>
        <w:br/>
      </w:r>
      <w:r>
        <w:rPr>
          <w:rFonts w:ascii="Arial" w:eastAsia="Arial" w:hAnsi="Arial" w:cs="Arial"/>
          <w:color w:val="000000"/>
          <w:sz w:val="16"/>
        </w:rPr>
        <w:t>Copyright 2019 Newstex LLC All Rights Reserved</w:t>
      </w:r>
    </w:p>
    <w:p w14:paraId="7C6363E1" w14:textId="77777777" w:rsidR="00054BF0"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2036 words</w:t>
      </w:r>
    </w:p>
    <w:p w14:paraId="0BFBA7E7" w14:textId="77777777" w:rsidR="00054BF0" w:rsidRDefault="00000000">
      <w:pPr>
        <w:keepNext/>
        <w:spacing w:before="240" w:line="340" w:lineRule="atLeast"/>
      </w:pPr>
      <w:bookmarkStart w:id="92" w:name="Body_43"/>
      <w:bookmarkEnd w:id="92"/>
      <w:r>
        <w:rPr>
          <w:rFonts w:ascii="Arial" w:eastAsia="Arial" w:hAnsi="Arial" w:cs="Arial"/>
          <w:b/>
          <w:color w:val="000000"/>
          <w:sz w:val="28"/>
        </w:rPr>
        <w:t>Body</w:t>
      </w:r>
    </w:p>
    <w:p w14:paraId="5064F174" w14:textId="77777777" w:rsidR="00054BF0" w:rsidRDefault="00000000">
      <w:pPr>
        <w:spacing w:line="60" w:lineRule="exact"/>
      </w:pPr>
      <w:r>
        <w:pict w14:anchorId="0BEF8E3E">
          <v:line id="_x0000_s2203" style="position:absolute;z-index:251755520" from="0,2pt" to="512pt,2pt" strokecolor="#009ddb" strokeweight="2pt">
            <w10:wrap type="topAndBottom"/>
          </v:line>
        </w:pict>
      </w:r>
    </w:p>
    <w:p w14:paraId="4B8FD33F" w14:textId="77777777" w:rsidR="00054BF0" w:rsidRDefault="00054BF0"/>
    <w:p w14:paraId="67A7E523" w14:textId="77777777" w:rsidR="00054BF0" w:rsidRDefault="00000000">
      <w:pPr>
        <w:spacing w:before="240" w:line="260" w:lineRule="atLeast"/>
        <w:jc w:val="both"/>
      </w:pPr>
      <w:r>
        <w:rPr>
          <w:rFonts w:ascii="Arial" w:eastAsia="Arial" w:hAnsi="Arial" w:cs="Arial"/>
          <w:color w:val="000000"/>
          <w:sz w:val="20"/>
        </w:rPr>
        <w:t xml:space="preserve">Feb 20, 2019( ReleaseWire: </w:t>
      </w:r>
      <w:hyperlink r:id="rId638" w:history="1">
        <w:r>
          <w:rPr>
            <w:rFonts w:ascii="Arial" w:eastAsia="Arial" w:hAnsi="Arial" w:cs="Arial"/>
            <w:i/>
            <w:color w:val="0077CC"/>
            <w:sz w:val="20"/>
            <w:u w:val="single"/>
            <w:shd w:val="clear" w:color="auto" w:fill="FFFFFF"/>
          </w:rPr>
          <w:t>http://www.releasewire.com</w:t>
        </w:r>
      </w:hyperlink>
      <w:r>
        <w:rPr>
          <w:rFonts w:ascii="Arial" w:eastAsia="Arial" w:hAnsi="Arial" w:cs="Arial"/>
          <w:color w:val="000000"/>
          <w:sz w:val="20"/>
        </w:rPr>
        <w:t xml:space="preserve">/ Delivered by Newstex)  Fact.MR has announced the addition of the ' Extremities Reconstruction Market Forecast, Trend Analysis ...mpetition Tracking - Global Market insights 2018 to 2028"report to their offering.Pune, Maharashtra -- (SBWIRE[1]) -- 02/20/2019 -- Fact.MR's recent study anticipates the global extremities reconstruction market[2] to register a significant growth over the forecast period 2017 to 2022. Revenues from the global market for extremities reconstruction are expected to exceed US$ 2,000 Mn by 2022-end.Competition TrackingFact.MR's report has listed key players in the global extremities reconstruction market, which include Acumed, LLC, Arthrex, Inc., CONMED Corporation, Depuy Synthes, Inc., Integra LifeSciences Holdings Corporation, Medtronic Plc, Smith ...phew Plc, Zimmer Biomet Holdings, Inc., Orthofix International N.V., Wright Medical Group N.V., and Stryker Corporation.Request Sample Report @            </w:t>
      </w:r>
      <w:hyperlink r:id="rId639" w:history="1">
        <w:r>
          <w:rPr>
            <w:rFonts w:ascii="Arial" w:eastAsia="Arial" w:hAnsi="Arial" w:cs="Arial"/>
            <w:i/>
            <w:color w:val="0077CC"/>
            <w:sz w:val="20"/>
            <w:u w:val="single"/>
            <w:shd w:val="clear" w:color="auto" w:fill="FFFFFF"/>
          </w:rPr>
          <w:t>https://www.factmr.com/connectus/sample?flag=S..._id=252</w:t>
        </w:r>
      </w:hyperlink>
      <w:r>
        <w:rPr>
          <w:rFonts w:ascii="Arial" w:eastAsia="Arial" w:hAnsi="Arial" w:cs="Arial"/>
          <w:color w:val="000000"/>
          <w:sz w:val="20"/>
        </w:rPr>
        <w:t xml:space="preserve">[3] ;North America to be Fastest Expanding Market for Extremities ReconstructionNorth America is projected to be the fastest expanding market for extremities reconstruction, with sales poised to exceed US$ 600 Mn in revenues by 2022-end. The market in Asia-Pacific excluding Japan (APEJ) is expected to create an absolute $ opportunity of nearly US$ 110 Mn between 2017 and 2022.Among types of extremities reconstruction, elbow reconstruction will remain more lucrative than hand ...ist reconstruction, but less lucrative than shoulder reconstruction during 2017 to 2022. Ankle reconstruction will account for the lowest revenues in the market.Based on end-users, orthopedic clinics are expected to exhibit a relatively higher CAGR in the global extremities reconstruction market through 2022. Revenues from extremities reconstruction surgeries in orthopedic clinics are expected to reach approximately US$ 600 Mn by 2022-end.Request/View Toc@ </w:t>
      </w:r>
    </w:p>
    <w:p w14:paraId="2F0E53F8" w14:textId="77777777" w:rsidR="00054BF0" w:rsidRDefault="00000000">
      <w:pPr>
        <w:spacing w:before="240" w:line="260" w:lineRule="atLeast"/>
        <w:jc w:val="both"/>
      </w:pPr>
      <w:hyperlink r:id="rId640" w:history="1">
        <w:r>
          <w:rPr>
            <w:rFonts w:ascii="Arial" w:eastAsia="Arial" w:hAnsi="Arial" w:cs="Arial"/>
            <w:i/>
            <w:color w:val="0077CC"/>
            <w:sz w:val="20"/>
            <w:u w:val="single"/>
            <w:shd w:val="clear" w:color="auto" w:fill="FFFFFF"/>
          </w:rPr>
          <w:t>https://www.factmr.com/connectus/sample?flag=T..._id=252</w:t>
        </w:r>
      </w:hyperlink>
      <w:r>
        <w:rPr>
          <w:rFonts w:ascii="Arial" w:eastAsia="Arial" w:hAnsi="Arial" w:cs="Arial"/>
          <w:color w:val="000000"/>
          <w:sz w:val="20"/>
        </w:rPr>
        <w:t xml:space="preserve">[4] ;Various biomaterials have been adopted for extremities reconstruction, including ceramic, metallic and polymeric biomaterials. Polymeric biomaterial is estimated to remain the least attractive in the market, whereas demand for ceramic biomaterial is projected to rise significantly over the forecast period.Development of new devices by leading companies, such as Zimmer Biomet's "Comprehensive Segmental Revision System", have been providing solutions for implant </w:t>
      </w:r>
      <w:r>
        <w:rPr>
          <w:rFonts w:ascii="Arial" w:eastAsia="Arial" w:hAnsi="Arial" w:cs="Arial"/>
          <w:b/>
          <w:i/>
          <w:color w:val="000000"/>
          <w:sz w:val="20"/>
          <w:u w:val="single"/>
        </w:rPr>
        <w:t>failures</w:t>
      </w:r>
      <w:r>
        <w:rPr>
          <w:rFonts w:ascii="Arial" w:eastAsia="Arial" w:hAnsi="Arial" w:cs="Arial"/>
          <w:color w:val="000000"/>
          <w:sz w:val="20"/>
        </w:rPr>
        <w:t xml:space="preserve">. In addition, small </w:t>
      </w:r>
      <w:r>
        <w:rPr>
          <w:rFonts w:ascii="Arial" w:eastAsia="Arial" w:hAnsi="Arial" w:cs="Arial"/>
          <w:b/>
          <w:i/>
          <w:color w:val="000000"/>
          <w:sz w:val="20"/>
          <w:u w:val="single"/>
        </w:rPr>
        <w:t>startup</w:t>
      </w:r>
      <w:r>
        <w:rPr>
          <w:rFonts w:ascii="Arial" w:eastAsia="Arial" w:hAnsi="Arial" w:cs="Arial"/>
          <w:color w:val="000000"/>
          <w:sz w:val="20"/>
        </w:rPr>
        <w:t xml:space="preserve"> organizations are focusing on development of minimally invasive endoscopic procedures for extremities reconstruction, reducing the pain and recovery time of patients. For example - "HammerFIT Extremity Reamer System" has been launched by Instratek for hammertoe surgery. These advancements and innovations are expected to spur the market growth in the near future.With advancements and improvements in healthcare facilities, the life expectancy of people across the globe has gained an uptick. However, the prevalence of joint disorders, such as the irreversible condition of osteoarthritis, increases indefinitely with the rise in aging population. In addition, number of cases related to sports injuries and trauma are also increasing. These factors will further drive </w:t>
      </w:r>
      <w:r>
        <w:rPr>
          <w:rFonts w:ascii="Arial" w:eastAsia="Arial" w:hAnsi="Arial" w:cs="Arial"/>
          <w:color w:val="000000"/>
          <w:sz w:val="20"/>
        </w:rPr>
        <w:lastRenderedPageBreak/>
        <w:t xml:space="preserve">demand for devices of extremities reconstruction across the globe. Moreover, advancements in healthcare infrastructure are also expected to fuel growth of the market. In contrast, unfavorable reimbursement policies, coupled with complication pertaining to extremities reconstruction surgeries are expected to hinder growth of the market.Speak To Research Analyst for Detailed Insights @            </w:t>
      </w:r>
      <w:hyperlink r:id="rId641" w:history="1">
        <w:r>
          <w:rPr>
            <w:rFonts w:ascii="Arial" w:eastAsia="Arial" w:hAnsi="Arial" w:cs="Arial"/>
            <w:i/>
            <w:color w:val="0077CC"/>
            <w:sz w:val="20"/>
            <w:u w:val="single"/>
            <w:shd w:val="clear" w:color="auto" w:fill="FFFFFF"/>
          </w:rPr>
          <w:t>https://www.factmr.com/connectus/sample?flag=AE..._id=252</w:t>
        </w:r>
      </w:hyperlink>
      <w:r>
        <w:rPr>
          <w:rFonts w:ascii="Arial" w:eastAsia="Arial" w:hAnsi="Arial" w:cs="Arial"/>
          <w:color w:val="000000"/>
          <w:sz w:val="20"/>
        </w:rPr>
        <w:t xml:space="preserve">[5] ;Table of COntents Covered in this report are:1. Global Extremities Reconstruction Market - Executive Summary2. Global Extremities Reconstruction Market Overview2.1. Introduction 2.1.1. Global Extremities Reconstruction Market Taxonomy 2.1.2. Global Extremities Reconstruction Market Definition2.2. Global Extremities Reconstruction Market Size (US$ Mn) and Forecast, 2012-2022 2.2.1. Global Extremities Reconstruction Market Y-o-Y Growth2.3. Global Extremities Reconstruction Market Dynamics 2.3.1. Drivers 2.3.2. Restraints 2.3.3. Trends2.4. Supply Chain2.5. Cost Structure2.6. Pricing Analysis 2.7. Raw Material Sourcing Strategy and Analysis2.8. Procedure Numbers By Region2.9. Key Participants Market Presence (Intensity Map) By RegionAccess This Report @            </w:t>
      </w:r>
      <w:hyperlink r:id="rId642" w:history="1">
        <w:r>
          <w:rPr>
            <w:rFonts w:ascii="Arial" w:eastAsia="Arial" w:hAnsi="Arial" w:cs="Arial"/>
            <w:i/>
            <w:color w:val="0077CC"/>
            <w:sz w:val="20"/>
            <w:u w:val="single"/>
            <w:shd w:val="clear" w:color="auto" w:fill="FFFFFF"/>
          </w:rPr>
          <w:t>https://www.factmr.com/checkout/252/S</w:t>
        </w:r>
      </w:hyperlink>
      <w:r>
        <w:rPr>
          <w:rFonts w:ascii="Arial" w:eastAsia="Arial" w:hAnsi="Arial" w:cs="Arial"/>
          <w:color w:val="000000"/>
          <w:sz w:val="20"/>
        </w:rPr>
        <w:t xml:space="preserve">[6] ;3. Global Extremities Reconstruction Market Analysis and Forecast By Type 3.1. Global Extremities Reconstruction Market Size and Forecast By Type, 2012-2022 3.1.1. Shoulder Reconstruction Extremities Reconstruction Market Size and Forecast, 2012-2022 3.1.1.1. Revenue (US$ Mn) Comparison, By Region 3.1.1.2. Market Share Comparison, By Region 3.1.1.3. Y-o-Y growth Comparison, By Region 3.1.2. Elbow Reconstruction Extremities Reconstruction Market Size and Forecast, 2012-2022 3.1.2.1. Revenue (US$ Mn) Comparison, By Region 3.1.2.2. Market Share Comparison, By Region 3.1.2.3. Y-o-Y growth Comparison, By Region 3.1.3. Hand ...ist Reconstruction Extremities Reconstruction Market Size and Forecast, 2012-2022 3.1.3.1. Revenue (US$ Mn) Comparison, By Region 3.1.3.2. Market Share Comparison, By Region 3.1.3.3. Y-o-Y growth Comparison, By Region 3.1.4. Ankle Reconstruction Extremities Reconstruction Market Size and Forecast, 2012-2022 3.1.4.1. Revenue (US$ Mn) Comparison, By Region 3.1.4.2. Market Share Comparison, By Region 3.1.4.3. Y-o-Y growth Comparison, By Region4. Global Extremities Reconstruction Market Analysis and Forecast By End User 4.1. Global Extremities Reconstruction Market Size and Forecast By End User, 2012-2022 4.1.1. Hospitals Extremities Reconstruction Market Size and Forecast, 2012-2022 4.1.1.1. Revenue (US$ Mn) Comparison, By Region 4.1.1.2. Market Share Comparison, By Region 4.1.1.3. Y-o-Y growth Comparison, By Region 4.1.2. Orthopedic Clinics Extremities Reconstruction Market Size and Forecast, 2012-2022 4.1.2.1. Revenue (US$ Mn) Comparison, By Region 4.1.2.2. Market Share Comparison, By Region 4.1.2.3. Y-o-Y growth Comparison, By Region 4.1.3. ASCs Extremities Reconstruction Market Size and Forecast, 2012-2022 4.1.3.1. Revenue (US$ Mn) Comparison, By Region 4.1.3.2. Market Share Comparison, By Region 4.1.3.3. Y-o-Y growth Comparison, By Region5. Global Extremities Reconstruction Market Analysis and Forecast By Biomaterial 5.1. Global Extremities Reconstruction Market Size and Forecast By Biomaterial, 2012-2022 5.1.1. Ceramic Biomaterial Extremities Reconstruction Market Size and Forecast, 2012-2022 5.1.1.1. Revenue (US$ Mn) Comparison, By Region 5.1.1.2. Market Share Comparison, By Region 5.1.1.3. Y-o-Y growth Comparison, By Region 5.1.2. Metallic Biomaterial Extremities Reconstruction Market Size and Forecast, 2012-2022 5.1.2.1. Revenue (US$ Mn) Comparison, By Region 5.1.2.2. Market Share Comparison, By Region 5.1.2.3. Y-o-Y growth Comparison, By Region 5.1.3. Polymeric Biomaterial Extremities Reconstruction Market Size and Forecast, 2012-2022 5.1.3.1. Revenue (US$ Mn) Comparison, By Region 5.1.3.2. Market Share Comparison, By Region 5.1.3.3. Y-o-Y growth Comparison, By Region6. Global Extremities Reconstruction Market Analysis and Forecast By Region6.1. Global Extremities Reconstruction Market Size and Forecast, 2012-2022 6.1.1. North America Extremities Reconstruction Market Size and Forecast, 2012-2022 6.1.1.1. Revenue (US$ Mn) Comparison, By Type  6.1.1.2. Revenue (US$ Mn) Comparison, By End User  6.1.1.3. Revenue (US$ Mn) Comparison, By Biomaterial  6.1.2. Latin America Extremities Reconstruction Market Size and Forecast, 2012-2022 6.1.2.1. Revenue (US$ Mn) Comparison, By Type  6.1.2.2. Revenue (US$ Mn) Comparison, By End User  6.1.2.3. Revenue (US$ Mn) Comparison, By Biomaterial  6.1.3. Europe Extremities Reconstruction Market Size and Forecast, 2012-2022 6.1.3.1. Revenue (US$ Mn) Comparison, By Type  6.1.3.2. Revenue (US$ Mn) Comparison, By End User  6.1.3.3. Revenue (US$ Mn) Comparison, By Biomaterial  6.1.4. Japan Extremities Reconstruction Market Size and Forecast, 2012-2022 6.1.4.1. Revenue (US$ Mn) Comparison, By Type  6.1.4.2. Revenue (US$ Mn) Comparison, By End User  6.1.4.3. Revenue (US$ Mn) Comparison, By Biomaterial  6.1.5. APEJ Extremities Reconstruction Market Size and Forecast, 2012-2022 6.1.5.1. Revenue (US$ Mn) Comparison, By Type  6.1.5.2. Revenue (US$ Mn) Comparison, By End User  6.1.5.3. Revenue (US$ Mn) Comparison, By Biomaterial  6.1.6. MEA Extremities Reconstruction Market Size and Forecast, 2012-2022 6.1.6.1. Revenue (US$ Mn) Comparison, By Type  6.1.6.2. Revenue (US$ Mn) Comparison, By End User  6.1.6.3. Revenue </w:t>
      </w:r>
      <w:r>
        <w:rPr>
          <w:rFonts w:ascii="Arial" w:eastAsia="Arial" w:hAnsi="Arial" w:cs="Arial"/>
          <w:color w:val="000000"/>
          <w:sz w:val="20"/>
        </w:rPr>
        <w:lastRenderedPageBreak/>
        <w:t xml:space="preserve">(US$ Mn) Comparison, By Biomaterial 7. North America Extremities Reconstruction Market Analysis and Forecast, By Country, 2012-20227.1. US Extremities Reconstruction Market Size and Forecast, 2012-2022 7.1.1. Revenue (US$ Mn) Comparison, By Type  7.1.2. Revenue (US$ Mn) Comparison, By End User  7.1.3. Revenue (US$ Mn) Comparison, By Biomaterial 7.2. Canada Extremities Reconstruction Market Size and Forecast, 2012-2022 7.2.1. Revenue (US$ Mn) Comparison, By Type  7.2.2. Revenue (US$ Mn) Comparison, By End User  7.2.3. Revenue (US$ Mn) Comparison, By Biomaterial 8. Latin America Extremities Reconstruction Market Analysis and Forecast, By Country, 2012-20228.1. Brazil Extremities Reconstruction Market Size and Forecast, 2012-2022 8.1.1. Revenue (US$ Mn) Comparison, By Type  8.1.2. Revenue (US$ Mn) Comparison, By End User  8.1.3. Revenue (US$ Mn) Comparison, By Biomaterial 8.2. Mexico Extremities Reconstruction Market Size and Forecast, 2012-2022 8.2.1. Revenue (US$ Mn) Comparison, By Type  8.2.2. Revenue (US$ Mn) Comparison, By End User  8.2.3. Revenue (US$ Mn) Comparison, By Biomaterial 8.3. Argentina Extremities Reconstruction Market Size and Forecast, 2012-2022 8.3.1. Revenue (US$ Mn) Comparison, By Type  8.3.2. Revenue (US$ Mn) Comparison, By End User  8.3.3. Revenue (US$ Mn) Comparison, By Biomaterial About Fact.MRFact.MR is a fast-growing market research firm that offers the most comprehensive suite of syndicated and customized market research reports. We believe transformative intelligence can educate and inspire businesses to make smarter decisions. We know the limitations of the one-size-fits-all approach; that's why we publish multi-industry global, regional, and country-specific research reports.Contact UsRohit BhiseyFact.MR11140 Rockville PikeSuite 400Rockville, MD 20852United StatesEmail: </w:t>
      </w:r>
      <w:hyperlink r:id="rId643" w:history="1">
        <w:r>
          <w:rPr>
            <w:rFonts w:ascii="Arial" w:eastAsia="Arial" w:hAnsi="Arial" w:cs="Arial"/>
            <w:i/>
            <w:color w:val="0077CC"/>
            <w:sz w:val="20"/>
            <w:u w:val="single"/>
            <w:shd w:val="clear" w:color="auto" w:fill="FFFFFF"/>
          </w:rPr>
          <w:t>sales@factmr.com</w:t>
        </w:r>
      </w:hyperlink>
      <w:r>
        <w:rPr>
          <w:rFonts w:ascii="Arial" w:eastAsia="Arial" w:hAnsi="Arial" w:cs="Arial"/>
          <w:color w:val="000000"/>
          <w:sz w:val="20"/>
        </w:rPr>
        <w:t xml:space="preserve">;Web:            </w:t>
      </w:r>
      <w:hyperlink r:id="rId644" w:history="1">
        <w:r>
          <w:rPr>
            <w:rFonts w:ascii="Arial" w:eastAsia="Arial" w:hAnsi="Arial" w:cs="Arial"/>
            <w:i/>
            <w:color w:val="0077CC"/>
            <w:sz w:val="20"/>
            <w:u w:val="single"/>
            <w:shd w:val="clear" w:color="auto" w:fill="FFFFFF"/>
          </w:rPr>
          <w:t>https://www.factmr.com</w:t>
        </w:r>
      </w:hyperlink>
      <w:r>
        <w:rPr>
          <w:rFonts w:ascii="Arial" w:eastAsia="Arial" w:hAnsi="Arial" w:cs="Arial"/>
          <w:color w:val="000000"/>
          <w:sz w:val="20"/>
        </w:rPr>
        <w:t xml:space="preserve">/[7] Read Industry News at -            </w:t>
      </w:r>
      <w:hyperlink r:id="rId645" w:history="1">
        <w:r>
          <w:rPr>
            <w:rFonts w:ascii="Arial" w:eastAsia="Arial" w:hAnsi="Arial" w:cs="Arial"/>
            <w:i/>
            <w:color w:val="0077CC"/>
            <w:sz w:val="20"/>
            <w:u w:val="single"/>
            <w:shd w:val="clear" w:color="auto" w:fill="FFFFFF"/>
          </w:rPr>
          <w:t>https://theswisstimes.com</w:t>
        </w:r>
      </w:hyperlink>
      <w:r>
        <w:rPr>
          <w:rFonts w:ascii="Arial" w:eastAsia="Arial" w:hAnsi="Arial" w:cs="Arial"/>
          <w:color w:val="000000"/>
          <w:sz w:val="20"/>
        </w:rPr>
        <w:t xml:space="preserve">[8]For more information on this press release visit:            </w:t>
      </w:r>
      <w:hyperlink r:id="rId646" w:history="1">
        <w:r>
          <w:rPr>
            <w:rFonts w:ascii="Arial" w:eastAsia="Arial" w:hAnsi="Arial" w:cs="Arial"/>
            <w:i/>
            <w:color w:val="0077CC"/>
            <w:sz w:val="20"/>
            <w:u w:val="single"/>
            <w:shd w:val="clear" w:color="auto" w:fill="FFFFFF"/>
          </w:rPr>
          <w:t>http://www.sbwire.com/press-releases/rise-in-prevalence-of-depression-that-boosts-the-growth-of-extremities-reconstruction-market-in-healthcare-industry-1152121.htm</w:t>
        </w:r>
      </w:hyperlink>
      <w:r>
        <w:rPr>
          <w:rFonts w:ascii="Arial" w:eastAsia="Arial" w:hAnsi="Arial" w:cs="Arial"/>
          <w:color w:val="000000"/>
          <w:sz w:val="20"/>
        </w:rPr>
        <w:t xml:space="preserve">[9] Media Relations Contact Sudip Saha Head of Marketing FactMR Telephone: 353-1-6111-593 Email: Click to Email Sudip Saha[10] Web:            </w:t>
      </w:r>
      <w:hyperlink r:id="rId647" w:history="1">
        <w:r>
          <w:rPr>
            <w:rFonts w:ascii="Arial" w:eastAsia="Arial" w:hAnsi="Arial" w:cs="Arial"/>
            <w:i/>
            <w:color w:val="0077CC"/>
            <w:sz w:val="20"/>
            <w:u w:val="single"/>
            <w:shd w:val="clear" w:color="auto" w:fill="FFFFFF"/>
          </w:rPr>
          <w:t>https://www.factmr.com/report/252/extremities-reconstruction-market</w:t>
        </w:r>
      </w:hyperlink>
      <w:r>
        <w:rPr>
          <w:rFonts w:ascii="Arial" w:eastAsia="Arial" w:hAnsi="Arial" w:cs="Arial"/>
          <w:color w:val="000000"/>
          <w:sz w:val="20"/>
        </w:rPr>
        <w:t xml:space="preserve">[11] [ 1]:            </w:t>
      </w:r>
      <w:hyperlink r:id="rId648" w:history="1">
        <w:r>
          <w:rPr>
            <w:rFonts w:ascii="Arial" w:eastAsia="Arial" w:hAnsi="Arial" w:cs="Arial"/>
            <w:i/>
            <w:color w:val="0077CC"/>
            <w:sz w:val="20"/>
            <w:u w:val="single"/>
            <w:shd w:val="clear" w:color="auto" w:fill="FFFFFF"/>
          </w:rPr>
          <w:t>http://www.sbwire.com/?utm_source=nt..._medium=feed..._campaign=distribution</w:t>
        </w:r>
      </w:hyperlink>
      <w:r>
        <w:rPr>
          <w:rFonts w:ascii="Arial" w:eastAsia="Arial" w:hAnsi="Arial" w:cs="Arial"/>
          <w:color w:val="000000"/>
          <w:sz w:val="20"/>
        </w:rPr>
        <w:t xml:space="preserve"> [ 2]:            </w:t>
      </w:r>
      <w:hyperlink r:id="rId649" w:history="1">
        <w:r>
          <w:rPr>
            <w:rFonts w:ascii="Arial" w:eastAsia="Arial" w:hAnsi="Arial" w:cs="Arial"/>
            <w:i/>
            <w:color w:val="0077CC"/>
            <w:sz w:val="20"/>
            <w:u w:val="single"/>
            <w:shd w:val="clear" w:color="auto" w:fill="FFFFFF"/>
          </w:rPr>
          <w:t>https://www.factmr.com/report/252/extremities-reconstruction-market</w:t>
        </w:r>
      </w:hyperlink>
      <w:r>
        <w:rPr>
          <w:rFonts w:ascii="Arial" w:eastAsia="Arial" w:hAnsi="Arial" w:cs="Arial"/>
          <w:color w:val="000000"/>
          <w:sz w:val="20"/>
        </w:rPr>
        <w:t xml:space="preserve"> [ 3]:            </w:t>
      </w:r>
      <w:hyperlink r:id="rId650" w:history="1">
        <w:r>
          <w:rPr>
            <w:rFonts w:ascii="Arial" w:eastAsia="Arial" w:hAnsi="Arial" w:cs="Arial"/>
            <w:i/>
            <w:color w:val="0077CC"/>
            <w:sz w:val="20"/>
            <w:u w:val="single"/>
            <w:shd w:val="clear" w:color="auto" w:fill="FFFFFF"/>
          </w:rPr>
          <w:t>https://www.factmr.com/connectus/sample?flag=S..._id=252</w:t>
        </w:r>
      </w:hyperlink>
      <w:r>
        <w:rPr>
          <w:rFonts w:ascii="Arial" w:eastAsia="Arial" w:hAnsi="Arial" w:cs="Arial"/>
          <w:color w:val="000000"/>
          <w:sz w:val="20"/>
        </w:rPr>
        <w:t xml:space="preserve"> [ 4]:            </w:t>
      </w:r>
      <w:hyperlink r:id="rId651" w:history="1">
        <w:r>
          <w:rPr>
            <w:rFonts w:ascii="Arial" w:eastAsia="Arial" w:hAnsi="Arial" w:cs="Arial"/>
            <w:i/>
            <w:color w:val="0077CC"/>
            <w:sz w:val="20"/>
            <w:u w:val="single"/>
            <w:shd w:val="clear" w:color="auto" w:fill="FFFFFF"/>
          </w:rPr>
          <w:t>https://www.factmr.com/connectus/sample?flag=T..._id=252</w:t>
        </w:r>
      </w:hyperlink>
      <w:r>
        <w:rPr>
          <w:rFonts w:ascii="Arial" w:eastAsia="Arial" w:hAnsi="Arial" w:cs="Arial"/>
          <w:color w:val="000000"/>
          <w:sz w:val="20"/>
        </w:rPr>
        <w:t xml:space="preserve"> [ 5]:            </w:t>
      </w:r>
      <w:hyperlink r:id="rId652" w:history="1">
        <w:r>
          <w:rPr>
            <w:rFonts w:ascii="Arial" w:eastAsia="Arial" w:hAnsi="Arial" w:cs="Arial"/>
            <w:i/>
            <w:color w:val="0077CC"/>
            <w:sz w:val="20"/>
            <w:u w:val="single"/>
            <w:shd w:val="clear" w:color="auto" w:fill="FFFFFF"/>
          </w:rPr>
          <w:t>https://www.factmr.com/connectus/sample?flag=AE..._id=252</w:t>
        </w:r>
      </w:hyperlink>
      <w:r>
        <w:rPr>
          <w:rFonts w:ascii="Arial" w:eastAsia="Arial" w:hAnsi="Arial" w:cs="Arial"/>
          <w:color w:val="000000"/>
          <w:sz w:val="20"/>
        </w:rPr>
        <w:t xml:space="preserve"> [ 6]:            </w:t>
      </w:r>
      <w:hyperlink r:id="rId653" w:history="1">
        <w:r>
          <w:rPr>
            <w:rFonts w:ascii="Arial" w:eastAsia="Arial" w:hAnsi="Arial" w:cs="Arial"/>
            <w:i/>
            <w:color w:val="0077CC"/>
            <w:sz w:val="20"/>
            <w:u w:val="single"/>
            <w:shd w:val="clear" w:color="auto" w:fill="FFFFFF"/>
          </w:rPr>
          <w:t>https://www.factmr.com/checkout/252/S</w:t>
        </w:r>
      </w:hyperlink>
      <w:r>
        <w:rPr>
          <w:rFonts w:ascii="Arial" w:eastAsia="Arial" w:hAnsi="Arial" w:cs="Arial"/>
          <w:color w:val="000000"/>
          <w:sz w:val="20"/>
        </w:rPr>
        <w:t xml:space="preserve"> [ 7]:            </w:t>
      </w:r>
      <w:hyperlink r:id="rId654" w:history="1">
        <w:r>
          <w:rPr>
            <w:rFonts w:ascii="Arial" w:eastAsia="Arial" w:hAnsi="Arial" w:cs="Arial"/>
            <w:i/>
            <w:color w:val="0077CC"/>
            <w:sz w:val="20"/>
            <w:u w:val="single"/>
            <w:shd w:val="clear" w:color="auto" w:fill="FFFFFF"/>
          </w:rPr>
          <w:t>https://www.factmr.com</w:t>
        </w:r>
      </w:hyperlink>
      <w:r>
        <w:rPr>
          <w:rFonts w:ascii="Arial" w:eastAsia="Arial" w:hAnsi="Arial" w:cs="Arial"/>
          <w:color w:val="000000"/>
          <w:sz w:val="20"/>
        </w:rPr>
        <w:t xml:space="preserve">/ [ 8]:            </w:t>
      </w:r>
      <w:hyperlink r:id="rId655" w:history="1">
        <w:r>
          <w:rPr>
            <w:rFonts w:ascii="Arial" w:eastAsia="Arial" w:hAnsi="Arial" w:cs="Arial"/>
            <w:i/>
            <w:color w:val="0077CC"/>
            <w:sz w:val="20"/>
            <w:u w:val="single"/>
            <w:shd w:val="clear" w:color="auto" w:fill="FFFFFF"/>
          </w:rPr>
          <w:t>https://theswisstimes.com</w:t>
        </w:r>
      </w:hyperlink>
      <w:r>
        <w:rPr>
          <w:rFonts w:ascii="Arial" w:eastAsia="Arial" w:hAnsi="Arial" w:cs="Arial"/>
          <w:color w:val="000000"/>
          <w:sz w:val="20"/>
        </w:rPr>
        <w:t xml:space="preserve"> [ 9]:            </w:t>
      </w:r>
      <w:hyperlink r:id="rId656" w:history="1">
        <w:r>
          <w:rPr>
            <w:rFonts w:ascii="Arial" w:eastAsia="Arial" w:hAnsi="Arial" w:cs="Arial"/>
            <w:i/>
            <w:color w:val="0077CC"/>
            <w:sz w:val="20"/>
            <w:u w:val="single"/>
            <w:shd w:val="clear" w:color="auto" w:fill="FFFFFF"/>
          </w:rPr>
          <w:t>http://www.sbwire.com/press-releases/rise-in-prevalence-of-depression-that-boosts-the-growth-of-extremities-reconstruction-market-in-healthcare-industry-1152121.htm?utm_source=nt..._medium=feed..._campaign=distribution</w:t>
        </w:r>
      </w:hyperlink>
      <w:r>
        <w:rPr>
          <w:rFonts w:ascii="Arial" w:eastAsia="Arial" w:hAnsi="Arial" w:cs="Arial"/>
          <w:color w:val="000000"/>
          <w:sz w:val="20"/>
        </w:rPr>
        <w:t xml:space="preserve"> [ 10]:            </w:t>
      </w:r>
      <w:hyperlink r:id="rId657" w:history="1">
        <w:r>
          <w:rPr>
            <w:rFonts w:ascii="Arial" w:eastAsia="Arial" w:hAnsi="Arial" w:cs="Arial"/>
            <w:i/>
            <w:color w:val="0077CC"/>
            <w:sz w:val="20"/>
            <w:u w:val="single"/>
            <w:shd w:val="clear" w:color="auto" w:fill="FFFFFF"/>
          </w:rPr>
          <w:t>http://www.sbwire.com/press-releases/contact/1152121?utm_source=nt..._medium=feed..._campaign=distribution</w:t>
        </w:r>
      </w:hyperlink>
      <w:r>
        <w:rPr>
          <w:rFonts w:ascii="Arial" w:eastAsia="Arial" w:hAnsi="Arial" w:cs="Arial"/>
          <w:color w:val="000000"/>
          <w:sz w:val="20"/>
        </w:rPr>
        <w:t xml:space="preserve"> [ 11]:            </w:t>
      </w:r>
      <w:hyperlink r:id="rId658" w:history="1">
        <w:r>
          <w:rPr>
            <w:rFonts w:ascii="Arial" w:eastAsia="Arial" w:hAnsi="Arial" w:cs="Arial"/>
            <w:i/>
            <w:color w:val="0077CC"/>
            <w:sz w:val="20"/>
            <w:u w:val="single"/>
            <w:shd w:val="clear" w:color="auto" w:fill="FFFFFF"/>
          </w:rPr>
          <w:t>https://www.factmr.com/report/252/extremities-reconstruction-market</w:t>
        </w:r>
      </w:hyperlink>
      <w:r>
        <w:rPr>
          <w:rFonts w:ascii="Arial" w:eastAsia="Arial" w:hAnsi="Arial" w:cs="Arial"/>
          <w:color w:val="000000"/>
          <w:sz w:val="20"/>
        </w:rPr>
        <w:t xml:space="preserve"> </w:t>
      </w:r>
    </w:p>
    <w:p w14:paraId="53B82C48" w14:textId="77777777" w:rsidR="00054BF0"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21, 2019</w:t>
      </w:r>
    </w:p>
    <w:p w14:paraId="5B87A22B" w14:textId="77777777" w:rsidR="00054BF0" w:rsidRDefault="00054BF0"/>
    <w:p w14:paraId="7D65278E" w14:textId="77777777" w:rsidR="00054BF0" w:rsidRDefault="00000000">
      <w:pPr>
        <w:ind w:left="200"/>
      </w:pPr>
      <w:r>
        <w:br/>
      </w:r>
      <w:r>
        <w:pict w14:anchorId="0030A743">
          <v:line id="_x0000_s2204" style="position:absolute;left:0;text-align:left;z-index:251756544;mso-position-horizontal-relative:text;mso-position-vertical-relative:text" from="0,10pt" to="512pt,10pt" strokeweight="1pt"/>
        </w:pict>
      </w:r>
      <w:r>
        <w:rPr>
          <w:rFonts w:ascii="Arial" w:eastAsia="Arial" w:hAnsi="Arial" w:cs="Arial"/>
          <w:b/>
          <w:color w:val="767676"/>
          <w:sz w:val="16"/>
        </w:rPr>
        <w:t>End of Document</w:t>
      </w:r>
    </w:p>
    <w:sectPr w:rsidR="00054BF0">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96B53" w14:textId="77777777" w:rsidR="007C1AE5" w:rsidRDefault="007C1AE5">
      <w:r>
        <w:separator/>
      </w:r>
    </w:p>
  </w:endnote>
  <w:endnote w:type="continuationSeparator" w:id="0">
    <w:p w14:paraId="53C4A822" w14:textId="77777777" w:rsidR="007C1AE5" w:rsidRDefault="007C1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054BF0" w14:paraId="06594187" w14:textId="77777777">
      <w:trPr>
        <w:trHeight w:val="15"/>
        <w:jc w:val="center"/>
      </w:trPr>
      <w:tc>
        <w:tcPr>
          <w:tcW w:w="10240" w:type="dxa"/>
          <w:shd w:val="solid" w:color="000000" w:fill="000000"/>
        </w:tcPr>
        <w:p w14:paraId="65F86C22" w14:textId="77777777" w:rsidR="00054BF0" w:rsidRDefault="00054BF0">
          <w:pPr>
            <w:spacing w:line="40" w:lineRule="exact"/>
            <w:jc w:val="both"/>
          </w:pPr>
        </w:p>
      </w:tc>
    </w:tr>
  </w:tbl>
  <w:p w14:paraId="29337E1C" w14:textId="77777777" w:rsidR="00054BF0" w:rsidRDefault="00054BF0">
    <w:pPr>
      <w:spacing w:line="40" w:lineRule="exact"/>
      <w:jc w:val="both"/>
    </w:pPr>
  </w:p>
  <w:tbl>
    <w:tblPr>
      <w:tblW w:w="10240" w:type="dxa"/>
      <w:jc w:val="center"/>
      <w:tblLayout w:type="fixed"/>
      <w:tblLook w:val="04A0" w:firstRow="1" w:lastRow="0" w:firstColumn="1" w:lastColumn="0" w:noHBand="0" w:noVBand="1"/>
    </w:tblPr>
    <w:tblGrid>
      <w:gridCol w:w="10240"/>
    </w:tblGrid>
    <w:tr w:rsidR="00054BF0" w14:paraId="534D3EDF" w14:textId="77777777">
      <w:trPr>
        <w:trHeight w:val="480"/>
        <w:jc w:val="center"/>
      </w:trPr>
      <w:tc>
        <w:tcPr>
          <w:tcW w:w="10240" w:type="dxa"/>
          <w:vAlign w:val="center"/>
        </w:tcPr>
        <w:p w14:paraId="3779B623" w14:textId="77777777" w:rsidR="00054BF0" w:rsidRDefault="00BE2275">
          <w:pPr>
            <w:spacing w:line="260" w:lineRule="atLeast"/>
            <w:jc w:val="center"/>
          </w:pPr>
          <w:r>
            <w:pict w14:anchorId="55985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sidR="00A540D1">
            <w:rPr>
              <w:rFonts w:ascii="Arial" w:eastAsia="Arial" w:hAnsi="Arial" w:cs="Arial"/>
              <w:color w:val="000000"/>
              <w:position w:val="10"/>
              <w:sz w:val="18"/>
            </w:rPr>
            <w:t xml:space="preserve">| </w:t>
          </w:r>
          <w:hyperlink r:id="rId2" w:history="1">
            <w:r w:rsidR="00A540D1">
              <w:rPr>
                <w:rFonts w:ascii="Arial" w:eastAsia="Arial" w:hAnsi="Arial" w:cs="Arial"/>
                <w:color w:val="0077CC"/>
                <w:position w:val="10"/>
                <w:sz w:val="18"/>
                <w:u w:val="single"/>
              </w:rPr>
              <w:t>About LexisNexis</w:t>
            </w:r>
          </w:hyperlink>
          <w:r w:rsidR="00A540D1">
            <w:rPr>
              <w:rFonts w:ascii="Arial" w:eastAsia="Arial" w:hAnsi="Arial" w:cs="Arial"/>
              <w:color w:val="000000"/>
              <w:position w:val="10"/>
              <w:sz w:val="18"/>
            </w:rPr>
            <w:t xml:space="preserve"> | </w:t>
          </w:r>
          <w:hyperlink r:id="rId3" w:history="1">
            <w:r w:rsidR="00A540D1">
              <w:rPr>
                <w:rFonts w:ascii="Arial" w:eastAsia="Arial" w:hAnsi="Arial" w:cs="Arial"/>
                <w:color w:val="0077CC"/>
                <w:position w:val="10"/>
                <w:sz w:val="18"/>
                <w:u w:val="single"/>
              </w:rPr>
              <w:t>Privacy Policy</w:t>
            </w:r>
          </w:hyperlink>
          <w:r w:rsidR="00A540D1">
            <w:rPr>
              <w:rFonts w:ascii="Arial" w:eastAsia="Arial" w:hAnsi="Arial" w:cs="Arial"/>
              <w:color w:val="000000"/>
              <w:position w:val="10"/>
              <w:sz w:val="18"/>
            </w:rPr>
            <w:t xml:space="preserve"> | </w:t>
          </w:r>
          <w:hyperlink r:id="rId4" w:history="1">
            <w:r w:rsidR="00A540D1">
              <w:rPr>
                <w:rFonts w:ascii="Arial" w:eastAsia="Arial" w:hAnsi="Arial" w:cs="Arial"/>
                <w:color w:val="0077CC"/>
                <w:position w:val="10"/>
                <w:sz w:val="18"/>
                <w:u w:val="single"/>
              </w:rPr>
              <w:t>Terms &amp; Conditions</w:t>
            </w:r>
          </w:hyperlink>
          <w:r w:rsidR="00A540D1">
            <w:rPr>
              <w:rFonts w:ascii="Arial" w:eastAsia="Arial" w:hAnsi="Arial" w:cs="Arial"/>
              <w:color w:val="000000"/>
              <w:position w:val="10"/>
              <w:sz w:val="18"/>
            </w:rPr>
            <w:t xml:space="preserve"> | </w:t>
          </w:r>
          <w:hyperlink r:id="rId5" w:history="1">
            <w:r w:rsidR="00A540D1">
              <w:rPr>
                <w:rFonts w:ascii="Arial" w:eastAsia="Arial" w:hAnsi="Arial" w:cs="Arial"/>
                <w:color w:val="0077CC"/>
                <w:position w:val="10"/>
                <w:sz w:val="18"/>
                <w:u w:val="single"/>
              </w:rPr>
              <w:t>Copyright © 2023 LexisNexis</w:t>
            </w:r>
          </w:hyperlink>
        </w:p>
      </w:tc>
    </w:tr>
    <w:tr w:rsidR="00054BF0" w14:paraId="0935223C" w14:textId="77777777">
      <w:trPr>
        <w:trHeight w:val="620"/>
        <w:jc w:val="center"/>
      </w:trPr>
      <w:tc>
        <w:tcPr>
          <w:tcW w:w="10240" w:type="dxa"/>
        </w:tcPr>
        <w:p w14:paraId="5571C8E7" w14:textId="77777777" w:rsidR="00054BF0" w:rsidRDefault="00000000">
          <w:pPr>
            <w:spacing w:line="260" w:lineRule="atLeast"/>
            <w:jc w:val="center"/>
          </w:pPr>
          <w:r>
            <w:rPr>
              <w:rFonts w:ascii="Arial" w:eastAsia="Arial" w:hAnsi="Arial" w:cs="Arial"/>
              <w:color w:val="000000"/>
              <w:position w:val="10"/>
              <w:sz w:val="18"/>
            </w:rPr>
            <w:t xml:space="preserve">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5F62" w14:textId="77777777" w:rsidR="00054BF0" w:rsidRDefault="00054BF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CFCFF64" w14:textId="77777777">
      <w:trPr>
        <w:jc w:val="center"/>
      </w:trPr>
      <w:tc>
        <w:tcPr>
          <w:tcW w:w="2600" w:type="dxa"/>
          <w:tcMar>
            <w:top w:w="200" w:type="dxa"/>
          </w:tcMar>
          <w:vAlign w:val="center"/>
        </w:tcPr>
        <w:p w14:paraId="09C135AB" w14:textId="77777777" w:rsidR="00054BF0" w:rsidRDefault="00054BF0"/>
      </w:tc>
      <w:tc>
        <w:tcPr>
          <w:tcW w:w="4880" w:type="dxa"/>
          <w:tcMar>
            <w:top w:w="200" w:type="dxa"/>
          </w:tcMar>
          <w:vAlign w:val="center"/>
        </w:tcPr>
        <w:p w14:paraId="5434A993"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35A5F0C" w14:textId="77777777" w:rsidR="00054BF0" w:rsidRDefault="00054BF0"/>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10695" w14:textId="77777777" w:rsidR="00054BF0" w:rsidRDefault="00000000">
    <w:pPr>
      <w:spacing w:before="200"/>
      <w:jc w:val="center"/>
    </w:pPr>
    <w:r>
      <w:rPr>
        <w:rFonts w:ascii="Arial" w:eastAsia="Arial" w:hAnsi="Arial" w:cs="Arial"/>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8DCB5" w14:textId="77777777" w:rsidR="00054BF0" w:rsidRDefault="00054BF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3DBBC2A" w14:textId="77777777">
      <w:trPr>
        <w:jc w:val="center"/>
      </w:trPr>
      <w:tc>
        <w:tcPr>
          <w:tcW w:w="2600" w:type="dxa"/>
          <w:tcMar>
            <w:top w:w="200" w:type="dxa"/>
          </w:tcMar>
          <w:vAlign w:val="center"/>
        </w:tcPr>
        <w:p w14:paraId="149DA6B8" w14:textId="77777777" w:rsidR="00054BF0" w:rsidRDefault="00054BF0"/>
      </w:tc>
      <w:tc>
        <w:tcPr>
          <w:tcW w:w="4880" w:type="dxa"/>
          <w:tcMar>
            <w:top w:w="200" w:type="dxa"/>
          </w:tcMar>
          <w:vAlign w:val="center"/>
        </w:tcPr>
        <w:p w14:paraId="7F118B79"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5F20AEB8" w14:textId="77777777" w:rsidR="00054BF0" w:rsidRDefault="00054BF0"/>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69208" w14:textId="77777777" w:rsidR="00054BF0" w:rsidRDefault="00000000">
    <w:pPr>
      <w:spacing w:before="200"/>
      <w:jc w:val="center"/>
    </w:pPr>
    <w:r>
      <w:rPr>
        <w:rFonts w:ascii="Arial" w:eastAsia="Arial" w:hAnsi="Arial" w:cs="Arial"/>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70DB" w14:textId="77777777" w:rsidR="00054BF0" w:rsidRDefault="00054BF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56E52C4F" w14:textId="77777777">
      <w:trPr>
        <w:jc w:val="center"/>
      </w:trPr>
      <w:tc>
        <w:tcPr>
          <w:tcW w:w="2600" w:type="dxa"/>
          <w:tcMar>
            <w:top w:w="200" w:type="dxa"/>
          </w:tcMar>
          <w:vAlign w:val="center"/>
        </w:tcPr>
        <w:p w14:paraId="6681B8C8" w14:textId="77777777" w:rsidR="00054BF0" w:rsidRDefault="00054BF0"/>
      </w:tc>
      <w:tc>
        <w:tcPr>
          <w:tcW w:w="4880" w:type="dxa"/>
          <w:tcMar>
            <w:top w:w="200" w:type="dxa"/>
          </w:tcMar>
          <w:vAlign w:val="center"/>
        </w:tcPr>
        <w:p w14:paraId="199ACDA4"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2CFBF27" w14:textId="77777777" w:rsidR="00054BF0" w:rsidRDefault="00054BF0"/>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E717" w14:textId="77777777" w:rsidR="00054BF0" w:rsidRDefault="00000000">
    <w:pPr>
      <w:spacing w:before="200"/>
      <w:jc w:val="center"/>
    </w:pPr>
    <w:r>
      <w:rPr>
        <w:rFonts w:ascii="Arial" w:eastAsia="Arial" w:hAnsi="Arial" w:cs="Arial"/>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F8C1D" w14:textId="77777777" w:rsidR="00054BF0" w:rsidRDefault="00054BF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734C7A2B" w14:textId="77777777">
      <w:trPr>
        <w:jc w:val="center"/>
      </w:trPr>
      <w:tc>
        <w:tcPr>
          <w:tcW w:w="2600" w:type="dxa"/>
          <w:tcMar>
            <w:top w:w="200" w:type="dxa"/>
          </w:tcMar>
          <w:vAlign w:val="center"/>
        </w:tcPr>
        <w:p w14:paraId="1EE07718" w14:textId="77777777" w:rsidR="00054BF0" w:rsidRDefault="00054BF0"/>
      </w:tc>
      <w:tc>
        <w:tcPr>
          <w:tcW w:w="4880" w:type="dxa"/>
          <w:tcMar>
            <w:top w:w="200" w:type="dxa"/>
          </w:tcMar>
          <w:vAlign w:val="center"/>
        </w:tcPr>
        <w:p w14:paraId="244596EE"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1CBBFFAE" w14:textId="77777777" w:rsidR="00054BF0" w:rsidRDefault="00054BF0"/>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25059" w14:textId="77777777" w:rsidR="00054BF0" w:rsidRDefault="00000000">
    <w:pPr>
      <w:spacing w:before="200"/>
      <w:jc w:val="center"/>
    </w:pPr>
    <w:r>
      <w:rPr>
        <w:rFonts w:ascii="Arial" w:eastAsia="Arial" w:hAnsi="Arial" w:cs="Arial"/>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CC288" w14:textId="77777777" w:rsidR="00054BF0" w:rsidRDefault="00054BF0"/>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93F66F2" w14:textId="77777777">
      <w:trPr>
        <w:jc w:val="center"/>
      </w:trPr>
      <w:tc>
        <w:tcPr>
          <w:tcW w:w="2600" w:type="dxa"/>
          <w:tcMar>
            <w:top w:w="200" w:type="dxa"/>
          </w:tcMar>
          <w:vAlign w:val="center"/>
        </w:tcPr>
        <w:p w14:paraId="00E51A61" w14:textId="77777777" w:rsidR="00054BF0" w:rsidRDefault="00054BF0"/>
      </w:tc>
      <w:tc>
        <w:tcPr>
          <w:tcW w:w="4880" w:type="dxa"/>
          <w:tcMar>
            <w:top w:w="200" w:type="dxa"/>
          </w:tcMar>
          <w:vAlign w:val="center"/>
        </w:tcPr>
        <w:p w14:paraId="7031BC93"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3F1C3C3B" w14:textId="77777777" w:rsidR="00054BF0" w:rsidRDefault="00054BF0"/>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0AE4" w14:textId="77777777" w:rsidR="00054BF0" w:rsidRDefault="00000000">
    <w:pPr>
      <w:spacing w:before="200"/>
      <w:jc w:val="center"/>
    </w:pPr>
    <w:r>
      <w:rPr>
        <w:rFonts w:ascii="Arial" w:eastAsia="Arial" w:hAnsi="Arial" w:cs="Arial"/>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72114" w14:textId="77777777" w:rsidR="00054BF0" w:rsidRDefault="00054BF0"/>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5C537027" w14:textId="77777777">
      <w:trPr>
        <w:jc w:val="center"/>
      </w:trPr>
      <w:tc>
        <w:tcPr>
          <w:tcW w:w="2600" w:type="dxa"/>
          <w:tcMar>
            <w:top w:w="200" w:type="dxa"/>
          </w:tcMar>
          <w:vAlign w:val="center"/>
        </w:tcPr>
        <w:p w14:paraId="05976CC2" w14:textId="77777777" w:rsidR="00054BF0" w:rsidRDefault="00054BF0"/>
      </w:tc>
      <w:tc>
        <w:tcPr>
          <w:tcW w:w="4880" w:type="dxa"/>
          <w:tcMar>
            <w:top w:w="200" w:type="dxa"/>
          </w:tcMar>
          <w:vAlign w:val="center"/>
        </w:tcPr>
        <w:p w14:paraId="1D33FEBC"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EC024DF" w14:textId="77777777" w:rsidR="00054BF0" w:rsidRDefault="00054BF0"/>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DD2D7" w14:textId="77777777" w:rsidR="00054BF0" w:rsidRDefault="00000000">
    <w:pPr>
      <w:spacing w:before="200"/>
      <w:jc w:val="center"/>
    </w:pPr>
    <w:r>
      <w:rPr>
        <w:rFonts w:ascii="Arial" w:eastAsia="Arial" w:hAnsi="Arial" w:cs="Arial"/>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8500E" w14:textId="77777777" w:rsidR="00054BF0" w:rsidRDefault="00054BF0"/>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D02696F" w14:textId="77777777">
      <w:trPr>
        <w:jc w:val="center"/>
      </w:trPr>
      <w:tc>
        <w:tcPr>
          <w:tcW w:w="2600" w:type="dxa"/>
          <w:tcMar>
            <w:top w:w="200" w:type="dxa"/>
          </w:tcMar>
          <w:vAlign w:val="center"/>
        </w:tcPr>
        <w:p w14:paraId="40F317FD" w14:textId="77777777" w:rsidR="00054BF0" w:rsidRDefault="00054BF0"/>
      </w:tc>
      <w:tc>
        <w:tcPr>
          <w:tcW w:w="4880" w:type="dxa"/>
          <w:tcMar>
            <w:top w:w="200" w:type="dxa"/>
          </w:tcMar>
          <w:vAlign w:val="center"/>
        </w:tcPr>
        <w:p w14:paraId="48EC2DF6"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27AC032C" w14:textId="77777777" w:rsidR="00054BF0" w:rsidRDefault="00054BF0"/>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2685A" w14:textId="77777777" w:rsidR="00054BF0" w:rsidRDefault="00000000">
    <w:pPr>
      <w:spacing w:before="200"/>
      <w:jc w:val="center"/>
    </w:pPr>
    <w:r>
      <w:rPr>
        <w:rFonts w:ascii="Arial" w:eastAsia="Arial" w:hAnsi="Arial" w:cs="Arial"/>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94122" w14:textId="77777777" w:rsidR="00054BF0" w:rsidRDefault="00054BF0"/>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15CC7FE" w14:textId="77777777">
      <w:trPr>
        <w:jc w:val="center"/>
      </w:trPr>
      <w:tc>
        <w:tcPr>
          <w:tcW w:w="2600" w:type="dxa"/>
          <w:tcMar>
            <w:top w:w="200" w:type="dxa"/>
          </w:tcMar>
          <w:vAlign w:val="center"/>
        </w:tcPr>
        <w:p w14:paraId="101C7E08" w14:textId="77777777" w:rsidR="00054BF0" w:rsidRDefault="00054BF0"/>
      </w:tc>
      <w:tc>
        <w:tcPr>
          <w:tcW w:w="4880" w:type="dxa"/>
          <w:tcMar>
            <w:top w:w="200" w:type="dxa"/>
          </w:tcMar>
          <w:vAlign w:val="center"/>
        </w:tcPr>
        <w:p w14:paraId="301BA56A"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2FA5A94D" w14:textId="77777777" w:rsidR="00054BF0" w:rsidRDefault="00054BF0"/>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7BAA" w14:textId="77777777" w:rsidR="00054BF0" w:rsidRDefault="00000000">
    <w:pPr>
      <w:spacing w:before="200"/>
      <w:jc w:val="center"/>
    </w:pPr>
    <w:r>
      <w:rPr>
        <w:rFonts w:ascii="Arial" w:eastAsia="Arial" w:hAnsi="Arial" w:cs="Arial"/>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CA932" w14:textId="77777777" w:rsidR="00054BF0" w:rsidRDefault="00054BF0"/>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A698620" w14:textId="77777777">
      <w:trPr>
        <w:jc w:val="center"/>
      </w:trPr>
      <w:tc>
        <w:tcPr>
          <w:tcW w:w="2600" w:type="dxa"/>
          <w:tcMar>
            <w:top w:w="200" w:type="dxa"/>
          </w:tcMar>
          <w:vAlign w:val="center"/>
        </w:tcPr>
        <w:p w14:paraId="31000DE5" w14:textId="77777777" w:rsidR="00054BF0" w:rsidRDefault="00054BF0"/>
      </w:tc>
      <w:tc>
        <w:tcPr>
          <w:tcW w:w="4880" w:type="dxa"/>
          <w:tcMar>
            <w:top w:w="200" w:type="dxa"/>
          </w:tcMar>
          <w:vAlign w:val="center"/>
        </w:tcPr>
        <w:p w14:paraId="6A21E77A"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31BA12A1" w14:textId="77777777" w:rsidR="00054BF0" w:rsidRDefault="00054BF0"/>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B5423" w14:textId="77777777" w:rsidR="00054BF0" w:rsidRDefault="00000000">
    <w:pPr>
      <w:spacing w:before="200"/>
      <w:jc w:val="center"/>
    </w:pPr>
    <w:r>
      <w:rPr>
        <w:rFonts w:ascii="Arial" w:eastAsia="Arial" w:hAnsi="Arial" w:cs="Arial"/>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EA552" w14:textId="77777777" w:rsidR="00054BF0" w:rsidRDefault="00054BF0"/>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5DFF1604" w14:textId="77777777">
      <w:trPr>
        <w:jc w:val="center"/>
      </w:trPr>
      <w:tc>
        <w:tcPr>
          <w:tcW w:w="2600" w:type="dxa"/>
          <w:tcMar>
            <w:top w:w="200" w:type="dxa"/>
          </w:tcMar>
          <w:vAlign w:val="center"/>
        </w:tcPr>
        <w:p w14:paraId="0FFB6E25" w14:textId="77777777" w:rsidR="00054BF0" w:rsidRDefault="00054BF0"/>
      </w:tc>
      <w:tc>
        <w:tcPr>
          <w:tcW w:w="4880" w:type="dxa"/>
          <w:tcMar>
            <w:top w:w="200" w:type="dxa"/>
          </w:tcMar>
          <w:vAlign w:val="center"/>
        </w:tcPr>
        <w:p w14:paraId="3BBD4181"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686D750" w14:textId="77777777" w:rsidR="00054BF0" w:rsidRDefault="00054BF0"/>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3D4B" w14:textId="77777777" w:rsidR="00054BF0" w:rsidRDefault="00000000">
    <w:pPr>
      <w:spacing w:before="200"/>
      <w:jc w:val="center"/>
    </w:pPr>
    <w:r>
      <w:rPr>
        <w:rFonts w:ascii="Arial" w:eastAsia="Arial" w:hAnsi="Arial" w:cs="Arial"/>
        <w:sz w:val="20"/>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385B" w14:textId="77777777" w:rsidR="00054BF0" w:rsidRDefault="00054BF0"/>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1CCCD615" w14:textId="77777777">
      <w:trPr>
        <w:jc w:val="center"/>
      </w:trPr>
      <w:tc>
        <w:tcPr>
          <w:tcW w:w="2600" w:type="dxa"/>
          <w:tcMar>
            <w:top w:w="200" w:type="dxa"/>
          </w:tcMar>
          <w:vAlign w:val="center"/>
        </w:tcPr>
        <w:p w14:paraId="2CE22F39" w14:textId="77777777" w:rsidR="00054BF0" w:rsidRDefault="00054BF0"/>
      </w:tc>
      <w:tc>
        <w:tcPr>
          <w:tcW w:w="4880" w:type="dxa"/>
          <w:tcMar>
            <w:top w:w="200" w:type="dxa"/>
          </w:tcMar>
          <w:vAlign w:val="center"/>
        </w:tcPr>
        <w:p w14:paraId="7C3A7A17"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A6AC322" w14:textId="77777777" w:rsidR="00054BF0" w:rsidRDefault="00054BF0"/>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DA0A" w14:textId="77777777" w:rsidR="00054BF0" w:rsidRDefault="00000000">
    <w:pPr>
      <w:spacing w:before="200"/>
      <w:jc w:val="center"/>
    </w:pPr>
    <w:r>
      <w:rPr>
        <w:rFonts w:ascii="Arial" w:eastAsia="Arial" w:hAnsi="Arial" w:cs="Arial"/>
        <w:sz w:val="20"/>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0CC27" w14:textId="77777777" w:rsidR="00054BF0" w:rsidRDefault="00054BF0"/>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7C499A81" w14:textId="77777777">
      <w:trPr>
        <w:jc w:val="center"/>
      </w:trPr>
      <w:tc>
        <w:tcPr>
          <w:tcW w:w="2600" w:type="dxa"/>
          <w:tcMar>
            <w:top w:w="200" w:type="dxa"/>
          </w:tcMar>
          <w:vAlign w:val="center"/>
        </w:tcPr>
        <w:p w14:paraId="7049C714" w14:textId="77777777" w:rsidR="00054BF0" w:rsidRDefault="00054BF0"/>
      </w:tc>
      <w:tc>
        <w:tcPr>
          <w:tcW w:w="4880" w:type="dxa"/>
          <w:tcMar>
            <w:top w:w="200" w:type="dxa"/>
          </w:tcMar>
          <w:vAlign w:val="center"/>
        </w:tcPr>
        <w:p w14:paraId="59674AB1"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AA94F06" w14:textId="77777777" w:rsidR="00054BF0" w:rsidRDefault="00054BF0"/>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3FE22" w14:textId="77777777" w:rsidR="00054BF0" w:rsidRDefault="00000000">
    <w:pPr>
      <w:spacing w:before="200"/>
      <w:jc w:val="center"/>
    </w:pPr>
    <w:r>
      <w:rPr>
        <w:rFonts w:ascii="Arial" w:eastAsia="Arial" w:hAnsi="Arial" w:cs="Arial"/>
        <w:sz w:val="20"/>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B9F70" w14:textId="77777777" w:rsidR="00054BF0" w:rsidRDefault="00054BF0"/>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632A54B" w14:textId="77777777">
      <w:trPr>
        <w:jc w:val="center"/>
      </w:trPr>
      <w:tc>
        <w:tcPr>
          <w:tcW w:w="2600" w:type="dxa"/>
          <w:tcMar>
            <w:top w:w="200" w:type="dxa"/>
          </w:tcMar>
          <w:vAlign w:val="center"/>
        </w:tcPr>
        <w:p w14:paraId="5FA1BFE5" w14:textId="77777777" w:rsidR="00054BF0" w:rsidRDefault="00054BF0"/>
      </w:tc>
      <w:tc>
        <w:tcPr>
          <w:tcW w:w="4880" w:type="dxa"/>
          <w:tcMar>
            <w:top w:w="200" w:type="dxa"/>
          </w:tcMar>
          <w:vAlign w:val="center"/>
        </w:tcPr>
        <w:p w14:paraId="5B4BA69B"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043702A" w14:textId="77777777" w:rsidR="00054BF0" w:rsidRDefault="00054BF0"/>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804B3" w14:textId="77777777" w:rsidR="00054BF0" w:rsidRDefault="00000000">
    <w:pPr>
      <w:spacing w:before="200"/>
      <w:jc w:val="center"/>
    </w:pPr>
    <w:r>
      <w:rPr>
        <w:rFonts w:ascii="Arial" w:eastAsia="Arial" w:hAnsi="Arial" w:cs="Arial"/>
        <w:sz w:val="20"/>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939F1" w14:textId="77777777" w:rsidR="00054BF0" w:rsidRDefault="00054BF0"/>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704D286C" w14:textId="77777777">
      <w:trPr>
        <w:jc w:val="center"/>
      </w:trPr>
      <w:tc>
        <w:tcPr>
          <w:tcW w:w="2600" w:type="dxa"/>
          <w:tcMar>
            <w:top w:w="200" w:type="dxa"/>
          </w:tcMar>
          <w:vAlign w:val="center"/>
        </w:tcPr>
        <w:p w14:paraId="4F673658" w14:textId="77777777" w:rsidR="00054BF0" w:rsidRDefault="00054BF0"/>
      </w:tc>
      <w:tc>
        <w:tcPr>
          <w:tcW w:w="4880" w:type="dxa"/>
          <w:tcMar>
            <w:top w:w="200" w:type="dxa"/>
          </w:tcMar>
          <w:vAlign w:val="center"/>
        </w:tcPr>
        <w:p w14:paraId="459C9AC5"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23EA5860" w14:textId="77777777" w:rsidR="00054BF0" w:rsidRDefault="00054BF0"/>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D45E" w14:textId="77777777" w:rsidR="00054BF0" w:rsidRDefault="00000000">
    <w:pPr>
      <w:spacing w:before="200"/>
      <w:jc w:val="center"/>
    </w:pPr>
    <w:r>
      <w:rPr>
        <w:rFonts w:ascii="Arial" w:eastAsia="Arial" w:hAnsi="Arial" w:cs="Arial"/>
        <w:sz w:val="20"/>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4D72D" w14:textId="77777777" w:rsidR="00054BF0" w:rsidRDefault="00054BF0"/>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7838C8CC" w14:textId="77777777">
      <w:trPr>
        <w:jc w:val="center"/>
      </w:trPr>
      <w:tc>
        <w:tcPr>
          <w:tcW w:w="2600" w:type="dxa"/>
          <w:tcMar>
            <w:top w:w="200" w:type="dxa"/>
          </w:tcMar>
          <w:vAlign w:val="center"/>
        </w:tcPr>
        <w:p w14:paraId="1929DE9A" w14:textId="77777777" w:rsidR="00054BF0" w:rsidRDefault="00054BF0"/>
      </w:tc>
      <w:tc>
        <w:tcPr>
          <w:tcW w:w="4880" w:type="dxa"/>
          <w:tcMar>
            <w:top w:w="200" w:type="dxa"/>
          </w:tcMar>
          <w:vAlign w:val="center"/>
        </w:tcPr>
        <w:p w14:paraId="764D7DD4"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15E11D96" w14:textId="77777777" w:rsidR="00054BF0" w:rsidRDefault="00054BF0"/>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7B123" w14:textId="77777777" w:rsidR="00054BF0" w:rsidRDefault="00000000">
    <w:pPr>
      <w:spacing w:before="200"/>
      <w:jc w:val="center"/>
    </w:pPr>
    <w:r>
      <w:rPr>
        <w:rFonts w:ascii="Arial" w:eastAsia="Arial" w:hAnsi="Arial" w:cs="Arial"/>
        <w:sz w:val="20"/>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A3427" w14:textId="77777777" w:rsidR="00054BF0" w:rsidRDefault="00054BF0"/>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DCD9F9D" w14:textId="77777777">
      <w:trPr>
        <w:jc w:val="center"/>
      </w:trPr>
      <w:tc>
        <w:tcPr>
          <w:tcW w:w="2600" w:type="dxa"/>
          <w:tcMar>
            <w:top w:w="200" w:type="dxa"/>
          </w:tcMar>
          <w:vAlign w:val="center"/>
        </w:tcPr>
        <w:p w14:paraId="02138CE2" w14:textId="77777777" w:rsidR="00054BF0" w:rsidRDefault="00054BF0"/>
      </w:tc>
      <w:tc>
        <w:tcPr>
          <w:tcW w:w="4880" w:type="dxa"/>
          <w:tcMar>
            <w:top w:w="200" w:type="dxa"/>
          </w:tcMar>
          <w:vAlign w:val="center"/>
        </w:tcPr>
        <w:p w14:paraId="43107153"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8D851F9" w14:textId="77777777" w:rsidR="00054BF0" w:rsidRDefault="00054BF0"/>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9C9B3" w14:textId="77777777" w:rsidR="00054BF0" w:rsidRDefault="00000000">
    <w:pPr>
      <w:spacing w:before="200"/>
      <w:jc w:val="center"/>
    </w:pPr>
    <w:r>
      <w:rPr>
        <w:rFonts w:ascii="Arial" w:eastAsia="Arial" w:hAnsi="Arial" w:cs="Arial"/>
        <w:sz w:val="20"/>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306F" w14:textId="77777777" w:rsidR="00054BF0" w:rsidRDefault="00054BF0"/>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B87396B" w14:textId="77777777">
      <w:trPr>
        <w:jc w:val="center"/>
      </w:trPr>
      <w:tc>
        <w:tcPr>
          <w:tcW w:w="2600" w:type="dxa"/>
          <w:tcMar>
            <w:top w:w="200" w:type="dxa"/>
          </w:tcMar>
          <w:vAlign w:val="center"/>
        </w:tcPr>
        <w:p w14:paraId="57644293" w14:textId="77777777" w:rsidR="00054BF0" w:rsidRDefault="00054BF0"/>
      </w:tc>
      <w:tc>
        <w:tcPr>
          <w:tcW w:w="4880" w:type="dxa"/>
          <w:tcMar>
            <w:top w:w="200" w:type="dxa"/>
          </w:tcMar>
          <w:vAlign w:val="center"/>
        </w:tcPr>
        <w:p w14:paraId="3C5AE20D"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59EE36B" w14:textId="77777777" w:rsidR="00054BF0" w:rsidRDefault="00054BF0"/>
      </w:tc>
    </w:tr>
  </w:tbl>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2E40" w14:textId="77777777" w:rsidR="00054BF0" w:rsidRDefault="00000000">
    <w:pPr>
      <w:spacing w:before="200"/>
      <w:jc w:val="center"/>
    </w:pPr>
    <w:r>
      <w:rPr>
        <w:rFonts w:ascii="Arial" w:eastAsia="Arial" w:hAnsi="Arial" w:cs="Arial"/>
        <w:sz w:val="20"/>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433A6" w14:textId="77777777" w:rsidR="00054BF0" w:rsidRDefault="00054BF0"/>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846A75C" w14:textId="77777777">
      <w:trPr>
        <w:jc w:val="center"/>
      </w:trPr>
      <w:tc>
        <w:tcPr>
          <w:tcW w:w="2600" w:type="dxa"/>
          <w:tcMar>
            <w:top w:w="200" w:type="dxa"/>
          </w:tcMar>
          <w:vAlign w:val="center"/>
        </w:tcPr>
        <w:p w14:paraId="4607A97D" w14:textId="77777777" w:rsidR="00054BF0" w:rsidRDefault="00054BF0"/>
      </w:tc>
      <w:tc>
        <w:tcPr>
          <w:tcW w:w="4880" w:type="dxa"/>
          <w:tcMar>
            <w:top w:w="200" w:type="dxa"/>
          </w:tcMar>
          <w:vAlign w:val="center"/>
        </w:tcPr>
        <w:p w14:paraId="2EFDFF92"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14251BD" w14:textId="77777777" w:rsidR="00054BF0" w:rsidRDefault="00054BF0"/>
      </w:tc>
    </w:tr>
  </w:tbl>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5C389" w14:textId="77777777" w:rsidR="00054BF0" w:rsidRDefault="00000000">
    <w:pPr>
      <w:spacing w:before="200"/>
      <w:jc w:val="center"/>
    </w:pPr>
    <w:r>
      <w:rPr>
        <w:rFonts w:ascii="Arial" w:eastAsia="Arial" w:hAnsi="Arial" w:cs="Arial"/>
        <w:sz w:val="20"/>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BE52B" w14:textId="77777777" w:rsidR="00054BF0" w:rsidRDefault="00054BF0"/>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24B38E9" w14:textId="77777777">
      <w:trPr>
        <w:jc w:val="center"/>
      </w:trPr>
      <w:tc>
        <w:tcPr>
          <w:tcW w:w="2600" w:type="dxa"/>
          <w:tcMar>
            <w:top w:w="200" w:type="dxa"/>
          </w:tcMar>
          <w:vAlign w:val="center"/>
        </w:tcPr>
        <w:p w14:paraId="23BE39A9" w14:textId="77777777" w:rsidR="00054BF0" w:rsidRDefault="00054BF0"/>
      </w:tc>
      <w:tc>
        <w:tcPr>
          <w:tcW w:w="4880" w:type="dxa"/>
          <w:tcMar>
            <w:top w:w="200" w:type="dxa"/>
          </w:tcMar>
          <w:vAlign w:val="center"/>
        </w:tcPr>
        <w:p w14:paraId="53B6C78F"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26129783" w14:textId="77777777" w:rsidR="00054BF0" w:rsidRDefault="00054BF0"/>
      </w:tc>
    </w:tr>
  </w:tbl>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A91F" w14:textId="77777777" w:rsidR="00054BF0" w:rsidRDefault="00000000">
    <w:pPr>
      <w:spacing w:before="200"/>
      <w:jc w:val="center"/>
    </w:pPr>
    <w:r>
      <w:rPr>
        <w:rFonts w:ascii="Arial" w:eastAsia="Arial" w:hAnsi="Arial" w:cs="Arial"/>
        <w:sz w:val="20"/>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AEFE9" w14:textId="77777777" w:rsidR="00054BF0" w:rsidRDefault="00054BF0"/>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13090CEC" w14:textId="77777777">
      <w:trPr>
        <w:jc w:val="center"/>
      </w:trPr>
      <w:tc>
        <w:tcPr>
          <w:tcW w:w="2600" w:type="dxa"/>
          <w:tcMar>
            <w:top w:w="200" w:type="dxa"/>
          </w:tcMar>
          <w:vAlign w:val="center"/>
        </w:tcPr>
        <w:p w14:paraId="293ECE8A" w14:textId="77777777" w:rsidR="00054BF0" w:rsidRDefault="00054BF0"/>
      </w:tc>
      <w:tc>
        <w:tcPr>
          <w:tcW w:w="4880" w:type="dxa"/>
          <w:tcMar>
            <w:top w:w="200" w:type="dxa"/>
          </w:tcMar>
          <w:vAlign w:val="center"/>
        </w:tcPr>
        <w:p w14:paraId="6986562E"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1A506F7" w14:textId="77777777" w:rsidR="00054BF0" w:rsidRDefault="00054BF0"/>
      </w:tc>
    </w:tr>
  </w:tbl>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DA389" w14:textId="77777777" w:rsidR="00054BF0" w:rsidRDefault="00000000">
    <w:pPr>
      <w:spacing w:before="200"/>
      <w:jc w:val="center"/>
    </w:pPr>
    <w:r>
      <w:rPr>
        <w:rFonts w:ascii="Arial" w:eastAsia="Arial" w:hAnsi="Arial" w:cs="Arial"/>
        <w:sz w:val="20"/>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FE791" w14:textId="77777777" w:rsidR="00054BF0" w:rsidRDefault="00054BF0"/>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1049549C" w14:textId="77777777">
      <w:trPr>
        <w:jc w:val="center"/>
      </w:trPr>
      <w:tc>
        <w:tcPr>
          <w:tcW w:w="2600" w:type="dxa"/>
          <w:tcMar>
            <w:top w:w="200" w:type="dxa"/>
          </w:tcMar>
          <w:vAlign w:val="center"/>
        </w:tcPr>
        <w:p w14:paraId="0ADABFBB" w14:textId="77777777" w:rsidR="00054BF0" w:rsidRDefault="00054BF0"/>
      </w:tc>
      <w:tc>
        <w:tcPr>
          <w:tcW w:w="4880" w:type="dxa"/>
          <w:tcMar>
            <w:top w:w="200" w:type="dxa"/>
          </w:tcMar>
          <w:vAlign w:val="center"/>
        </w:tcPr>
        <w:p w14:paraId="04FA3224"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D625451" w14:textId="77777777" w:rsidR="00054BF0" w:rsidRDefault="00054BF0"/>
      </w:tc>
    </w:tr>
  </w:tbl>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3CB4B" w14:textId="77777777" w:rsidR="00054BF0" w:rsidRDefault="00000000">
    <w:pPr>
      <w:spacing w:before="200"/>
      <w:jc w:val="center"/>
    </w:pPr>
    <w:r>
      <w:rPr>
        <w:rFonts w:ascii="Arial" w:eastAsia="Arial" w:hAnsi="Arial" w:cs="Arial"/>
        <w:sz w:val="20"/>
      </w:rPr>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F638F" w14:textId="77777777" w:rsidR="00054BF0" w:rsidRDefault="00054BF0"/>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6BBE3555" w14:textId="77777777">
      <w:trPr>
        <w:jc w:val="center"/>
      </w:trPr>
      <w:tc>
        <w:tcPr>
          <w:tcW w:w="2600" w:type="dxa"/>
          <w:tcMar>
            <w:top w:w="200" w:type="dxa"/>
          </w:tcMar>
          <w:vAlign w:val="center"/>
        </w:tcPr>
        <w:p w14:paraId="28553464" w14:textId="77777777" w:rsidR="00054BF0" w:rsidRDefault="00054BF0"/>
      </w:tc>
      <w:tc>
        <w:tcPr>
          <w:tcW w:w="4880" w:type="dxa"/>
          <w:tcMar>
            <w:top w:w="200" w:type="dxa"/>
          </w:tcMar>
          <w:vAlign w:val="center"/>
        </w:tcPr>
        <w:p w14:paraId="67C7B226"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730A4321" w14:textId="77777777" w:rsidR="00054BF0" w:rsidRDefault="00054BF0"/>
      </w:tc>
    </w:tr>
  </w:tbl>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3C016" w14:textId="77777777" w:rsidR="00054BF0" w:rsidRDefault="00000000">
    <w:pPr>
      <w:spacing w:before="200"/>
      <w:jc w:val="center"/>
    </w:pPr>
    <w:r>
      <w:rPr>
        <w:rFonts w:ascii="Arial" w:eastAsia="Arial" w:hAnsi="Arial" w:cs="Arial"/>
        <w:sz w:val="20"/>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E210" w14:textId="77777777" w:rsidR="00054BF0" w:rsidRDefault="00054BF0"/>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5BB0F11" w14:textId="77777777">
      <w:trPr>
        <w:jc w:val="center"/>
      </w:trPr>
      <w:tc>
        <w:tcPr>
          <w:tcW w:w="2600" w:type="dxa"/>
          <w:tcMar>
            <w:top w:w="200" w:type="dxa"/>
          </w:tcMar>
          <w:vAlign w:val="center"/>
        </w:tcPr>
        <w:p w14:paraId="418A2F69" w14:textId="77777777" w:rsidR="00054BF0" w:rsidRDefault="00054BF0"/>
      </w:tc>
      <w:tc>
        <w:tcPr>
          <w:tcW w:w="4880" w:type="dxa"/>
          <w:tcMar>
            <w:top w:w="200" w:type="dxa"/>
          </w:tcMar>
          <w:vAlign w:val="center"/>
        </w:tcPr>
        <w:p w14:paraId="6D499DE4"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3C3B305C" w14:textId="77777777" w:rsidR="00054BF0" w:rsidRDefault="00054BF0"/>
      </w:tc>
    </w:tr>
  </w:tbl>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FE0BC" w14:textId="77777777" w:rsidR="00054BF0" w:rsidRDefault="00000000">
    <w:pPr>
      <w:spacing w:before="200"/>
      <w:jc w:val="center"/>
    </w:pPr>
    <w:r>
      <w:rPr>
        <w:rFonts w:ascii="Arial" w:eastAsia="Arial" w:hAnsi="Arial" w:cs="Arial"/>
        <w:sz w:val="20"/>
      </w:rPr>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25FC0" w14:textId="77777777" w:rsidR="00054BF0" w:rsidRDefault="00054BF0"/>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04427C5" w14:textId="77777777">
      <w:trPr>
        <w:jc w:val="center"/>
      </w:trPr>
      <w:tc>
        <w:tcPr>
          <w:tcW w:w="2600" w:type="dxa"/>
          <w:tcMar>
            <w:top w:w="200" w:type="dxa"/>
          </w:tcMar>
          <w:vAlign w:val="center"/>
        </w:tcPr>
        <w:p w14:paraId="4E17FE60" w14:textId="77777777" w:rsidR="00054BF0" w:rsidRDefault="00054BF0"/>
      </w:tc>
      <w:tc>
        <w:tcPr>
          <w:tcW w:w="4880" w:type="dxa"/>
          <w:tcMar>
            <w:top w:w="200" w:type="dxa"/>
          </w:tcMar>
          <w:vAlign w:val="center"/>
        </w:tcPr>
        <w:p w14:paraId="09869048"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A59C0BF" w14:textId="77777777" w:rsidR="00054BF0" w:rsidRDefault="00054BF0"/>
      </w:tc>
    </w:tr>
  </w:tbl>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95813" w14:textId="77777777" w:rsidR="00054BF0" w:rsidRDefault="00000000">
    <w:pPr>
      <w:spacing w:before="200"/>
      <w:jc w:val="center"/>
    </w:pPr>
    <w:r>
      <w:rPr>
        <w:rFonts w:ascii="Arial" w:eastAsia="Arial" w:hAnsi="Arial" w:cs="Arial"/>
        <w:sz w:val="20"/>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45788" w14:textId="77777777" w:rsidR="00054BF0" w:rsidRDefault="00054BF0"/>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458AA34" w14:textId="77777777">
      <w:trPr>
        <w:jc w:val="center"/>
      </w:trPr>
      <w:tc>
        <w:tcPr>
          <w:tcW w:w="2600" w:type="dxa"/>
          <w:tcMar>
            <w:top w:w="200" w:type="dxa"/>
          </w:tcMar>
          <w:vAlign w:val="center"/>
        </w:tcPr>
        <w:p w14:paraId="5EEAAEB6" w14:textId="77777777" w:rsidR="00054BF0" w:rsidRDefault="00054BF0"/>
      </w:tc>
      <w:tc>
        <w:tcPr>
          <w:tcW w:w="4880" w:type="dxa"/>
          <w:tcMar>
            <w:top w:w="200" w:type="dxa"/>
          </w:tcMar>
          <w:vAlign w:val="center"/>
        </w:tcPr>
        <w:p w14:paraId="6C3D5C3F"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908DED1" w14:textId="77777777" w:rsidR="00054BF0" w:rsidRDefault="00054BF0"/>
      </w:tc>
    </w:tr>
  </w:tbl>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138E2" w14:textId="77777777" w:rsidR="00054BF0" w:rsidRDefault="00000000">
    <w:pPr>
      <w:spacing w:before="200"/>
      <w:jc w:val="center"/>
    </w:pPr>
    <w:r>
      <w:rPr>
        <w:rFonts w:ascii="Arial" w:eastAsia="Arial" w:hAnsi="Arial" w:cs="Arial"/>
        <w:sz w:val="20"/>
      </w:rP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93EB2" w14:textId="77777777" w:rsidR="00054BF0" w:rsidRDefault="00054BF0"/>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682455D5" w14:textId="77777777">
      <w:trPr>
        <w:jc w:val="center"/>
      </w:trPr>
      <w:tc>
        <w:tcPr>
          <w:tcW w:w="2600" w:type="dxa"/>
          <w:tcMar>
            <w:top w:w="200" w:type="dxa"/>
          </w:tcMar>
          <w:vAlign w:val="center"/>
        </w:tcPr>
        <w:p w14:paraId="181F1EFD" w14:textId="77777777" w:rsidR="00054BF0" w:rsidRDefault="00054BF0"/>
      </w:tc>
      <w:tc>
        <w:tcPr>
          <w:tcW w:w="4880" w:type="dxa"/>
          <w:tcMar>
            <w:top w:w="200" w:type="dxa"/>
          </w:tcMar>
          <w:vAlign w:val="center"/>
        </w:tcPr>
        <w:p w14:paraId="7CF49B36"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4EF35583" w14:textId="77777777" w:rsidR="00054BF0" w:rsidRDefault="00054BF0"/>
      </w:tc>
    </w:tr>
  </w:tbl>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9FE09" w14:textId="77777777" w:rsidR="00054BF0" w:rsidRDefault="00000000">
    <w:pPr>
      <w:spacing w:before="200"/>
      <w:jc w:val="center"/>
    </w:pPr>
    <w:r>
      <w:rPr>
        <w:rFonts w:ascii="Arial" w:eastAsia="Arial" w:hAnsi="Arial" w:cs="Arial"/>
        <w:sz w:val="20"/>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EE040" w14:textId="77777777" w:rsidR="00054BF0" w:rsidRDefault="00054BF0"/>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15FACEC" w14:textId="77777777">
      <w:trPr>
        <w:jc w:val="center"/>
      </w:trPr>
      <w:tc>
        <w:tcPr>
          <w:tcW w:w="2600" w:type="dxa"/>
          <w:tcMar>
            <w:top w:w="200" w:type="dxa"/>
          </w:tcMar>
          <w:vAlign w:val="center"/>
        </w:tcPr>
        <w:p w14:paraId="22D2D7E2" w14:textId="77777777" w:rsidR="00054BF0" w:rsidRDefault="00054BF0"/>
      </w:tc>
      <w:tc>
        <w:tcPr>
          <w:tcW w:w="4880" w:type="dxa"/>
          <w:tcMar>
            <w:top w:w="200" w:type="dxa"/>
          </w:tcMar>
          <w:vAlign w:val="center"/>
        </w:tcPr>
        <w:p w14:paraId="0DB0C6BB"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51C4AE4D" w14:textId="77777777" w:rsidR="00054BF0" w:rsidRDefault="00054BF0"/>
      </w:tc>
    </w:tr>
  </w:tbl>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1E4D1" w14:textId="77777777" w:rsidR="00054BF0" w:rsidRDefault="00000000">
    <w:pPr>
      <w:spacing w:before="200"/>
      <w:jc w:val="center"/>
    </w:pPr>
    <w:r>
      <w:rPr>
        <w:rFonts w:ascii="Arial" w:eastAsia="Arial" w:hAnsi="Arial" w:cs="Arial"/>
        <w:sz w:val="20"/>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C1AC" w14:textId="77777777" w:rsidR="00054BF0" w:rsidRDefault="00054BF0"/>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4C14F32" w14:textId="77777777">
      <w:trPr>
        <w:jc w:val="center"/>
      </w:trPr>
      <w:tc>
        <w:tcPr>
          <w:tcW w:w="2600" w:type="dxa"/>
          <w:tcMar>
            <w:top w:w="200" w:type="dxa"/>
          </w:tcMar>
          <w:vAlign w:val="center"/>
        </w:tcPr>
        <w:p w14:paraId="0DF19AF0" w14:textId="77777777" w:rsidR="00054BF0" w:rsidRDefault="00054BF0"/>
      </w:tc>
      <w:tc>
        <w:tcPr>
          <w:tcW w:w="4880" w:type="dxa"/>
          <w:tcMar>
            <w:top w:w="200" w:type="dxa"/>
          </w:tcMar>
          <w:vAlign w:val="center"/>
        </w:tcPr>
        <w:p w14:paraId="08D19AB8"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C293ACA" w14:textId="77777777" w:rsidR="00054BF0" w:rsidRDefault="00054BF0"/>
      </w:tc>
    </w:tr>
  </w:tbl>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84109" w14:textId="77777777" w:rsidR="00054BF0" w:rsidRDefault="00000000">
    <w:pPr>
      <w:spacing w:before="200"/>
      <w:jc w:val="center"/>
    </w:pPr>
    <w:r>
      <w:rPr>
        <w:rFonts w:ascii="Arial" w:eastAsia="Arial" w:hAnsi="Arial" w:cs="Arial"/>
        <w:sz w:val="20"/>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BD4C3" w14:textId="77777777" w:rsidR="00054BF0" w:rsidRDefault="00054BF0"/>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32CB1F8" w14:textId="77777777">
      <w:trPr>
        <w:jc w:val="center"/>
      </w:trPr>
      <w:tc>
        <w:tcPr>
          <w:tcW w:w="2600" w:type="dxa"/>
          <w:tcMar>
            <w:top w:w="200" w:type="dxa"/>
          </w:tcMar>
          <w:vAlign w:val="center"/>
        </w:tcPr>
        <w:p w14:paraId="77616189" w14:textId="77777777" w:rsidR="00054BF0" w:rsidRDefault="00054BF0"/>
      </w:tc>
      <w:tc>
        <w:tcPr>
          <w:tcW w:w="4880" w:type="dxa"/>
          <w:tcMar>
            <w:top w:w="200" w:type="dxa"/>
          </w:tcMar>
          <w:vAlign w:val="center"/>
        </w:tcPr>
        <w:p w14:paraId="6DE7B2EA"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CC7AC5F" w14:textId="77777777" w:rsidR="00054BF0" w:rsidRDefault="00054BF0"/>
      </w:tc>
    </w:tr>
  </w:tbl>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95618" w14:textId="77777777" w:rsidR="00054BF0" w:rsidRDefault="00000000">
    <w:pPr>
      <w:spacing w:before="200"/>
      <w:jc w:val="center"/>
    </w:pPr>
    <w:r>
      <w:rPr>
        <w:rFonts w:ascii="Arial" w:eastAsia="Arial" w:hAnsi="Arial" w:cs="Arial"/>
        <w:sz w:val="20"/>
      </w:rPr>
      <w:t xml:space="preserve"> </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714D3" w14:textId="77777777" w:rsidR="00054BF0" w:rsidRDefault="00054BF0"/>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A210AF6" w14:textId="77777777">
      <w:trPr>
        <w:jc w:val="center"/>
      </w:trPr>
      <w:tc>
        <w:tcPr>
          <w:tcW w:w="2600" w:type="dxa"/>
          <w:tcMar>
            <w:top w:w="200" w:type="dxa"/>
          </w:tcMar>
          <w:vAlign w:val="center"/>
        </w:tcPr>
        <w:p w14:paraId="332DA850" w14:textId="77777777" w:rsidR="00054BF0" w:rsidRDefault="00054BF0"/>
      </w:tc>
      <w:tc>
        <w:tcPr>
          <w:tcW w:w="4880" w:type="dxa"/>
          <w:tcMar>
            <w:top w:w="200" w:type="dxa"/>
          </w:tcMar>
          <w:vAlign w:val="center"/>
        </w:tcPr>
        <w:p w14:paraId="799EDC5A"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5E7859FC" w14:textId="77777777" w:rsidR="00054BF0" w:rsidRDefault="00054BF0"/>
      </w:tc>
    </w:tr>
  </w:tbl>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6D780" w14:textId="77777777" w:rsidR="00054BF0" w:rsidRDefault="00000000">
    <w:pPr>
      <w:spacing w:before="200"/>
      <w:jc w:val="center"/>
    </w:pPr>
    <w:r>
      <w:rPr>
        <w:rFonts w:ascii="Arial" w:eastAsia="Arial" w:hAnsi="Arial" w:cs="Arial"/>
        <w:sz w:val="20"/>
      </w:rPr>
      <w:t xml:space="preserve"> </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073B9" w14:textId="77777777" w:rsidR="00054BF0" w:rsidRDefault="00054BF0"/>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7F33592" w14:textId="77777777">
      <w:trPr>
        <w:jc w:val="center"/>
      </w:trPr>
      <w:tc>
        <w:tcPr>
          <w:tcW w:w="2600" w:type="dxa"/>
          <w:tcMar>
            <w:top w:w="200" w:type="dxa"/>
          </w:tcMar>
          <w:vAlign w:val="center"/>
        </w:tcPr>
        <w:p w14:paraId="4A6F13F8" w14:textId="77777777" w:rsidR="00054BF0" w:rsidRDefault="00054BF0"/>
      </w:tc>
      <w:tc>
        <w:tcPr>
          <w:tcW w:w="4880" w:type="dxa"/>
          <w:tcMar>
            <w:top w:w="200" w:type="dxa"/>
          </w:tcMar>
          <w:vAlign w:val="center"/>
        </w:tcPr>
        <w:p w14:paraId="225DDE92"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63059D7" w14:textId="77777777" w:rsidR="00054BF0" w:rsidRDefault="00054BF0"/>
      </w:tc>
    </w:tr>
  </w:tbl>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502E" w14:textId="77777777" w:rsidR="00054BF0" w:rsidRDefault="00000000">
    <w:pPr>
      <w:spacing w:before="200"/>
      <w:jc w:val="center"/>
    </w:pPr>
    <w:r>
      <w:rPr>
        <w:rFonts w:ascii="Arial" w:eastAsia="Arial" w:hAnsi="Arial" w:cs="Arial"/>
        <w:sz w:val="20"/>
      </w:rPr>
      <w:t xml:space="preserve"> </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DCFDC" w14:textId="77777777" w:rsidR="00054BF0" w:rsidRDefault="00054BF0"/>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5746D8BD" w14:textId="77777777">
      <w:trPr>
        <w:jc w:val="center"/>
      </w:trPr>
      <w:tc>
        <w:tcPr>
          <w:tcW w:w="2600" w:type="dxa"/>
          <w:tcMar>
            <w:top w:w="200" w:type="dxa"/>
          </w:tcMar>
          <w:vAlign w:val="center"/>
        </w:tcPr>
        <w:p w14:paraId="4E68DAD1" w14:textId="77777777" w:rsidR="00054BF0" w:rsidRDefault="00054BF0"/>
      </w:tc>
      <w:tc>
        <w:tcPr>
          <w:tcW w:w="4880" w:type="dxa"/>
          <w:tcMar>
            <w:top w:w="200" w:type="dxa"/>
          </w:tcMar>
          <w:vAlign w:val="center"/>
        </w:tcPr>
        <w:p w14:paraId="279F6ACE"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29D12360" w14:textId="77777777" w:rsidR="00054BF0" w:rsidRDefault="00054BF0"/>
      </w:tc>
    </w:tr>
  </w:tbl>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10B44" w14:textId="77777777" w:rsidR="00054BF0" w:rsidRDefault="00000000">
    <w:pPr>
      <w:spacing w:before="200"/>
      <w:jc w:val="center"/>
    </w:pPr>
    <w:r>
      <w:rPr>
        <w:rFonts w:ascii="Arial" w:eastAsia="Arial" w:hAnsi="Arial" w:cs="Arial"/>
        <w:sz w:val="20"/>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A5AC4" w14:textId="77777777" w:rsidR="00054BF0" w:rsidRDefault="00054BF0"/>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D6939D6" w14:textId="77777777">
      <w:trPr>
        <w:jc w:val="center"/>
      </w:trPr>
      <w:tc>
        <w:tcPr>
          <w:tcW w:w="2600" w:type="dxa"/>
          <w:tcMar>
            <w:top w:w="200" w:type="dxa"/>
          </w:tcMar>
          <w:vAlign w:val="center"/>
        </w:tcPr>
        <w:p w14:paraId="271EB8DF" w14:textId="77777777" w:rsidR="00054BF0" w:rsidRDefault="00054BF0"/>
      </w:tc>
      <w:tc>
        <w:tcPr>
          <w:tcW w:w="4880" w:type="dxa"/>
          <w:tcMar>
            <w:top w:w="200" w:type="dxa"/>
          </w:tcMar>
          <w:vAlign w:val="center"/>
        </w:tcPr>
        <w:p w14:paraId="60A718E1"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5724FBA" w14:textId="77777777" w:rsidR="00054BF0" w:rsidRDefault="00054BF0"/>
      </w:tc>
    </w:tr>
  </w:tbl>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C315A" w14:textId="77777777" w:rsidR="00054BF0" w:rsidRDefault="00000000">
    <w:pPr>
      <w:spacing w:before="200"/>
      <w:jc w:val="center"/>
    </w:pPr>
    <w:r>
      <w:rPr>
        <w:rFonts w:ascii="Arial" w:eastAsia="Arial" w:hAnsi="Arial" w:cs="Arial"/>
        <w:sz w:val="20"/>
      </w:rPr>
      <w:t xml:space="preserve"> </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859A2" w14:textId="77777777" w:rsidR="00054BF0" w:rsidRDefault="00054BF0"/>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24743D3C" w14:textId="77777777">
      <w:trPr>
        <w:jc w:val="center"/>
      </w:trPr>
      <w:tc>
        <w:tcPr>
          <w:tcW w:w="2600" w:type="dxa"/>
          <w:tcMar>
            <w:top w:w="200" w:type="dxa"/>
          </w:tcMar>
          <w:vAlign w:val="center"/>
        </w:tcPr>
        <w:p w14:paraId="625129C9" w14:textId="77777777" w:rsidR="00054BF0" w:rsidRDefault="00054BF0"/>
      </w:tc>
      <w:tc>
        <w:tcPr>
          <w:tcW w:w="4880" w:type="dxa"/>
          <w:tcMar>
            <w:top w:w="200" w:type="dxa"/>
          </w:tcMar>
          <w:vAlign w:val="center"/>
        </w:tcPr>
        <w:p w14:paraId="5EBCDC0F"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E5315B3" w14:textId="77777777" w:rsidR="00054BF0" w:rsidRDefault="00054BF0"/>
      </w:tc>
    </w:tr>
  </w:tbl>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6F05" w14:textId="77777777" w:rsidR="00054BF0" w:rsidRDefault="00000000">
    <w:pPr>
      <w:spacing w:before="200"/>
      <w:jc w:val="center"/>
    </w:pPr>
    <w:r>
      <w:rPr>
        <w:rFonts w:ascii="Arial" w:eastAsia="Arial" w:hAnsi="Arial" w:cs="Arial"/>
        <w:sz w:val="20"/>
      </w:rPr>
      <w:t xml:space="preserve"> </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0654D" w14:textId="77777777" w:rsidR="00054BF0" w:rsidRDefault="00054BF0"/>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54E667CF" w14:textId="77777777">
      <w:trPr>
        <w:jc w:val="center"/>
      </w:trPr>
      <w:tc>
        <w:tcPr>
          <w:tcW w:w="2600" w:type="dxa"/>
          <w:tcMar>
            <w:top w:w="200" w:type="dxa"/>
          </w:tcMar>
          <w:vAlign w:val="center"/>
        </w:tcPr>
        <w:p w14:paraId="12C2EF94" w14:textId="77777777" w:rsidR="00054BF0" w:rsidRDefault="00054BF0"/>
      </w:tc>
      <w:tc>
        <w:tcPr>
          <w:tcW w:w="4880" w:type="dxa"/>
          <w:tcMar>
            <w:top w:w="200" w:type="dxa"/>
          </w:tcMar>
          <w:vAlign w:val="center"/>
        </w:tcPr>
        <w:p w14:paraId="5B6DBF08"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1C466D93" w14:textId="77777777" w:rsidR="00054BF0" w:rsidRDefault="00054BF0"/>
      </w:tc>
    </w:tr>
  </w:tbl>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188C" w14:textId="77777777" w:rsidR="00054BF0" w:rsidRDefault="00000000">
    <w:pPr>
      <w:spacing w:before="200"/>
      <w:jc w:val="center"/>
    </w:pPr>
    <w:r>
      <w:rPr>
        <w:rFonts w:ascii="Arial" w:eastAsia="Arial" w:hAnsi="Arial" w:cs="Arial"/>
        <w:sz w:val="20"/>
      </w:rPr>
      <w:t xml:space="preserve"> </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9EDF" w14:textId="77777777" w:rsidR="00054BF0" w:rsidRDefault="00054BF0"/>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1A15693C" w14:textId="77777777">
      <w:trPr>
        <w:jc w:val="center"/>
      </w:trPr>
      <w:tc>
        <w:tcPr>
          <w:tcW w:w="2600" w:type="dxa"/>
          <w:tcMar>
            <w:top w:w="200" w:type="dxa"/>
          </w:tcMar>
          <w:vAlign w:val="center"/>
        </w:tcPr>
        <w:p w14:paraId="086F1FD5" w14:textId="77777777" w:rsidR="00054BF0" w:rsidRDefault="00054BF0"/>
      </w:tc>
      <w:tc>
        <w:tcPr>
          <w:tcW w:w="4880" w:type="dxa"/>
          <w:tcMar>
            <w:top w:w="200" w:type="dxa"/>
          </w:tcMar>
          <w:vAlign w:val="center"/>
        </w:tcPr>
        <w:p w14:paraId="2A24E9CC"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652A1285" w14:textId="77777777" w:rsidR="00054BF0" w:rsidRDefault="00054BF0"/>
      </w:tc>
    </w:tr>
  </w:tbl>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9702" w14:textId="77777777" w:rsidR="00054BF0" w:rsidRDefault="00000000">
    <w:pPr>
      <w:spacing w:before="200"/>
      <w:jc w:val="center"/>
    </w:pPr>
    <w:r>
      <w:rPr>
        <w:rFonts w:ascii="Arial" w:eastAsia="Arial" w:hAnsi="Arial" w:cs="Arial"/>
        <w:sz w:val="20"/>
      </w:rPr>
      <w:t xml:space="preserve"> </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68C7F" w14:textId="77777777" w:rsidR="00054BF0" w:rsidRDefault="00054BF0"/>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6EC64280" w14:textId="77777777">
      <w:trPr>
        <w:jc w:val="center"/>
      </w:trPr>
      <w:tc>
        <w:tcPr>
          <w:tcW w:w="2600" w:type="dxa"/>
          <w:tcMar>
            <w:top w:w="200" w:type="dxa"/>
          </w:tcMar>
          <w:vAlign w:val="center"/>
        </w:tcPr>
        <w:p w14:paraId="057BC2D3" w14:textId="77777777" w:rsidR="00054BF0" w:rsidRDefault="00054BF0"/>
      </w:tc>
      <w:tc>
        <w:tcPr>
          <w:tcW w:w="4880" w:type="dxa"/>
          <w:tcMar>
            <w:top w:w="200" w:type="dxa"/>
          </w:tcMar>
          <w:vAlign w:val="center"/>
        </w:tcPr>
        <w:p w14:paraId="77EDDAD0"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7AF0464F" w14:textId="77777777" w:rsidR="00054BF0" w:rsidRDefault="00054BF0"/>
      </w:tc>
    </w:tr>
  </w:tbl>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34E93" w14:textId="77777777" w:rsidR="00054BF0" w:rsidRDefault="00000000">
    <w:pPr>
      <w:spacing w:before="200"/>
      <w:jc w:val="center"/>
    </w:pPr>
    <w:r>
      <w:rPr>
        <w:rFonts w:ascii="Arial" w:eastAsia="Arial" w:hAnsi="Arial" w:cs="Arial"/>
        <w:sz w:val="20"/>
      </w:rPr>
      <w:t xml:space="preserve"> </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EA9CA" w14:textId="77777777" w:rsidR="00054BF0" w:rsidRDefault="00054BF0"/>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06B980E3" w14:textId="77777777">
      <w:trPr>
        <w:jc w:val="center"/>
      </w:trPr>
      <w:tc>
        <w:tcPr>
          <w:tcW w:w="2600" w:type="dxa"/>
          <w:tcMar>
            <w:top w:w="200" w:type="dxa"/>
          </w:tcMar>
          <w:vAlign w:val="center"/>
        </w:tcPr>
        <w:p w14:paraId="00F3A7B9" w14:textId="77777777" w:rsidR="00054BF0" w:rsidRDefault="00054BF0"/>
      </w:tc>
      <w:tc>
        <w:tcPr>
          <w:tcW w:w="4880" w:type="dxa"/>
          <w:tcMar>
            <w:top w:w="200" w:type="dxa"/>
          </w:tcMar>
          <w:vAlign w:val="center"/>
        </w:tcPr>
        <w:p w14:paraId="1E7612D1"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32BC8EA8" w14:textId="77777777" w:rsidR="00054BF0" w:rsidRDefault="00054BF0"/>
      </w:tc>
    </w:tr>
  </w:tbl>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E171" w14:textId="77777777" w:rsidR="00054BF0" w:rsidRDefault="00000000">
    <w:pPr>
      <w:spacing w:before="200"/>
      <w:jc w:val="center"/>
    </w:pPr>
    <w:r>
      <w:rPr>
        <w:rFonts w:ascii="Arial" w:eastAsia="Arial" w:hAnsi="Arial" w:cs="Arial"/>
        <w:sz w:val="20"/>
      </w:rPr>
      <w:t xml:space="preserve"> </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688C2" w14:textId="77777777" w:rsidR="00054BF0" w:rsidRDefault="00054BF0"/>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8F475AD" w14:textId="77777777">
      <w:trPr>
        <w:jc w:val="center"/>
      </w:trPr>
      <w:tc>
        <w:tcPr>
          <w:tcW w:w="2600" w:type="dxa"/>
          <w:tcMar>
            <w:top w:w="200" w:type="dxa"/>
          </w:tcMar>
          <w:vAlign w:val="center"/>
        </w:tcPr>
        <w:p w14:paraId="33AE4762" w14:textId="77777777" w:rsidR="00054BF0" w:rsidRDefault="00054BF0"/>
      </w:tc>
      <w:tc>
        <w:tcPr>
          <w:tcW w:w="4880" w:type="dxa"/>
          <w:tcMar>
            <w:top w:w="200" w:type="dxa"/>
          </w:tcMar>
          <w:vAlign w:val="center"/>
        </w:tcPr>
        <w:p w14:paraId="3FF5387F"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3D852BF7" w14:textId="77777777" w:rsidR="00054BF0" w:rsidRDefault="00054BF0"/>
      </w:tc>
    </w:tr>
  </w:tbl>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59F3" w14:textId="77777777" w:rsidR="00054BF0" w:rsidRDefault="00000000">
    <w:pPr>
      <w:spacing w:before="200"/>
      <w:jc w:val="center"/>
    </w:pPr>
    <w:r>
      <w:rPr>
        <w:rFonts w:ascii="Arial" w:eastAsia="Arial" w:hAnsi="Arial" w:cs="Arial"/>
        <w:sz w:val="20"/>
      </w:rPr>
      <w:t xml:space="preserve"> </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50459" w14:textId="77777777" w:rsidR="00054BF0" w:rsidRDefault="00054BF0"/>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312E80E8" w14:textId="77777777">
      <w:trPr>
        <w:jc w:val="center"/>
      </w:trPr>
      <w:tc>
        <w:tcPr>
          <w:tcW w:w="2600" w:type="dxa"/>
          <w:tcMar>
            <w:top w:w="200" w:type="dxa"/>
          </w:tcMar>
          <w:vAlign w:val="center"/>
        </w:tcPr>
        <w:p w14:paraId="7FEE6A75" w14:textId="77777777" w:rsidR="00054BF0" w:rsidRDefault="00054BF0"/>
      </w:tc>
      <w:tc>
        <w:tcPr>
          <w:tcW w:w="4880" w:type="dxa"/>
          <w:tcMar>
            <w:top w:w="200" w:type="dxa"/>
          </w:tcMar>
          <w:vAlign w:val="center"/>
        </w:tcPr>
        <w:p w14:paraId="7876FC3E"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7B7CC8A" w14:textId="77777777" w:rsidR="00054BF0" w:rsidRDefault="00054BF0"/>
      </w:tc>
    </w:tr>
  </w:tbl>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A34B" w14:textId="77777777" w:rsidR="00054BF0" w:rsidRDefault="00000000">
    <w:pPr>
      <w:spacing w:before="200"/>
      <w:jc w:val="center"/>
    </w:pPr>
    <w:r>
      <w:rPr>
        <w:rFonts w:ascii="Arial" w:eastAsia="Arial" w:hAnsi="Arial" w:cs="Arial"/>
        <w:sz w:val="20"/>
      </w:rPr>
      <w:t xml:space="preserve"> </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9DBF5" w14:textId="77777777" w:rsidR="00054BF0" w:rsidRDefault="00054BF0"/>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6305AA77" w14:textId="77777777">
      <w:trPr>
        <w:jc w:val="center"/>
      </w:trPr>
      <w:tc>
        <w:tcPr>
          <w:tcW w:w="2600" w:type="dxa"/>
          <w:tcMar>
            <w:top w:w="200" w:type="dxa"/>
          </w:tcMar>
          <w:vAlign w:val="center"/>
        </w:tcPr>
        <w:p w14:paraId="3E99E1F5" w14:textId="77777777" w:rsidR="00054BF0" w:rsidRDefault="00054BF0"/>
      </w:tc>
      <w:tc>
        <w:tcPr>
          <w:tcW w:w="4880" w:type="dxa"/>
          <w:tcMar>
            <w:top w:w="200" w:type="dxa"/>
          </w:tcMar>
          <w:vAlign w:val="center"/>
        </w:tcPr>
        <w:p w14:paraId="307E490C"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77C5316A" w14:textId="77777777" w:rsidR="00054BF0" w:rsidRDefault="00054BF0"/>
      </w:tc>
    </w:tr>
  </w:tbl>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68A8" w14:textId="77777777" w:rsidR="00054BF0" w:rsidRDefault="00000000">
    <w:pPr>
      <w:spacing w:before="200"/>
      <w:jc w:val="center"/>
    </w:pPr>
    <w:r>
      <w:rPr>
        <w:rFonts w:ascii="Arial" w:eastAsia="Arial" w:hAnsi="Arial" w:cs="Arial"/>
        <w:sz w:val="20"/>
      </w:rPr>
      <w:t xml:space="preserve"> </w: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173B6" w14:textId="77777777" w:rsidR="00054BF0" w:rsidRDefault="00054BF0"/>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45DA0E50" w14:textId="77777777">
      <w:trPr>
        <w:jc w:val="center"/>
      </w:trPr>
      <w:tc>
        <w:tcPr>
          <w:tcW w:w="2600" w:type="dxa"/>
          <w:tcMar>
            <w:top w:w="200" w:type="dxa"/>
          </w:tcMar>
          <w:vAlign w:val="center"/>
        </w:tcPr>
        <w:p w14:paraId="78748BC1" w14:textId="77777777" w:rsidR="00054BF0" w:rsidRDefault="00054BF0"/>
      </w:tc>
      <w:tc>
        <w:tcPr>
          <w:tcW w:w="4880" w:type="dxa"/>
          <w:tcMar>
            <w:top w:w="200" w:type="dxa"/>
          </w:tcMar>
          <w:vAlign w:val="center"/>
        </w:tcPr>
        <w:p w14:paraId="2A225810"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299157D" w14:textId="77777777" w:rsidR="00054BF0" w:rsidRDefault="00054BF0"/>
      </w:tc>
    </w:tr>
  </w:tbl>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EEDB5" w14:textId="77777777" w:rsidR="00054BF0" w:rsidRDefault="00000000">
    <w:pPr>
      <w:spacing w:before="200"/>
      <w:jc w:val="center"/>
    </w:pPr>
    <w:r>
      <w:rPr>
        <w:rFonts w:ascii="Arial" w:eastAsia="Arial" w:hAnsi="Arial" w:cs="Arial"/>
        <w:sz w:val="20"/>
      </w:rPr>
      <w:t xml:space="preserve"> </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869B" w14:textId="77777777" w:rsidR="00054BF0" w:rsidRDefault="00054BF0"/>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255C0BC8" w14:textId="77777777">
      <w:trPr>
        <w:jc w:val="center"/>
      </w:trPr>
      <w:tc>
        <w:tcPr>
          <w:tcW w:w="2600" w:type="dxa"/>
          <w:tcMar>
            <w:top w:w="200" w:type="dxa"/>
          </w:tcMar>
          <w:vAlign w:val="center"/>
        </w:tcPr>
        <w:p w14:paraId="40341749" w14:textId="77777777" w:rsidR="00054BF0" w:rsidRDefault="00054BF0"/>
      </w:tc>
      <w:tc>
        <w:tcPr>
          <w:tcW w:w="4880" w:type="dxa"/>
          <w:tcMar>
            <w:top w:w="200" w:type="dxa"/>
          </w:tcMar>
          <w:vAlign w:val="center"/>
        </w:tcPr>
        <w:p w14:paraId="296E2596"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1A4ABB6" w14:textId="77777777" w:rsidR="00054BF0" w:rsidRDefault="00054BF0"/>
      </w:tc>
    </w:tr>
  </w:tbl>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0BCF9" w14:textId="77777777" w:rsidR="00054BF0" w:rsidRDefault="00000000">
    <w:pPr>
      <w:spacing w:before="200"/>
      <w:jc w:val="center"/>
    </w:pPr>
    <w:r>
      <w:rPr>
        <w:rFonts w:ascii="Arial" w:eastAsia="Arial" w:hAnsi="Arial" w:cs="Arial"/>
        <w:sz w:val="20"/>
      </w:rPr>
      <w:t xml:space="preserve"> </w: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F3E37" w14:textId="77777777" w:rsidR="00054BF0" w:rsidRDefault="00054BF0"/>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76A1F0B0" w14:textId="77777777">
      <w:trPr>
        <w:jc w:val="center"/>
      </w:trPr>
      <w:tc>
        <w:tcPr>
          <w:tcW w:w="2600" w:type="dxa"/>
          <w:tcMar>
            <w:top w:w="200" w:type="dxa"/>
          </w:tcMar>
          <w:vAlign w:val="center"/>
        </w:tcPr>
        <w:p w14:paraId="2A3A89CC" w14:textId="77777777" w:rsidR="00054BF0" w:rsidRDefault="00054BF0"/>
      </w:tc>
      <w:tc>
        <w:tcPr>
          <w:tcW w:w="4880" w:type="dxa"/>
          <w:tcMar>
            <w:top w:w="200" w:type="dxa"/>
          </w:tcMar>
          <w:vAlign w:val="center"/>
        </w:tcPr>
        <w:p w14:paraId="22C51F1E"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7F478ABA" w14:textId="77777777" w:rsidR="00054BF0" w:rsidRDefault="00054BF0"/>
      </w:tc>
    </w:tr>
  </w:tbl>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1554F" w14:textId="77777777" w:rsidR="00054BF0" w:rsidRDefault="00000000">
    <w:pPr>
      <w:spacing w:before="200"/>
      <w:jc w:val="center"/>
    </w:pPr>
    <w:r>
      <w:rPr>
        <w:rFonts w:ascii="Arial" w:eastAsia="Arial" w:hAnsi="Arial" w:cs="Arial"/>
        <w:sz w:val="20"/>
      </w:rPr>
      <w:t xml:space="preserve"> </w: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29611" w14:textId="77777777" w:rsidR="00054BF0" w:rsidRDefault="00054BF0"/>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54BF0" w14:paraId="179D5551" w14:textId="77777777">
      <w:trPr>
        <w:jc w:val="center"/>
      </w:trPr>
      <w:tc>
        <w:tcPr>
          <w:tcW w:w="2600" w:type="dxa"/>
          <w:tcMar>
            <w:top w:w="200" w:type="dxa"/>
          </w:tcMar>
          <w:vAlign w:val="center"/>
        </w:tcPr>
        <w:p w14:paraId="73A4C4B3" w14:textId="77777777" w:rsidR="00054BF0" w:rsidRDefault="00054BF0"/>
      </w:tc>
      <w:tc>
        <w:tcPr>
          <w:tcW w:w="4880" w:type="dxa"/>
          <w:tcMar>
            <w:top w:w="200" w:type="dxa"/>
          </w:tcMar>
          <w:vAlign w:val="center"/>
        </w:tcPr>
        <w:p w14:paraId="131AFED7" w14:textId="77777777" w:rsidR="00054BF0" w:rsidRDefault="00000000">
          <w:pPr>
            <w:jc w:val="center"/>
          </w:pPr>
          <w:r>
            <w:rPr>
              <w:rFonts w:ascii="Arial" w:eastAsia="Arial" w:hAnsi="Arial" w:cs="Arial"/>
              <w:sz w:val="20"/>
            </w:rPr>
            <w:t xml:space="preserve"> </w:t>
          </w:r>
        </w:p>
      </w:tc>
      <w:tc>
        <w:tcPr>
          <w:tcW w:w="2600" w:type="dxa"/>
          <w:tcMar>
            <w:top w:w="200" w:type="dxa"/>
          </w:tcMar>
          <w:vAlign w:val="center"/>
        </w:tcPr>
        <w:p w14:paraId="0DAF42AB" w14:textId="77777777" w:rsidR="00054BF0" w:rsidRDefault="00054BF0"/>
      </w:tc>
    </w:tr>
  </w:tbl>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DE9E" w14:textId="77777777" w:rsidR="00054BF0"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E5905" w14:textId="77777777" w:rsidR="007C1AE5" w:rsidRDefault="007C1AE5">
      <w:r>
        <w:separator/>
      </w:r>
    </w:p>
  </w:footnote>
  <w:footnote w:type="continuationSeparator" w:id="0">
    <w:p w14:paraId="65758B68" w14:textId="77777777" w:rsidR="007C1AE5" w:rsidRDefault="007C1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DF12E" w14:textId="77777777" w:rsidR="00054BF0" w:rsidRDefault="00054B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07BA500" w14:textId="77777777">
      <w:trPr>
        <w:jc w:val="center"/>
      </w:trPr>
      <w:tc>
        <w:tcPr>
          <w:tcW w:w="10080" w:type="dxa"/>
          <w:vAlign w:val="center"/>
        </w:tcPr>
        <w:p w14:paraId="3E4BE421" w14:textId="08A74D25"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13</w:t>
          </w:r>
          <w:r>
            <w:rPr>
              <w:rFonts w:ascii="Arial" w:eastAsia="Arial" w:hAnsi="Arial" w:cs="Arial"/>
              <w:sz w:val="20"/>
            </w:rPr>
            <w:fldChar w:fldCharType="end"/>
          </w:r>
        </w:p>
      </w:tc>
    </w:tr>
    <w:tr w:rsidR="00054BF0" w14:paraId="180B18C9" w14:textId="77777777">
      <w:trPr>
        <w:jc w:val="center"/>
      </w:trPr>
      <w:tc>
        <w:tcPr>
          <w:tcW w:w="10080" w:type="dxa"/>
        </w:tcPr>
        <w:p w14:paraId="2275B0C4" w14:textId="77777777" w:rsidR="00054BF0" w:rsidRDefault="00000000">
          <w:pPr>
            <w:spacing w:before="60" w:after="200"/>
            <w:jc w:val="center"/>
          </w:pPr>
          <w:r>
            <w:rPr>
              <w:rFonts w:ascii="Arial" w:eastAsia="Arial" w:hAnsi="Arial" w:cs="Arial"/>
              <w:sz w:val="20"/>
            </w:rPr>
            <w:t>03/03 Links Pt2: Meet the brilliant barrister battling lies about Israel; Filmmaker Steven Spielberg Says Global Antisemitism is 'Standing Proud,' 'No Longer Lu....</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BDEC" w14:textId="77777777" w:rsidR="00054BF0" w:rsidRDefault="00054BF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95BB0" w14:textId="77777777" w:rsidR="00054BF0" w:rsidRDefault="00054BF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AFB465A" w14:textId="77777777">
      <w:trPr>
        <w:jc w:val="center"/>
      </w:trPr>
      <w:tc>
        <w:tcPr>
          <w:tcW w:w="10080" w:type="dxa"/>
          <w:vAlign w:val="center"/>
        </w:tcPr>
        <w:p w14:paraId="59D0D153" w14:textId="6B21828C"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25</w:t>
          </w:r>
          <w:r>
            <w:rPr>
              <w:rFonts w:ascii="Arial" w:eastAsia="Arial" w:hAnsi="Arial" w:cs="Arial"/>
              <w:sz w:val="20"/>
            </w:rPr>
            <w:fldChar w:fldCharType="end"/>
          </w:r>
        </w:p>
      </w:tc>
    </w:tr>
    <w:tr w:rsidR="00054BF0" w14:paraId="68910BE3" w14:textId="77777777">
      <w:trPr>
        <w:jc w:val="center"/>
      </w:trPr>
      <w:tc>
        <w:tcPr>
          <w:tcW w:w="10080" w:type="dxa"/>
        </w:tcPr>
        <w:p w14:paraId="54C6C56F" w14:textId="77777777" w:rsidR="00054BF0" w:rsidRDefault="00000000">
          <w:pPr>
            <w:spacing w:before="60" w:after="200"/>
            <w:jc w:val="center"/>
          </w:pPr>
          <w:r>
            <w:rPr>
              <w:rFonts w:ascii="Arial" w:eastAsia="Arial" w:hAnsi="Arial" w:cs="Arial"/>
              <w:sz w:val="20"/>
            </w:rPr>
            <w:t>Smoking Relapse Less Likely Among Vapers: Study</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81E1A" w14:textId="77777777" w:rsidR="00054BF0" w:rsidRDefault="00054BF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E4FD9" w14:textId="77777777" w:rsidR="00054BF0" w:rsidRDefault="00054BF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10A53DC5" w14:textId="77777777">
      <w:trPr>
        <w:jc w:val="center"/>
      </w:trPr>
      <w:tc>
        <w:tcPr>
          <w:tcW w:w="10080" w:type="dxa"/>
          <w:vAlign w:val="center"/>
        </w:tcPr>
        <w:p w14:paraId="47A7EFBF"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50CC2FBA" w14:textId="77777777">
      <w:trPr>
        <w:jc w:val="center"/>
      </w:trPr>
      <w:tc>
        <w:tcPr>
          <w:tcW w:w="10080" w:type="dxa"/>
        </w:tcPr>
        <w:p w14:paraId="2E3F632B" w14:textId="77777777" w:rsidR="00054BF0" w:rsidRDefault="00000000">
          <w:pPr>
            <w:spacing w:before="60" w:after="200"/>
            <w:jc w:val="center"/>
          </w:pPr>
          <w:r>
            <w:rPr>
              <w:rFonts w:ascii="Arial" w:eastAsia="Arial" w:hAnsi="Arial" w:cs="Arial"/>
              <w:sz w:val="20"/>
            </w:rPr>
            <w:t>Buzz is back at Gandhi Bhavan</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D2970" w14:textId="77777777" w:rsidR="00054BF0" w:rsidRDefault="00054BF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8E538" w14:textId="77777777" w:rsidR="00054BF0" w:rsidRDefault="00054BF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584FDD3E" w14:textId="77777777">
      <w:trPr>
        <w:jc w:val="center"/>
      </w:trPr>
      <w:tc>
        <w:tcPr>
          <w:tcW w:w="10080" w:type="dxa"/>
          <w:vAlign w:val="center"/>
        </w:tcPr>
        <w:p w14:paraId="08FC7637" w14:textId="55270FB5"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28</w:t>
          </w:r>
          <w:r>
            <w:rPr>
              <w:rFonts w:ascii="Arial" w:eastAsia="Arial" w:hAnsi="Arial" w:cs="Arial"/>
              <w:sz w:val="20"/>
            </w:rPr>
            <w:fldChar w:fldCharType="end"/>
          </w:r>
        </w:p>
      </w:tc>
    </w:tr>
    <w:tr w:rsidR="00054BF0" w14:paraId="6C8EEC9E" w14:textId="77777777">
      <w:trPr>
        <w:jc w:val="center"/>
      </w:trPr>
      <w:tc>
        <w:tcPr>
          <w:tcW w:w="10080" w:type="dxa"/>
        </w:tcPr>
        <w:p w14:paraId="0AE77562" w14:textId="77777777" w:rsidR="00054BF0" w:rsidRDefault="00000000">
          <w:pPr>
            <w:spacing w:before="60" w:after="200"/>
            <w:jc w:val="center"/>
          </w:pPr>
          <w:r>
            <w:rPr>
              <w:rFonts w:ascii="Arial" w:eastAsia="Arial" w:hAnsi="Arial" w:cs="Arial"/>
              <w:sz w:val="20"/>
            </w:rPr>
            <w:t>Scaling Up Industrial IoT Deployments - Challenges, Issues and Solutions</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D7828" w14:textId="77777777" w:rsidR="00054BF0" w:rsidRDefault="00054BF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0B05" w14:textId="77777777" w:rsidR="00054BF0" w:rsidRDefault="00054BF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4565395D" w14:textId="77777777">
      <w:trPr>
        <w:jc w:val="center"/>
      </w:trPr>
      <w:tc>
        <w:tcPr>
          <w:tcW w:w="10080" w:type="dxa"/>
          <w:vAlign w:val="center"/>
        </w:tcPr>
        <w:p w14:paraId="61C10838" w14:textId="498DDE34"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31</w:t>
          </w:r>
          <w:r>
            <w:rPr>
              <w:rFonts w:ascii="Arial" w:eastAsia="Arial" w:hAnsi="Arial" w:cs="Arial"/>
              <w:sz w:val="20"/>
            </w:rPr>
            <w:fldChar w:fldCharType="end"/>
          </w:r>
        </w:p>
      </w:tc>
    </w:tr>
    <w:tr w:rsidR="00054BF0" w14:paraId="2DEB1ECA" w14:textId="77777777">
      <w:trPr>
        <w:jc w:val="center"/>
      </w:trPr>
      <w:tc>
        <w:tcPr>
          <w:tcW w:w="10080" w:type="dxa"/>
        </w:tcPr>
        <w:p w14:paraId="575689A3" w14:textId="77777777" w:rsidR="00054BF0" w:rsidRDefault="00000000">
          <w:pPr>
            <w:spacing w:before="60" w:after="200"/>
            <w:jc w:val="center"/>
          </w:pPr>
          <w:r>
            <w:rPr>
              <w:rFonts w:ascii="Arial" w:eastAsia="Arial" w:hAnsi="Arial" w:cs="Arial"/>
              <w:sz w:val="20"/>
            </w:rPr>
            <w:t>Creativity habits, influences, journeys: Tips and stories from the authors at Bangalore Business LitFest 2021</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536B" w14:textId="77777777" w:rsidR="00054BF0" w:rsidRDefault="00054BF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5760D" w14:textId="77777777" w:rsidR="00054BF0" w:rsidRDefault="00054BF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32BC9EE" w14:textId="77777777">
      <w:trPr>
        <w:jc w:val="center"/>
      </w:trPr>
      <w:tc>
        <w:tcPr>
          <w:tcW w:w="10080" w:type="dxa"/>
          <w:vAlign w:val="center"/>
        </w:tcPr>
        <w:p w14:paraId="2BDE1DD9" w14:textId="1FB18BF9"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36</w:t>
          </w:r>
          <w:r>
            <w:rPr>
              <w:rFonts w:ascii="Arial" w:eastAsia="Arial" w:hAnsi="Arial" w:cs="Arial"/>
              <w:sz w:val="20"/>
            </w:rPr>
            <w:fldChar w:fldCharType="end"/>
          </w:r>
        </w:p>
      </w:tc>
    </w:tr>
    <w:tr w:rsidR="00054BF0" w14:paraId="6F793854" w14:textId="77777777">
      <w:trPr>
        <w:jc w:val="center"/>
      </w:trPr>
      <w:tc>
        <w:tcPr>
          <w:tcW w:w="10080" w:type="dxa"/>
        </w:tcPr>
        <w:p w14:paraId="41EE5680" w14:textId="77777777" w:rsidR="00054BF0" w:rsidRDefault="00000000">
          <w:pPr>
            <w:spacing w:before="60" w:after="200"/>
            <w:jc w:val="center"/>
          </w:pPr>
          <w:r>
            <w:rPr>
              <w:rFonts w:ascii="Arial" w:eastAsia="Arial" w:hAnsi="Arial" w:cs="Arial"/>
              <w:sz w:val="20"/>
            </w:rPr>
            <w:t>A Framework for Increasing Competition and Diffusion in Artificial Intelligence</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4A5C6" w14:textId="77777777" w:rsidR="00054BF0" w:rsidRDefault="00054BF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CB62" w14:textId="77777777" w:rsidR="00054BF0" w:rsidRDefault="00054BF0"/>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7F2F5A91" w14:textId="77777777">
      <w:trPr>
        <w:jc w:val="center"/>
      </w:trPr>
      <w:tc>
        <w:tcPr>
          <w:tcW w:w="10080" w:type="dxa"/>
          <w:vAlign w:val="center"/>
        </w:tcPr>
        <w:p w14:paraId="4A321A7F" w14:textId="15374C76"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41</w:t>
          </w:r>
          <w:r>
            <w:rPr>
              <w:rFonts w:ascii="Arial" w:eastAsia="Arial" w:hAnsi="Arial" w:cs="Arial"/>
              <w:sz w:val="20"/>
            </w:rPr>
            <w:fldChar w:fldCharType="end"/>
          </w:r>
        </w:p>
      </w:tc>
    </w:tr>
    <w:tr w:rsidR="00054BF0" w14:paraId="14B774B2" w14:textId="77777777">
      <w:trPr>
        <w:jc w:val="center"/>
      </w:trPr>
      <w:tc>
        <w:tcPr>
          <w:tcW w:w="10080" w:type="dxa"/>
        </w:tcPr>
        <w:p w14:paraId="56B2641C" w14:textId="77777777" w:rsidR="00054BF0" w:rsidRDefault="00000000">
          <w:pPr>
            <w:spacing w:before="60" w:after="200"/>
            <w:jc w:val="center"/>
          </w:pPr>
          <w:r>
            <w:rPr>
              <w:rFonts w:ascii="Arial" w:eastAsia="Arial" w:hAnsi="Arial" w:cs="Arial"/>
              <w:sz w:val="20"/>
            </w:rPr>
            <w:t>These founders took the road less travelled to reap rewards</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3715B" w14:textId="77777777" w:rsidR="00054BF0" w:rsidRDefault="00054BF0"/>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65422" w14:textId="77777777" w:rsidR="00054BF0" w:rsidRDefault="00054BF0"/>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5329C081" w14:textId="77777777">
      <w:trPr>
        <w:jc w:val="center"/>
      </w:trPr>
      <w:tc>
        <w:tcPr>
          <w:tcW w:w="10080" w:type="dxa"/>
          <w:vAlign w:val="center"/>
        </w:tcPr>
        <w:p w14:paraId="7E63BBD4" w14:textId="04D6C37B"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43</w:t>
          </w:r>
          <w:r>
            <w:rPr>
              <w:rFonts w:ascii="Arial" w:eastAsia="Arial" w:hAnsi="Arial" w:cs="Arial"/>
              <w:sz w:val="20"/>
            </w:rPr>
            <w:fldChar w:fldCharType="end"/>
          </w:r>
        </w:p>
      </w:tc>
    </w:tr>
    <w:tr w:rsidR="00054BF0" w14:paraId="1E871AC9" w14:textId="77777777">
      <w:trPr>
        <w:jc w:val="center"/>
      </w:trPr>
      <w:tc>
        <w:tcPr>
          <w:tcW w:w="10080" w:type="dxa"/>
        </w:tcPr>
        <w:p w14:paraId="03CB04E3" w14:textId="77777777" w:rsidR="00054BF0" w:rsidRDefault="00000000">
          <w:pPr>
            <w:spacing w:before="60" w:after="200"/>
            <w:jc w:val="center"/>
          </w:pPr>
          <w:r>
            <w:rPr>
              <w:rFonts w:ascii="Arial" w:eastAsia="Arial" w:hAnsi="Arial" w:cs="Arial"/>
              <w:sz w:val="20"/>
            </w:rPr>
            <w:t>Rivian founder and CEO RJ Scaringe is coming to TechCrunch Disrupt this October</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3B65" w14:textId="77777777" w:rsidR="00054BF0" w:rsidRDefault="00054BF0"/>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31C0" w14:textId="77777777" w:rsidR="00054BF0" w:rsidRDefault="00054BF0"/>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830A7F6" w14:textId="77777777">
      <w:trPr>
        <w:jc w:val="center"/>
      </w:trPr>
      <w:tc>
        <w:tcPr>
          <w:tcW w:w="10080" w:type="dxa"/>
          <w:vAlign w:val="center"/>
        </w:tcPr>
        <w:p w14:paraId="4F90FC6C" w14:textId="6B4993F8"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45</w:t>
          </w:r>
          <w:r>
            <w:rPr>
              <w:rFonts w:ascii="Arial" w:eastAsia="Arial" w:hAnsi="Arial" w:cs="Arial"/>
              <w:sz w:val="20"/>
            </w:rPr>
            <w:fldChar w:fldCharType="end"/>
          </w:r>
        </w:p>
      </w:tc>
    </w:tr>
    <w:tr w:rsidR="00054BF0" w14:paraId="4785DC3D" w14:textId="77777777">
      <w:trPr>
        <w:jc w:val="center"/>
      </w:trPr>
      <w:tc>
        <w:tcPr>
          <w:tcW w:w="10080" w:type="dxa"/>
        </w:tcPr>
        <w:p w14:paraId="4DA82AFC" w14:textId="77777777" w:rsidR="00054BF0" w:rsidRDefault="00000000">
          <w:pPr>
            <w:spacing w:before="60" w:after="200"/>
            <w:jc w:val="center"/>
          </w:pPr>
          <w:r>
            <w:rPr>
              <w:rFonts w:ascii="Arial" w:eastAsia="Arial" w:hAnsi="Arial" w:cs="Arial"/>
              <w:sz w:val="20"/>
            </w:rPr>
            <w:t>How one Pakistani techie helped build a $20 million</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56434" w14:textId="77777777" w:rsidR="00054BF0" w:rsidRDefault="00054BF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B3827" w14:textId="77777777" w:rsidR="00054BF0" w:rsidRDefault="00054BF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296CFD1A" w14:textId="77777777">
      <w:trPr>
        <w:jc w:val="center"/>
      </w:trPr>
      <w:tc>
        <w:tcPr>
          <w:tcW w:w="10080" w:type="dxa"/>
          <w:vAlign w:val="center"/>
        </w:tcPr>
        <w:p w14:paraId="37F76867" w14:textId="29ADC439"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49</w:t>
          </w:r>
          <w:r>
            <w:rPr>
              <w:rFonts w:ascii="Arial" w:eastAsia="Arial" w:hAnsi="Arial" w:cs="Arial"/>
              <w:sz w:val="20"/>
            </w:rPr>
            <w:fldChar w:fldCharType="end"/>
          </w:r>
        </w:p>
      </w:tc>
    </w:tr>
    <w:tr w:rsidR="00054BF0" w14:paraId="2C758F1B" w14:textId="77777777">
      <w:trPr>
        <w:jc w:val="center"/>
      </w:trPr>
      <w:tc>
        <w:tcPr>
          <w:tcW w:w="10080" w:type="dxa"/>
        </w:tcPr>
        <w:p w14:paraId="5536A570" w14:textId="77777777" w:rsidR="00054BF0" w:rsidRDefault="00000000">
          <w:pPr>
            <w:spacing w:before="60" w:after="200"/>
            <w:jc w:val="center"/>
          </w:pPr>
          <w:r>
            <w:rPr>
              <w:rFonts w:ascii="Arial" w:eastAsia="Arial" w:hAnsi="Arial" w:cs="Arial"/>
              <w:sz w:val="20"/>
            </w:rPr>
            <w:t>This repulsive app generates nudes from photos of clothed women</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4658B" w14:textId="77777777" w:rsidR="00054BF0" w:rsidRDefault="00054BF0"/>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5F608" w14:textId="77777777" w:rsidR="00054BF0" w:rsidRDefault="00054BF0"/>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7528752" w14:textId="77777777">
      <w:trPr>
        <w:jc w:val="center"/>
      </w:trPr>
      <w:tc>
        <w:tcPr>
          <w:tcW w:w="10080" w:type="dxa"/>
          <w:vAlign w:val="center"/>
        </w:tcPr>
        <w:p w14:paraId="25F807DE" w14:textId="5B94CA8B"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51</w:t>
          </w:r>
          <w:r>
            <w:rPr>
              <w:rFonts w:ascii="Arial" w:eastAsia="Arial" w:hAnsi="Arial" w:cs="Arial"/>
              <w:sz w:val="20"/>
            </w:rPr>
            <w:fldChar w:fldCharType="end"/>
          </w:r>
        </w:p>
      </w:tc>
    </w:tr>
    <w:tr w:rsidR="00054BF0" w14:paraId="44B34AE0" w14:textId="77777777">
      <w:trPr>
        <w:jc w:val="center"/>
      </w:trPr>
      <w:tc>
        <w:tcPr>
          <w:tcW w:w="10080" w:type="dxa"/>
        </w:tcPr>
        <w:p w14:paraId="741E2D0D" w14:textId="77777777" w:rsidR="00054BF0" w:rsidRDefault="00000000">
          <w:pPr>
            <w:spacing w:before="60" w:after="200"/>
            <w:jc w:val="center"/>
          </w:pPr>
          <w:r>
            <w:rPr>
              <w:rFonts w:ascii="Arial" w:eastAsia="Arial" w:hAnsi="Arial" w:cs="Arial"/>
              <w:sz w:val="20"/>
            </w:rPr>
            <w:t>Pakistan startups, the last massive untapped opportunity in the world</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5D68A" w14:textId="77777777" w:rsidR="00054BF0" w:rsidRDefault="00054BF0"/>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E8CD" w14:textId="77777777" w:rsidR="00054BF0" w:rsidRDefault="00054BF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5B2ECB86" w14:textId="77777777">
      <w:trPr>
        <w:jc w:val="center"/>
      </w:trPr>
      <w:tc>
        <w:tcPr>
          <w:tcW w:w="10080" w:type="dxa"/>
          <w:vAlign w:val="center"/>
        </w:tcPr>
        <w:p w14:paraId="5C704C5F" w14:textId="6F5EDAF2"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55</w:t>
          </w:r>
          <w:r>
            <w:rPr>
              <w:rFonts w:ascii="Arial" w:eastAsia="Arial" w:hAnsi="Arial" w:cs="Arial"/>
              <w:sz w:val="20"/>
            </w:rPr>
            <w:fldChar w:fldCharType="end"/>
          </w:r>
        </w:p>
      </w:tc>
    </w:tr>
    <w:tr w:rsidR="00054BF0" w14:paraId="76BC02CC" w14:textId="77777777">
      <w:trPr>
        <w:jc w:val="center"/>
      </w:trPr>
      <w:tc>
        <w:tcPr>
          <w:tcW w:w="10080" w:type="dxa"/>
        </w:tcPr>
        <w:p w14:paraId="2D42CCEA" w14:textId="77777777" w:rsidR="00054BF0" w:rsidRDefault="00000000">
          <w:pPr>
            <w:spacing w:before="60" w:after="200"/>
            <w:jc w:val="center"/>
          </w:pPr>
          <w:r>
            <w:rPr>
              <w:rFonts w:ascii="Arial" w:eastAsia="Arial" w:hAnsi="Arial" w:cs="Arial"/>
              <w:sz w:val="20"/>
            </w:rPr>
            <w:t>Escape from the lab! 6 promising biotech startup companies profiled at ASU symposium</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8942" w14:textId="77777777" w:rsidR="00054BF0" w:rsidRDefault="00054BF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79C60" w14:textId="77777777" w:rsidR="00054BF0" w:rsidRDefault="00054BF0"/>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6F67E8F3" w14:textId="77777777">
      <w:trPr>
        <w:jc w:val="center"/>
      </w:trPr>
      <w:tc>
        <w:tcPr>
          <w:tcW w:w="10080" w:type="dxa"/>
          <w:vAlign w:val="center"/>
        </w:tcPr>
        <w:p w14:paraId="4EA37262" w14:textId="66CB5910"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58</w:t>
          </w:r>
          <w:r>
            <w:rPr>
              <w:rFonts w:ascii="Arial" w:eastAsia="Arial" w:hAnsi="Arial" w:cs="Arial"/>
              <w:sz w:val="20"/>
            </w:rPr>
            <w:fldChar w:fldCharType="end"/>
          </w:r>
        </w:p>
      </w:tc>
    </w:tr>
    <w:tr w:rsidR="00054BF0" w14:paraId="14FA350E" w14:textId="77777777">
      <w:trPr>
        <w:jc w:val="center"/>
      </w:trPr>
      <w:tc>
        <w:tcPr>
          <w:tcW w:w="10080" w:type="dxa"/>
        </w:tcPr>
        <w:p w14:paraId="006099D5" w14:textId="77777777" w:rsidR="00054BF0" w:rsidRDefault="00000000">
          <w:pPr>
            <w:spacing w:before="60" w:after="200"/>
            <w:jc w:val="center"/>
          </w:pPr>
          <w:r>
            <w:rPr>
              <w:rFonts w:ascii="Arial" w:eastAsia="Arial" w:hAnsi="Arial" w:cs="Arial"/>
              <w:sz w:val="20"/>
            </w:rPr>
            <w:t>Escape from the lab! 6 promising biotech startup companies profiled at ASU symposium</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C7AA6" w14:textId="77777777" w:rsidR="00054BF0" w:rsidRDefault="00054BF0"/>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CBFE" w14:textId="77777777" w:rsidR="00054BF0" w:rsidRDefault="00054BF0"/>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4D4453CE" w14:textId="77777777">
      <w:trPr>
        <w:jc w:val="center"/>
      </w:trPr>
      <w:tc>
        <w:tcPr>
          <w:tcW w:w="10080" w:type="dxa"/>
          <w:vAlign w:val="center"/>
        </w:tcPr>
        <w:p w14:paraId="1C8C4BCA" w14:textId="72BAA191"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61</w:t>
          </w:r>
          <w:r>
            <w:rPr>
              <w:rFonts w:ascii="Arial" w:eastAsia="Arial" w:hAnsi="Arial" w:cs="Arial"/>
              <w:sz w:val="20"/>
            </w:rPr>
            <w:fldChar w:fldCharType="end"/>
          </w:r>
        </w:p>
      </w:tc>
    </w:tr>
    <w:tr w:rsidR="00054BF0" w14:paraId="035E1DD4" w14:textId="77777777">
      <w:trPr>
        <w:jc w:val="center"/>
      </w:trPr>
      <w:tc>
        <w:tcPr>
          <w:tcW w:w="10080" w:type="dxa"/>
        </w:tcPr>
        <w:p w14:paraId="514FF45B" w14:textId="77777777" w:rsidR="00054BF0" w:rsidRDefault="00000000">
          <w:pPr>
            <w:spacing w:before="60" w:after="200"/>
            <w:jc w:val="center"/>
          </w:pPr>
          <w:r>
            <w:rPr>
              <w:rFonts w:ascii="Arial" w:eastAsia="Arial" w:hAnsi="Arial" w:cs="Arial"/>
              <w:sz w:val="20"/>
            </w:rPr>
            <w:t>Startups give you opportunities that can be turned into gold, says Airbnb country manager</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B35A3" w14:textId="77777777" w:rsidR="00054BF0" w:rsidRDefault="00054BF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B7386" w14:textId="77777777" w:rsidR="00054BF0" w:rsidRDefault="00054BF0"/>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72D17FCC" w14:textId="77777777">
      <w:trPr>
        <w:jc w:val="center"/>
      </w:trPr>
      <w:tc>
        <w:tcPr>
          <w:tcW w:w="10080" w:type="dxa"/>
          <w:vAlign w:val="center"/>
        </w:tcPr>
        <w:p w14:paraId="0A5B7CDA" w14:textId="196074D6"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63</w:t>
          </w:r>
          <w:r>
            <w:rPr>
              <w:rFonts w:ascii="Arial" w:eastAsia="Arial" w:hAnsi="Arial" w:cs="Arial"/>
              <w:sz w:val="20"/>
            </w:rPr>
            <w:fldChar w:fldCharType="end"/>
          </w:r>
        </w:p>
      </w:tc>
    </w:tr>
    <w:tr w:rsidR="00054BF0" w14:paraId="03E6EF17" w14:textId="77777777">
      <w:trPr>
        <w:jc w:val="center"/>
      </w:trPr>
      <w:tc>
        <w:tcPr>
          <w:tcW w:w="10080" w:type="dxa"/>
        </w:tcPr>
        <w:p w14:paraId="6A20B5AF" w14:textId="77777777" w:rsidR="00054BF0" w:rsidRDefault="00000000">
          <w:pPr>
            <w:spacing w:before="60" w:after="200"/>
            <w:jc w:val="center"/>
          </w:pPr>
          <w:r>
            <w:rPr>
              <w:rFonts w:ascii="Arial" w:eastAsia="Arial" w:hAnsi="Arial" w:cs="Arial"/>
              <w:sz w:val="20"/>
            </w:rPr>
            <w:t>Businesses should build for a need, not for a want - panel on Innovation and Impact at Scale</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FBF91" w14:textId="77777777" w:rsidR="00054BF0" w:rsidRDefault="00054BF0"/>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8BEE0" w14:textId="77777777" w:rsidR="00054BF0" w:rsidRDefault="00054BF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277015C1" w14:textId="77777777">
      <w:trPr>
        <w:jc w:val="center"/>
      </w:trPr>
      <w:tc>
        <w:tcPr>
          <w:tcW w:w="10080" w:type="dxa"/>
          <w:vAlign w:val="center"/>
        </w:tcPr>
        <w:p w14:paraId="3F407909" w14:textId="5199311D"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66</w:t>
          </w:r>
          <w:r>
            <w:rPr>
              <w:rFonts w:ascii="Arial" w:eastAsia="Arial" w:hAnsi="Arial" w:cs="Arial"/>
              <w:sz w:val="20"/>
            </w:rPr>
            <w:fldChar w:fldCharType="end"/>
          </w:r>
        </w:p>
      </w:tc>
    </w:tr>
    <w:tr w:rsidR="00054BF0" w14:paraId="0A015FA6" w14:textId="77777777">
      <w:trPr>
        <w:jc w:val="center"/>
      </w:trPr>
      <w:tc>
        <w:tcPr>
          <w:tcW w:w="10080" w:type="dxa"/>
        </w:tcPr>
        <w:p w14:paraId="11FF4B88" w14:textId="77777777" w:rsidR="00054BF0" w:rsidRDefault="00000000">
          <w:pPr>
            <w:spacing w:before="60" w:after="200"/>
            <w:jc w:val="center"/>
          </w:pPr>
          <w:r>
            <w:rPr>
              <w:rFonts w:ascii="Arial" w:eastAsia="Arial" w:hAnsi="Arial" w:cs="Arial"/>
              <w:sz w:val="20"/>
            </w:rPr>
            <w:t>Success rate of Indian startups higher than rest of the world: Piyush Goyal</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F5D68" w14:textId="77777777" w:rsidR="00054BF0" w:rsidRDefault="00054BF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DFE3" w14:textId="77777777" w:rsidR="00054BF0" w:rsidRDefault="00054BF0"/>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2344DC2" w14:textId="77777777">
      <w:trPr>
        <w:jc w:val="center"/>
      </w:trPr>
      <w:tc>
        <w:tcPr>
          <w:tcW w:w="10080" w:type="dxa"/>
          <w:vAlign w:val="center"/>
        </w:tcPr>
        <w:p w14:paraId="1FF918AC" w14:textId="38490B64"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68</w:t>
          </w:r>
          <w:r>
            <w:rPr>
              <w:rFonts w:ascii="Arial" w:eastAsia="Arial" w:hAnsi="Arial" w:cs="Arial"/>
              <w:sz w:val="20"/>
            </w:rPr>
            <w:fldChar w:fldCharType="end"/>
          </w:r>
        </w:p>
      </w:tc>
    </w:tr>
    <w:tr w:rsidR="00054BF0" w14:paraId="2E47DA76" w14:textId="77777777">
      <w:trPr>
        <w:jc w:val="center"/>
      </w:trPr>
      <w:tc>
        <w:tcPr>
          <w:tcW w:w="10080" w:type="dxa"/>
        </w:tcPr>
        <w:p w14:paraId="1B97EC10" w14:textId="77777777" w:rsidR="00054BF0" w:rsidRDefault="00000000">
          <w:pPr>
            <w:spacing w:before="60" w:after="200"/>
            <w:jc w:val="center"/>
          </w:pPr>
          <w:r>
            <w:rPr>
              <w:rFonts w:ascii="Arial" w:eastAsia="Arial" w:hAnsi="Arial" w:cs="Arial"/>
              <w:sz w:val="20"/>
            </w:rPr>
            <w:t>Budget 2019: 7 most critical areas where startups want government to focus on; Budget 2019: India despite being the third largest startup ecosystem in the world....</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313E5" w14:textId="77777777" w:rsidR="00054BF0" w:rsidRDefault="00054BF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D2872" w14:textId="77777777" w:rsidR="00054BF0" w:rsidRDefault="00054BF0"/>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66BDF1A4" w14:textId="77777777">
      <w:trPr>
        <w:jc w:val="center"/>
      </w:trPr>
      <w:tc>
        <w:tcPr>
          <w:tcW w:w="10080" w:type="dxa"/>
          <w:vAlign w:val="center"/>
        </w:tcPr>
        <w:p w14:paraId="47BADD05" w14:textId="68CBAB88"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70</w:t>
          </w:r>
          <w:r>
            <w:rPr>
              <w:rFonts w:ascii="Arial" w:eastAsia="Arial" w:hAnsi="Arial" w:cs="Arial"/>
              <w:sz w:val="20"/>
            </w:rPr>
            <w:fldChar w:fldCharType="end"/>
          </w:r>
        </w:p>
      </w:tc>
    </w:tr>
    <w:tr w:rsidR="00054BF0" w14:paraId="3B9C44EA" w14:textId="77777777">
      <w:trPr>
        <w:jc w:val="center"/>
      </w:trPr>
      <w:tc>
        <w:tcPr>
          <w:tcW w:w="10080" w:type="dxa"/>
        </w:tcPr>
        <w:p w14:paraId="1FEBFED7" w14:textId="77777777" w:rsidR="00054BF0" w:rsidRDefault="00000000">
          <w:pPr>
            <w:spacing w:before="60" w:after="200"/>
            <w:jc w:val="center"/>
          </w:pPr>
          <w:r>
            <w:rPr>
              <w:rFonts w:ascii="Arial" w:eastAsia="Arial" w:hAnsi="Arial" w:cs="Arial"/>
              <w:sz w:val="20"/>
            </w:rPr>
            <w:t>INDIAN STARTUPS CAUGHT OFF GUARD AS CHINESE CAPITAL DRIES UP</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91825" w14:textId="77777777" w:rsidR="00054BF0" w:rsidRDefault="00054BF0"/>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54C36" w14:textId="77777777" w:rsidR="00054BF0" w:rsidRDefault="00054BF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4E784F08" w14:textId="77777777">
      <w:trPr>
        <w:jc w:val="center"/>
      </w:trPr>
      <w:tc>
        <w:tcPr>
          <w:tcW w:w="10080" w:type="dxa"/>
          <w:vAlign w:val="center"/>
        </w:tcPr>
        <w:p w14:paraId="733835E4" w14:textId="24D87216"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74</w:t>
          </w:r>
          <w:r>
            <w:rPr>
              <w:rFonts w:ascii="Arial" w:eastAsia="Arial" w:hAnsi="Arial" w:cs="Arial"/>
              <w:sz w:val="20"/>
            </w:rPr>
            <w:fldChar w:fldCharType="end"/>
          </w:r>
        </w:p>
      </w:tc>
    </w:tr>
    <w:tr w:rsidR="00054BF0" w14:paraId="67A93377" w14:textId="77777777">
      <w:trPr>
        <w:jc w:val="center"/>
      </w:trPr>
      <w:tc>
        <w:tcPr>
          <w:tcW w:w="10080" w:type="dxa"/>
        </w:tcPr>
        <w:p w14:paraId="787CD2A0" w14:textId="77777777" w:rsidR="00054BF0" w:rsidRDefault="00000000">
          <w:pPr>
            <w:spacing w:before="60" w:after="200"/>
            <w:jc w:val="center"/>
          </w:pPr>
          <w:r>
            <w:rPr>
              <w:rFonts w:ascii="Arial" w:eastAsia="Arial" w:hAnsi="Arial" w:cs="Arial"/>
              <w:sz w:val="20"/>
            </w:rPr>
            <w:t>Startups wake up to a post-China world</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DA652" w14:textId="77777777" w:rsidR="00054BF0" w:rsidRDefault="00054BF0"/>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0FC00" w14:textId="77777777" w:rsidR="00054BF0" w:rsidRDefault="00054BF0"/>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55CDDC63" w14:textId="77777777">
      <w:trPr>
        <w:jc w:val="center"/>
      </w:trPr>
      <w:tc>
        <w:tcPr>
          <w:tcW w:w="10080" w:type="dxa"/>
          <w:vAlign w:val="center"/>
        </w:tcPr>
        <w:p w14:paraId="02E9938B" w14:textId="1C563F0E"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78</w:t>
          </w:r>
          <w:r>
            <w:rPr>
              <w:rFonts w:ascii="Arial" w:eastAsia="Arial" w:hAnsi="Arial" w:cs="Arial"/>
              <w:sz w:val="20"/>
            </w:rPr>
            <w:fldChar w:fldCharType="end"/>
          </w:r>
        </w:p>
      </w:tc>
    </w:tr>
    <w:tr w:rsidR="00054BF0" w14:paraId="12838580" w14:textId="77777777">
      <w:trPr>
        <w:jc w:val="center"/>
      </w:trPr>
      <w:tc>
        <w:tcPr>
          <w:tcW w:w="10080" w:type="dxa"/>
        </w:tcPr>
        <w:p w14:paraId="558CB834" w14:textId="77777777" w:rsidR="00054BF0" w:rsidRDefault="00000000">
          <w:pPr>
            <w:spacing w:before="60" w:after="200"/>
            <w:jc w:val="center"/>
          </w:pPr>
          <w:r>
            <w:rPr>
              <w:rFonts w:ascii="Arial" w:eastAsia="Arial" w:hAnsi="Arial" w:cs="Arial"/>
              <w:sz w:val="20"/>
            </w:rPr>
            <w:t>Federal Register: National Emission Standards for Hazardous Air Pollutants: Plywood and Composite Wood Products Residual Risk and Technology Review Pages 49434 ....</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ADE8A" w14:textId="77777777" w:rsidR="00054BF0" w:rsidRDefault="00054BF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B4C48" w14:textId="77777777" w:rsidR="00054BF0" w:rsidRDefault="00054BF0"/>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CA20B87" w14:textId="77777777">
      <w:trPr>
        <w:jc w:val="center"/>
      </w:trPr>
      <w:tc>
        <w:tcPr>
          <w:tcW w:w="10080" w:type="dxa"/>
          <w:vAlign w:val="center"/>
        </w:tcPr>
        <w:p w14:paraId="72C8639A" w14:textId="119A1B3E"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120</w:t>
          </w:r>
          <w:r>
            <w:rPr>
              <w:rFonts w:ascii="Arial" w:eastAsia="Arial" w:hAnsi="Arial" w:cs="Arial"/>
              <w:sz w:val="20"/>
            </w:rPr>
            <w:fldChar w:fldCharType="end"/>
          </w:r>
        </w:p>
      </w:tc>
    </w:tr>
    <w:tr w:rsidR="00054BF0" w14:paraId="1A046D2A" w14:textId="77777777">
      <w:trPr>
        <w:jc w:val="center"/>
      </w:trPr>
      <w:tc>
        <w:tcPr>
          <w:tcW w:w="10080" w:type="dxa"/>
        </w:tcPr>
        <w:p w14:paraId="3FA0E1D5" w14:textId="77777777" w:rsidR="00054BF0" w:rsidRDefault="00000000">
          <w:pPr>
            <w:spacing w:before="60" w:after="200"/>
            <w:jc w:val="center"/>
          </w:pPr>
          <w:r>
            <w:rPr>
              <w:rFonts w:ascii="Arial" w:eastAsia="Arial" w:hAnsi="Arial" w:cs="Arial"/>
              <w:sz w:val="20"/>
            </w:rPr>
            <w:t>Economics in elections</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B86D" w14:textId="77777777" w:rsidR="00054BF0" w:rsidRDefault="00054BF0"/>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C8BD4" w14:textId="77777777" w:rsidR="00054BF0" w:rsidRDefault="00054BF0"/>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5E3D316C" w14:textId="77777777">
      <w:trPr>
        <w:jc w:val="center"/>
      </w:trPr>
      <w:tc>
        <w:tcPr>
          <w:tcW w:w="10080" w:type="dxa"/>
          <w:vAlign w:val="center"/>
        </w:tcPr>
        <w:p w14:paraId="25B6508E" w14:textId="744A380C"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122</w:t>
          </w:r>
          <w:r>
            <w:rPr>
              <w:rFonts w:ascii="Arial" w:eastAsia="Arial" w:hAnsi="Arial" w:cs="Arial"/>
              <w:sz w:val="20"/>
            </w:rPr>
            <w:fldChar w:fldCharType="end"/>
          </w:r>
        </w:p>
      </w:tc>
    </w:tr>
    <w:tr w:rsidR="00054BF0" w14:paraId="02B0D476" w14:textId="77777777">
      <w:trPr>
        <w:jc w:val="center"/>
      </w:trPr>
      <w:tc>
        <w:tcPr>
          <w:tcW w:w="10080" w:type="dxa"/>
        </w:tcPr>
        <w:p w14:paraId="6C9DF444" w14:textId="77777777" w:rsidR="00054BF0" w:rsidRDefault="00000000">
          <w:pPr>
            <w:spacing w:before="60" w:after="200"/>
            <w:jc w:val="center"/>
          </w:pPr>
          <w:r>
            <w:rPr>
              <w:rFonts w:ascii="Arial" w:eastAsia="Arial" w:hAnsi="Arial" w:cs="Arial"/>
              <w:sz w:val="20"/>
            </w:rPr>
            <w:t>YourStory UNCUT: upGrad's Phalgun Kompalli on the ups and downs of building an edtech unicorn</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5423" w14:textId="77777777" w:rsidR="00054BF0" w:rsidRDefault="00054BF0"/>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3C27D" w14:textId="77777777" w:rsidR="00054BF0" w:rsidRDefault="00054BF0"/>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10AFB872" w14:textId="77777777">
      <w:trPr>
        <w:jc w:val="center"/>
      </w:trPr>
      <w:tc>
        <w:tcPr>
          <w:tcW w:w="10080" w:type="dxa"/>
          <w:vAlign w:val="center"/>
        </w:tcPr>
        <w:p w14:paraId="40F1A0B9" w14:textId="00A559E1"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125</w:t>
          </w:r>
          <w:r>
            <w:rPr>
              <w:rFonts w:ascii="Arial" w:eastAsia="Arial" w:hAnsi="Arial" w:cs="Arial"/>
              <w:sz w:val="20"/>
            </w:rPr>
            <w:fldChar w:fldCharType="end"/>
          </w:r>
        </w:p>
      </w:tc>
    </w:tr>
    <w:tr w:rsidR="00054BF0" w14:paraId="7CB9C56C" w14:textId="77777777">
      <w:trPr>
        <w:jc w:val="center"/>
      </w:trPr>
      <w:tc>
        <w:tcPr>
          <w:tcW w:w="10080" w:type="dxa"/>
        </w:tcPr>
        <w:p w14:paraId="40439BB8" w14:textId="77777777" w:rsidR="00054BF0" w:rsidRDefault="00000000">
          <w:pPr>
            <w:spacing w:before="60" w:after="200"/>
            <w:jc w:val="center"/>
          </w:pPr>
          <w:r>
            <w:rPr>
              <w:rFonts w:ascii="Arial" w:eastAsia="Arial" w:hAnsi="Arial" w:cs="Arial"/>
              <w:sz w:val="20"/>
            </w:rPr>
            <w:t>Special Edition of "Hannity": Issues Facing America; Biden Campaign Is Allegedly Considering Scaling Back, Elizabeth Warren And Kamala Harris Calling Michael Br....</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4F99A" w14:textId="77777777" w:rsidR="00054BF0" w:rsidRDefault="00054BF0"/>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35123" w14:textId="77777777" w:rsidR="00054BF0" w:rsidRDefault="00054BF0"/>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26F2C9C5" w14:textId="77777777">
      <w:trPr>
        <w:jc w:val="center"/>
      </w:trPr>
      <w:tc>
        <w:tcPr>
          <w:tcW w:w="10080" w:type="dxa"/>
          <w:vAlign w:val="center"/>
        </w:tcPr>
        <w:p w14:paraId="1BEB24E3" w14:textId="5808CA6C"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138</w:t>
          </w:r>
          <w:r>
            <w:rPr>
              <w:rFonts w:ascii="Arial" w:eastAsia="Arial" w:hAnsi="Arial" w:cs="Arial"/>
              <w:sz w:val="20"/>
            </w:rPr>
            <w:fldChar w:fldCharType="end"/>
          </w:r>
        </w:p>
      </w:tc>
    </w:tr>
    <w:tr w:rsidR="00054BF0" w14:paraId="0ADC9B45" w14:textId="77777777">
      <w:trPr>
        <w:jc w:val="center"/>
      </w:trPr>
      <w:tc>
        <w:tcPr>
          <w:tcW w:w="10080" w:type="dxa"/>
        </w:tcPr>
        <w:p w14:paraId="4B3351F9" w14:textId="77777777" w:rsidR="00054BF0" w:rsidRDefault="00000000">
          <w:pPr>
            <w:spacing w:before="60" w:after="200"/>
            <w:jc w:val="center"/>
          </w:pPr>
          <w:r>
            <w:rPr>
              <w:rFonts w:ascii="Arial" w:eastAsia="Arial" w:hAnsi="Arial" w:cs="Arial"/>
              <w:sz w:val="20"/>
            </w:rPr>
            <w:t>A Gentleman Who Defied Age Boundaries- Ayush Mauryavanshi</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4ECE4" w14:textId="77777777" w:rsidR="00054BF0" w:rsidRDefault="00054BF0"/>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09AAA" w14:textId="77777777" w:rsidR="00054BF0" w:rsidRDefault="00054BF0"/>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769B49F6" w14:textId="77777777">
      <w:trPr>
        <w:jc w:val="center"/>
      </w:trPr>
      <w:tc>
        <w:tcPr>
          <w:tcW w:w="10080" w:type="dxa"/>
          <w:vAlign w:val="center"/>
        </w:tcPr>
        <w:p w14:paraId="1E712B6A" w14:textId="18FCE6EB"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140</w:t>
          </w:r>
          <w:r>
            <w:rPr>
              <w:rFonts w:ascii="Arial" w:eastAsia="Arial" w:hAnsi="Arial" w:cs="Arial"/>
              <w:sz w:val="20"/>
            </w:rPr>
            <w:fldChar w:fldCharType="end"/>
          </w:r>
        </w:p>
      </w:tc>
    </w:tr>
    <w:tr w:rsidR="00054BF0" w14:paraId="1CD70445" w14:textId="77777777">
      <w:trPr>
        <w:jc w:val="center"/>
      </w:trPr>
      <w:tc>
        <w:tcPr>
          <w:tcW w:w="10080" w:type="dxa"/>
        </w:tcPr>
        <w:p w14:paraId="3E715502" w14:textId="77777777" w:rsidR="00054BF0" w:rsidRDefault="00000000">
          <w:pPr>
            <w:spacing w:before="60" w:after="200"/>
            <w:jc w:val="center"/>
          </w:pPr>
          <w:r>
            <w:rPr>
              <w:rFonts w:ascii="Arial" w:eastAsia="Arial" w:hAnsi="Arial" w:cs="Arial"/>
              <w:sz w:val="20"/>
            </w:rPr>
            <w:t>A Gentleman Who Defied Age Boundaries- Ayush Mauryavanshi</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08D7E" w14:textId="77777777" w:rsidR="00054BF0" w:rsidRDefault="00054BF0"/>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672D5" w14:textId="77777777" w:rsidR="00054BF0" w:rsidRDefault="00054BF0"/>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7F1F665C" w14:textId="77777777">
      <w:trPr>
        <w:jc w:val="center"/>
      </w:trPr>
      <w:tc>
        <w:tcPr>
          <w:tcW w:w="10080" w:type="dxa"/>
          <w:vAlign w:val="center"/>
        </w:tcPr>
        <w:p w14:paraId="346E1B70" w14:textId="07D52151"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142</w:t>
          </w:r>
          <w:r>
            <w:rPr>
              <w:rFonts w:ascii="Arial" w:eastAsia="Arial" w:hAnsi="Arial" w:cs="Arial"/>
              <w:sz w:val="20"/>
            </w:rPr>
            <w:fldChar w:fldCharType="end"/>
          </w:r>
        </w:p>
      </w:tc>
    </w:tr>
    <w:tr w:rsidR="00054BF0" w14:paraId="0412B93D" w14:textId="77777777">
      <w:trPr>
        <w:jc w:val="center"/>
      </w:trPr>
      <w:tc>
        <w:tcPr>
          <w:tcW w:w="10080" w:type="dxa"/>
        </w:tcPr>
        <w:p w14:paraId="72A6CCFB" w14:textId="77777777" w:rsidR="00054BF0" w:rsidRDefault="00000000">
          <w:pPr>
            <w:spacing w:before="60" w:after="200"/>
            <w:jc w:val="center"/>
          </w:pPr>
          <w:r>
            <w:rPr>
              <w:rFonts w:ascii="Arial" w:eastAsia="Arial" w:hAnsi="Arial" w:cs="Arial"/>
              <w:sz w:val="20"/>
            </w:rPr>
            <w:t>National Emission Standards for Hazardous Air Pollutants: Plywood and Composite Wood Products Residual Risk and Technology Review</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BEEDD" w14:textId="77777777" w:rsidR="00054BF0" w:rsidRDefault="00054BF0"/>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04144" w14:textId="77777777" w:rsidR="00054BF0" w:rsidRDefault="00054BF0"/>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1B0D53EC" w14:textId="77777777">
      <w:trPr>
        <w:jc w:val="center"/>
      </w:trPr>
      <w:tc>
        <w:tcPr>
          <w:tcW w:w="10080" w:type="dxa"/>
          <w:vAlign w:val="center"/>
        </w:tcPr>
        <w:p w14:paraId="32810799" w14:textId="41DB1485"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199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200</w:t>
          </w:r>
          <w:r>
            <w:rPr>
              <w:rFonts w:ascii="Arial" w:eastAsia="Arial" w:hAnsi="Arial" w:cs="Arial"/>
              <w:sz w:val="20"/>
            </w:rPr>
            <w:fldChar w:fldCharType="end"/>
          </w:r>
        </w:p>
      </w:tc>
    </w:tr>
    <w:tr w:rsidR="00054BF0" w14:paraId="2138457C" w14:textId="77777777">
      <w:trPr>
        <w:jc w:val="center"/>
      </w:trPr>
      <w:tc>
        <w:tcPr>
          <w:tcW w:w="10080" w:type="dxa"/>
        </w:tcPr>
        <w:p w14:paraId="69594851" w14:textId="77777777" w:rsidR="00054BF0" w:rsidRDefault="00000000">
          <w:pPr>
            <w:spacing w:before="60" w:after="200"/>
            <w:jc w:val="center"/>
          </w:pPr>
          <w:r>
            <w:rPr>
              <w:rFonts w:ascii="Arial" w:eastAsia="Arial" w:hAnsi="Arial" w:cs="Arial"/>
              <w:sz w:val="20"/>
            </w:rPr>
            <w:t>Celebrating the superhero in every dad</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65B4F" w14:textId="77777777" w:rsidR="00054BF0" w:rsidRDefault="00054BF0"/>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9641E" w14:textId="77777777" w:rsidR="00054BF0" w:rsidRDefault="00054BF0"/>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3001482" w14:textId="77777777">
      <w:trPr>
        <w:jc w:val="center"/>
      </w:trPr>
      <w:tc>
        <w:tcPr>
          <w:tcW w:w="10080" w:type="dxa"/>
          <w:vAlign w:val="center"/>
        </w:tcPr>
        <w:p w14:paraId="0475B727" w14:textId="33FEDA5B"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206</w:t>
          </w:r>
          <w:r>
            <w:rPr>
              <w:rFonts w:ascii="Arial" w:eastAsia="Arial" w:hAnsi="Arial" w:cs="Arial"/>
              <w:sz w:val="20"/>
            </w:rPr>
            <w:fldChar w:fldCharType="end"/>
          </w:r>
        </w:p>
      </w:tc>
    </w:tr>
    <w:tr w:rsidR="00054BF0" w14:paraId="44BF1B33" w14:textId="77777777">
      <w:trPr>
        <w:jc w:val="center"/>
      </w:trPr>
      <w:tc>
        <w:tcPr>
          <w:tcW w:w="10080" w:type="dxa"/>
        </w:tcPr>
        <w:p w14:paraId="251F81B1" w14:textId="77777777" w:rsidR="00054BF0" w:rsidRDefault="00000000">
          <w:pPr>
            <w:spacing w:before="60" w:after="200"/>
            <w:jc w:val="center"/>
          </w:pPr>
          <w:r>
            <w:rPr>
              <w:rFonts w:ascii="Arial" w:eastAsia="Arial" w:hAnsi="Arial" w:cs="Arial"/>
              <w:sz w:val="20"/>
            </w:rPr>
            <w:t>You are senior in spreading lies, making money, PM Narendra Modi mocks Chandrababu Naidu</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9BC3" w14:textId="77777777" w:rsidR="00054BF0" w:rsidRDefault="00054BF0"/>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EA781" w14:textId="77777777" w:rsidR="00054BF0" w:rsidRDefault="00054BF0"/>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EAC9979" w14:textId="77777777">
      <w:trPr>
        <w:jc w:val="center"/>
      </w:trPr>
      <w:tc>
        <w:tcPr>
          <w:tcW w:w="10080" w:type="dxa"/>
          <w:vAlign w:val="center"/>
        </w:tcPr>
        <w:p w14:paraId="4D1A8D53" w14:textId="0332F45E"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208</w:t>
          </w:r>
          <w:r>
            <w:rPr>
              <w:rFonts w:ascii="Arial" w:eastAsia="Arial" w:hAnsi="Arial" w:cs="Arial"/>
              <w:sz w:val="20"/>
            </w:rPr>
            <w:fldChar w:fldCharType="end"/>
          </w:r>
        </w:p>
      </w:tc>
    </w:tr>
    <w:tr w:rsidR="00054BF0" w14:paraId="24030381" w14:textId="77777777">
      <w:trPr>
        <w:jc w:val="center"/>
      </w:trPr>
      <w:tc>
        <w:tcPr>
          <w:tcW w:w="10080" w:type="dxa"/>
        </w:tcPr>
        <w:p w14:paraId="0E887527" w14:textId="77777777" w:rsidR="00054BF0" w:rsidRDefault="00000000">
          <w:pPr>
            <w:spacing w:before="60" w:after="200"/>
            <w:jc w:val="center"/>
          </w:pPr>
          <w:r>
            <w:rPr>
              <w:rFonts w:ascii="Arial" w:eastAsia="Arial" w:hAnsi="Arial" w:cs="Arial"/>
              <w:sz w:val="20"/>
            </w:rPr>
            <w:t>SAARC CCI launches free webinar series for startups in South Asia</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5545" w14:textId="77777777" w:rsidR="00054BF0" w:rsidRDefault="00054BF0"/>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3771F" w14:textId="77777777" w:rsidR="00054BF0" w:rsidRDefault="00054BF0"/>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DD53131" w14:textId="77777777">
      <w:trPr>
        <w:jc w:val="center"/>
      </w:trPr>
      <w:tc>
        <w:tcPr>
          <w:tcW w:w="10080" w:type="dxa"/>
          <w:vAlign w:val="center"/>
        </w:tcPr>
        <w:p w14:paraId="040B3AA3" w14:textId="1AA7A721"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210</w:t>
          </w:r>
          <w:r>
            <w:rPr>
              <w:rFonts w:ascii="Arial" w:eastAsia="Arial" w:hAnsi="Arial" w:cs="Arial"/>
              <w:sz w:val="20"/>
            </w:rPr>
            <w:fldChar w:fldCharType="end"/>
          </w:r>
        </w:p>
      </w:tc>
    </w:tr>
    <w:tr w:rsidR="00054BF0" w14:paraId="7234C108" w14:textId="77777777">
      <w:trPr>
        <w:jc w:val="center"/>
      </w:trPr>
      <w:tc>
        <w:tcPr>
          <w:tcW w:w="10080" w:type="dxa"/>
        </w:tcPr>
        <w:p w14:paraId="36CD048F" w14:textId="77777777" w:rsidR="00054BF0" w:rsidRDefault="00000000">
          <w:pPr>
            <w:spacing w:before="60" w:after="200"/>
            <w:jc w:val="center"/>
          </w:pPr>
          <w:r>
            <w:rPr>
              <w:rFonts w:ascii="Arial" w:eastAsia="Arial" w:hAnsi="Arial" w:cs="Arial"/>
              <w:sz w:val="20"/>
            </w:rPr>
            <w:t>Vulnerabilities of BOT Scheme and Ways to Overcome Them Under PPP: Cross-Country Comparison of PPP Systems Among Selected Countries</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9FBD" w14:textId="77777777" w:rsidR="00054BF0" w:rsidRDefault="00054BF0"/>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310AC" w14:textId="77777777" w:rsidR="00054BF0" w:rsidRDefault="00054BF0"/>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64B97602" w14:textId="77777777">
      <w:trPr>
        <w:jc w:val="center"/>
      </w:trPr>
      <w:tc>
        <w:tcPr>
          <w:tcW w:w="10080" w:type="dxa"/>
          <w:vAlign w:val="center"/>
        </w:tcPr>
        <w:p w14:paraId="20BF44A7"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7339C771" w14:textId="77777777">
      <w:trPr>
        <w:jc w:val="center"/>
      </w:trPr>
      <w:tc>
        <w:tcPr>
          <w:tcW w:w="10080" w:type="dxa"/>
        </w:tcPr>
        <w:p w14:paraId="39F12589" w14:textId="77777777" w:rsidR="00054BF0" w:rsidRDefault="00000000">
          <w:pPr>
            <w:spacing w:before="60" w:after="200"/>
            <w:jc w:val="center"/>
          </w:pPr>
          <w:r>
            <w:rPr>
              <w:rFonts w:ascii="Arial" w:eastAsia="Arial" w:hAnsi="Arial" w:cs="Arial"/>
              <w:sz w:val="20"/>
            </w:rPr>
            <w:t>There Were 84,012 Startups In End November: Piyush Goyal</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C74EF" w14:textId="77777777" w:rsidR="00054BF0" w:rsidRDefault="00054BF0"/>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279FC" w14:textId="77777777" w:rsidR="00054BF0" w:rsidRDefault="00054BF0"/>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12942E74" w14:textId="77777777">
      <w:trPr>
        <w:jc w:val="center"/>
      </w:trPr>
      <w:tc>
        <w:tcPr>
          <w:tcW w:w="10080" w:type="dxa"/>
          <w:vAlign w:val="center"/>
        </w:tcPr>
        <w:p w14:paraId="3499FD38" w14:textId="5EF2345F"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224</w:t>
          </w:r>
          <w:r>
            <w:rPr>
              <w:rFonts w:ascii="Arial" w:eastAsia="Arial" w:hAnsi="Arial" w:cs="Arial"/>
              <w:sz w:val="20"/>
            </w:rPr>
            <w:fldChar w:fldCharType="end"/>
          </w:r>
        </w:p>
      </w:tc>
    </w:tr>
    <w:tr w:rsidR="00054BF0" w14:paraId="3CD4232C" w14:textId="77777777">
      <w:trPr>
        <w:jc w:val="center"/>
      </w:trPr>
      <w:tc>
        <w:tcPr>
          <w:tcW w:w="10080" w:type="dxa"/>
        </w:tcPr>
        <w:p w14:paraId="59C6DB33" w14:textId="77777777" w:rsidR="00054BF0" w:rsidRDefault="00000000">
          <w:pPr>
            <w:spacing w:before="60" w:after="200"/>
            <w:jc w:val="center"/>
          </w:pPr>
          <w:r>
            <w:rPr>
              <w:rFonts w:ascii="Arial" w:eastAsia="Arial" w:hAnsi="Arial" w:cs="Arial"/>
              <w:sz w:val="20"/>
            </w:rPr>
            <w:t>Vulnerabilities of BOT Scheme and Ways to Overcome Them Under PPP: Cross-Country Comparison of PPP Systems Among Selected Countries</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C19EC" w14:textId="77777777" w:rsidR="00054BF0" w:rsidRDefault="00054BF0"/>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A4D83" w14:textId="77777777" w:rsidR="00054BF0" w:rsidRDefault="00054BF0"/>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07D71E3" w14:textId="77777777">
      <w:trPr>
        <w:jc w:val="center"/>
      </w:trPr>
      <w:tc>
        <w:tcPr>
          <w:tcW w:w="10080" w:type="dxa"/>
          <w:vAlign w:val="center"/>
        </w:tcPr>
        <w:p w14:paraId="50484B4C" w14:textId="23876C11"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237</w:t>
          </w:r>
          <w:r>
            <w:rPr>
              <w:rFonts w:ascii="Arial" w:eastAsia="Arial" w:hAnsi="Arial" w:cs="Arial"/>
              <w:sz w:val="20"/>
            </w:rPr>
            <w:fldChar w:fldCharType="end"/>
          </w:r>
        </w:p>
      </w:tc>
    </w:tr>
    <w:tr w:rsidR="00054BF0" w14:paraId="3940D796" w14:textId="77777777">
      <w:trPr>
        <w:jc w:val="center"/>
      </w:trPr>
      <w:tc>
        <w:tcPr>
          <w:tcW w:w="10080" w:type="dxa"/>
        </w:tcPr>
        <w:p w14:paraId="6786CBAF" w14:textId="77777777" w:rsidR="00054BF0" w:rsidRDefault="00000000">
          <w:pPr>
            <w:spacing w:before="60" w:after="200"/>
            <w:jc w:val="center"/>
          </w:pPr>
          <w:r>
            <w:rPr>
              <w:rFonts w:ascii="Arial" w:eastAsia="Arial" w:hAnsi="Arial" w:cs="Arial"/>
              <w:sz w:val="20"/>
            </w:rPr>
            <w:t>Vulnerabilities of BOT Scheme and Ways to Overcome Them Under PPP: Cross-Country Comparison of PPP Systems Among Selected Countries</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1FC1E" w14:textId="77777777" w:rsidR="00054BF0" w:rsidRDefault="00054BF0"/>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A463E" w14:textId="77777777" w:rsidR="00054BF0" w:rsidRDefault="00054BF0"/>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1EAD770C" w14:textId="77777777">
      <w:trPr>
        <w:jc w:val="center"/>
      </w:trPr>
      <w:tc>
        <w:tcPr>
          <w:tcW w:w="10080" w:type="dxa"/>
          <w:vAlign w:val="center"/>
        </w:tcPr>
        <w:p w14:paraId="7B5FA0EC"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06CB703F" w14:textId="77777777">
      <w:trPr>
        <w:jc w:val="center"/>
      </w:trPr>
      <w:tc>
        <w:tcPr>
          <w:tcW w:w="10080" w:type="dxa"/>
        </w:tcPr>
        <w:p w14:paraId="7FBCBDD4" w14:textId="77777777" w:rsidR="00054BF0" w:rsidRDefault="00000000">
          <w:pPr>
            <w:spacing w:before="60" w:after="200"/>
            <w:jc w:val="center"/>
          </w:pPr>
          <w:r>
            <w:rPr>
              <w:rFonts w:ascii="Arial" w:eastAsia="Arial" w:hAnsi="Arial" w:cs="Arial"/>
              <w:sz w:val="20"/>
            </w:rPr>
            <w:t>Salman, Godfather Forever</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4C274" w14:textId="77777777" w:rsidR="00054BF0" w:rsidRDefault="00054BF0"/>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60A2" w14:textId="77777777" w:rsidR="00054BF0" w:rsidRDefault="00054BF0"/>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1D92D889" w14:textId="77777777">
      <w:trPr>
        <w:jc w:val="center"/>
      </w:trPr>
      <w:tc>
        <w:tcPr>
          <w:tcW w:w="10080" w:type="dxa"/>
          <w:vAlign w:val="center"/>
        </w:tcPr>
        <w:p w14:paraId="5081C5EC"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316BAA01" w14:textId="77777777">
      <w:trPr>
        <w:jc w:val="center"/>
      </w:trPr>
      <w:tc>
        <w:tcPr>
          <w:tcW w:w="10080" w:type="dxa"/>
        </w:tcPr>
        <w:p w14:paraId="2589C588" w14:textId="77777777" w:rsidR="00054BF0" w:rsidRDefault="00000000">
          <w:pPr>
            <w:spacing w:before="60" w:after="200"/>
            <w:jc w:val="center"/>
          </w:pPr>
          <w:r>
            <w:rPr>
              <w:rFonts w:ascii="Arial" w:eastAsia="Arial" w:hAnsi="Arial" w:cs="Arial"/>
              <w:sz w:val="20"/>
            </w:rPr>
            <w:t>Success Rate Of Indian Startups Is Higher Than Rest Of World: Piyush Goyal</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28C74" w14:textId="77777777" w:rsidR="00054BF0" w:rsidRDefault="00054BF0"/>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CB24D" w14:textId="77777777" w:rsidR="00054BF0" w:rsidRDefault="00054BF0"/>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176C1E4" w14:textId="77777777">
      <w:trPr>
        <w:jc w:val="center"/>
      </w:trPr>
      <w:tc>
        <w:tcPr>
          <w:tcW w:w="10080" w:type="dxa"/>
          <w:vAlign w:val="center"/>
        </w:tcPr>
        <w:p w14:paraId="626E0305" w14:textId="27CE9F32"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252</w:t>
          </w:r>
          <w:r>
            <w:rPr>
              <w:rFonts w:ascii="Arial" w:eastAsia="Arial" w:hAnsi="Arial" w:cs="Arial"/>
              <w:sz w:val="20"/>
            </w:rPr>
            <w:fldChar w:fldCharType="end"/>
          </w:r>
        </w:p>
      </w:tc>
    </w:tr>
    <w:tr w:rsidR="00054BF0" w14:paraId="750C6BA1" w14:textId="77777777">
      <w:trPr>
        <w:jc w:val="center"/>
      </w:trPr>
      <w:tc>
        <w:tcPr>
          <w:tcW w:w="10080" w:type="dxa"/>
        </w:tcPr>
        <w:p w14:paraId="33F910F6" w14:textId="77777777" w:rsidR="00054BF0" w:rsidRDefault="00000000">
          <w:pPr>
            <w:spacing w:before="60" w:after="200"/>
            <w:jc w:val="center"/>
          </w:pPr>
          <w:r>
            <w:rPr>
              <w:rFonts w:ascii="Arial" w:eastAsia="Arial" w:hAnsi="Arial" w:cs="Arial"/>
              <w:sz w:val="20"/>
            </w:rPr>
            <w:t>What you need to know about becoming an angel investor in India</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8FC9B" w14:textId="77777777" w:rsidR="00054BF0" w:rsidRDefault="00054BF0"/>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BDBA" w14:textId="77777777" w:rsidR="00054BF0" w:rsidRDefault="00054BF0"/>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457934A2" w14:textId="77777777">
      <w:trPr>
        <w:jc w:val="center"/>
      </w:trPr>
      <w:tc>
        <w:tcPr>
          <w:tcW w:w="10080" w:type="dxa"/>
          <w:vAlign w:val="center"/>
        </w:tcPr>
        <w:p w14:paraId="0A71A951" w14:textId="5FA3DAA2"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254</w:t>
          </w:r>
          <w:r>
            <w:rPr>
              <w:rFonts w:ascii="Arial" w:eastAsia="Arial" w:hAnsi="Arial" w:cs="Arial"/>
              <w:sz w:val="20"/>
            </w:rPr>
            <w:fldChar w:fldCharType="end"/>
          </w:r>
        </w:p>
      </w:tc>
    </w:tr>
    <w:tr w:rsidR="00054BF0" w14:paraId="4EE900DA" w14:textId="77777777">
      <w:trPr>
        <w:jc w:val="center"/>
      </w:trPr>
      <w:tc>
        <w:tcPr>
          <w:tcW w:w="10080" w:type="dxa"/>
        </w:tcPr>
        <w:p w14:paraId="55E50B22" w14:textId="77777777" w:rsidR="00054BF0" w:rsidRDefault="00000000">
          <w:pPr>
            <w:spacing w:before="60" w:after="200"/>
            <w:jc w:val="center"/>
          </w:pPr>
          <w:r>
            <w:rPr>
              <w:rFonts w:ascii="Arial" w:eastAsia="Arial" w:hAnsi="Arial" w:cs="Arial"/>
              <w:sz w:val="20"/>
            </w:rPr>
            <w:t>Here's how you can become an angel investor in India</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DD4B0" w14:textId="77777777" w:rsidR="00054BF0" w:rsidRDefault="00054BF0"/>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D8823" w14:textId="77777777" w:rsidR="00054BF0" w:rsidRDefault="00054BF0"/>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663D8F04" w14:textId="77777777">
      <w:trPr>
        <w:jc w:val="center"/>
      </w:trPr>
      <w:tc>
        <w:tcPr>
          <w:tcW w:w="10080" w:type="dxa"/>
          <w:vAlign w:val="center"/>
        </w:tcPr>
        <w:p w14:paraId="0AB8951F" w14:textId="34DE89B8"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256</w:t>
          </w:r>
          <w:r>
            <w:rPr>
              <w:rFonts w:ascii="Arial" w:eastAsia="Arial" w:hAnsi="Arial" w:cs="Arial"/>
              <w:sz w:val="20"/>
            </w:rPr>
            <w:fldChar w:fldCharType="end"/>
          </w:r>
        </w:p>
      </w:tc>
    </w:tr>
    <w:tr w:rsidR="00054BF0" w14:paraId="5A1A2437" w14:textId="77777777">
      <w:trPr>
        <w:jc w:val="center"/>
      </w:trPr>
      <w:tc>
        <w:tcPr>
          <w:tcW w:w="10080" w:type="dxa"/>
        </w:tcPr>
        <w:p w14:paraId="62A4749A" w14:textId="77777777" w:rsidR="00054BF0" w:rsidRDefault="00000000">
          <w:pPr>
            <w:spacing w:before="60" w:after="200"/>
            <w:jc w:val="center"/>
          </w:pPr>
          <w:r>
            <w:rPr>
              <w:rFonts w:ascii="Arial" w:eastAsia="Arial" w:hAnsi="Arial" w:cs="Arial"/>
              <w:sz w:val="20"/>
            </w:rPr>
            <w:t>Meet the VC - Meet Chun Xia, founding partner at TSVC</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6DCCE" w14:textId="77777777" w:rsidR="00054BF0" w:rsidRDefault="00054BF0"/>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3055" w14:textId="77777777" w:rsidR="00054BF0" w:rsidRDefault="00054BF0"/>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268BF1EF" w14:textId="77777777">
      <w:trPr>
        <w:jc w:val="center"/>
      </w:trPr>
      <w:tc>
        <w:tcPr>
          <w:tcW w:w="10080" w:type="dxa"/>
          <w:vAlign w:val="center"/>
        </w:tcPr>
        <w:p w14:paraId="44204F38"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1695C0B0" w14:textId="77777777">
      <w:trPr>
        <w:jc w:val="center"/>
      </w:trPr>
      <w:tc>
        <w:tcPr>
          <w:tcW w:w="10080" w:type="dxa"/>
        </w:tcPr>
        <w:p w14:paraId="61CD2873" w14:textId="77777777" w:rsidR="00054BF0" w:rsidRDefault="00000000">
          <w:pPr>
            <w:spacing w:before="60" w:after="200"/>
            <w:jc w:val="center"/>
          </w:pPr>
          <w:r>
            <w:rPr>
              <w:rFonts w:ascii="Arial" w:eastAsia="Arial" w:hAnsi="Arial" w:cs="Arial"/>
              <w:sz w:val="20"/>
            </w:rPr>
            <w:t>SoftBank-Backed Oyo to Reduce Planned IPO Amid Tech Headwinds</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21791" w14:textId="77777777" w:rsidR="00054BF0" w:rsidRDefault="00054BF0"/>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C44B" w14:textId="77777777" w:rsidR="00054BF0" w:rsidRDefault="00054BF0"/>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E3E5C3B" w14:textId="77777777">
      <w:trPr>
        <w:jc w:val="center"/>
      </w:trPr>
      <w:tc>
        <w:tcPr>
          <w:tcW w:w="10080" w:type="dxa"/>
          <w:vAlign w:val="center"/>
        </w:tcPr>
        <w:p w14:paraId="4447B6D8" w14:textId="797B6942"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261</w:t>
          </w:r>
          <w:r>
            <w:rPr>
              <w:rFonts w:ascii="Arial" w:eastAsia="Arial" w:hAnsi="Arial" w:cs="Arial"/>
              <w:sz w:val="20"/>
            </w:rPr>
            <w:fldChar w:fldCharType="end"/>
          </w:r>
        </w:p>
      </w:tc>
    </w:tr>
    <w:tr w:rsidR="00054BF0" w14:paraId="022A5145" w14:textId="77777777">
      <w:trPr>
        <w:jc w:val="center"/>
      </w:trPr>
      <w:tc>
        <w:tcPr>
          <w:tcW w:w="10080" w:type="dxa"/>
        </w:tcPr>
        <w:p w14:paraId="0964FC28" w14:textId="77777777" w:rsidR="00054BF0" w:rsidRDefault="00000000">
          <w:pPr>
            <w:spacing w:before="60" w:after="200"/>
            <w:jc w:val="center"/>
          </w:pPr>
          <w:r>
            <w:rPr>
              <w:rFonts w:ascii="Arial" w:eastAsia="Arial" w:hAnsi="Arial" w:cs="Arial"/>
              <w:sz w:val="20"/>
            </w:rPr>
            <w:t>[Year in Review 2020] The Top 10 Books of 2020 for Entrepreneurs</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F8B8B" w14:textId="77777777" w:rsidR="00054BF0" w:rsidRDefault="00054BF0"/>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91346" w14:textId="77777777" w:rsidR="00054BF0" w:rsidRDefault="00054BF0"/>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3B2AB89A" w14:textId="77777777">
      <w:trPr>
        <w:jc w:val="center"/>
      </w:trPr>
      <w:tc>
        <w:tcPr>
          <w:tcW w:w="10080" w:type="dxa"/>
          <w:vAlign w:val="center"/>
        </w:tcPr>
        <w:p w14:paraId="5579C295"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136C5A53" w14:textId="77777777">
      <w:trPr>
        <w:jc w:val="center"/>
      </w:trPr>
      <w:tc>
        <w:tcPr>
          <w:tcW w:w="10080" w:type="dxa"/>
        </w:tcPr>
        <w:p w14:paraId="70F8CA0D" w14:textId="77777777" w:rsidR="00054BF0" w:rsidRDefault="00000000">
          <w:pPr>
            <w:spacing w:before="60" w:after="200"/>
            <w:jc w:val="center"/>
          </w:pPr>
          <w:r>
            <w:rPr>
              <w:rFonts w:ascii="Arial" w:eastAsia="Arial" w:hAnsi="Arial" w:cs="Arial"/>
              <w:sz w:val="20"/>
            </w:rPr>
            <w:t>SoftBank-backed Oyo to reduce planned IPO amid tech headwinds</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CC4C" w14:textId="77777777" w:rsidR="00054BF0" w:rsidRDefault="00054BF0"/>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CC91C" w14:textId="77777777" w:rsidR="00054BF0" w:rsidRDefault="00054BF0"/>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DCE2D11" w14:textId="77777777">
      <w:trPr>
        <w:jc w:val="center"/>
      </w:trPr>
      <w:tc>
        <w:tcPr>
          <w:tcW w:w="10080" w:type="dxa"/>
          <w:vAlign w:val="center"/>
        </w:tcPr>
        <w:p w14:paraId="42CEACF6"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5385F774" w14:textId="77777777">
      <w:trPr>
        <w:jc w:val="center"/>
      </w:trPr>
      <w:tc>
        <w:tcPr>
          <w:tcW w:w="10080" w:type="dxa"/>
        </w:tcPr>
        <w:p w14:paraId="39A39488" w14:textId="77777777" w:rsidR="00054BF0" w:rsidRDefault="00000000">
          <w:pPr>
            <w:spacing w:before="60" w:after="200"/>
            <w:jc w:val="center"/>
          </w:pPr>
          <w:r>
            <w:rPr>
              <w:rFonts w:ascii="Arial" w:eastAsia="Arial" w:hAnsi="Arial" w:cs="Arial"/>
              <w:sz w:val="20"/>
            </w:rPr>
            <w:t>SoftBank-backed Oyo to reduce planned IPO amid tech headwinds</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C0467" w14:textId="77777777" w:rsidR="00054BF0" w:rsidRDefault="00054BF0"/>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8874" w14:textId="77777777" w:rsidR="00054BF0" w:rsidRDefault="00054BF0"/>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79CC77EC" w14:textId="77777777">
      <w:trPr>
        <w:jc w:val="center"/>
      </w:trPr>
      <w:tc>
        <w:tcPr>
          <w:tcW w:w="10080" w:type="dxa"/>
          <w:vAlign w:val="center"/>
        </w:tcPr>
        <w:p w14:paraId="76C4DFD9"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066E1287" w14:textId="77777777">
      <w:trPr>
        <w:jc w:val="center"/>
      </w:trPr>
      <w:tc>
        <w:tcPr>
          <w:tcW w:w="10080" w:type="dxa"/>
        </w:tcPr>
        <w:p w14:paraId="34218EBF" w14:textId="77777777" w:rsidR="00054BF0" w:rsidRDefault="00000000">
          <w:pPr>
            <w:spacing w:before="60" w:after="200"/>
            <w:jc w:val="center"/>
          </w:pPr>
          <w:r>
            <w:rPr>
              <w:rFonts w:ascii="Arial" w:eastAsia="Arial" w:hAnsi="Arial" w:cs="Arial"/>
              <w:sz w:val="20"/>
            </w:rPr>
            <w:t>Oyo to reduce planned IPO amid tech headwinds</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646A" w14:textId="77777777" w:rsidR="00054BF0" w:rsidRDefault="00054BF0"/>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38FDF" w14:textId="77777777" w:rsidR="00054BF0" w:rsidRDefault="00054BF0"/>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0A5B71A1" w14:textId="77777777">
      <w:trPr>
        <w:jc w:val="center"/>
      </w:trPr>
      <w:tc>
        <w:tcPr>
          <w:tcW w:w="10080" w:type="dxa"/>
          <w:vAlign w:val="center"/>
        </w:tcPr>
        <w:p w14:paraId="55CBE6A0" w14:textId="77777777"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054BF0" w14:paraId="60AD45F4" w14:textId="77777777">
      <w:trPr>
        <w:jc w:val="center"/>
      </w:trPr>
      <w:tc>
        <w:tcPr>
          <w:tcW w:w="10080" w:type="dxa"/>
        </w:tcPr>
        <w:p w14:paraId="7122D75F" w14:textId="77777777" w:rsidR="00054BF0" w:rsidRDefault="00000000">
          <w:pPr>
            <w:spacing w:before="60" w:after="200"/>
            <w:jc w:val="center"/>
          </w:pPr>
          <w:r>
            <w:rPr>
              <w:rFonts w:ascii="Arial" w:eastAsia="Arial" w:hAnsi="Arial" w:cs="Arial"/>
              <w:sz w:val="20"/>
            </w:rPr>
            <w:t>ஸ்டார்ட்அப் நிறுவனங்களுக்கு கோகுல் ராஜாராம் எச்சரிக்கை.. அடுத்த 9 மாதம் ரிஸ்க் தான்..!</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DB036" w14:textId="77777777" w:rsidR="00054BF0" w:rsidRDefault="00054BF0"/>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EB83" w14:textId="77777777" w:rsidR="00054BF0" w:rsidRDefault="00054BF0"/>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54BF0" w14:paraId="4494100D" w14:textId="77777777">
      <w:trPr>
        <w:jc w:val="center"/>
      </w:trPr>
      <w:tc>
        <w:tcPr>
          <w:tcW w:w="10080" w:type="dxa"/>
          <w:vAlign w:val="center"/>
        </w:tcPr>
        <w:p w14:paraId="69F70552" w14:textId="2BEF2F52" w:rsidR="00054BF0"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2C1F71">
            <w:rPr>
              <w:rFonts w:ascii="Arial" w:eastAsia="Arial" w:hAnsi="Arial" w:cs="Arial"/>
              <w:noProof/>
              <w:sz w:val="20"/>
            </w:rPr>
            <w:t>267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2C1F71">
            <w:rPr>
              <w:rFonts w:ascii="Arial" w:eastAsia="Arial" w:hAnsi="Arial" w:cs="Arial"/>
              <w:noProof/>
              <w:sz w:val="20"/>
            </w:rPr>
            <w:t>268</w:t>
          </w:r>
          <w:r>
            <w:rPr>
              <w:rFonts w:ascii="Arial" w:eastAsia="Arial" w:hAnsi="Arial" w:cs="Arial"/>
              <w:sz w:val="20"/>
            </w:rPr>
            <w:fldChar w:fldCharType="end"/>
          </w:r>
        </w:p>
      </w:tc>
    </w:tr>
    <w:tr w:rsidR="00054BF0" w14:paraId="3B64E044" w14:textId="77777777">
      <w:trPr>
        <w:jc w:val="center"/>
      </w:trPr>
      <w:tc>
        <w:tcPr>
          <w:tcW w:w="10080" w:type="dxa"/>
        </w:tcPr>
        <w:p w14:paraId="7F38A6D3" w14:textId="06185E07" w:rsidR="00054BF0" w:rsidRDefault="00000000">
          <w:pPr>
            <w:spacing w:before="60" w:after="200"/>
            <w:jc w:val="center"/>
          </w:pPr>
          <w:r>
            <w:rPr>
              <w:rFonts w:ascii="Arial" w:eastAsia="Arial" w:hAnsi="Arial" w:cs="Arial"/>
              <w:sz w:val="20"/>
            </w:rPr>
            <w:t>Rise in Prevalence of Depression That Boosts the Growth of</w:t>
          </w:r>
          <w:r w:rsidR="00D7477E">
            <w:rPr>
              <w:rFonts w:ascii="Arial" w:eastAsia="Arial" w:hAnsi="Arial" w:cs="Arial"/>
              <w:sz w:val="20"/>
            </w:rPr>
            <w:t xml:space="preserve"> </w:t>
          </w:r>
          <w:r>
            <w:rPr>
              <w:rFonts w:ascii="Arial" w:eastAsia="Arial" w:hAnsi="Arial" w:cs="Arial"/>
              <w:sz w:val="20"/>
            </w:rPr>
            <w:t>Extremities Reconstruction Market in Healthcare Industry</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C09BE" w14:textId="77777777" w:rsidR="00054BF0" w:rsidRDefault="00054BF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20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KzMDc3MDExMzUzNjFS0lEKTi0uzszPAymwqAUA+8MDeCwAAAA="/>
  </w:docVars>
  <w:rsids>
    <w:rsidRoot w:val="00A77B3E"/>
    <w:rsid w:val="00030125"/>
    <w:rsid w:val="00054BF0"/>
    <w:rsid w:val="00093E70"/>
    <w:rsid w:val="001519AA"/>
    <w:rsid w:val="002623BD"/>
    <w:rsid w:val="002C1F71"/>
    <w:rsid w:val="004B0E21"/>
    <w:rsid w:val="005A6F45"/>
    <w:rsid w:val="005B3D4B"/>
    <w:rsid w:val="007C1AE5"/>
    <w:rsid w:val="00A540D1"/>
    <w:rsid w:val="00A77B3E"/>
    <w:rsid w:val="00AA6FDF"/>
    <w:rsid w:val="00BE2275"/>
    <w:rsid w:val="00C917D8"/>
    <w:rsid w:val="00CA2A55"/>
    <w:rsid w:val="00D7477E"/>
    <w:rsid w:val="00DA1FF3"/>
    <w:rsid w:val="00E42F45"/>
    <w:rsid w:val="00F32C50"/>
    <w:rsid w:val="00F6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05"/>
    <o:shapelayout v:ext="edit">
      <o:idmap v:ext="edit" data="2"/>
    </o:shapelayout>
  </w:shapeDefaults>
  <w:decimalSymbol w:val="."/>
  <w:listSeparator w:val=","/>
  <w14:docId w14:val="22C2555A"/>
  <w15:docId w15:val="{F1D841D6-CCAE-4BA8-A33F-BEA289F3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540D1"/>
    <w:pPr>
      <w:tabs>
        <w:tab w:val="center" w:pos="4680"/>
        <w:tab w:val="right" w:pos="9360"/>
      </w:tabs>
    </w:pPr>
  </w:style>
  <w:style w:type="character" w:customStyle="1" w:styleId="HeaderChar">
    <w:name w:val="Header Char"/>
    <w:basedOn w:val="DefaultParagraphFont"/>
    <w:link w:val="Header"/>
    <w:rsid w:val="00A540D1"/>
    <w:rPr>
      <w:sz w:val="24"/>
      <w:szCs w:val="24"/>
    </w:rPr>
  </w:style>
  <w:style w:type="paragraph" w:styleId="Footer">
    <w:name w:val="footer"/>
    <w:basedOn w:val="Normal"/>
    <w:link w:val="FooterChar"/>
    <w:rsid w:val="00A540D1"/>
    <w:pPr>
      <w:tabs>
        <w:tab w:val="center" w:pos="4680"/>
        <w:tab w:val="right" w:pos="9360"/>
      </w:tabs>
    </w:pPr>
  </w:style>
  <w:style w:type="character" w:customStyle="1" w:styleId="FooterChar">
    <w:name w:val="Footer Char"/>
    <w:basedOn w:val="DefaultParagraphFont"/>
    <w:link w:val="Footer"/>
    <w:rsid w:val="00A540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jns.org/opinion/should-american-jews-intervene-to-stop-netanyahu/" TargetMode="External"/><Relationship Id="rId21" Type="http://schemas.openxmlformats.org/officeDocument/2006/relationships/hyperlink" Target="https://advance.lexis.com/api/document?id=urn:contentItem:65FB-6N91-DYDW-70D7-00000-00&amp;idtype=PID&amp;context=1516831" TargetMode="External"/><Relationship Id="rId324" Type="http://schemas.openxmlformats.org/officeDocument/2006/relationships/footer" Target="footer44.xml"/><Relationship Id="rId531" Type="http://schemas.openxmlformats.org/officeDocument/2006/relationships/header" Target="header99.xml"/><Relationship Id="rId629" Type="http://schemas.openxmlformats.org/officeDocument/2006/relationships/hyperlink" Target="http://ct.moreover.com/?a=50388127670&amp;p=2a4&amp;v=1&amp;x=U6kFPySX5U_v2rSKfNRiZA" TargetMode="External"/><Relationship Id="rId170" Type="http://schemas.openxmlformats.org/officeDocument/2006/relationships/header" Target="header4.xml"/><Relationship Id="rId268" Type="http://schemas.openxmlformats.org/officeDocument/2006/relationships/hyperlink" Target="https://www.linkedin.com/pulse/pakistani-startups-have-arrived-whats-ahead-aatif-awan/" TargetMode="External"/><Relationship Id="rId475" Type="http://schemas.openxmlformats.org/officeDocument/2006/relationships/hyperlink" Target="mailto:oira_submission@omb.eop.gov" TargetMode="External"/><Relationship Id="rId32" Type="http://schemas.openxmlformats.org/officeDocument/2006/relationships/hyperlink" Target="https://advance.lexis.com/api/document?id=urn:contentItem:5TDN-NKW1-J9XT-P3Y9-00000-00&amp;idtype=PID&amp;context=1516831" TargetMode="External"/><Relationship Id="rId128" Type="http://schemas.openxmlformats.org/officeDocument/2006/relationships/hyperlink" Target="https://t.co/FLzyMKmNV2" TargetMode="External"/><Relationship Id="rId335" Type="http://schemas.openxmlformats.org/officeDocument/2006/relationships/hyperlink" Target="https://advance.lexis.com/api/document?collection=news&amp;id=urn:contentItem:6734-YG31-F12F-F224-00000-00&amp;context=1516831" TargetMode="External"/><Relationship Id="rId542" Type="http://schemas.openxmlformats.org/officeDocument/2006/relationships/header" Target="header104.xml"/><Relationship Id="rId181" Type="http://schemas.openxmlformats.org/officeDocument/2006/relationships/footer" Target="footer9.xml"/><Relationship Id="rId402" Type="http://schemas.openxmlformats.org/officeDocument/2006/relationships/hyperlink" Target="https://advance.lexis.com/api/document?collection=news&amp;id=urn:contentItem:620X-WS71-JDKC-R2BR-00000-00&amp;context=1516831" TargetMode="External"/><Relationship Id="rId279" Type="http://schemas.openxmlformats.org/officeDocument/2006/relationships/hyperlink" Target="https://www.linkedin.com/pulse/pakistani-startups-have-arrived-whats-ahead-aatif-awan/" TargetMode="External"/><Relationship Id="rId486" Type="http://schemas.openxmlformats.org/officeDocument/2006/relationships/hyperlink" Target="https://advance.lexis.com/api/document?collection=news&amp;id=urn:contentItem:5T5N-7VH1-JB5M-W3J8-00000-00&amp;context=1516831" TargetMode="External"/><Relationship Id="rId43" Type="http://schemas.openxmlformats.org/officeDocument/2006/relationships/hyperlink" Target="https://advance.lexis.com/api/document?id=urn:contentItem:609J-PTV1-JDKC-R0WX-00000-00&amp;idtype=PID&amp;context=1516831" TargetMode="External"/><Relationship Id="rId139" Type="http://schemas.openxmlformats.org/officeDocument/2006/relationships/hyperlink" Target="https://t.co/u86Ey3qAVw" TargetMode="External"/><Relationship Id="rId346" Type="http://schemas.openxmlformats.org/officeDocument/2006/relationships/hyperlink" Target="https://advance.lexis.com/api/document?collection=news&amp;id=urn:contentItem:5V9D-X6T1-DXMP-K119-00000-00&amp;context=1516831" TargetMode="External"/><Relationship Id="rId553" Type="http://schemas.openxmlformats.org/officeDocument/2006/relationships/footer" Target="footer108.xml"/><Relationship Id="rId192" Type="http://schemas.openxmlformats.org/officeDocument/2006/relationships/hyperlink" Target="https://advance.lexis.com/api/document?collection=news&amp;id=urn:contentItem:5VVJ-M9D1-JB5M-W387-00000-00&amp;context=1516831" TargetMode="External"/><Relationship Id="rId206" Type="http://schemas.openxmlformats.org/officeDocument/2006/relationships/header" Target="header18.xml"/><Relationship Id="rId413" Type="http://schemas.openxmlformats.org/officeDocument/2006/relationships/header" Target="header67.xml"/><Relationship Id="rId497" Type="http://schemas.openxmlformats.org/officeDocument/2006/relationships/footer" Target="footer87.xml"/><Relationship Id="rId620" Type="http://schemas.openxmlformats.org/officeDocument/2006/relationships/header" Target="header131.xml"/><Relationship Id="rId357" Type="http://schemas.openxmlformats.org/officeDocument/2006/relationships/hyperlink" Target="https://advance.lexis.com/api/document?collection=news&amp;id=urn:contentItem:60B0-B131-JDKC-R2F6-00000-00&amp;context=1516831" TargetMode="External"/><Relationship Id="rId54" Type="http://schemas.openxmlformats.org/officeDocument/2006/relationships/hyperlink" Target="https://advance.lexis.com/api/document?id=urn:contentItem:635R-XS81-F04Y-T048-00000-00&amp;idtype=PID&amp;context=1516831" TargetMode="External"/><Relationship Id="rId217" Type="http://schemas.openxmlformats.org/officeDocument/2006/relationships/header" Target="header22.xml"/><Relationship Id="rId564" Type="http://schemas.openxmlformats.org/officeDocument/2006/relationships/hyperlink" Target="https://advance.lexis.com/api/document?collection=news&amp;id=urn:contentItem:64MS-8MY1-JDKC-R4B2-00000-00&amp;context=1516831" TargetMode="External"/><Relationship Id="rId424" Type="http://schemas.openxmlformats.org/officeDocument/2006/relationships/header" Target="header72.xml"/><Relationship Id="rId631" Type="http://schemas.openxmlformats.org/officeDocument/2006/relationships/header" Target="header133.xml"/><Relationship Id="rId270" Type="http://schemas.openxmlformats.org/officeDocument/2006/relationships/hyperlink" Target="https://www.linkedin.com/pulse/pakistani-startups-have-arrived-whats-ahead-aatif-awan/" TargetMode="External"/><Relationship Id="rId65" Type="http://schemas.openxmlformats.org/officeDocument/2006/relationships/hyperlink" Target="https://advance.lexis.com/api/document?id=urn:contentItem:6123-8RB1-JBMY-H1F5-00000-00&amp;idtype=PID&amp;context=1516831" TargetMode="External"/><Relationship Id="rId130" Type="http://schemas.openxmlformats.org/officeDocument/2006/relationships/hyperlink" Target="https://t.co/QfiRhLOJks" TargetMode="External"/><Relationship Id="rId368" Type="http://schemas.openxmlformats.org/officeDocument/2006/relationships/hyperlink" Target="https://advance.lexis.com/api/document?collection=news&amp;id=urn:contentItem:609J-PTV1-JDKC-R0WX-00000-00&amp;context=1516831" TargetMode="External"/><Relationship Id="rId575" Type="http://schemas.openxmlformats.org/officeDocument/2006/relationships/hyperlink" Target="https://www.myyogateacher.com/'" TargetMode="External"/><Relationship Id="rId228" Type="http://schemas.openxmlformats.org/officeDocument/2006/relationships/header" Target="header27.xml"/><Relationship Id="rId435" Type="http://schemas.openxmlformats.org/officeDocument/2006/relationships/footer" Target="footer76.xml"/><Relationship Id="rId642" Type="http://schemas.openxmlformats.org/officeDocument/2006/relationships/hyperlink" Target="https://www.factmr.com/checkout/252/S" TargetMode="External"/><Relationship Id="rId281" Type="http://schemas.openxmlformats.org/officeDocument/2006/relationships/hyperlink" Target="https://www.worldbank.org/en/news/feature/2016/02/08/what-will-it-take-for-pakistan-to-achieve-financial-inclusion" TargetMode="External"/><Relationship Id="rId502" Type="http://schemas.openxmlformats.org/officeDocument/2006/relationships/hyperlink" Target="https://advance.lexis.com/api/document?collection=news&amp;id=urn:contentItem:6041-6BN1-F00C-621R-00000-00&amp;context=1516831" TargetMode="External"/><Relationship Id="rId76" Type="http://schemas.openxmlformats.org/officeDocument/2006/relationships/hyperlink" Target="https://advance.lexis.com/api/document?id=urn:contentItem:673D-73K1-DXMP-K4RH-00000-00&amp;idtype=PID&amp;context=1516831" TargetMode="External"/><Relationship Id="rId141" Type="http://schemas.openxmlformats.org/officeDocument/2006/relationships/hyperlink" Target="https://camera-uk.org/2023/03/02/bbc-ws-radio-tries-to-explain-the-lions-den-part-one/" TargetMode="External"/><Relationship Id="rId379" Type="http://schemas.openxmlformats.org/officeDocument/2006/relationships/image" Target="media/image6.png"/><Relationship Id="rId586" Type="http://schemas.openxmlformats.org/officeDocument/2006/relationships/hyperlink" Target="https://advance.lexis.com/api/document?collection=news&amp;id=urn:contentItem:67W4-90V1-F07F-819G-00000-00&amp;context=1516831" TargetMode="External"/><Relationship Id="rId7" Type="http://schemas.openxmlformats.org/officeDocument/2006/relationships/hyperlink" Target="https://advance.lexis.com/api/document?id=urn:contentItem:67P6-1CR1-JCMN-Y491-00000-00&amp;idtype=PID&amp;context=1516831" TargetMode="External"/><Relationship Id="rId239" Type="http://schemas.openxmlformats.org/officeDocument/2006/relationships/image" Target="media/image4.png"/><Relationship Id="rId446" Type="http://schemas.openxmlformats.org/officeDocument/2006/relationships/hyperlink" Target="https://www.epa.gov/stationary-sources-air-pollution/plywood-and-composite-wood-products-manufacture-national-emission" TargetMode="External"/><Relationship Id="rId653" Type="http://schemas.openxmlformats.org/officeDocument/2006/relationships/hyperlink" Target="https://www.factmr.com/checkout/252/S" TargetMode="External"/><Relationship Id="rId292" Type="http://schemas.openxmlformats.org/officeDocument/2006/relationships/hyperlink" Target="https://e27.co" TargetMode="External"/><Relationship Id="rId306" Type="http://schemas.openxmlformats.org/officeDocument/2006/relationships/footer" Target="footer38.xml"/><Relationship Id="rId87" Type="http://schemas.openxmlformats.org/officeDocument/2006/relationships/hyperlink" Target="https://advance.lexis.com/api/document?id=urn:contentItem:67W4-YGV1-F07F-82FB-00000-00&amp;idtype=PID&amp;context=1516831" TargetMode="External"/><Relationship Id="rId513" Type="http://schemas.openxmlformats.org/officeDocument/2006/relationships/footer" Target="footer92.xml"/><Relationship Id="rId597" Type="http://schemas.openxmlformats.org/officeDocument/2006/relationships/footer" Target="footer122.xml"/><Relationship Id="rId152" Type="http://schemas.openxmlformats.org/officeDocument/2006/relationships/hyperlink" Target="https://twitter.com/TizzyEnt/status/1631363277086154752?ref_src=twsrc%5Etfw" TargetMode="External"/><Relationship Id="rId457" Type="http://schemas.openxmlformats.org/officeDocument/2006/relationships/hyperlink" Target="https://www.epa.gov/dockets/commenting-epa-dockets" TargetMode="External"/><Relationship Id="rId14" Type="http://schemas.openxmlformats.org/officeDocument/2006/relationships/hyperlink" Target="https://advance.lexis.com/api/document?id=urn:contentItem:5VVJ-M9D1-JB5M-W387-00000-00&amp;idtype=PID&amp;context=1516831" TargetMode="External"/><Relationship Id="rId317" Type="http://schemas.openxmlformats.org/officeDocument/2006/relationships/footer" Target="footer42.xml"/><Relationship Id="rId524" Type="http://schemas.openxmlformats.org/officeDocument/2006/relationships/header" Target="header96.xml"/><Relationship Id="rId98" Type="http://schemas.openxmlformats.org/officeDocument/2006/relationships/header" Target="header1.xml"/><Relationship Id="rId163" Type="http://schemas.openxmlformats.org/officeDocument/2006/relationships/hyperlink" Target="https://www.algemeiner.com/2023/03/03/filmmaker-steven-spielberg-says-rise-in-us-antisemitism-is-raising-its-ugly-head/" TargetMode="External"/><Relationship Id="rId370" Type="http://schemas.openxmlformats.org/officeDocument/2006/relationships/hyperlink" Target="https://advance.lexis.com/api/document?collection=news&amp;id=urn:contentItem:609J-PTV1-JDKC-R0WX-00000-00&amp;context=1516831" TargetMode="External"/><Relationship Id="rId230" Type="http://schemas.openxmlformats.org/officeDocument/2006/relationships/hyperlink" Target="https://advance.lexis.com/api/document?collection=news&amp;id=urn:contentItem:5XB5-8H01-JDKC-R1XV-00000-00&amp;context=1516831" TargetMode="External"/><Relationship Id="rId468" Type="http://schemas.openxmlformats.org/officeDocument/2006/relationships/hyperlink" Target="https://www.epa.gov/fera/dose-response-assessment-assessing-health-risks-associated-exposure-hazardous-air-pollutants.c" TargetMode="External"/><Relationship Id="rId25" Type="http://schemas.openxmlformats.org/officeDocument/2006/relationships/hyperlink" Target="https://advance.lexis.com/api/document?id=urn:contentItem:5WFF-CXN1-DYDW-73X7-00000-00&amp;idtype=PID&amp;context=1516831" TargetMode="External"/><Relationship Id="rId328" Type="http://schemas.openxmlformats.org/officeDocument/2006/relationships/hyperlink" Target="https://advance.lexis.com/api/document?collection=news&amp;id=urn:contentItem:5TG7-17H1-JB5M-W2NF-00000-00&amp;context=1516831" TargetMode="External"/><Relationship Id="rId535" Type="http://schemas.openxmlformats.org/officeDocument/2006/relationships/header" Target="header101.xml"/><Relationship Id="rId174" Type="http://schemas.openxmlformats.org/officeDocument/2006/relationships/header" Target="header6.xml"/><Relationship Id="rId381" Type="http://schemas.openxmlformats.org/officeDocument/2006/relationships/hyperlink" Target="https://www.regulations.gov/" TargetMode="External"/><Relationship Id="rId602" Type="http://schemas.openxmlformats.org/officeDocument/2006/relationships/hyperlink" Target="http://ct.moreover.com/?a=50358180964&amp;p=2a4&amp;v=1&amp;x=Ip7XeIRBgsTfJtXvPlP35Q" TargetMode="External"/><Relationship Id="rId241" Type="http://schemas.openxmlformats.org/officeDocument/2006/relationships/header" Target="header32.xml"/><Relationship Id="rId479" Type="http://schemas.openxmlformats.org/officeDocument/2006/relationships/hyperlink" Target="https://cdx.epa.gov/" TargetMode="External"/><Relationship Id="rId36" Type="http://schemas.openxmlformats.org/officeDocument/2006/relationships/hyperlink" Target="https://advance.lexis.com/api/document?id=urn:contentItem:5TG7-17H1-JB5M-W2NF-00000-00&amp;idtype=PID&amp;context=1516831" TargetMode="External"/><Relationship Id="rId339" Type="http://schemas.openxmlformats.org/officeDocument/2006/relationships/header" Target="header49.xml"/><Relationship Id="rId546" Type="http://schemas.openxmlformats.org/officeDocument/2006/relationships/footer" Target="footer106.xml"/><Relationship Id="rId101" Type="http://schemas.openxmlformats.org/officeDocument/2006/relationships/footer" Target="footer3.xml"/><Relationship Id="rId185" Type="http://schemas.openxmlformats.org/officeDocument/2006/relationships/hyperlink" Target="mailto:Sribala.Vadlapatla@timesgroup.com" TargetMode="External"/><Relationship Id="rId406" Type="http://schemas.openxmlformats.org/officeDocument/2006/relationships/footer" Target="footer65.xml"/><Relationship Id="rId392" Type="http://schemas.openxmlformats.org/officeDocument/2006/relationships/hyperlink" Target="https://cdx.epa.gov/" TargetMode="External"/><Relationship Id="rId613" Type="http://schemas.openxmlformats.org/officeDocument/2006/relationships/footer" Target="footer128.xml"/><Relationship Id="rId252" Type="http://schemas.openxmlformats.org/officeDocument/2006/relationships/hyperlink" Target="https://www.businesstoday.in/entrepreneurship/news/story/indian-startups-raised-84-bn-in-q1-2022-india-ranks-4th-globally-with-96-unicorns-328859-2022-04-06" TargetMode="External"/><Relationship Id="rId47" Type="http://schemas.openxmlformats.org/officeDocument/2006/relationships/hyperlink" Target="https://advance.lexis.com/api/document?id=urn:contentItem:620X-WS71-JDKC-R2BR-00000-00&amp;idtype=PID&amp;context=1516831" TargetMode="External"/><Relationship Id="rId112" Type="http://schemas.openxmlformats.org/officeDocument/2006/relationships/hyperlink" Target="https://t.co/u86Ey3qAVw" TargetMode="External"/><Relationship Id="rId557" Type="http://schemas.openxmlformats.org/officeDocument/2006/relationships/hyperlink" Target="mailto:contentservices@htlive.com" TargetMode="External"/><Relationship Id="rId196" Type="http://schemas.openxmlformats.org/officeDocument/2006/relationships/header" Target="header14.xml"/><Relationship Id="rId417" Type="http://schemas.openxmlformats.org/officeDocument/2006/relationships/header" Target="header69.xml"/><Relationship Id="rId624" Type="http://schemas.openxmlformats.org/officeDocument/2006/relationships/footer" Target="footer133.xml"/><Relationship Id="rId263" Type="http://schemas.openxmlformats.org/officeDocument/2006/relationships/hyperlink" Target="https://www.dawn.com/news/1670432" TargetMode="External"/><Relationship Id="rId470" Type="http://schemas.openxmlformats.org/officeDocument/2006/relationships/hyperlink" Target="https://www.epa.gov/sites/production/files/2013-08/documents/volume_1_reflibrary.pdf" TargetMode="External"/><Relationship Id="rId58" Type="http://schemas.openxmlformats.org/officeDocument/2006/relationships/hyperlink" Target="https://advance.lexis.com/api/document?id=urn:contentItem:5X0S-X7D1-JDG9-Y2YM-00000-00&amp;idtype=PID&amp;context=1516831" TargetMode="External"/><Relationship Id="rId123" Type="http://schemas.openxmlformats.org/officeDocument/2006/relationships/hyperlink" Target="https://t.co/dySbiSVkBH" TargetMode="External"/><Relationship Id="rId330" Type="http://schemas.openxmlformats.org/officeDocument/2006/relationships/header" Target="header47.xml"/><Relationship Id="rId568" Type="http://schemas.openxmlformats.org/officeDocument/2006/relationships/footer" Target="footer113.xml"/><Relationship Id="rId165" Type="http://schemas.openxmlformats.org/officeDocument/2006/relationships/hyperlink" Target="https://t.co/ZGMmnVEFMZ" TargetMode="External"/><Relationship Id="rId372" Type="http://schemas.openxmlformats.org/officeDocument/2006/relationships/header" Target="header58.xml"/><Relationship Id="rId428" Type="http://schemas.openxmlformats.org/officeDocument/2006/relationships/hyperlink" Target="https://menafn.com/updates/pr/2021-07/19/pr_12879_d9b6d4bf_image_story.jpeg" TargetMode="External"/><Relationship Id="rId635" Type="http://schemas.openxmlformats.org/officeDocument/2006/relationships/header" Target="header135.xml"/><Relationship Id="rId232" Type="http://schemas.openxmlformats.org/officeDocument/2006/relationships/header" Target="header28.xml"/><Relationship Id="rId274" Type="http://schemas.openxmlformats.org/officeDocument/2006/relationships/hyperlink" Target="https://techcrunch.com/2021/08/17/pakistans-airlift-raises-85-million-for-its-quick-commerce-startup-eyes-international-expansion/" TargetMode="External"/><Relationship Id="rId481" Type="http://schemas.openxmlformats.org/officeDocument/2006/relationships/header" Target="header80.xml"/><Relationship Id="rId27" Type="http://schemas.openxmlformats.org/officeDocument/2006/relationships/hyperlink" Target="https://advance.lexis.com/api/document?id=urn:contentItem:65G5-NXF1-JCMN-Y3PN-00000-00&amp;idtype=PID&amp;context=1516831" TargetMode="External"/><Relationship Id="rId69" Type="http://schemas.openxmlformats.org/officeDocument/2006/relationships/hyperlink" Target="https://advance.lexis.com/api/document?id=urn:contentItem:5YJF-KG91-JBMY-H2C6-00000-00&amp;idtype=PID&amp;context=1516831" TargetMode="External"/><Relationship Id="rId134" Type="http://schemas.openxmlformats.org/officeDocument/2006/relationships/hyperlink" Target="https://twitter.com/habibi_uk/status/1631379578290688000?ref_src=twsrc%5Etfw" TargetMode="External"/><Relationship Id="rId537" Type="http://schemas.openxmlformats.org/officeDocument/2006/relationships/footer" Target="footer102.xml"/><Relationship Id="rId579" Type="http://schemas.openxmlformats.org/officeDocument/2006/relationships/hyperlink" Target="https://vator.tv/news/2021-01-25-meet-chun-xia-founding-partner-at-tsvc" TargetMode="External"/><Relationship Id="rId80" Type="http://schemas.openxmlformats.org/officeDocument/2006/relationships/hyperlink" Target="https://advance.lexis.com/api/document?id=urn:contentItem:64MS-8MY1-JDKC-R4B2-00000-00&amp;idtype=PID&amp;context=1516831" TargetMode="External"/><Relationship Id="rId176" Type="http://schemas.openxmlformats.org/officeDocument/2006/relationships/hyperlink" Target="https://advance.lexis.com/api/document?collection=news&amp;id=urn:contentItem:5TW9-XGV1-JBYT-H2DJ-00000-00&amp;context=1516831" TargetMode="External"/><Relationship Id="rId341" Type="http://schemas.openxmlformats.org/officeDocument/2006/relationships/footer" Target="footer50.xml"/><Relationship Id="rId383" Type="http://schemas.openxmlformats.org/officeDocument/2006/relationships/hyperlink" Target="mailto:hanks.katie@epa.gov" TargetMode="External"/><Relationship Id="rId439" Type="http://schemas.openxmlformats.org/officeDocument/2006/relationships/header" Target="header76.xml"/><Relationship Id="rId590" Type="http://schemas.openxmlformats.org/officeDocument/2006/relationships/footer" Target="footer119.xml"/><Relationship Id="rId604" Type="http://schemas.openxmlformats.org/officeDocument/2006/relationships/header" Target="header125.xml"/><Relationship Id="rId646" Type="http://schemas.openxmlformats.org/officeDocument/2006/relationships/hyperlink" Target="http://www.sbwire.com/press-releases/rise-in-prevalence-of-depression-that-boosts-the-growth-of-extremities-reconstruction-market-in-healthcare-industry-1152121.htm" TargetMode="External"/><Relationship Id="rId201" Type="http://schemas.openxmlformats.org/officeDocument/2006/relationships/hyperlink" Target="https://advance.lexis.com/api/document?collection=news&amp;id=urn:contentItem:63MT-88Y1-JB5M-W53M-00000-00&amp;context=1516831" TargetMode="External"/><Relationship Id="rId243" Type="http://schemas.openxmlformats.org/officeDocument/2006/relationships/footer" Target="footer33.xml"/><Relationship Id="rId285" Type="http://schemas.openxmlformats.org/officeDocument/2006/relationships/hyperlink" Target="https://e27.co/gobi-backed-pakistani-startup-airlift-raises-us12m-series-a-led-by-uber-investor-first-round-capital-20191104" TargetMode="External"/><Relationship Id="rId450" Type="http://schemas.openxmlformats.org/officeDocument/2006/relationships/hyperlink" Target="mailto:hanks.katie@epa.gov" TargetMode="External"/><Relationship Id="rId506" Type="http://schemas.openxmlformats.org/officeDocument/2006/relationships/footer" Target="footer90.xml"/><Relationship Id="rId38" Type="http://schemas.openxmlformats.org/officeDocument/2006/relationships/hyperlink" Target="https://advance.lexis.com/api/document?id=urn:contentItem:6734-YG31-F12F-F224-00000-00&amp;idtype=PID&amp;context=1516831" TargetMode="External"/><Relationship Id="rId103" Type="http://schemas.openxmlformats.org/officeDocument/2006/relationships/footer" Target="footer4.xml"/><Relationship Id="rId310" Type="http://schemas.openxmlformats.org/officeDocument/2006/relationships/hyperlink" Target="https://advance.lexis.com/api/document?collection=news&amp;id=urn:contentItem:5TDN-NKW1-J9XT-P3Y9-00000-00&amp;context=1516831" TargetMode="External"/><Relationship Id="rId492" Type="http://schemas.openxmlformats.org/officeDocument/2006/relationships/footer" Target="footer85.xml"/><Relationship Id="rId548" Type="http://schemas.openxmlformats.org/officeDocument/2006/relationships/hyperlink" Target="https://advance.lexis.com/api/document?collection=news&amp;id=urn:contentItem:673D-73K1-DXMP-K4RH-00000-00&amp;context=1516831" TargetMode="External"/><Relationship Id="rId91" Type="http://schemas.openxmlformats.org/officeDocument/2006/relationships/hyperlink" Target="https://advance.lexis.com/api/document?id=urn:contentItem:67W4-FN51-JCSC-J17G-00000-00&amp;idtype=PID&amp;context=1516831" TargetMode="External"/><Relationship Id="rId145" Type="http://schemas.openxmlformats.org/officeDocument/2006/relationships/hyperlink" Target="https://www.rollingstone.com/music/music-features/hate-music-spotify-hitler-radio-1234689239/" TargetMode="External"/><Relationship Id="rId187" Type="http://schemas.openxmlformats.org/officeDocument/2006/relationships/header" Target="header11.xml"/><Relationship Id="rId352" Type="http://schemas.openxmlformats.org/officeDocument/2006/relationships/footer" Target="footer53.xml"/><Relationship Id="rId394" Type="http://schemas.openxmlformats.org/officeDocument/2006/relationships/hyperlink" Target="https://www.epa.gov/electronic-reporting-air-emissions/electronic-reporting-tool-ert" TargetMode="External"/><Relationship Id="rId408" Type="http://schemas.openxmlformats.org/officeDocument/2006/relationships/header" Target="header66.xml"/><Relationship Id="rId615" Type="http://schemas.openxmlformats.org/officeDocument/2006/relationships/header" Target="header129.xml"/><Relationship Id="rId212" Type="http://schemas.openxmlformats.org/officeDocument/2006/relationships/footer" Target="footer21.xml"/><Relationship Id="rId254" Type="http://schemas.openxmlformats.org/officeDocument/2006/relationships/hyperlink" Target="https://airtable.com/shrsy589UNNLpKHXD/tblhdIGjrR9k0NWHM/viwJ3XTiKVYqEkxxW" TargetMode="External"/><Relationship Id="rId657" Type="http://schemas.openxmlformats.org/officeDocument/2006/relationships/hyperlink" Target="http://www.sbwire.com/press-releases/contact/1152121?utm_source=nt..._medium=feed..._campaign=distribution" TargetMode="External"/><Relationship Id="rId49" Type="http://schemas.openxmlformats.org/officeDocument/2006/relationships/hyperlink" Target="https://advance.lexis.com/api/document?id=urn:contentItem:658N-12G1-JB5M-W0H1-00000-00&amp;idtype=PID&amp;context=1516831" TargetMode="External"/><Relationship Id="rId114" Type="http://schemas.openxmlformats.org/officeDocument/2006/relationships/hyperlink" Target="https://ko-fi.com/elderofziyon" TargetMode="External"/><Relationship Id="rId296" Type="http://schemas.openxmlformats.org/officeDocument/2006/relationships/footer" Target="footer36.xml"/><Relationship Id="rId461" Type="http://schemas.openxmlformats.org/officeDocument/2006/relationships/hyperlink" Target="https://www.regulations.gov" TargetMode="External"/><Relationship Id="rId517" Type="http://schemas.openxmlformats.org/officeDocument/2006/relationships/hyperlink" Target="https://advance.lexis.com/api/document?collection=news&amp;id=urn:contentItem:673D-73K1-DXMP-K4RD-00000-00&amp;context=1516831" TargetMode="External"/><Relationship Id="rId559" Type="http://schemas.openxmlformats.org/officeDocument/2006/relationships/header" Target="header110.xml"/><Relationship Id="rId60" Type="http://schemas.openxmlformats.org/officeDocument/2006/relationships/hyperlink" Target="https://advance.lexis.com/api/document?id=urn:contentItem:5T5N-7VH1-JB5M-W3J8-00000-00&amp;idtype=PID&amp;context=1516831" TargetMode="External"/><Relationship Id="rId156" Type="http://schemas.openxmlformats.org/officeDocument/2006/relationships/hyperlink" Target="https://www.jewishrefugees.org.uk/2023/03/wolf-of-baghdad-launches-teachers-guide.html" TargetMode="External"/><Relationship Id="rId198" Type="http://schemas.openxmlformats.org/officeDocument/2006/relationships/footer" Target="footer15.xml"/><Relationship Id="rId321" Type="http://schemas.openxmlformats.org/officeDocument/2006/relationships/hyperlink" Target="https://advance.lexis.com/api/document?collection=news&amp;id=urn:contentItem:5T88-D901-JB3N-T4RH-00000-00&amp;context=1516831" TargetMode="External"/><Relationship Id="rId363" Type="http://schemas.openxmlformats.org/officeDocument/2006/relationships/footer" Target="footer56.xml"/><Relationship Id="rId419" Type="http://schemas.openxmlformats.org/officeDocument/2006/relationships/hyperlink" Target="https://advance.lexis.com/api/document?collection=news&amp;id=urn:contentItem:5WV2-HPK1-JB20-G2KR-00000-00&amp;context=1516831" TargetMode="External"/><Relationship Id="rId570" Type="http://schemas.openxmlformats.org/officeDocument/2006/relationships/header" Target="header114.xml"/><Relationship Id="rId626" Type="http://schemas.openxmlformats.org/officeDocument/2006/relationships/hyperlink" Target="http://ct.moreover.com/?a=50388127670&amp;p=2a4&amp;v=1&amp;x=U6kFPySX5U_v2rSKfNRiZA" TargetMode="External"/><Relationship Id="rId223" Type="http://schemas.openxmlformats.org/officeDocument/2006/relationships/hyperlink" Target="https://advance.lexis.com/api/document?collection=news&amp;id=urn:contentItem:65FB-6N91-DYDW-70D7-00000-00&amp;context=1516831" TargetMode="External"/><Relationship Id="rId430" Type="http://schemas.openxmlformats.org/officeDocument/2006/relationships/header" Target="header73.xml"/><Relationship Id="rId18" Type="http://schemas.openxmlformats.org/officeDocument/2006/relationships/hyperlink" Target="https://advance.lexis.com/api/document?id=urn:contentItem:5WC8-PRM1-F03R-W410-00000-00&amp;idtype=PID&amp;context=1516831" TargetMode="External"/><Relationship Id="rId265" Type="http://schemas.openxmlformats.org/officeDocument/2006/relationships/hyperlink" Target="https://www.radio.gov.pk/22-02-2022/pm-announces-establishment-of-pakistan-technology-startup-fund" TargetMode="External"/><Relationship Id="rId472" Type="http://schemas.openxmlformats.org/officeDocument/2006/relationships/hyperlink" Target="https://www.epa.gov/stationary-sources-air-pollution/plywood-and-composite-wood-products-manufacture-national-emission" TargetMode="External"/><Relationship Id="rId528" Type="http://schemas.openxmlformats.org/officeDocument/2006/relationships/header" Target="header98.xml"/><Relationship Id="rId125" Type="http://schemas.openxmlformats.org/officeDocument/2006/relationships/hyperlink" Target="https://t.co/NygYd9Pzvt" TargetMode="External"/><Relationship Id="rId167" Type="http://schemas.openxmlformats.org/officeDocument/2006/relationships/hyperlink" Target="https://www.amazon.com/Protocols-Exposing-Antisemitism-Elder-Ziyon/dp/B09RMBX19F/" TargetMode="External"/><Relationship Id="rId332" Type="http://schemas.openxmlformats.org/officeDocument/2006/relationships/footer" Target="footer48.xml"/><Relationship Id="rId374" Type="http://schemas.openxmlformats.org/officeDocument/2006/relationships/footer" Target="footer59.xml"/><Relationship Id="rId581" Type="http://schemas.openxmlformats.org/officeDocument/2006/relationships/header" Target="header116.xml"/><Relationship Id="rId71" Type="http://schemas.openxmlformats.org/officeDocument/2006/relationships/hyperlink" Target="https://advance.lexis.com/api/document?id=urn:contentItem:60MS-RCP1-JBMY-H349-00000-00&amp;idtype=PID&amp;context=1516831" TargetMode="External"/><Relationship Id="rId234" Type="http://schemas.openxmlformats.org/officeDocument/2006/relationships/footer" Target="footer29.xml"/><Relationship Id="rId637" Type="http://schemas.openxmlformats.org/officeDocument/2006/relationships/hyperlink" Target="https://advance.lexis.com/api/document?collection=news&amp;id=urn:contentItem:5VG9-3N91-JCMN-Y4D9-00000-00&amp;context=1516831" TargetMode="External"/><Relationship Id="rId2" Type="http://schemas.openxmlformats.org/officeDocument/2006/relationships/settings" Target="settings.xml"/><Relationship Id="rId29" Type="http://schemas.openxmlformats.org/officeDocument/2006/relationships/hyperlink" Target="https://advance.lexis.com/api/document?id=urn:contentItem:5TDW-YF31-J9XT-P2X3-00000-00&amp;idtype=PID&amp;context=1516831" TargetMode="External"/><Relationship Id="rId276" Type="http://schemas.openxmlformats.org/officeDocument/2006/relationships/hyperlink" Target="https://techcrunch.com/2021/08/17/pakistans-airlift-raises-85-million-for-its-quick-commerce-startup-eyes-international-expansion/" TargetMode="External"/><Relationship Id="rId441" Type="http://schemas.openxmlformats.org/officeDocument/2006/relationships/footer" Target="footer77.xml"/><Relationship Id="rId483" Type="http://schemas.openxmlformats.org/officeDocument/2006/relationships/footer" Target="footer81.xml"/><Relationship Id="rId539" Type="http://schemas.openxmlformats.org/officeDocument/2006/relationships/footer" Target="footer103.xml"/><Relationship Id="rId40" Type="http://schemas.openxmlformats.org/officeDocument/2006/relationships/hyperlink" Target="https://advance.lexis.com/api/document?id=urn:contentItem:5V9D-X6T1-DXMP-K119-00000-00&amp;idtype=PID&amp;context=1516831" TargetMode="External"/><Relationship Id="rId136" Type="http://schemas.openxmlformats.org/officeDocument/2006/relationships/hyperlink" Target="https://t.co/acalnnAaQn" TargetMode="External"/><Relationship Id="rId178" Type="http://schemas.openxmlformats.org/officeDocument/2006/relationships/header" Target="header7.xml"/><Relationship Id="rId301" Type="http://schemas.openxmlformats.org/officeDocument/2006/relationships/hyperlink" Target="https://advance.lexis.com/api/document?collection=news&amp;id=urn:contentItem:5TDW-YF31-J9XT-P2X3-00000-00&amp;context=1516831" TargetMode="External"/><Relationship Id="rId343" Type="http://schemas.openxmlformats.org/officeDocument/2006/relationships/header" Target="header51.xml"/><Relationship Id="rId550" Type="http://schemas.openxmlformats.org/officeDocument/2006/relationships/header" Target="header106.xml"/><Relationship Id="rId82" Type="http://schemas.openxmlformats.org/officeDocument/2006/relationships/hyperlink" Target="https://advance.lexis.com/api/document?id=urn:contentItem:61VH-45M1-F03R-N3G0-00000-00&amp;idtype=PID&amp;context=1516831" TargetMode="External"/><Relationship Id="rId203" Type="http://schemas.openxmlformats.org/officeDocument/2006/relationships/header" Target="header17.xml"/><Relationship Id="rId385" Type="http://schemas.openxmlformats.org/officeDocument/2006/relationships/hyperlink" Target="mailto:cox.john@epa.gov.SUPPLEMENTARY" TargetMode="External"/><Relationship Id="rId592" Type="http://schemas.openxmlformats.org/officeDocument/2006/relationships/header" Target="header120.xml"/><Relationship Id="rId606" Type="http://schemas.openxmlformats.org/officeDocument/2006/relationships/footer" Target="footer126.xml"/><Relationship Id="rId648" Type="http://schemas.openxmlformats.org/officeDocument/2006/relationships/hyperlink" Target="http://www.sbwire.com/?utm_source=nt..._medium=feed..._campaign=distribution" TargetMode="External"/><Relationship Id="rId245" Type="http://schemas.openxmlformats.org/officeDocument/2006/relationships/footer" Target="footer34.xml"/><Relationship Id="rId287" Type="http://schemas.openxmlformats.org/officeDocument/2006/relationships/hyperlink" Target="https://e27.co/gobi-backed-pakistani-startup-airlift-raises-us12m-series-a-led-by-uber-investor-first-round-capital-20191104" TargetMode="External"/><Relationship Id="rId410" Type="http://schemas.openxmlformats.org/officeDocument/2006/relationships/hyperlink" Target="https://advance.lexis.com/api/document?collection=news&amp;id=urn:contentItem:658N-12G1-JB5M-W0H1-00000-00&amp;context=1516831" TargetMode="External"/><Relationship Id="rId452" Type="http://schemas.openxmlformats.org/officeDocument/2006/relationships/hyperlink" Target="mailto:mcginn.kevin@epa.gov" TargetMode="External"/><Relationship Id="rId494" Type="http://schemas.openxmlformats.org/officeDocument/2006/relationships/header" Target="header85.xml"/><Relationship Id="rId508" Type="http://schemas.openxmlformats.org/officeDocument/2006/relationships/footer" Target="footer91.xml"/><Relationship Id="rId105" Type="http://schemas.openxmlformats.org/officeDocument/2006/relationships/hyperlink" Target="http://elderofziyon.blogspot.com" TargetMode="External"/><Relationship Id="rId147" Type="http://schemas.openxmlformats.org/officeDocument/2006/relationships/hyperlink" Target="https://www.euractiv.com/section/politics/news/albania-to-open-holocaust-museum-after-israeli-call-for-europe-to-step-up-antisemitism-fight/" TargetMode="External"/><Relationship Id="rId312" Type="http://schemas.openxmlformats.org/officeDocument/2006/relationships/hyperlink" Target="https://advance.lexis.com/api/document?collection=news&amp;id=urn:contentItem:5TDN-NKW1-J9XT-P3Y9-00000-00&amp;context=1516831" TargetMode="External"/><Relationship Id="rId354" Type="http://schemas.openxmlformats.org/officeDocument/2006/relationships/header" Target="header54.xml"/><Relationship Id="rId51" Type="http://schemas.openxmlformats.org/officeDocument/2006/relationships/hyperlink" Target="https://advance.lexis.com/api/document?id=urn:contentItem:5WV2-HPK1-JB20-G2KR-00000-00&amp;idtype=PID&amp;context=1516831" TargetMode="External"/><Relationship Id="rId93" Type="http://schemas.openxmlformats.org/officeDocument/2006/relationships/hyperlink" Target="https://advance.lexis.com/api/document?id=urn:contentItem:67WX-S6V1-F07F-82R5-00000-00&amp;idtype=PID&amp;context=1516831" TargetMode="External"/><Relationship Id="rId189" Type="http://schemas.openxmlformats.org/officeDocument/2006/relationships/footer" Target="footer12.xml"/><Relationship Id="rId396" Type="http://schemas.openxmlformats.org/officeDocument/2006/relationships/header" Target="header61.xml"/><Relationship Id="rId561" Type="http://schemas.openxmlformats.org/officeDocument/2006/relationships/footer" Target="footer111.xml"/><Relationship Id="rId617" Type="http://schemas.openxmlformats.org/officeDocument/2006/relationships/hyperlink" Target="https://advance.lexis.com/api/document?collection=news&amp;id=urn:contentItem:67W4-FN51-JCSC-J17G-00000-00&amp;context=1516831" TargetMode="External"/><Relationship Id="rId659" Type="http://schemas.openxmlformats.org/officeDocument/2006/relationships/fontTable" Target="fontTable.xml"/><Relationship Id="rId214" Type="http://schemas.openxmlformats.org/officeDocument/2006/relationships/footer" Target="footer22.xml"/><Relationship Id="rId256" Type="http://schemas.openxmlformats.org/officeDocument/2006/relationships/hyperlink" Target="https://www.linkedin.com/search/results/content/?keywords=kalsoom%20lakhani&amp;position=0&amp;searchId=cd8c7940-2576-4418-afba-e8546cc82635&amp;sid=k6%3B&amp;update=urn%3Ali%3Afs_updateV2%3A(urn%3Ali%3Aactivity%3A6915681461404602368%2CBLENDED_SEARCH_FEED%2CEMPTY%2CDEFAULT%2Cfalse)" TargetMode="External"/><Relationship Id="rId298" Type="http://schemas.openxmlformats.org/officeDocument/2006/relationships/footer" Target="footer37.xml"/><Relationship Id="rId421" Type="http://schemas.openxmlformats.org/officeDocument/2006/relationships/header" Target="header71.xml"/><Relationship Id="rId463" Type="http://schemas.openxmlformats.org/officeDocument/2006/relationships/hyperlink" Target="https://www3.epa.gov/ttn/atw/rrisk/rtrpg.html" TargetMode="External"/><Relationship Id="rId519" Type="http://schemas.openxmlformats.org/officeDocument/2006/relationships/hyperlink" Target="https://advance.lexis.com/api/document?collection=news&amp;id=urn:contentItem:673D-73K1-DXMP-K4RD-00000-00&amp;context=1516831" TargetMode="External"/><Relationship Id="rId116" Type="http://schemas.openxmlformats.org/officeDocument/2006/relationships/hyperlink" Target="https://www.thejc.com/news/news/meet-the-brilliant-barrister-battling-lies-about-israel-CTv8ev08aQqC3stUGTOIG" TargetMode="External"/><Relationship Id="rId158" Type="http://schemas.openxmlformats.org/officeDocument/2006/relationships/hyperlink" Target="https://t.co/MygUIPWgK4" TargetMode="External"/><Relationship Id="rId323" Type="http://schemas.openxmlformats.org/officeDocument/2006/relationships/header" Target="header44.xml"/><Relationship Id="rId530" Type="http://schemas.openxmlformats.org/officeDocument/2006/relationships/footer" Target="footer99.xml"/><Relationship Id="rId20" Type="http://schemas.openxmlformats.org/officeDocument/2006/relationships/hyperlink" Target="https://advance.lexis.com/api/document?id=urn:contentItem:61HH-6XP1-JDKC-R3S6-00000-00&amp;idtype=PID&amp;context=1516831" TargetMode="External"/><Relationship Id="rId62" Type="http://schemas.openxmlformats.org/officeDocument/2006/relationships/hyperlink" Target="https://advance.lexis.com/api/document?id=urn:contentItem:5VD2-2NW1-JB3N-T1NP-00000-00&amp;idtype=PID&amp;context=1516831" TargetMode="External"/><Relationship Id="rId365" Type="http://schemas.openxmlformats.org/officeDocument/2006/relationships/header" Target="header57.xml"/><Relationship Id="rId572" Type="http://schemas.openxmlformats.org/officeDocument/2006/relationships/hyperlink" Target="https://advance.lexis.com/api/document?collection=news&amp;id=urn:contentItem:61VH-45M1-F03R-N3G0-00000-00&amp;context=1516831" TargetMode="External"/><Relationship Id="rId628" Type="http://schemas.openxmlformats.org/officeDocument/2006/relationships/hyperlink" Target="http://ct.moreover.com/?a=50388127670&amp;p=2a4&amp;v=1&amp;x=U6kFPySX5U_v2rSKfNRiZA" TargetMode="External"/><Relationship Id="rId225" Type="http://schemas.openxmlformats.org/officeDocument/2006/relationships/header" Target="header26.xml"/><Relationship Id="rId267" Type="http://schemas.openxmlformats.org/officeDocument/2006/relationships/hyperlink" Target="https://www.dawn.com/news/1607367" TargetMode="External"/><Relationship Id="rId432" Type="http://schemas.openxmlformats.org/officeDocument/2006/relationships/footer" Target="footer74.xml"/><Relationship Id="rId474" Type="http://schemas.openxmlformats.org/officeDocument/2006/relationships/hyperlink" Target="https://www.epa.gov/laws-regulations/laws-and-executive-orders.A" TargetMode="External"/><Relationship Id="rId127" Type="http://schemas.openxmlformats.org/officeDocument/2006/relationships/hyperlink" Target="https://t.co/zeZ5iyJ20R" TargetMode="External"/><Relationship Id="rId31" Type="http://schemas.openxmlformats.org/officeDocument/2006/relationships/hyperlink" Target="https://advance.lexis.com/api/document?id=urn:contentItem:5TDN-NKW1-J9XT-P3Y9-00000-00&amp;idtype=PID&amp;context=1516831" TargetMode="External"/><Relationship Id="rId73" Type="http://schemas.openxmlformats.org/officeDocument/2006/relationships/hyperlink" Target="https://advance.lexis.com/api/document?id=urn:contentItem:5RT9-2051-DYDW-70G5-00000-00&amp;idtype=PID&amp;context=1516831" TargetMode="External"/><Relationship Id="rId169" Type="http://schemas.openxmlformats.org/officeDocument/2006/relationships/hyperlink" Target="https://elderofziyon.blogspot.com/2023/03/0303-links-pt2-meet-brilliant-barrister.html" TargetMode="External"/><Relationship Id="rId334" Type="http://schemas.openxmlformats.org/officeDocument/2006/relationships/footer" Target="footer49.xml"/><Relationship Id="rId376" Type="http://schemas.openxmlformats.org/officeDocument/2006/relationships/header" Target="header60.xml"/><Relationship Id="rId541" Type="http://schemas.openxmlformats.org/officeDocument/2006/relationships/header" Target="header103.xml"/><Relationship Id="rId583" Type="http://schemas.openxmlformats.org/officeDocument/2006/relationships/footer" Target="footer117.xml"/><Relationship Id="rId639" Type="http://schemas.openxmlformats.org/officeDocument/2006/relationships/hyperlink" Target="https://www.factmr.com/connectus/sample?flag=S..._id=252" TargetMode="External"/><Relationship Id="rId4" Type="http://schemas.openxmlformats.org/officeDocument/2006/relationships/footnotes" Target="footnotes.xml"/><Relationship Id="rId180" Type="http://schemas.openxmlformats.org/officeDocument/2006/relationships/footer" Target="footer8.xml"/><Relationship Id="rId236" Type="http://schemas.openxmlformats.org/officeDocument/2006/relationships/header" Target="header30.xml"/><Relationship Id="rId278" Type="http://schemas.openxmlformats.org/officeDocument/2006/relationships/hyperlink" Target="https://www.linkedin.com/pulse/pakistani-startups-have-arrived-whats-ahead-aatif-awan/" TargetMode="External"/><Relationship Id="rId401" Type="http://schemas.openxmlformats.org/officeDocument/2006/relationships/footer" Target="footer64.xml"/><Relationship Id="rId443" Type="http://schemas.openxmlformats.org/officeDocument/2006/relationships/header" Target="header78.xml"/><Relationship Id="rId650" Type="http://schemas.openxmlformats.org/officeDocument/2006/relationships/hyperlink" Target="https://www.factmr.com/connectus/sample?flag=S..._id=252" TargetMode="External"/><Relationship Id="rId303" Type="http://schemas.openxmlformats.org/officeDocument/2006/relationships/hyperlink" Target="mailto:editorial@plusmediasolutions.com" TargetMode="External"/><Relationship Id="rId485" Type="http://schemas.openxmlformats.org/officeDocument/2006/relationships/footer" Target="footer82.xml"/><Relationship Id="rId42" Type="http://schemas.openxmlformats.org/officeDocument/2006/relationships/hyperlink" Target="https://advance.lexis.com/api/document?id=urn:contentItem:60B0-B131-JDKC-R2F6-00000-00&amp;idtype=PID&amp;context=1516831" TargetMode="External"/><Relationship Id="rId84" Type="http://schemas.openxmlformats.org/officeDocument/2006/relationships/hyperlink" Target="https://advance.lexis.com/api/document?id=urn:contentItem:67W4-90V1-F07F-819G-00000-00&amp;idtype=PID&amp;context=1516831" TargetMode="External"/><Relationship Id="rId138" Type="http://schemas.openxmlformats.org/officeDocument/2006/relationships/hyperlink" Target="https://twitter.com/HonestReporting/status/1631424887729557504?ref_src=twsrc%5Etfw" TargetMode="External"/><Relationship Id="rId345" Type="http://schemas.openxmlformats.org/officeDocument/2006/relationships/hyperlink" Target="https://advance.lexis.com/api/document?collection=news&amp;id=urn:contentItem:5V9D-X6T1-DXMP-K119-00000-00&amp;context=1516831" TargetMode="External"/><Relationship Id="rId387" Type="http://schemas.openxmlformats.org/officeDocument/2006/relationships/hyperlink" Target="https://www.epa.gov/stationary-sources-air-pollution/risk-and-technology-review-national-emissions-standards-hazardous" TargetMode="External"/><Relationship Id="rId510" Type="http://schemas.openxmlformats.org/officeDocument/2006/relationships/image" Target="media/image8.png"/><Relationship Id="rId552" Type="http://schemas.openxmlformats.org/officeDocument/2006/relationships/footer" Target="footer107.xml"/><Relationship Id="rId594" Type="http://schemas.openxmlformats.org/officeDocument/2006/relationships/hyperlink" Target="https://advance.lexis.com/api/document?collection=news&amp;id=urn:contentItem:61F5-6SM1-JB5M-W4KT-00000-00&amp;context=1516831" TargetMode="External"/><Relationship Id="rId608" Type="http://schemas.openxmlformats.org/officeDocument/2006/relationships/footer" Target="footer127.xml"/><Relationship Id="rId191" Type="http://schemas.openxmlformats.org/officeDocument/2006/relationships/footer" Target="footer13.xml"/><Relationship Id="rId205" Type="http://schemas.openxmlformats.org/officeDocument/2006/relationships/footer" Target="footer18.xml"/><Relationship Id="rId247" Type="http://schemas.openxmlformats.org/officeDocument/2006/relationships/hyperlink" Target="https://advance.lexis.com/api/document?collection=news&amp;id=urn:contentItem:65G5-NXF1-JCMN-Y3PN-00000-00&amp;context=1516831" TargetMode="External"/><Relationship Id="rId412" Type="http://schemas.openxmlformats.org/officeDocument/2006/relationships/hyperlink" Target="https://advance.lexis.com/api/document?collection=news&amp;id=urn:contentItem:658N-12G1-JB5M-W0H1-00000-00&amp;context=1516831" TargetMode="External"/><Relationship Id="rId107" Type="http://schemas.openxmlformats.org/officeDocument/2006/relationships/hyperlink" Target="https://t.co/PT4tMt5PGS" TargetMode="External"/><Relationship Id="rId289" Type="http://schemas.openxmlformats.org/officeDocument/2006/relationships/hyperlink" Target="https://e27.co/pakistan-startups-the-last-massive-untapped-opportunity-globally-20220516" TargetMode="External"/><Relationship Id="rId454" Type="http://schemas.openxmlformats.org/officeDocument/2006/relationships/hyperlink" Target="mailto:hunt.virginia@epa.gov" TargetMode="External"/><Relationship Id="rId496" Type="http://schemas.openxmlformats.org/officeDocument/2006/relationships/footer" Target="footer86.xml"/><Relationship Id="rId11" Type="http://schemas.openxmlformats.org/officeDocument/2006/relationships/hyperlink" Target="https://advance.lexis.com/api/document?id=urn:contentItem:633K-N341-JB3N-T3RX-00000-00&amp;idtype=PID&amp;context=1516831" TargetMode="External"/><Relationship Id="rId53" Type="http://schemas.openxmlformats.org/officeDocument/2006/relationships/hyperlink" Target="https://advance.lexis.com/api/document?id=urn:contentItem:635R-XS81-F04Y-T048-00000-00&amp;idtype=PID&amp;context=1516831" TargetMode="External"/><Relationship Id="rId149" Type="http://schemas.openxmlformats.org/officeDocument/2006/relationships/hyperlink" Target="https://twitter.com/StopAntisemites/status/1631471812440731653?ref_src=twsrc%5Etfw" TargetMode="External"/><Relationship Id="rId314" Type="http://schemas.openxmlformats.org/officeDocument/2006/relationships/header" Target="header40.xml"/><Relationship Id="rId356" Type="http://schemas.openxmlformats.org/officeDocument/2006/relationships/hyperlink" Target="https://advance.lexis.com/api/document?collection=news&amp;id=urn:contentItem:60B0-B131-JDKC-R2F6-00000-00&amp;context=1516831" TargetMode="External"/><Relationship Id="rId398" Type="http://schemas.openxmlformats.org/officeDocument/2006/relationships/footer" Target="footer62.xml"/><Relationship Id="rId521" Type="http://schemas.openxmlformats.org/officeDocument/2006/relationships/header" Target="header95.xml"/><Relationship Id="rId563" Type="http://schemas.openxmlformats.org/officeDocument/2006/relationships/footer" Target="footer112.xml"/><Relationship Id="rId619" Type="http://schemas.openxmlformats.org/officeDocument/2006/relationships/header" Target="header130.xml"/><Relationship Id="rId95" Type="http://schemas.openxmlformats.org/officeDocument/2006/relationships/hyperlink" Target="https://advance.lexis.com/api/document?id=urn:contentItem:5VG9-3N91-JCMN-Y4D9-00000-00&amp;idtype=PID&amp;context=1516831" TargetMode="External"/><Relationship Id="rId160" Type="http://schemas.openxmlformats.org/officeDocument/2006/relationships/hyperlink" Target="https://www.jns.org/touted-darius-inscription-is-inauthentic-israel-antiquities-authority-clarifies" TargetMode="External"/><Relationship Id="rId216" Type="http://schemas.openxmlformats.org/officeDocument/2006/relationships/hyperlink" Target="mailto:contentservices@htlive.com" TargetMode="External"/><Relationship Id="rId423" Type="http://schemas.openxmlformats.org/officeDocument/2006/relationships/footer" Target="footer72.xml"/><Relationship Id="rId258" Type="http://schemas.openxmlformats.org/officeDocument/2006/relationships/hyperlink" Target="https://www.brookings.edu/blog/order-from-chaos/2021/01/15/terrorism-in-pakistan-has-declined-but-the-underlying-roots-of-extremism-remain/" TargetMode="External"/><Relationship Id="rId465" Type="http://schemas.openxmlformats.org/officeDocument/2006/relationships/hyperlink" Target="https://iaspub.epa.gov/sor_internet/registry/termreg/searchandretrieve/glossariesandkeywordlists/search.do?details=&amp;vocabName=IRIS%20Glossary" TargetMode="External"/><Relationship Id="rId630" Type="http://schemas.openxmlformats.org/officeDocument/2006/relationships/hyperlink" Target="http://ct.moreover.com/?a=50388127670&amp;p=2a4&amp;v=1&amp;x=U6kFPySX5U_v2rSKfNRiZA" TargetMode="External"/><Relationship Id="rId22" Type="http://schemas.openxmlformats.org/officeDocument/2006/relationships/hyperlink" Target="https://advance.lexis.com/api/document?id=urn:contentItem:65FB-6N91-DYDW-70D7-00000-00&amp;idtype=PID&amp;context=1516831" TargetMode="External"/><Relationship Id="rId64" Type="http://schemas.openxmlformats.org/officeDocument/2006/relationships/hyperlink" Target="https://advance.lexis.com/api/document?id=urn:contentItem:6041-6BN1-F00C-621R-00000-00&amp;idtype=PID&amp;context=1516831" TargetMode="External"/><Relationship Id="rId118" Type="http://schemas.openxmlformats.org/officeDocument/2006/relationships/hyperlink" Target="https://www.jpost.com/opinion/article-733262" TargetMode="External"/><Relationship Id="rId325" Type="http://schemas.openxmlformats.org/officeDocument/2006/relationships/footer" Target="footer45.xml"/><Relationship Id="rId367" Type="http://schemas.openxmlformats.org/officeDocument/2006/relationships/hyperlink" Target="https://advance.lexis.com/api/document?collection=news&amp;id=urn:contentItem:609J-PTV1-JDKC-R0WX-00000-00&amp;context=1516831" TargetMode="External"/><Relationship Id="rId532" Type="http://schemas.openxmlformats.org/officeDocument/2006/relationships/footer" Target="footer100.xml"/><Relationship Id="rId574" Type="http://schemas.openxmlformats.org/officeDocument/2006/relationships/hyperlink" Target="https://vator.tv/n/51b4" TargetMode="External"/><Relationship Id="rId171" Type="http://schemas.openxmlformats.org/officeDocument/2006/relationships/header" Target="header5.xml"/><Relationship Id="rId227" Type="http://schemas.openxmlformats.org/officeDocument/2006/relationships/footer" Target="footer27.xml"/><Relationship Id="rId269" Type="http://schemas.openxmlformats.org/officeDocument/2006/relationships/hyperlink" Target="https://www.linkedin.com/pulse/pakistani-startups-have-arrived-whats-ahead-aatif-awan/" TargetMode="External"/><Relationship Id="rId434" Type="http://schemas.openxmlformats.org/officeDocument/2006/relationships/header" Target="header75.xml"/><Relationship Id="rId476" Type="http://schemas.openxmlformats.org/officeDocument/2006/relationships/hyperlink" Target="https://cdx.epa.gov/" TargetMode="External"/><Relationship Id="rId641" Type="http://schemas.openxmlformats.org/officeDocument/2006/relationships/hyperlink" Target="https://www.factmr.com/connectus/sample?flag=AE..._id=252" TargetMode="External"/><Relationship Id="rId33" Type="http://schemas.openxmlformats.org/officeDocument/2006/relationships/hyperlink" Target="https://advance.lexis.com/api/document?id=urn:contentItem:5T88-D901-JB3N-T4RH-00000-00&amp;idtype=PID&amp;context=1516831" TargetMode="External"/><Relationship Id="rId129" Type="http://schemas.openxmlformats.org/officeDocument/2006/relationships/hyperlink" Target="https://twitter.com/canarymission/status/1631413852129701892?ref_src=twsrc%5Etfw" TargetMode="External"/><Relationship Id="rId280" Type="http://schemas.openxmlformats.org/officeDocument/2006/relationships/hyperlink" Target="https://restofworld.org/2022/pakistan-tech-investment-boom/" TargetMode="External"/><Relationship Id="rId336" Type="http://schemas.openxmlformats.org/officeDocument/2006/relationships/hyperlink" Target="https://advance.lexis.com/api/document?collection=news&amp;id=urn:contentItem:6734-YG31-F12F-F224-00000-00&amp;context=1516831" TargetMode="External"/><Relationship Id="rId501" Type="http://schemas.openxmlformats.org/officeDocument/2006/relationships/hyperlink" Target="https://advance.lexis.com/api/document?collection=news&amp;id=urn:contentItem:6041-6BN1-F00C-621R-00000-00&amp;context=1516831" TargetMode="External"/><Relationship Id="rId543" Type="http://schemas.openxmlformats.org/officeDocument/2006/relationships/footer" Target="footer104.xml"/><Relationship Id="rId75" Type="http://schemas.openxmlformats.org/officeDocument/2006/relationships/hyperlink" Target="https://advance.lexis.com/api/document?id=urn:contentItem:673D-73K1-DXMP-K4RH-00000-00&amp;idtype=PID&amp;context=1516831" TargetMode="External"/><Relationship Id="rId140" Type="http://schemas.openxmlformats.org/officeDocument/2006/relationships/hyperlink" Target="https://twitter.com/AviMayer/status/1631402710397222914?ref_src=twsrc%5Etfw" TargetMode="External"/><Relationship Id="rId182" Type="http://schemas.openxmlformats.org/officeDocument/2006/relationships/header" Target="header9.xml"/><Relationship Id="rId378" Type="http://schemas.openxmlformats.org/officeDocument/2006/relationships/hyperlink" Target="https://advance.lexis.com/api/document?collection=news&amp;id=urn:contentItem:60KR-6G61-JDG9-Y3ST-00000-00&amp;context=1516831" TargetMode="External"/><Relationship Id="rId403" Type="http://schemas.openxmlformats.org/officeDocument/2006/relationships/hyperlink" Target="mailto:contentservices@htlive.com" TargetMode="External"/><Relationship Id="rId585" Type="http://schemas.openxmlformats.org/officeDocument/2006/relationships/footer" Target="footer118.xml"/><Relationship Id="rId6" Type="http://schemas.openxmlformats.org/officeDocument/2006/relationships/image" Target="media/image1.png"/><Relationship Id="rId238" Type="http://schemas.openxmlformats.org/officeDocument/2006/relationships/hyperlink" Target="https://advance.lexis.com/api/document?collection=news&amp;id=urn:contentItem:5WFF-CXN1-DYDW-73X7-00000-00&amp;context=1516831" TargetMode="External"/><Relationship Id="rId445" Type="http://schemas.openxmlformats.org/officeDocument/2006/relationships/hyperlink" Target="https://advance.lexis.com/api/document?collection=news&amp;id=urn:contentItem:5X0S-X7D1-JDG9-Y2YM-00000-00&amp;context=1516831" TargetMode="External"/><Relationship Id="rId487" Type="http://schemas.openxmlformats.org/officeDocument/2006/relationships/header" Target="header82.xml"/><Relationship Id="rId610" Type="http://schemas.openxmlformats.org/officeDocument/2006/relationships/hyperlink" Target="http://ct.moreover.com/?a=50356530427&amp;p=2a4&amp;v=1&amp;x=Vn_Cm8vp64O3RkZugwl47Q" TargetMode="External"/><Relationship Id="rId652" Type="http://schemas.openxmlformats.org/officeDocument/2006/relationships/hyperlink" Target="https://www.factmr.com/connectus/sample?flag=AE..._id=252" TargetMode="External"/><Relationship Id="rId291" Type="http://schemas.openxmlformats.org/officeDocument/2006/relationships/hyperlink" Target="https://e27.co/pakistan-startups-the-last-massive-untapped-opportunity-globally-20220516" TargetMode="External"/><Relationship Id="rId305" Type="http://schemas.openxmlformats.org/officeDocument/2006/relationships/header" Target="header38.xml"/><Relationship Id="rId347" Type="http://schemas.openxmlformats.org/officeDocument/2006/relationships/hyperlink" Target="https://advance.lexis.com/api/document?collection=news&amp;id=urn:contentItem:5V9D-X6T1-DXMP-K119-00000-00&amp;context=1516831" TargetMode="External"/><Relationship Id="rId512" Type="http://schemas.openxmlformats.org/officeDocument/2006/relationships/header" Target="header92.xml"/><Relationship Id="rId44" Type="http://schemas.openxmlformats.org/officeDocument/2006/relationships/hyperlink" Target="https://advance.lexis.com/api/document?id=urn:contentItem:609J-PTV1-JDKC-R0WX-00000-00&amp;idtype=PID&amp;context=1516831" TargetMode="External"/><Relationship Id="rId86" Type="http://schemas.openxmlformats.org/officeDocument/2006/relationships/hyperlink" Target="https://advance.lexis.com/api/document?id=urn:contentItem:61F5-6SM1-JB5M-W4KT-00000-00&amp;idtype=PID&amp;context=1516831" TargetMode="External"/><Relationship Id="rId151" Type="http://schemas.openxmlformats.org/officeDocument/2006/relationships/hyperlink" Target="https://t.co/qPhMVfYnHu" TargetMode="External"/><Relationship Id="rId389" Type="http://schemas.openxmlformats.org/officeDocument/2006/relationships/hyperlink" Target="https://www.epa.gov/electronic-reporting-air-emissions/compliance-and-emissions-data-reporting-interface-cedri" TargetMode="External"/><Relationship Id="rId554" Type="http://schemas.openxmlformats.org/officeDocument/2006/relationships/header" Target="header108.xml"/><Relationship Id="rId596" Type="http://schemas.openxmlformats.org/officeDocument/2006/relationships/header" Target="header122.xml"/><Relationship Id="rId193" Type="http://schemas.openxmlformats.org/officeDocument/2006/relationships/hyperlink" Target="https://advance.lexis.com/api/document?collection=news&amp;id=urn:contentItem:5VVJ-M9D1-JB5M-W387-00000-00&amp;context=1516831" TargetMode="External"/><Relationship Id="rId207" Type="http://schemas.openxmlformats.org/officeDocument/2006/relationships/footer" Target="footer19.xml"/><Relationship Id="rId249" Type="http://schemas.openxmlformats.org/officeDocument/2006/relationships/hyperlink" Target="https://e27.co" TargetMode="External"/><Relationship Id="rId414" Type="http://schemas.openxmlformats.org/officeDocument/2006/relationships/header" Target="header68.xml"/><Relationship Id="rId456" Type="http://schemas.openxmlformats.org/officeDocument/2006/relationships/hyperlink" Target="https://www.regulations.gov" TargetMode="External"/><Relationship Id="rId498" Type="http://schemas.openxmlformats.org/officeDocument/2006/relationships/header" Target="header87.xml"/><Relationship Id="rId621" Type="http://schemas.openxmlformats.org/officeDocument/2006/relationships/footer" Target="footer131.xml"/><Relationship Id="rId13" Type="http://schemas.openxmlformats.org/officeDocument/2006/relationships/hyperlink" Target="https://advance.lexis.com/api/document?id=urn:contentItem:5VVJ-M9D1-JB5M-W387-00000-00&amp;idtype=PID&amp;context=1516831" TargetMode="External"/><Relationship Id="rId109" Type="http://schemas.openxmlformats.org/officeDocument/2006/relationships/hyperlink" Target="https://t.co/1lRGd8NDhM" TargetMode="External"/><Relationship Id="rId260" Type="http://schemas.openxmlformats.org/officeDocument/2006/relationships/hyperlink" Target="https://www.aljazeera.com/economy/2022/3/16/pakistans-startups-take-center-stage" TargetMode="External"/><Relationship Id="rId316" Type="http://schemas.openxmlformats.org/officeDocument/2006/relationships/footer" Target="footer41.xml"/><Relationship Id="rId523" Type="http://schemas.openxmlformats.org/officeDocument/2006/relationships/footer" Target="footer96.xml"/><Relationship Id="rId55" Type="http://schemas.openxmlformats.org/officeDocument/2006/relationships/hyperlink" Target="https://advance.lexis.com/api/document?id=urn:contentItem:63M4-F8C1-F04Y-T2MM-00000-00&amp;idtype=PID&amp;context=1516831" TargetMode="External"/><Relationship Id="rId97" Type="http://schemas.openxmlformats.org/officeDocument/2006/relationships/footer" Target="footer1.xml"/><Relationship Id="rId120" Type="http://schemas.openxmlformats.org/officeDocument/2006/relationships/hyperlink" Target="https://t.co/PT4tMt5PGS" TargetMode="External"/><Relationship Id="rId358" Type="http://schemas.openxmlformats.org/officeDocument/2006/relationships/hyperlink" Target="https://advance.lexis.com/api/document?collection=news&amp;id=urn:contentItem:60B0-B131-JDKC-R2F6-00000-00&amp;context=1516831" TargetMode="External"/><Relationship Id="rId565" Type="http://schemas.openxmlformats.org/officeDocument/2006/relationships/hyperlink" Target="mailto:contentservices@htlive.com" TargetMode="External"/><Relationship Id="rId162" Type="http://schemas.openxmlformats.org/officeDocument/2006/relationships/hyperlink" Target="https://www.algemeiner.com/2023/03/03/podcast-hosts-sasha-spielberg-alana-haim-talk-about-proudly-feeling-jewish-every-single-second-of-the-day/" TargetMode="External"/><Relationship Id="rId218" Type="http://schemas.openxmlformats.org/officeDocument/2006/relationships/header" Target="header23.xml"/><Relationship Id="rId425" Type="http://schemas.openxmlformats.org/officeDocument/2006/relationships/footer" Target="footer73.xml"/><Relationship Id="rId467" Type="http://schemas.openxmlformats.org/officeDocument/2006/relationships/hyperlink" Target="https://oehha.ca.gov/air/crnr/notice-adoption-air-toxics-hot-spots-program-guidance-manual-preparation-health-risk-0);" TargetMode="External"/><Relationship Id="rId632" Type="http://schemas.openxmlformats.org/officeDocument/2006/relationships/header" Target="header134.xml"/><Relationship Id="rId271" Type="http://schemas.openxmlformats.org/officeDocument/2006/relationships/hyperlink" Target="https://restofworld.org/2022/pakistan-tech-investment-boom/" TargetMode="External"/><Relationship Id="rId24" Type="http://schemas.openxmlformats.org/officeDocument/2006/relationships/hyperlink" Target="https://advance.lexis.com/api/document?id=urn:contentItem:5XB5-8H01-JDKC-R1XV-00000-00&amp;idtype=PID&amp;context=1516831" TargetMode="External"/><Relationship Id="rId66" Type="http://schemas.openxmlformats.org/officeDocument/2006/relationships/hyperlink" Target="https://advance.lexis.com/api/document?id=urn:contentItem:6123-8RB1-JBMY-H1F5-00000-00&amp;idtype=PID&amp;context=1516831" TargetMode="External"/><Relationship Id="rId131" Type="http://schemas.openxmlformats.org/officeDocument/2006/relationships/hyperlink" Target="https://twitter.com/StopAntisemites/status/1631764352654082050?ref_src=twsrc%5Etfw" TargetMode="External"/><Relationship Id="rId327" Type="http://schemas.openxmlformats.org/officeDocument/2006/relationships/footer" Target="footer46.xml"/><Relationship Id="rId369" Type="http://schemas.openxmlformats.org/officeDocument/2006/relationships/hyperlink" Target="https://advance.lexis.com/api/document?collection=news&amp;id=urn:contentItem:609J-PTV1-JDKC-R0WX-00000-00&amp;context=1516831" TargetMode="External"/><Relationship Id="rId534" Type="http://schemas.openxmlformats.org/officeDocument/2006/relationships/header" Target="header100.xml"/><Relationship Id="rId576" Type="http://schemas.openxmlformats.org/officeDocument/2006/relationships/hyperlink" Target="https://www.ridezum.com" TargetMode="External"/><Relationship Id="rId173" Type="http://schemas.openxmlformats.org/officeDocument/2006/relationships/footer" Target="footer6.xml"/><Relationship Id="rId229" Type="http://schemas.openxmlformats.org/officeDocument/2006/relationships/footer" Target="footer28.xml"/><Relationship Id="rId380" Type="http://schemas.openxmlformats.org/officeDocument/2006/relationships/hyperlink" Target="https://www.regulations.gov" TargetMode="External"/><Relationship Id="rId436" Type="http://schemas.openxmlformats.org/officeDocument/2006/relationships/hyperlink" Target="https://advance.lexis.com/api/document?collection=news&amp;id=urn:contentItem:63M4-F8C1-F04Y-T2MM-00000-00&amp;context=1516831" TargetMode="External"/><Relationship Id="rId601" Type="http://schemas.openxmlformats.org/officeDocument/2006/relationships/hyperlink" Target="https://advance.lexis.com/api/document?collection=news&amp;id=urn:contentItem:67W4-YGV1-F07F-82FB-00000-00&amp;context=1516831" TargetMode="External"/><Relationship Id="rId643" Type="http://schemas.openxmlformats.org/officeDocument/2006/relationships/hyperlink" Target="mailto:sales@factmr.com" TargetMode="External"/><Relationship Id="rId240" Type="http://schemas.openxmlformats.org/officeDocument/2006/relationships/header" Target="header31.xml"/><Relationship Id="rId478" Type="http://schemas.openxmlformats.org/officeDocument/2006/relationships/hyperlink" Target="https://www.epa.gov/electronic-reporting-air-emissions/electronic-reporting-tool-ert" TargetMode="External"/><Relationship Id="rId35" Type="http://schemas.openxmlformats.org/officeDocument/2006/relationships/hyperlink" Target="https://advance.lexis.com/api/document?id=urn:contentItem:5TG7-17H1-JB5M-W2NF-00000-00&amp;idtype=PID&amp;context=1516831" TargetMode="External"/><Relationship Id="rId77" Type="http://schemas.openxmlformats.org/officeDocument/2006/relationships/hyperlink" Target="https://advance.lexis.com/api/document?id=urn:contentItem:64MS-8MY1-JDKC-R4CY-00000-00&amp;idtype=PID&amp;context=1516831" TargetMode="External"/><Relationship Id="rId100" Type="http://schemas.openxmlformats.org/officeDocument/2006/relationships/footer" Target="footer2.xml"/><Relationship Id="rId282" Type="http://schemas.openxmlformats.org/officeDocument/2006/relationships/hyperlink" Target="https://techcrunch.com/2018/05/08/alibaba-buys-rocket-internets-daraz/" TargetMode="External"/><Relationship Id="rId338" Type="http://schemas.openxmlformats.org/officeDocument/2006/relationships/hyperlink" Target="mailto:contentservices@htlive.com" TargetMode="External"/><Relationship Id="rId503" Type="http://schemas.openxmlformats.org/officeDocument/2006/relationships/header" Target="header88.xml"/><Relationship Id="rId545" Type="http://schemas.openxmlformats.org/officeDocument/2006/relationships/header" Target="header105.xml"/><Relationship Id="rId587" Type="http://schemas.openxmlformats.org/officeDocument/2006/relationships/hyperlink" Target="http://ct.moreover.com/?a=50356450469&amp;p=2a4&amp;v=1&amp;x=x-b7ye64jpUaQPfWZVUPPQ" TargetMode="External"/><Relationship Id="rId8" Type="http://schemas.openxmlformats.org/officeDocument/2006/relationships/hyperlink" Target="https://advance.lexis.com/api/document?id=urn:contentItem:67P6-1CR1-JCMN-Y491-00000-00&amp;idtype=PID&amp;context=1516831" TargetMode="External"/><Relationship Id="rId142" Type="http://schemas.openxmlformats.org/officeDocument/2006/relationships/hyperlink" Target="https://camera-uk.org/2023/03/03/bbc-ws-radio-tries-to-explain-the-lions-den-part-two/" TargetMode="External"/><Relationship Id="rId184" Type="http://schemas.openxmlformats.org/officeDocument/2006/relationships/hyperlink" Target="https://advance.lexis.com/api/document?collection=news&amp;id=urn:contentItem:633K-N341-JB3N-T3RX-00000-00&amp;context=1516831" TargetMode="External"/><Relationship Id="rId391" Type="http://schemas.openxmlformats.org/officeDocument/2006/relationships/hyperlink" Target="https://www.epa.gov/hw-sw846/sw-846-compendium" TargetMode="External"/><Relationship Id="rId405" Type="http://schemas.openxmlformats.org/officeDocument/2006/relationships/header" Target="header65.xml"/><Relationship Id="rId447" Type="http://schemas.openxmlformats.org/officeDocument/2006/relationships/hyperlink" Target="https://www.regulations.gov" TargetMode="External"/><Relationship Id="rId612" Type="http://schemas.openxmlformats.org/officeDocument/2006/relationships/header" Target="header128.xml"/><Relationship Id="rId251" Type="http://schemas.openxmlformats.org/officeDocument/2006/relationships/hyperlink" Target="https://www.businesstoday.in/entrepreneurship/news/story/indian-startups-raised-84-bn-in-q1-2022-india-ranks-4th-globally-with-96-unicorns-328859-2022-04-06" TargetMode="External"/><Relationship Id="rId489" Type="http://schemas.openxmlformats.org/officeDocument/2006/relationships/footer" Target="footer83.xml"/><Relationship Id="rId654" Type="http://schemas.openxmlformats.org/officeDocument/2006/relationships/hyperlink" Target="https://www.factmr.com" TargetMode="External"/><Relationship Id="rId46" Type="http://schemas.openxmlformats.org/officeDocument/2006/relationships/hyperlink" Target="https://advance.lexis.com/api/document?id=urn:contentItem:60KR-6G61-JDG9-Y3ST-00000-00&amp;idtype=PID&amp;context=1516831" TargetMode="External"/><Relationship Id="rId293" Type="http://schemas.openxmlformats.org/officeDocument/2006/relationships/header" Target="header34.xml"/><Relationship Id="rId307" Type="http://schemas.openxmlformats.org/officeDocument/2006/relationships/footer" Target="footer39.xml"/><Relationship Id="rId349" Type="http://schemas.openxmlformats.org/officeDocument/2006/relationships/hyperlink" Target="https://advance.lexis.com/api/document?collection=news&amp;id=urn:contentItem:5V9D-X6T1-DXMP-K119-00000-00&amp;context=1516831" TargetMode="External"/><Relationship Id="rId514" Type="http://schemas.openxmlformats.org/officeDocument/2006/relationships/footer" Target="footer93.xml"/><Relationship Id="rId556" Type="http://schemas.openxmlformats.org/officeDocument/2006/relationships/hyperlink" Target="https://advance.lexis.com/api/document?collection=news&amp;id=urn:contentItem:64MS-8MY1-JDKC-R4CY-00000-00&amp;context=1516831" TargetMode="External"/><Relationship Id="rId88" Type="http://schemas.openxmlformats.org/officeDocument/2006/relationships/hyperlink" Target="https://advance.lexis.com/api/document?id=urn:contentItem:67W4-YGV1-F07F-82FB-00000-00&amp;idtype=PID&amp;context=1516831" TargetMode="External"/><Relationship Id="rId111" Type="http://schemas.openxmlformats.org/officeDocument/2006/relationships/hyperlink" Target="https://t.co" TargetMode="External"/><Relationship Id="rId153" Type="http://schemas.openxmlformats.org/officeDocument/2006/relationships/hyperlink" Target="https://www.timesofisrael.com/elbit-inks-252-million-deal-to-supply-unnamed-nato-country-with-rocket-systems" TargetMode="External"/><Relationship Id="rId195" Type="http://schemas.openxmlformats.org/officeDocument/2006/relationships/header" Target="header13.xml"/><Relationship Id="rId209" Type="http://schemas.openxmlformats.org/officeDocument/2006/relationships/header" Target="header19.xml"/><Relationship Id="rId360" Type="http://schemas.openxmlformats.org/officeDocument/2006/relationships/hyperlink" Target="mailto:contentservices@htlive.com" TargetMode="External"/><Relationship Id="rId416" Type="http://schemas.openxmlformats.org/officeDocument/2006/relationships/footer" Target="footer69.xml"/><Relationship Id="rId598" Type="http://schemas.openxmlformats.org/officeDocument/2006/relationships/footer" Target="footer123.xml"/><Relationship Id="rId220" Type="http://schemas.openxmlformats.org/officeDocument/2006/relationships/footer" Target="footer24.xml"/><Relationship Id="rId458" Type="http://schemas.openxmlformats.org/officeDocument/2006/relationships/hyperlink" Target="https://www.regulations.gov" TargetMode="External"/><Relationship Id="rId623" Type="http://schemas.openxmlformats.org/officeDocument/2006/relationships/header" Target="header132.xml"/><Relationship Id="rId15" Type="http://schemas.openxmlformats.org/officeDocument/2006/relationships/hyperlink" Target="https://advance.lexis.com/api/document?id=urn:contentItem:63MT-88Y1-JB5M-W53M-00000-00&amp;idtype=PID&amp;context=1516831" TargetMode="External"/><Relationship Id="rId57" Type="http://schemas.openxmlformats.org/officeDocument/2006/relationships/hyperlink" Target="https://advance.lexis.com/api/document?id=urn:contentItem:5X0S-X7D1-JDG9-Y2YM-00000-00&amp;idtype=PID&amp;context=1516831" TargetMode="External"/><Relationship Id="rId262" Type="http://schemas.openxmlformats.org/officeDocument/2006/relationships/hyperlink" Target="https://www.aljazeera.com/economy/2022/3/16/pakistans-startups-take-center-stage" TargetMode="External"/><Relationship Id="rId318" Type="http://schemas.openxmlformats.org/officeDocument/2006/relationships/header" Target="header42.xml"/><Relationship Id="rId525" Type="http://schemas.openxmlformats.org/officeDocument/2006/relationships/footer" Target="footer97.xml"/><Relationship Id="rId567" Type="http://schemas.openxmlformats.org/officeDocument/2006/relationships/header" Target="header113.xml"/><Relationship Id="rId99" Type="http://schemas.openxmlformats.org/officeDocument/2006/relationships/header" Target="header2.xml"/><Relationship Id="rId122" Type="http://schemas.openxmlformats.org/officeDocument/2006/relationships/hyperlink" Target="https://www.timesofisrael.com/pro-palestinian-activists-planned-violence-at-israel-rally-in-nyc-prosecutors-say" TargetMode="External"/><Relationship Id="rId164" Type="http://schemas.openxmlformats.org/officeDocument/2006/relationships/hyperlink" Target="https://twitter.com/hashtag/Colbert?src=hash&amp;ref_src=twsrc%5Etfw" TargetMode="External"/><Relationship Id="rId371" Type="http://schemas.openxmlformats.org/officeDocument/2006/relationships/hyperlink" Target="mailto:contentservices@htlive.com" TargetMode="External"/><Relationship Id="rId427" Type="http://schemas.openxmlformats.org/officeDocument/2006/relationships/image" Target="media/image7.png"/><Relationship Id="rId469" Type="http://schemas.openxmlformats.org/officeDocument/2006/relationships/hyperlink" Target="https://www.epa.gov/fera/risk-assessment-and-modeling-air-toxics-risk-assessment-reference-library" TargetMode="External"/><Relationship Id="rId634" Type="http://schemas.openxmlformats.org/officeDocument/2006/relationships/footer" Target="footer135.xml"/><Relationship Id="rId26" Type="http://schemas.openxmlformats.org/officeDocument/2006/relationships/hyperlink" Target="https://advance.lexis.com/api/document?id=urn:contentItem:5WFF-CXN1-DYDW-73X7-00000-00&amp;idtype=PID&amp;context=1516831" TargetMode="External"/><Relationship Id="rId231" Type="http://schemas.openxmlformats.org/officeDocument/2006/relationships/hyperlink" Target="mailto:contentservices@htlive.com" TargetMode="External"/><Relationship Id="rId273" Type="http://schemas.openxmlformats.org/officeDocument/2006/relationships/hyperlink" Target="https://techcrunch.com/2022/03/14/bazaar-raises-70-million-from-tiger-global-and-dragoneer-to-digitize-pakistans-retail/amp/" TargetMode="External"/><Relationship Id="rId329" Type="http://schemas.openxmlformats.org/officeDocument/2006/relationships/header" Target="header46.xml"/><Relationship Id="rId480" Type="http://schemas.openxmlformats.org/officeDocument/2006/relationships/header" Target="header79.xml"/><Relationship Id="rId536" Type="http://schemas.openxmlformats.org/officeDocument/2006/relationships/footer" Target="footer101.xml"/><Relationship Id="rId68" Type="http://schemas.openxmlformats.org/officeDocument/2006/relationships/hyperlink" Target="https://advance.lexis.com/api/document?id=urn:contentItem:673D-73K1-DXMP-K4RD-00000-00&amp;idtype=PID&amp;context=1516831" TargetMode="External"/><Relationship Id="rId133" Type="http://schemas.openxmlformats.org/officeDocument/2006/relationships/hyperlink" Target="https://t.co/W7hm1jDqWm" TargetMode="External"/><Relationship Id="rId175" Type="http://schemas.openxmlformats.org/officeDocument/2006/relationships/footer" Target="footer7.xml"/><Relationship Id="rId340" Type="http://schemas.openxmlformats.org/officeDocument/2006/relationships/header" Target="header50.xml"/><Relationship Id="rId578" Type="http://schemas.openxmlformats.org/officeDocument/2006/relationships/hyperlink" Target="https://quanergy.com" TargetMode="External"/><Relationship Id="rId200" Type="http://schemas.openxmlformats.org/officeDocument/2006/relationships/footer" Target="footer16.xml"/><Relationship Id="rId382" Type="http://schemas.openxmlformats.org/officeDocument/2006/relationships/hyperlink" Target="https://www.epa.gov/dockets.FOR" TargetMode="External"/><Relationship Id="rId438" Type="http://schemas.openxmlformats.org/officeDocument/2006/relationships/hyperlink" Target="https://menafn.com/1102475953/A-Gentleman-Who-Defied-Age-Boundaries-Ayush-Mauryavanshi" TargetMode="External"/><Relationship Id="rId603" Type="http://schemas.openxmlformats.org/officeDocument/2006/relationships/header" Target="header124.xml"/><Relationship Id="rId645" Type="http://schemas.openxmlformats.org/officeDocument/2006/relationships/hyperlink" Target="https://theswisstimes.com" TargetMode="External"/><Relationship Id="rId242" Type="http://schemas.openxmlformats.org/officeDocument/2006/relationships/footer" Target="footer32.xml"/><Relationship Id="rId284" Type="http://schemas.openxmlformats.org/officeDocument/2006/relationships/hyperlink" Target="https://www.insightsi2i.com/pser-21" TargetMode="External"/><Relationship Id="rId491" Type="http://schemas.openxmlformats.org/officeDocument/2006/relationships/header" Target="header84.xml"/><Relationship Id="rId505" Type="http://schemas.openxmlformats.org/officeDocument/2006/relationships/footer" Target="footer89.xml"/><Relationship Id="rId37" Type="http://schemas.openxmlformats.org/officeDocument/2006/relationships/hyperlink" Target="https://advance.lexis.com/api/document?id=urn:contentItem:6734-YG31-F12F-F224-00000-00&amp;idtype=PID&amp;context=1516831" TargetMode="External"/><Relationship Id="rId79" Type="http://schemas.openxmlformats.org/officeDocument/2006/relationships/hyperlink" Target="https://advance.lexis.com/api/document?id=urn:contentItem:64MS-8MY1-JDKC-R4B2-00000-00&amp;idtype=PID&amp;context=1516831" TargetMode="External"/><Relationship Id="rId102" Type="http://schemas.openxmlformats.org/officeDocument/2006/relationships/header" Target="header3.xml"/><Relationship Id="rId144" Type="http://schemas.openxmlformats.org/officeDocument/2006/relationships/hyperlink" Target="https://twitter.com/AGHamilton29/status/1631630887275098112?ref_src=twsrc%5Etfw" TargetMode="External"/><Relationship Id="rId547" Type="http://schemas.openxmlformats.org/officeDocument/2006/relationships/hyperlink" Target="https://advance.lexis.com/api/document?collection=news&amp;id=urn:contentItem:673D-73K1-DXMP-K4RH-00000-00&amp;context=1516831" TargetMode="External"/><Relationship Id="rId589" Type="http://schemas.openxmlformats.org/officeDocument/2006/relationships/header" Target="header119.xml"/><Relationship Id="rId90" Type="http://schemas.openxmlformats.org/officeDocument/2006/relationships/hyperlink" Target="https://advance.lexis.com/api/document?id=urn:contentItem:67W4-90V1-F07F-82RW-00000-00&amp;idtype=PID&amp;context=1516831" TargetMode="External"/><Relationship Id="rId186" Type="http://schemas.openxmlformats.org/officeDocument/2006/relationships/header" Target="header10.xml"/><Relationship Id="rId351" Type="http://schemas.openxmlformats.org/officeDocument/2006/relationships/header" Target="header53.xml"/><Relationship Id="rId393" Type="http://schemas.openxmlformats.org/officeDocument/2006/relationships/hyperlink" Target="https://www.epa.gov/electronic-reporting-air-emissions/compliance-and-emissions-data-reporting-interface-cedri" TargetMode="External"/><Relationship Id="rId407" Type="http://schemas.openxmlformats.org/officeDocument/2006/relationships/footer" Target="footer66.xml"/><Relationship Id="rId449" Type="http://schemas.openxmlformats.org/officeDocument/2006/relationships/hyperlink" Target="https://www.regulations.gov/" TargetMode="External"/><Relationship Id="rId614" Type="http://schemas.openxmlformats.org/officeDocument/2006/relationships/footer" Target="footer129.xml"/><Relationship Id="rId656" Type="http://schemas.openxmlformats.org/officeDocument/2006/relationships/hyperlink" Target="http://www.sbwire.com/press-releases/rise-in-prevalence-of-depression-that-boosts-the-growth-of-extremities-reconstruction-market-in-healthcare-industry-1152121.htm?utm_source=nt..._medium=feed..._campaign=distribution" TargetMode="External"/><Relationship Id="rId211" Type="http://schemas.openxmlformats.org/officeDocument/2006/relationships/footer" Target="footer20.xml"/><Relationship Id="rId253" Type="http://schemas.openxmlformats.org/officeDocument/2006/relationships/hyperlink" Target="https://www.businesstoday.in/entrepreneurship/news/story/indian-startups-raised-84-bn-in-q1-2022-india-ranks-4th-globally-with-96-unicorns-328859-2022-04-06" TargetMode="External"/><Relationship Id="rId295" Type="http://schemas.openxmlformats.org/officeDocument/2006/relationships/footer" Target="footer35.xml"/><Relationship Id="rId309" Type="http://schemas.openxmlformats.org/officeDocument/2006/relationships/footer" Target="footer40.xml"/><Relationship Id="rId460" Type="http://schemas.openxmlformats.org/officeDocument/2006/relationships/hyperlink" Target="https://www.epa.gov/dockets" TargetMode="External"/><Relationship Id="rId516" Type="http://schemas.openxmlformats.org/officeDocument/2006/relationships/footer" Target="footer94.xml"/><Relationship Id="rId48" Type="http://schemas.openxmlformats.org/officeDocument/2006/relationships/hyperlink" Target="https://advance.lexis.com/api/document?id=urn:contentItem:620X-WS71-JDKC-R2BR-00000-00&amp;idtype=PID&amp;context=1516831" TargetMode="External"/><Relationship Id="rId113" Type="http://schemas.openxmlformats.org/officeDocument/2006/relationships/hyperlink" Target="https://www.jewishrefugees.org.uk/wp-content/uploads/2023/03/Screenshot-2023-03-03-at-07.52.06.pngPupils" TargetMode="External"/><Relationship Id="rId320" Type="http://schemas.openxmlformats.org/officeDocument/2006/relationships/hyperlink" Target="https://advance.lexis.com/api/document?collection=news&amp;id=urn:contentItem:5T88-D901-JB3N-T4RH-00000-00&amp;context=1516831" TargetMode="External"/><Relationship Id="rId558" Type="http://schemas.openxmlformats.org/officeDocument/2006/relationships/header" Target="header109.xml"/><Relationship Id="rId155" Type="http://schemas.openxmlformats.org/officeDocument/2006/relationships/hyperlink" Target="https://www.algemeiner.com/2023/03/02/fifa-president-announces-visit-to-israel-after-meeting-with-counterpart-from-israeli-football-association/" TargetMode="External"/><Relationship Id="rId197" Type="http://schemas.openxmlformats.org/officeDocument/2006/relationships/footer" Target="footer14.xml"/><Relationship Id="rId362" Type="http://schemas.openxmlformats.org/officeDocument/2006/relationships/header" Target="header56.xml"/><Relationship Id="rId418" Type="http://schemas.openxmlformats.org/officeDocument/2006/relationships/footer" Target="footer70.xml"/><Relationship Id="rId625" Type="http://schemas.openxmlformats.org/officeDocument/2006/relationships/hyperlink" Target="https://advance.lexis.com/api/document?collection=news&amp;id=urn:contentItem:67WX-S6V1-F07F-82R5-00000-00&amp;context=1516831" TargetMode="External"/><Relationship Id="rId222" Type="http://schemas.openxmlformats.org/officeDocument/2006/relationships/footer" Target="footer25.xml"/><Relationship Id="rId264" Type="http://schemas.openxmlformats.org/officeDocument/2006/relationships/hyperlink" Target="https://www.radio.gov.pk/22-02-2022/pm-announces-establishment-of-pakistan-technology-startup-fund" TargetMode="External"/><Relationship Id="rId471" Type="http://schemas.openxmlformats.org/officeDocument/2006/relationships/hyperlink" Target="https://www.epa.gov/electronic-reporting-air-emissions/compliance-and-emissions-data-reporting-interface-cedri" TargetMode="External"/><Relationship Id="rId17" Type="http://schemas.openxmlformats.org/officeDocument/2006/relationships/hyperlink" Target="https://advance.lexis.com/api/document?id=urn:contentItem:5WC8-PRM1-F03R-W410-00000-00&amp;idtype=PID&amp;context=1516831" TargetMode="External"/><Relationship Id="rId59" Type="http://schemas.openxmlformats.org/officeDocument/2006/relationships/hyperlink" Target="https://advance.lexis.com/api/document?id=urn:contentItem:5T5N-7VH1-JB5M-W3J8-00000-00&amp;idtype=PID&amp;context=1516831" TargetMode="External"/><Relationship Id="rId124" Type="http://schemas.openxmlformats.org/officeDocument/2006/relationships/hyperlink" Target="https://t.co/1lRGd8NDhM" TargetMode="External"/><Relationship Id="rId527" Type="http://schemas.openxmlformats.org/officeDocument/2006/relationships/header" Target="header97.xml"/><Relationship Id="rId569" Type="http://schemas.openxmlformats.org/officeDocument/2006/relationships/footer" Target="footer114.xml"/><Relationship Id="rId70" Type="http://schemas.openxmlformats.org/officeDocument/2006/relationships/hyperlink" Target="https://advance.lexis.com/api/document?id=urn:contentItem:5YJF-KG91-JBMY-H2C6-00000-00&amp;idtype=PID&amp;context=1516831" TargetMode="External"/><Relationship Id="rId166" Type="http://schemas.openxmlformats.org/officeDocument/2006/relationships/hyperlink" Target="https://twitter.com/colbertlateshow/status/1631522287504457728?ref_src=twsrc%5Etfw" TargetMode="External"/><Relationship Id="rId331" Type="http://schemas.openxmlformats.org/officeDocument/2006/relationships/footer" Target="footer47.xml"/><Relationship Id="rId373" Type="http://schemas.openxmlformats.org/officeDocument/2006/relationships/header" Target="header59.xml"/><Relationship Id="rId429" Type="http://schemas.openxmlformats.org/officeDocument/2006/relationships/hyperlink" Target="https://menafn.com/1102475953/A-Gentleman-Who-Defied-Age-Boundaries-Ayush-Mauryavanshi" TargetMode="External"/><Relationship Id="rId580" Type="http://schemas.openxmlformats.org/officeDocument/2006/relationships/header" Target="header115.xml"/><Relationship Id="rId636" Type="http://schemas.openxmlformats.org/officeDocument/2006/relationships/footer" Target="footer136.xml"/><Relationship Id="rId1" Type="http://schemas.openxmlformats.org/officeDocument/2006/relationships/styles" Target="styles.xml"/><Relationship Id="rId233" Type="http://schemas.openxmlformats.org/officeDocument/2006/relationships/header" Target="header29.xml"/><Relationship Id="rId440" Type="http://schemas.openxmlformats.org/officeDocument/2006/relationships/header" Target="header77.xml"/><Relationship Id="rId28" Type="http://schemas.openxmlformats.org/officeDocument/2006/relationships/hyperlink" Target="https://advance.lexis.com/api/document?id=urn:contentItem:65G5-NXF1-JCMN-Y3PN-00000-00&amp;idtype=PID&amp;context=1516831" TargetMode="External"/><Relationship Id="rId275" Type="http://schemas.openxmlformats.org/officeDocument/2006/relationships/hyperlink" Target="https://techcrunch.com/2021/08/17/pakistans-airlift-raises-85-million-for-its-quick-commerce-startup-eyes-international-expansion/" TargetMode="External"/><Relationship Id="rId300" Type="http://schemas.openxmlformats.org/officeDocument/2006/relationships/hyperlink" Target="https://advance.lexis.com/api/document?collection=news&amp;id=urn:contentItem:5TDW-YF31-J9XT-P2X3-00000-00&amp;context=1516831" TargetMode="External"/><Relationship Id="rId482" Type="http://schemas.openxmlformats.org/officeDocument/2006/relationships/footer" Target="footer80.xml"/><Relationship Id="rId538" Type="http://schemas.openxmlformats.org/officeDocument/2006/relationships/header" Target="header102.xml"/><Relationship Id="rId81" Type="http://schemas.openxmlformats.org/officeDocument/2006/relationships/hyperlink" Target="https://advance.lexis.com/api/document?id=urn:contentItem:61VH-45M1-F03R-N3G0-00000-00&amp;idtype=PID&amp;context=1516831" TargetMode="External"/><Relationship Id="rId135" Type="http://schemas.openxmlformats.org/officeDocument/2006/relationships/hyperlink" Target="https://twitter.com/SimonPlosker/status/1631604376421662721?ref_src=twsrc%5Etfw" TargetMode="External"/><Relationship Id="rId177" Type="http://schemas.openxmlformats.org/officeDocument/2006/relationships/image" Target="media/image3.png"/><Relationship Id="rId342" Type="http://schemas.openxmlformats.org/officeDocument/2006/relationships/footer" Target="footer51.xml"/><Relationship Id="rId384" Type="http://schemas.openxmlformats.org/officeDocument/2006/relationships/hyperlink" Target="mailto:hirtz.james@epa.gov" TargetMode="External"/><Relationship Id="rId591" Type="http://schemas.openxmlformats.org/officeDocument/2006/relationships/footer" Target="footer120.xml"/><Relationship Id="rId605" Type="http://schemas.openxmlformats.org/officeDocument/2006/relationships/footer" Target="footer125.xml"/><Relationship Id="rId202" Type="http://schemas.openxmlformats.org/officeDocument/2006/relationships/header" Target="header16.xml"/><Relationship Id="rId244" Type="http://schemas.openxmlformats.org/officeDocument/2006/relationships/header" Target="header33.xml"/><Relationship Id="rId647" Type="http://schemas.openxmlformats.org/officeDocument/2006/relationships/hyperlink" Target="https://www.factmr.com/report/252/extremities-reconstruction-market" TargetMode="External"/><Relationship Id="rId39" Type="http://schemas.openxmlformats.org/officeDocument/2006/relationships/hyperlink" Target="https://advance.lexis.com/api/document?id=urn:contentItem:5V9D-X6T1-DXMP-K119-00000-00&amp;idtype=PID&amp;context=1516831" TargetMode="External"/><Relationship Id="rId286" Type="http://schemas.openxmlformats.org/officeDocument/2006/relationships/hyperlink" Target="https://e27.co/gobi-backed-pakistani-startup-airlift-raises-us12m-series-a-led-by-uber-investor-first-round-capital-20191104" TargetMode="External"/><Relationship Id="rId451" Type="http://schemas.openxmlformats.org/officeDocument/2006/relationships/hyperlink" Target="mailto:hirtz.james@epa.gov" TargetMode="External"/><Relationship Id="rId493" Type="http://schemas.openxmlformats.org/officeDocument/2006/relationships/hyperlink" Target="https://advance.lexis.com/api/document?collection=news&amp;id=urn:contentItem:5VD2-2NW1-JB3N-T1NP-00000-00&amp;context=1516831" TargetMode="External"/><Relationship Id="rId507" Type="http://schemas.openxmlformats.org/officeDocument/2006/relationships/header" Target="header90.xml"/><Relationship Id="rId549" Type="http://schemas.openxmlformats.org/officeDocument/2006/relationships/hyperlink" Target="https://advance.lexis.com/api/document?collection=news&amp;id=urn:contentItem:673D-73K1-DXMP-K4RH-00000-00&amp;context=1516831" TargetMode="External"/><Relationship Id="rId50" Type="http://schemas.openxmlformats.org/officeDocument/2006/relationships/hyperlink" Target="https://advance.lexis.com/api/document?id=urn:contentItem:658N-12G1-JB5M-W0H1-00000-00&amp;idtype=PID&amp;context=1516831" TargetMode="External"/><Relationship Id="rId104" Type="http://schemas.openxmlformats.org/officeDocument/2006/relationships/hyperlink" Target="https://advance.lexis.com/api/document?collection=news&amp;id=urn:contentItem:67P6-1CR1-JCMN-Y491-00000-00&amp;context=1516831" TargetMode="External"/><Relationship Id="rId146" Type="http://schemas.openxmlformats.org/officeDocument/2006/relationships/hyperlink" Target="https://www.euractiv.com/section/politics/news/albania-to-open-holocaust-museum-after-israeli-call-for-europe-to-step-up-antisemitism-fight/" TargetMode="External"/><Relationship Id="rId188" Type="http://schemas.openxmlformats.org/officeDocument/2006/relationships/footer" Target="footer11.xml"/><Relationship Id="rId311" Type="http://schemas.openxmlformats.org/officeDocument/2006/relationships/hyperlink" Target="https://advance.lexis.com/api/document?collection=news&amp;id=urn:contentItem:5TDN-NKW1-J9XT-P3Y9-00000-00&amp;context=1516831" TargetMode="External"/><Relationship Id="rId353" Type="http://schemas.openxmlformats.org/officeDocument/2006/relationships/footer" Target="footer54.xml"/><Relationship Id="rId395" Type="http://schemas.openxmlformats.org/officeDocument/2006/relationships/hyperlink" Target="https://cdx.epa.gov/" TargetMode="External"/><Relationship Id="rId409" Type="http://schemas.openxmlformats.org/officeDocument/2006/relationships/footer" Target="footer67.xml"/><Relationship Id="rId560" Type="http://schemas.openxmlformats.org/officeDocument/2006/relationships/footer" Target="footer110.xml"/><Relationship Id="rId92" Type="http://schemas.openxmlformats.org/officeDocument/2006/relationships/hyperlink" Target="https://advance.lexis.com/api/document?id=urn:contentItem:67W4-FN51-JCSC-J17G-00000-00&amp;idtype=PID&amp;context=1516831" TargetMode="External"/><Relationship Id="rId213" Type="http://schemas.openxmlformats.org/officeDocument/2006/relationships/header" Target="header21.xml"/><Relationship Id="rId420" Type="http://schemas.openxmlformats.org/officeDocument/2006/relationships/header" Target="header70.xml"/><Relationship Id="rId616" Type="http://schemas.openxmlformats.org/officeDocument/2006/relationships/footer" Target="footer130.xml"/><Relationship Id="rId658" Type="http://schemas.openxmlformats.org/officeDocument/2006/relationships/hyperlink" Target="https://www.factmr.com/report/252/extremities-reconstruction-market" TargetMode="External"/><Relationship Id="rId255" Type="http://schemas.openxmlformats.org/officeDocument/2006/relationships/hyperlink" Target="https://invest2innovate.com" TargetMode="External"/><Relationship Id="rId297" Type="http://schemas.openxmlformats.org/officeDocument/2006/relationships/header" Target="header36.xml"/><Relationship Id="rId462" Type="http://schemas.openxmlformats.org/officeDocument/2006/relationships/hyperlink" Target="https://www.epa.gov/plywood-and-composite-wood-products-manufacture-national-emission" TargetMode="External"/><Relationship Id="rId518" Type="http://schemas.openxmlformats.org/officeDocument/2006/relationships/hyperlink" Target="https://advance.lexis.com/api/document?collection=news&amp;id=urn:contentItem:673D-73K1-DXMP-K4RD-00000-00&amp;context=1516831" TargetMode="External"/><Relationship Id="rId115" Type="http://schemas.openxmlformats.org/officeDocument/2006/relationships/hyperlink" Target="https://www.tabletmag.com/sections/holidays/articles/second-purim-megillat-saragossa" TargetMode="External"/><Relationship Id="rId157" Type="http://schemas.openxmlformats.org/officeDocument/2006/relationships/hyperlink" Target="https://myriadeditions.com/wp-content/uploads/2023/03/WOLF_OF_BAGHDAD_Educators_Guide_UK-1.pdf" TargetMode="External"/><Relationship Id="rId322" Type="http://schemas.openxmlformats.org/officeDocument/2006/relationships/header" Target="header43.xml"/><Relationship Id="rId364" Type="http://schemas.openxmlformats.org/officeDocument/2006/relationships/footer" Target="footer57.xml"/><Relationship Id="rId61" Type="http://schemas.openxmlformats.org/officeDocument/2006/relationships/hyperlink" Target="https://advance.lexis.com/api/document?id=urn:contentItem:5VD2-2NW1-JB3N-T1NP-00000-00&amp;idtype=PID&amp;context=1516831" TargetMode="External"/><Relationship Id="rId199" Type="http://schemas.openxmlformats.org/officeDocument/2006/relationships/header" Target="header15.xml"/><Relationship Id="rId571" Type="http://schemas.openxmlformats.org/officeDocument/2006/relationships/footer" Target="footer115.xml"/><Relationship Id="rId627" Type="http://schemas.openxmlformats.org/officeDocument/2006/relationships/hyperlink" Target="http://ct.moreover.com/?a=50388127670&amp;p=2a4&amp;v=1&amp;x=U6kFPySX5U_v2rSKfNRiZA" TargetMode="External"/><Relationship Id="rId19" Type="http://schemas.openxmlformats.org/officeDocument/2006/relationships/hyperlink" Target="https://advance.lexis.com/api/document?id=urn:contentItem:61HH-6XP1-JDKC-R3S6-00000-00&amp;idtype=PID&amp;context=1516831" TargetMode="External"/><Relationship Id="rId224" Type="http://schemas.openxmlformats.org/officeDocument/2006/relationships/header" Target="header25.xml"/><Relationship Id="rId266" Type="http://schemas.openxmlformats.org/officeDocument/2006/relationships/hyperlink" Target="https://www.radio.gov.pk/22-02-2022/pm-announces-establishment-of-pakistan-technology-startup-fund" TargetMode="External"/><Relationship Id="rId431" Type="http://schemas.openxmlformats.org/officeDocument/2006/relationships/header" Target="header74.xml"/><Relationship Id="rId473" Type="http://schemas.openxmlformats.org/officeDocument/2006/relationships/hyperlink" Target="https://www.epa.gov/stationary-sources-air-pollution/plywood-and-composite-wood-products-manufacture-national-emission.VIII" TargetMode="External"/><Relationship Id="rId529" Type="http://schemas.openxmlformats.org/officeDocument/2006/relationships/footer" Target="footer98.xml"/><Relationship Id="rId30" Type="http://schemas.openxmlformats.org/officeDocument/2006/relationships/hyperlink" Target="https://advance.lexis.com/api/document?id=urn:contentItem:5TDW-YF31-J9XT-P2X3-00000-00&amp;idtype=PID&amp;context=1516831" TargetMode="External"/><Relationship Id="rId126" Type="http://schemas.openxmlformats.org/officeDocument/2006/relationships/hyperlink" Target="https://twitter.com/canarymission/status/1631323353536503809?ref_src=twsrc%5Etfw" TargetMode="External"/><Relationship Id="rId168" Type="http://schemas.openxmlformats.org/officeDocument/2006/relationships/hyperlink" Target="https://elderofziyon.blogspot.com/p/eoz-book-protocols-exposing-modern.html" TargetMode="External"/><Relationship Id="rId333" Type="http://schemas.openxmlformats.org/officeDocument/2006/relationships/header" Target="header48.xml"/><Relationship Id="rId540" Type="http://schemas.openxmlformats.org/officeDocument/2006/relationships/hyperlink" Target="https://advance.lexis.com/api/document?collection=news&amp;id=urn:contentItem:5RT9-2051-DYDW-70G5-00000-00&amp;context=1516831" TargetMode="External"/><Relationship Id="rId72" Type="http://schemas.openxmlformats.org/officeDocument/2006/relationships/hyperlink" Target="https://advance.lexis.com/api/document?id=urn:contentItem:60MS-RCP1-JBMY-H349-00000-00&amp;idtype=PID&amp;context=1516831" TargetMode="External"/><Relationship Id="rId375" Type="http://schemas.openxmlformats.org/officeDocument/2006/relationships/footer" Target="footer60.xml"/><Relationship Id="rId582" Type="http://schemas.openxmlformats.org/officeDocument/2006/relationships/footer" Target="footer116.xml"/><Relationship Id="rId638" Type="http://schemas.openxmlformats.org/officeDocument/2006/relationships/hyperlink" Target="http://www.releasewire.com" TargetMode="External"/><Relationship Id="rId3" Type="http://schemas.openxmlformats.org/officeDocument/2006/relationships/webSettings" Target="webSettings.xml"/><Relationship Id="rId235" Type="http://schemas.openxmlformats.org/officeDocument/2006/relationships/footer" Target="footer30.xml"/><Relationship Id="rId277" Type="http://schemas.openxmlformats.org/officeDocument/2006/relationships/hyperlink" Target="https://www.linkedin.com/pulse/pakistani-startups-have-arrived-whats-ahead-aatif-awan/" TargetMode="External"/><Relationship Id="rId400" Type="http://schemas.openxmlformats.org/officeDocument/2006/relationships/header" Target="header63.xml"/><Relationship Id="rId442" Type="http://schemas.openxmlformats.org/officeDocument/2006/relationships/footer" Target="footer78.xml"/><Relationship Id="rId484" Type="http://schemas.openxmlformats.org/officeDocument/2006/relationships/header" Target="header81.xml"/><Relationship Id="rId137" Type="http://schemas.openxmlformats.org/officeDocument/2006/relationships/hyperlink" Target="https://t.co/MUVFslQxJ8" TargetMode="External"/><Relationship Id="rId302" Type="http://schemas.openxmlformats.org/officeDocument/2006/relationships/image" Target="media/image5.png"/><Relationship Id="rId344" Type="http://schemas.openxmlformats.org/officeDocument/2006/relationships/footer" Target="footer52.xml"/><Relationship Id="rId41" Type="http://schemas.openxmlformats.org/officeDocument/2006/relationships/hyperlink" Target="https://advance.lexis.com/api/document?id=urn:contentItem:60B0-B131-JDKC-R2F6-00000-00&amp;idtype=PID&amp;context=1516831" TargetMode="External"/><Relationship Id="rId83" Type="http://schemas.openxmlformats.org/officeDocument/2006/relationships/hyperlink" Target="https://advance.lexis.com/api/document?id=urn:contentItem:67W4-90V1-F07F-819G-00000-00&amp;idtype=PID&amp;context=1516831" TargetMode="External"/><Relationship Id="rId179" Type="http://schemas.openxmlformats.org/officeDocument/2006/relationships/header" Target="header8.xml"/><Relationship Id="rId386" Type="http://schemas.openxmlformats.org/officeDocument/2006/relationships/hyperlink" Target="https://www.epa.gov/stationary-sources-air-pollution/plywood-and-composite-wood-products-manufacture-national-emission" TargetMode="External"/><Relationship Id="rId551" Type="http://schemas.openxmlformats.org/officeDocument/2006/relationships/header" Target="header107.xml"/><Relationship Id="rId593" Type="http://schemas.openxmlformats.org/officeDocument/2006/relationships/footer" Target="footer121.xml"/><Relationship Id="rId607" Type="http://schemas.openxmlformats.org/officeDocument/2006/relationships/header" Target="header126.xml"/><Relationship Id="rId649" Type="http://schemas.openxmlformats.org/officeDocument/2006/relationships/hyperlink" Target="https://www.factmr.com/report/252/extremities-reconstruction-market" TargetMode="External"/><Relationship Id="rId190" Type="http://schemas.openxmlformats.org/officeDocument/2006/relationships/header" Target="header12.xml"/><Relationship Id="rId204" Type="http://schemas.openxmlformats.org/officeDocument/2006/relationships/footer" Target="footer17.xml"/><Relationship Id="rId246" Type="http://schemas.openxmlformats.org/officeDocument/2006/relationships/hyperlink" Target="https://advance.lexis.com/api/document?collection=news&amp;id=urn:contentItem:65G5-NXF1-JCMN-Y3PN-00000-00&amp;context=1516831" TargetMode="External"/><Relationship Id="rId288" Type="http://schemas.openxmlformats.org/officeDocument/2006/relationships/hyperlink" Target="https://www.123rf.com/profile_sakhaphotos" TargetMode="External"/><Relationship Id="rId411" Type="http://schemas.openxmlformats.org/officeDocument/2006/relationships/hyperlink" Target="https://advance.lexis.com/api/document?collection=news&amp;id=urn:contentItem:658N-12G1-JB5M-W0H1-00000-00&amp;context=1516831" TargetMode="External"/><Relationship Id="rId453" Type="http://schemas.openxmlformats.org/officeDocument/2006/relationships/hyperlink" Target="mailto:cox.john@epa.gov" TargetMode="External"/><Relationship Id="rId509" Type="http://schemas.openxmlformats.org/officeDocument/2006/relationships/hyperlink" Target="https://advance.lexis.com/api/document?collection=news&amp;id=urn:contentItem:6123-8RB1-JBMY-H1F5-00000-00&amp;context=1516831" TargetMode="External"/><Relationship Id="rId660" Type="http://schemas.openxmlformats.org/officeDocument/2006/relationships/theme" Target="theme/theme1.xml"/><Relationship Id="rId106" Type="http://schemas.openxmlformats.org/officeDocument/2006/relationships/hyperlink" Target="https://blogger.googleusercontent.com/img/b/R29vZ2xl/AVvXsEhjFpVW8HgIJR_v--WQHkUCP8SbqcFtBEyo7MJzvmHFPAN9ZVHkiBcBq2RLiXgI1247O3a27Y4MW8O_WLcraP_XEYtpD8TQ9aciccCNE4odZ14VtXzVhtyFB2KPcFcj5Z7UZLf99ykPare1F92ZmP3uPn7SYnXNp2VdXTbq9hQ7dXryfrJ5Gw/s520/Fp-xJIpXsAEmDNs.jpg" TargetMode="External"/><Relationship Id="rId313" Type="http://schemas.openxmlformats.org/officeDocument/2006/relationships/hyperlink" Target="mailto:editorial@plusmediasolutions.com" TargetMode="External"/><Relationship Id="rId495" Type="http://schemas.openxmlformats.org/officeDocument/2006/relationships/header" Target="header86.xml"/><Relationship Id="rId10" Type="http://schemas.openxmlformats.org/officeDocument/2006/relationships/hyperlink" Target="https://advance.lexis.com/api/document?id=urn:contentItem:5TW9-XGV1-JBYT-H2DJ-00000-00&amp;idtype=PID&amp;context=1516831" TargetMode="External"/><Relationship Id="rId52" Type="http://schemas.openxmlformats.org/officeDocument/2006/relationships/hyperlink" Target="https://advance.lexis.com/api/document?id=urn:contentItem:5WV2-HPK1-JB20-G2KR-00000-00&amp;idtype=PID&amp;context=1516831" TargetMode="External"/><Relationship Id="rId94" Type="http://schemas.openxmlformats.org/officeDocument/2006/relationships/hyperlink" Target="https://advance.lexis.com/api/document?id=urn:contentItem:67WX-S6V1-F07F-82R5-00000-00&amp;idtype=PID&amp;context=1516831" TargetMode="External"/><Relationship Id="rId148" Type="http://schemas.openxmlformats.org/officeDocument/2006/relationships/hyperlink" Target="https://www.euractiv.com/section/politics/news/albania-to-open-holocaust-museum-after-israeli-call-for-europe-to-step-up-antisemitism-fight/" TargetMode="External"/><Relationship Id="rId355" Type="http://schemas.openxmlformats.org/officeDocument/2006/relationships/footer" Target="footer55.xml"/><Relationship Id="rId397" Type="http://schemas.openxmlformats.org/officeDocument/2006/relationships/header" Target="header62.xml"/><Relationship Id="rId520" Type="http://schemas.openxmlformats.org/officeDocument/2006/relationships/header" Target="header94.xml"/><Relationship Id="rId562" Type="http://schemas.openxmlformats.org/officeDocument/2006/relationships/header" Target="header111.xml"/><Relationship Id="rId618" Type="http://schemas.openxmlformats.org/officeDocument/2006/relationships/hyperlink" Target="http://ct.moreover.com/?a=50356883416&amp;p=2a4&amp;v=1&amp;x=g4BK_Qs6Z7-PH-l3IMsdCQ" TargetMode="External"/><Relationship Id="rId215" Type="http://schemas.openxmlformats.org/officeDocument/2006/relationships/hyperlink" Target="https://advance.lexis.com/api/document?collection=news&amp;id=urn:contentItem:61HH-6XP1-JDKC-R3S6-00000-00&amp;context=1516831" TargetMode="External"/><Relationship Id="rId257" Type="http://schemas.openxmlformats.org/officeDocument/2006/relationships/hyperlink" Target="https://e27.co/empowering-pakistani-women-through-tech-art-and-entrepreneurship-20220329" TargetMode="External"/><Relationship Id="rId422" Type="http://schemas.openxmlformats.org/officeDocument/2006/relationships/footer" Target="footer71.xml"/><Relationship Id="rId464" Type="http://schemas.openxmlformats.org/officeDocument/2006/relationships/hyperlink" Target="https://www.epa.gov/fera/dose-response-assessment-assessing-health-risks-associated-exposure-hazardous-air-pollutants" TargetMode="External"/><Relationship Id="rId299" Type="http://schemas.openxmlformats.org/officeDocument/2006/relationships/hyperlink" Target="https://advance.lexis.com/api/document?collection=news&amp;id=urn:contentItem:5TDW-YF31-J9XT-P2X3-00000-00&amp;context=1516831" TargetMode="External"/><Relationship Id="rId63" Type="http://schemas.openxmlformats.org/officeDocument/2006/relationships/hyperlink" Target="https://advance.lexis.com/api/document?id=urn:contentItem:6041-6BN1-F00C-621R-00000-00&amp;idtype=PID&amp;context=1516831" TargetMode="External"/><Relationship Id="rId159" Type="http://schemas.openxmlformats.org/officeDocument/2006/relationships/hyperlink" Target="https://twitter.com/CNN/status/1631497162876940289?ref_src=twsrc%5Etfw" TargetMode="External"/><Relationship Id="rId366" Type="http://schemas.openxmlformats.org/officeDocument/2006/relationships/footer" Target="footer58.xml"/><Relationship Id="rId573" Type="http://schemas.openxmlformats.org/officeDocument/2006/relationships/hyperlink" Target="http://vator.tv/news" TargetMode="External"/><Relationship Id="rId226" Type="http://schemas.openxmlformats.org/officeDocument/2006/relationships/footer" Target="footer26.xml"/><Relationship Id="rId433" Type="http://schemas.openxmlformats.org/officeDocument/2006/relationships/footer" Target="footer75.xml"/><Relationship Id="rId640" Type="http://schemas.openxmlformats.org/officeDocument/2006/relationships/hyperlink" Target="https://www.factmr.com/connectus/sample?flag=T..._id=252" TargetMode="External"/><Relationship Id="rId74" Type="http://schemas.openxmlformats.org/officeDocument/2006/relationships/hyperlink" Target="https://advance.lexis.com/api/document?id=urn:contentItem:5RT9-2051-DYDW-70G5-00000-00&amp;idtype=PID&amp;context=1516831" TargetMode="External"/><Relationship Id="rId377" Type="http://schemas.openxmlformats.org/officeDocument/2006/relationships/footer" Target="footer61.xml"/><Relationship Id="rId500" Type="http://schemas.openxmlformats.org/officeDocument/2006/relationships/hyperlink" Target="https://advance.lexis.com/api/document?collection=news&amp;id=urn:contentItem:6041-6BN1-F00C-621R-00000-00&amp;context=1516831" TargetMode="External"/><Relationship Id="rId584" Type="http://schemas.openxmlformats.org/officeDocument/2006/relationships/header" Target="header117.xml"/><Relationship Id="rId5" Type="http://schemas.openxmlformats.org/officeDocument/2006/relationships/endnotes" Target="endnotes.xml"/><Relationship Id="rId237" Type="http://schemas.openxmlformats.org/officeDocument/2006/relationships/footer" Target="footer31.xml"/><Relationship Id="rId444" Type="http://schemas.openxmlformats.org/officeDocument/2006/relationships/footer" Target="footer79.xml"/><Relationship Id="rId651" Type="http://schemas.openxmlformats.org/officeDocument/2006/relationships/hyperlink" Target="https://www.factmr.com/connectus/sample?flag=T..._id=252" TargetMode="External"/><Relationship Id="rId290" Type="http://schemas.openxmlformats.org/officeDocument/2006/relationships/hyperlink" Target="https://e27.co/pakistan-startups-the-last-massive-untapped-opportunity-globally-20220516" TargetMode="External"/><Relationship Id="rId304" Type="http://schemas.openxmlformats.org/officeDocument/2006/relationships/header" Target="header37.xml"/><Relationship Id="rId388" Type="http://schemas.openxmlformats.org/officeDocument/2006/relationships/hyperlink" Target="https://www.epa.gov/electronic-reporting-air-emissions/electronic-reporting-tool-ert.---------------------------------------------------------------------------" TargetMode="External"/><Relationship Id="rId511" Type="http://schemas.openxmlformats.org/officeDocument/2006/relationships/header" Target="header91.xml"/><Relationship Id="rId609" Type="http://schemas.openxmlformats.org/officeDocument/2006/relationships/hyperlink" Target="https://advance.lexis.com/api/document?collection=news&amp;id=urn:contentItem:67W4-90V1-F07F-82RW-00000-00&amp;context=1516831" TargetMode="External"/><Relationship Id="rId85" Type="http://schemas.openxmlformats.org/officeDocument/2006/relationships/hyperlink" Target="https://advance.lexis.com/api/document?id=urn:contentItem:61F5-6SM1-JB5M-W4KT-00000-00&amp;idtype=PID&amp;context=1516831" TargetMode="External"/><Relationship Id="rId150" Type="http://schemas.openxmlformats.org/officeDocument/2006/relationships/hyperlink" Target="https://twitter.com/StopAntisemites?ref_src=twsrc%5Etfw" TargetMode="External"/><Relationship Id="rId595" Type="http://schemas.openxmlformats.org/officeDocument/2006/relationships/header" Target="header121.xml"/><Relationship Id="rId248" Type="http://schemas.openxmlformats.org/officeDocument/2006/relationships/hyperlink" Target="https://advance.lexis.com/api/document?collection=news&amp;id=urn:contentItem:65G5-NXF1-JCMN-Y3PN-00000-00&amp;context=1516831" TargetMode="External"/><Relationship Id="rId455" Type="http://schemas.openxmlformats.org/officeDocument/2006/relationships/hyperlink" Target="https://www.regulations.gov/" TargetMode="External"/><Relationship Id="rId12" Type="http://schemas.openxmlformats.org/officeDocument/2006/relationships/hyperlink" Target="https://advance.lexis.com/api/document?id=urn:contentItem:633K-N341-JB3N-T3RX-00000-00&amp;idtype=PID&amp;context=1516831" TargetMode="External"/><Relationship Id="rId108" Type="http://schemas.openxmlformats.org/officeDocument/2006/relationships/hyperlink" Target="https://t.co" TargetMode="External"/><Relationship Id="rId315" Type="http://schemas.openxmlformats.org/officeDocument/2006/relationships/header" Target="header41.xml"/><Relationship Id="rId522" Type="http://schemas.openxmlformats.org/officeDocument/2006/relationships/footer" Target="footer95.xml"/><Relationship Id="rId96" Type="http://schemas.openxmlformats.org/officeDocument/2006/relationships/hyperlink" Target="https://advance.lexis.com/api/document?id=urn:contentItem:5VG9-3N91-JCMN-Y4D9-00000-00&amp;idtype=PID&amp;context=1516831" TargetMode="External"/><Relationship Id="rId161" Type="http://schemas.openxmlformats.org/officeDocument/2006/relationships/hyperlink" Target="https://www.jpost.com/israel-news/india-israel/article-733101" TargetMode="External"/><Relationship Id="rId399" Type="http://schemas.openxmlformats.org/officeDocument/2006/relationships/footer" Target="footer63.xml"/><Relationship Id="rId259" Type="http://schemas.openxmlformats.org/officeDocument/2006/relationships/hyperlink" Target="https://www.worldometers.info/world-population/pakistan-population/" TargetMode="External"/><Relationship Id="rId466" Type="http://schemas.openxmlformats.org/officeDocument/2006/relationships/hyperlink" Target="https://www.atsdr.cdc.gov/mrls/index.asp);" TargetMode="External"/><Relationship Id="rId23" Type="http://schemas.openxmlformats.org/officeDocument/2006/relationships/hyperlink" Target="https://advance.lexis.com/api/document?id=urn:contentItem:5XB5-8H01-JDKC-R1XV-00000-00&amp;idtype=PID&amp;context=1516831" TargetMode="External"/><Relationship Id="rId119" Type="http://schemas.openxmlformats.org/officeDocument/2006/relationships/hyperlink" Target="https://www.algemeiner.com/2023/03/02/new-leader-of-italys-main-left-wing-party-raises-concern-with-attacks-on-israel-and-comments-on-her-jewish-origins/" TargetMode="External"/><Relationship Id="rId326" Type="http://schemas.openxmlformats.org/officeDocument/2006/relationships/header" Target="header45.xml"/><Relationship Id="rId533" Type="http://schemas.openxmlformats.org/officeDocument/2006/relationships/hyperlink" Target="https://advance.lexis.com/api/document?collection=news&amp;id=urn:contentItem:60MS-RCP1-JBMY-H349-00000-00&amp;context=1516831" TargetMode="External"/><Relationship Id="rId172" Type="http://schemas.openxmlformats.org/officeDocument/2006/relationships/footer" Target="footer5.xml"/><Relationship Id="rId477" Type="http://schemas.openxmlformats.org/officeDocument/2006/relationships/hyperlink" Target="https://www.epa.gov/electronic-reporting-air-emissions/compliance-and-emissions-data-reporting-interface-cedri" TargetMode="External"/><Relationship Id="rId600" Type="http://schemas.openxmlformats.org/officeDocument/2006/relationships/footer" Target="footer124.xml"/><Relationship Id="rId337" Type="http://schemas.openxmlformats.org/officeDocument/2006/relationships/hyperlink" Target="https://advance.lexis.com/api/document?collection=news&amp;id=urn:contentItem:6734-YG31-F12F-F224-00000-00&amp;context=1516831" TargetMode="External"/><Relationship Id="rId34" Type="http://schemas.openxmlformats.org/officeDocument/2006/relationships/hyperlink" Target="https://advance.lexis.com/api/document?id=urn:contentItem:5T88-D901-JB3N-T4RH-00000-00&amp;idtype=PID&amp;context=1516831" TargetMode="External"/><Relationship Id="rId544" Type="http://schemas.openxmlformats.org/officeDocument/2006/relationships/footer" Target="footer105.xml"/><Relationship Id="rId183" Type="http://schemas.openxmlformats.org/officeDocument/2006/relationships/footer" Target="footer10.xml"/><Relationship Id="rId390" Type="http://schemas.openxmlformats.org/officeDocument/2006/relationships/hyperlink" Target="https://www.epa.gov/laws-regulations/laws-and-executive-orders.A" TargetMode="External"/><Relationship Id="rId404" Type="http://schemas.openxmlformats.org/officeDocument/2006/relationships/header" Target="header64.xml"/><Relationship Id="rId611" Type="http://schemas.openxmlformats.org/officeDocument/2006/relationships/header" Target="header127.xml"/><Relationship Id="rId250" Type="http://schemas.openxmlformats.org/officeDocument/2006/relationships/hyperlink" Target="https://www.hindustantimes.com/brand-post/paradigm-shift-to-digitization-leading-way-towards-the-development-of-india-101637159372683.html" TargetMode="External"/><Relationship Id="rId488" Type="http://schemas.openxmlformats.org/officeDocument/2006/relationships/header" Target="header83.xml"/><Relationship Id="rId45" Type="http://schemas.openxmlformats.org/officeDocument/2006/relationships/hyperlink" Target="https://advance.lexis.com/api/document?id=urn:contentItem:60KR-6G61-JDG9-Y3ST-00000-00&amp;idtype=PID&amp;context=1516831" TargetMode="External"/><Relationship Id="rId110" Type="http://schemas.openxmlformats.org/officeDocument/2006/relationships/hyperlink" Target="https://t.co" TargetMode="External"/><Relationship Id="rId348" Type="http://schemas.openxmlformats.org/officeDocument/2006/relationships/hyperlink" Target="https://advance.lexis.com/api/document?collection=news&amp;id=urn:contentItem:5V9D-X6T1-DXMP-K119-00000-00&amp;context=1516831" TargetMode="External"/><Relationship Id="rId555" Type="http://schemas.openxmlformats.org/officeDocument/2006/relationships/footer" Target="footer109.xml"/><Relationship Id="rId194" Type="http://schemas.openxmlformats.org/officeDocument/2006/relationships/hyperlink" Target="https://advance.lexis.com/api/document?collection=news&amp;id=urn:contentItem:5VVJ-M9D1-JB5M-W387-00000-00&amp;context=1516831" TargetMode="External"/><Relationship Id="rId208" Type="http://schemas.openxmlformats.org/officeDocument/2006/relationships/hyperlink" Target="https://advance.lexis.com/api/document?collection=news&amp;id=urn:contentItem:5WC8-PRM1-F03R-W410-00000-00&amp;context=1516831" TargetMode="External"/><Relationship Id="rId415" Type="http://schemas.openxmlformats.org/officeDocument/2006/relationships/footer" Target="footer68.xml"/><Relationship Id="rId622" Type="http://schemas.openxmlformats.org/officeDocument/2006/relationships/footer" Target="footer132.xml"/><Relationship Id="rId261" Type="http://schemas.openxmlformats.org/officeDocument/2006/relationships/hyperlink" Target="https://www.aljazeera.com/economy/2022/3/16/pakistans-startups-take-center-stage" TargetMode="External"/><Relationship Id="rId499" Type="http://schemas.openxmlformats.org/officeDocument/2006/relationships/footer" Target="footer88.xml"/><Relationship Id="rId56" Type="http://schemas.openxmlformats.org/officeDocument/2006/relationships/hyperlink" Target="https://advance.lexis.com/api/document?id=urn:contentItem:63M4-F8C1-F04Y-T2MM-00000-00&amp;idtype=PID&amp;context=1516831" TargetMode="External"/><Relationship Id="rId359" Type="http://schemas.openxmlformats.org/officeDocument/2006/relationships/hyperlink" Target="https://advance.lexis.com/api/document?collection=news&amp;id=urn:contentItem:60B0-B131-JDKC-R2F6-00000-00&amp;context=1516831" TargetMode="External"/><Relationship Id="rId566" Type="http://schemas.openxmlformats.org/officeDocument/2006/relationships/header" Target="header112.xml"/><Relationship Id="rId121" Type="http://schemas.openxmlformats.org/officeDocument/2006/relationships/hyperlink" Target="https://twitter.com/Claire_V0ltaire/status/1631679955481559041?ref_src=twsrc%5Etfw" TargetMode="External"/><Relationship Id="rId219" Type="http://schemas.openxmlformats.org/officeDocument/2006/relationships/footer" Target="footer23.xml"/><Relationship Id="rId426" Type="http://schemas.openxmlformats.org/officeDocument/2006/relationships/hyperlink" Target="https://advance.lexis.com/api/document?collection=news&amp;id=urn:contentItem:635R-XS81-F04Y-T048-00000-00&amp;context=1516831" TargetMode="External"/><Relationship Id="rId633" Type="http://schemas.openxmlformats.org/officeDocument/2006/relationships/footer" Target="footer134.xml"/><Relationship Id="rId67" Type="http://schemas.openxmlformats.org/officeDocument/2006/relationships/hyperlink" Target="https://advance.lexis.com/api/document?id=urn:contentItem:673D-73K1-DXMP-K4RD-00000-00&amp;idtype=PID&amp;context=1516831" TargetMode="External"/><Relationship Id="rId272" Type="http://schemas.openxmlformats.org/officeDocument/2006/relationships/hyperlink" Target="https://www.indus.vc" TargetMode="External"/><Relationship Id="rId577" Type="http://schemas.openxmlformats.org/officeDocument/2006/relationships/hyperlink" Target="https://carta.com" TargetMode="External"/><Relationship Id="rId132" Type="http://schemas.openxmlformats.org/officeDocument/2006/relationships/hyperlink" Target="https://www.jpost.com/diaspora/antisemitism/article-733247" TargetMode="External"/><Relationship Id="rId437" Type="http://schemas.openxmlformats.org/officeDocument/2006/relationships/hyperlink" Target="2021-07/19/pr_12879_d9b6d4bf_image_story.jpeg" TargetMode="External"/><Relationship Id="rId644" Type="http://schemas.openxmlformats.org/officeDocument/2006/relationships/hyperlink" Target="https://www.factmr.com" TargetMode="External"/><Relationship Id="rId283" Type="http://schemas.openxmlformats.org/officeDocument/2006/relationships/hyperlink" Target="https://www.telenor.com/media/press-release/telenor-group-and-ant-financial-in-strategic-partnership-to-deliver-inclusive-financial-services-in-pakistan" TargetMode="External"/><Relationship Id="rId490" Type="http://schemas.openxmlformats.org/officeDocument/2006/relationships/footer" Target="footer84.xml"/><Relationship Id="rId504" Type="http://schemas.openxmlformats.org/officeDocument/2006/relationships/header" Target="header89.xml"/><Relationship Id="rId78" Type="http://schemas.openxmlformats.org/officeDocument/2006/relationships/hyperlink" Target="https://advance.lexis.com/api/document?id=urn:contentItem:64MS-8MY1-JDKC-R4CY-00000-00&amp;idtype=PID&amp;context=1516831" TargetMode="External"/><Relationship Id="rId143" Type="http://schemas.openxmlformats.org/officeDocument/2006/relationships/hyperlink" Target="https://t.co/Wc8ajkEi0h" TargetMode="External"/><Relationship Id="rId350" Type="http://schemas.openxmlformats.org/officeDocument/2006/relationships/header" Target="header52.xml"/><Relationship Id="rId588" Type="http://schemas.openxmlformats.org/officeDocument/2006/relationships/header" Target="header118.xml"/><Relationship Id="rId9" Type="http://schemas.openxmlformats.org/officeDocument/2006/relationships/hyperlink" Target="https://advance.lexis.com/api/document?id=urn:contentItem:5TW9-XGV1-JBYT-H2DJ-00000-00&amp;idtype=PID&amp;context=1516831" TargetMode="External"/><Relationship Id="rId210" Type="http://schemas.openxmlformats.org/officeDocument/2006/relationships/header" Target="header20.xml"/><Relationship Id="rId448" Type="http://schemas.openxmlformats.org/officeDocument/2006/relationships/hyperlink" Target="mailto:a-and-r-docket@epa.gov" TargetMode="External"/><Relationship Id="rId655" Type="http://schemas.openxmlformats.org/officeDocument/2006/relationships/hyperlink" Target="https://theswisstimes.com" TargetMode="External"/><Relationship Id="rId294" Type="http://schemas.openxmlformats.org/officeDocument/2006/relationships/header" Target="header35.xml"/><Relationship Id="rId308" Type="http://schemas.openxmlformats.org/officeDocument/2006/relationships/header" Target="header39.xml"/><Relationship Id="rId515" Type="http://schemas.openxmlformats.org/officeDocument/2006/relationships/header" Target="header93.xml"/><Relationship Id="rId89" Type="http://schemas.openxmlformats.org/officeDocument/2006/relationships/hyperlink" Target="https://advance.lexis.com/api/document?id=urn:contentItem:67W4-90V1-F07F-82RW-00000-00&amp;idtype=PID&amp;context=1516831" TargetMode="External"/><Relationship Id="rId154" Type="http://schemas.openxmlformats.org/officeDocument/2006/relationships/hyperlink" Target="https://www.forbes.com/sites/petercohan/2023/02/27/wiz-raises-300-million-to-challenge-palo-alto-networks-in-cloud-security/?sh=6df0a55c3140" TargetMode="External"/><Relationship Id="rId361" Type="http://schemas.openxmlformats.org/officeDocument/2006/relationships/header" Target="header55.xml"/><Relationship Id="rId599" Type="http://schemas.openxmlformats.org/officeDocument/2006/relationships/header" Target="header123.xml"/><Relationship Id="rId459" Type="http://schemas.openxmlformats.org/officeDocument/2006/relationships/hyperlink" Target="https://www.regulations.gov/" TargetMode="External"/><Relationship Id="rId16" Type="http://schemas.openxmlformats.org/officeDocument/2006/relationships/hyperlink" Target="https://advance.lexis.com/api/document?id=urn:contentItem:63MT-88Y1-JB5M-W53M-00000-00&amp;idtype=PID&amp;context=1516831" TargetMode="External"/><Relationship Id="rId221" Type="http://schemas.openxmlformats.org/officeDocument/2006/relationships/header" Target="header24.xml"/><Relationship Id="rId319" Type="http://schemas.openxmlformats.org/officeDocument/2006/relationships/footer" Target="footer43.xml"/><Relationship Id="rId526" Type="http://schemas.openxmlformats.org/officeDocument/2006/relationships/hyperlink" Target="https://advance.lexis.com/api/document?collection=news&amp;id=urn:contentItem:5YJF-KG91-JBMY-H2C6-00000-00&amp;context=1516831"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268</Pages>
  <Words>153310</Words>
  <Characters>873871</Characters>
  <Application>Microsoft Office Word</Application>
  <DocSecurity>0</DocSecurity>
  <Lines>7282</Lines>
  <Paragraphs>2050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in Prevalence of Depression That Boosts the Growth of Extremities Reconstruction Market in Healthcare Industry</dc:title>
  <cp:lastModifiedBy>Shubham Singh Tanwar</cp:lastModifiedBy>
  <cp:revision>10</cp:revision>
  <dcterms:created xsi:type="dcterms:W3CDTF">2023-07-01T12:21:00Z</dcterms:created>
  <dcterms:modified xsi:type="dcterms:W3CDTF">2023-07-01T18:05:00Z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199608110</vt:lpwstr>
  </property>
  <property fmtid="{D5CDD505-2E9C-101B-9397-08002B2CF9AE}" pid="3" name="LADocCount">
    <vt:i4>46</vt:i4>
  </property>
  <property fmtid="{D5CDD505-2E9C-101B-9397-08002B2CF9AE}" pid="4" name="LADocumentID:urn:contentItem:5RT9-2051-DYDW-70G5-00000-00">
    <vt:lpwstr>Doc::/shared/document|contextualFeaturePermID::1516831</vt:lpwstr>
  </property>
  <property fmtid="{D5CDD505-2E9C-101B-9397-08002B2CF9AE}" pid="5" name="LADocumentID:urn:contentItem:5T5N-7VH1-JB5M-W3J8-00000-00">
    <vt:lpwstr>Doc::/shared/document|contextualFeaturePermID::1516831</vt:lpwstr>
  </property>
  <property fmtid="{D5CDD505-2E9C-101B-9397-08002B2CF9AE}" pid="6" name="LADocumentID:urn:contentItem:5T88-D901-JB3N-T4RH-00000-00">
    <vt:lpwstr>Doc::/shared/document|contextualFeaturePermID::1516831</vt:lpwstr>
  </property>
  <property fmtid="{D5CDD505-2E9C-101B-9397-08002B2CF9AE}" pid="7" name="LADocumentID:urn:contentItem:5TDN-NKW1-J9XT-P3Y9-00000-00">
    <vt:lpwstr>Doc::/shared/document|contextualFeaturePermID::1516831</vt:lpwstr>
  </property>
  <property fmtid="{D5CDD505-2E9C-101B-9397-08002B2CF9AE}" pid="8" name="LADocumentID:urn:contentItem:5TDW-YF31-J9XT-P2X3-00000-00">
    <vt:lpwstr>Doc::/shared/document|contextualFeaturePermID::1516831</vt:lpwstr>
  </property>
  <property fmtid="{D5CDD505-2E9C-101B-9397-08002B2CF9AE}" pid="9" name="LADocumentID:urn:contentItem:5TG7-17H1-JB5M-W2NF-00000-00">
    <vt:lpwstr>Doc::/shared/document|contextualFeaturePermID::1516831</vt:lpwstr>
  </property>
  <property fmtid="{D5CDD505-2E9C-101B-9397-08002B2CF9AE}" pid="10" name="LADocumentID:urn:contentItem:5TW9-XGV1-JBYT-H2DJ-00000-00">
    <vt:lpwstr>Doc::/shared/document|contextualFeaturePermID::1516831</vt:lpwstr>
  </property>
  <property fmtid="{D5CDD505-2E9C-101B-9397-08002B2CF9AE}" pid="11" name="LADocumentID:urn:contentItem:5V9D-X6T1-DXMP-K119-00000-00">
    <vt:lpwstr>Doc::/shared/document|contextualFeaturePermID::1516831</vt:lpwstr>
  </property>
  <property fmtid="{D5CDD505-2E9C-101B-9397-08002B2CF9AE}" pid="12" name="LADocumentID:urn:contentItem:5VD2-2NW1-JB3N-T1NP-00000-00">
    <vt:lpwstr>Doc::/shared/document|contextualFeaturePermID::1516831</vt:lpwstr>
  </property>
  <property fmtid="{D5CDD505-2E9C-101B-9397-08002B2CF9AE}" pid="13" name="LADocumentID:urn:contentItem:5VG9-3N91-JCMN-Y4D9-00000-00">
    <vt:lpwstr>Doc::/shared/document|contextualFeaturePermID::1516831</vt:lpwstr>
  </property>
  <property fmtid="{D5CDD505-2E9C-101B-9397-08002B2CF9AE}" pid="14" name="LADocumentID:urn:contentItem:5VVJ-M9D1-JB5M-W387-00000-00">
    <vt:lpwstr>Doc::/shared/document|contextualFeaturePermID::1516831</vt:lpwstr>
  </property>
  <property fmtid="{D5CDD505-2E9C-101B-9397-08002B2CF9AE}" pid="15" name="LADocumentID:urn:contentItem:5WC8-PRM1-F03R-W410-00000-00">
    <vt:lpwstr>Doc::/shared/document|contextualFeaturePermID::1516831</vt:lpwstr>
  </property>
  <property fmtid="{D5CDD505-2E9C-101B-9397-08002B2CF9AE}" pid="16" name="LADocumentID:urn:contentItem:5WFF-CXN1-DYDW-73X7-00000-00">
    <vt:lpwstr>Doc::/shared/document|contextualFeaturePermID::1516831</vt:lpwstr>
  </property>
  <property fmtid="{D5CDD505-2E9C-101B-9397-08002B2CF9AE}" pid="17" name="LADocumentID:urn:contentItem:5WV2-HPK1-JB20-G2KR-00000-00">
    <vt:lpwstr>Doc::/shared/document|contextualFeaturePermID::1516831</vt:lpwstr>
  </property>
  <property fmtid="{D5CDD505-2E9C-101B-9397-08002B2CF9AE}" pid="18" name="LADocumentID:urn:contentItem:5X0S-X7D1-JDG9-Y2YM-00000-00">
    <vt:lpwstr>Doc::/shared/document|contextualFeaturePermID::1516831</vt:lpwstr>
  </property>
  <property fmtid="{D5CDD505-2E9C-101B-9397-08002B2CF9AE}" pid="19" name="LADocumentID:urn:contentItem:5XB5-8H01-JDKC-R1XV-00000-00">
    <vt:lpwstr>Doc::/shared/document|contextualFeaturePermID::1516831</vt:lpwstr>
  </property>
  <property fmtid="{D5CDD505-2E9C-101B-9397-08002B2CF9AE}" pid="20" name="LADocumentID:urn:contentItem:5YJF-KG91-JBMY-H2C6-00000-00">
    <vt:lpwstr>Doc::/shared/document|contextualFeaturePermID::1516831</vt:lpwstr>
  </property>
  <property fmtid="{D5CDD505-2E9C-101B-9397-08002B2CF9AE}" pid="21" name="LADocumentID:urn:contentItem:6041-6BN1-F00C-621R-00000-00">
    <vt:lpwstr>Doc::/shared/document|contextualFeaturePermID::1516831</vt:lpwstr>
  </property>
  <property fmtid="{D5CDD505-2E9C-101B-9397-08002B2CF9AE}" pid="22" name="LADocumentID:urn:contentItem:609J-PTV1-JDKC-R0WX-00000-00">
    <vt:lpwstr>Doc::/shared/document|contextualFeaturePermID::1516831</vt:lpwstr>
  </property>
  <property fmtid="{D5CDD505-2E9C-101B-9397-08002B2CF9AE}" pid="23" name="LADocumentID:urn:contentItem:60B0-B131-JDKC-R2F6-00000-00">
    <vt:lpwstr>Doc::/shared/document|contextualFeaturePermID::1516831</vt:lpwstr>
  </property>
  <property fmtid="{D5CDD505-2E9C-101B-9397-08002B2CF9AE}" pid="24" name="LADocumentID:urn:contentItem:60KR-6G61-JDG9-Y3ST-00000-00">
    <vt:lpwstr>Doc::/shared/document|contextualFeaturePermID::1516831</vt:lpwstr>
  </property>
  <property fmtid="{D5CDD505-2E9C-101B-9397-08002B2CF9AE}" pid="25" name="LADocumentID:urn:contentItem:60MS-RCP1-JBMY-H349-00000-00">
    <vt:lpwstr>Doc::/shared/document|contextualFeaturePermID::1516831</vt:lpwstr>
  </property>
  <property fmtid="{D5CDD505-2E9C-101B-9397-08002B2CF9AE}" pid="26" name="LADocumentID:urn:contentItem:6123-8RB1-JBMY-H1F5-00000-00">
    <vt:lpwstr>Doc::/shared/document|contextualFeaturePermID::1516831</vt:lpwstr>
  </property>
  <property fmtid="{D5CDD505-2E9C-101B-9397-08002B2CF9AE}" pid="27" name="LADocumentID:urn:contentItem:61F5-6SM1-JB5M-W4KT-00000-00">
    <vt:lpwstr>Doc::/shared/document|contextualFeaturePermID::1516831</vt:lpwstr>
  </property>
  <property fmtid="{D5CDD505-2E9C-101B-9397-08002B2CF9AE}" pid="28" name="LADocumentID:urn:contentItem:61HH-6XP1-JDKC-R3S6-00000-00">
    <vt:lpwstr>Doc::/shared/document|contextualFeaturePermID::1516831</vt:lpwstr>
  </property>
  <property fmtid="{D5CDD505-2E9C-101B-9397-08002B2CF9AE}" pid="29" name="LADocumentID:urn:contentItem:61VH-45M1-F03R-N3G0-00000-00">
    <vt:lpwstr>Doc::/shared/document|contextualFeaturePermID::1516831</vt:lpwstr>
  </property>
  <property fmtid="{D5CDD505-2E9C-101B-9397-08002B2CF9AE}" pid="30" name="LADocumentID:urn:contentItem:620X-WS71-JDKC-R2BR-00000-00">
    <vt:lpwstr>Doc::/shared/document|contextualFeaturePermID::1516831</vt:lpwstr>
  </property>
  <property fmtid="{D5CDD505-2E9C-101B-9397-08002B2CF9AE}" pid="31" name="LADocumentID:urn:contentItem:633K-N341-JB3N-T3RX-00000-00">
    <vt:lpwstr>Doc::/shared/document|contextualFeaturePermID::1516831</vt:lpwstr>
  </property>
  <property fmtid="{D5CDD505-2E9C-101B-9397-08002B2CF9AE}" pid="32" name="LADocumentID:urn:contentItem:635R-XS81-F04Y-T048-00000-00">
    <vt:lpwstr>Doc::/shared/document|contextualFeaturePermID::1516831</vt:lpwstr>
  </property>
  <property fmtid="{D5CDD505-2E9C-101B-9397-08002B2CF9AE}" pid="33" name="LADocumentID:urn:contentItem:63M4-F8C1-F04Y-T2MM-00000-00">
    <vt:lpwstr>Doc::/shared/document|contextualFeaturePermID::1516831</vt:lpwstr>
  </property>
  <property fmtid="{D5CDD505-2E9C-101B-9397-08002B2CF9AE}" pid="34" name="LADocumentID:urn:contentItem:63MT-88Y1-JB5M-W53M-00000-00">
    <vt:lpwstr>Doc::/shared/document|contextualFeaturePermID::1516831</vt:lpwstr>
  </property>
  <property fmtid="{D5CDD505-2E9C-101B-9397-08002B2CF9AE}" pid="35" name="LADocumentID:urn:contentItem:64MS-8MY1-JDKC-R4B2-00000-00">
    <vt:lpwstr>Doc::/shared/document|contextualFeaturePermID::1516831</vt:lpwstr>
  </property>
  <property fmtid="{D5CDD505-2E9C-101B-9397-08002B2CF9AE}" pid="36" name="LADocumentID:urn:contentItem:64MS-8MY1-JDKC-R4CY-00000-00">
    <vt:lpwstr>Doc::/shared/document|contextualFeaturePermID::1516831</vt:lpwstr>
  </property>
  <property fmtid="{D5CDD505-2E9C-101B-9397-08002B2CF9AE}" pid="37" name="LADocumentID:urn:contentItem:658N-12G1-JB5M-W0H1-00000-00">
    <vt:lpwstr>Doc::/shared/document|contextualFeaturePermID::1516831</vt:lpwstr>
  </property>
  <property fmtid="{D5CDD505-2E9C-101B-9397-08002B2CF9AE}" pid="38" name="LADocumentID:urn:contentItem:65FB-6N91-DYDW-70D7-00000-00">
    <vt:lpwstr>Doc::/shared/document|contextualFeaturePermID::1516831</vt:lpwstr>
  </property>
  <property fmtid="{D5CDD505-2E9C-101B-9397-08002B2CF9AE}" pid="39" name="LADocumentID:urn:contentItem:65G5-NXF1-JCMN-Y3PN-00000-00">
    <vt:lpwstr>Doc::/shared/document|contextualFeaturePermID::1516831</vt:lpwstr>
  </property>
  <property fmtid="{D5CDD505-2E9C-101B-9397-08002B2CF9AE}" pid="40" name="LADocumentID:urn:contentItem:6734-YG31-F12F-F224-00000-00">
    <vt:lpwstr>Doc::/shared/document|contextualFeaturePermID::1516831</vt:lpwstr>
  </property>
  <property fmtid="{D5CDD505-2E9C-101B-9397-08002B2CF9AE}" pid="41" name="LADocumentID:urn:contentItem:673D-73K1-DXMP-K4RD-00000-00">
    <vt:lpwstr>Doc::/shared/document|contextualFeaturePermID::1516831</vt:lpwstr>
  </property>
  <property fmtid="{D5CDD505-2E9C-101B-9397-08002B2CF9AE}" pid="42" name="LADocumentID:urn:contentItem:673D-73K1-DXMP-K4RH-00000-00">
    <vt:lpwstr>Doc::/shared/document|contextualFeaturePermID::1516831</vt:lpwstr>
  </property>
  <property fmtid="{D5CDD505-2E9C-101B-9397-08002B2CF9AE}" pid="43" name="LADocumentID:urn:contentItem:67P6-1CR1-JCMN-Y491-00000-00">
    <vt:lpwstr>Doc::/shared/document|contextualFeaturePermID::1516831</vt:lpwstr>
  </property>
  <property fmtid="{D5CDD505-2E9C-101B-9397-08002B2CF9AE}" pid="44" name="LADocumentID:urn:contentItem:67W4-90V1-F07F-819G-00000-00">
    <vt:lpwstr>Doc::/shared/document|contextualFeaturePermID::1516831</vt:lpwstr>
  </property>
  <property fmtid="{D5CDD505-2E9C-101B-9397-08002B2CF9AE}" pid="45" name="LADocumentID:urn:contentItem:67W4-90V1-F07F-82RW-00000-00">
    <vt:lpwstr>Doc::/shared/document|contextualFeaturePermID::1516831</vt:lpwstr>
  </property>
  <property fmtid="{D5CDD505-2E9C-101B-9397-08002B2CF9AE}" pid="46" name="LADocumentID:urn:contentItem:67W4-FN51-JCSC-J17G-00000-00">
    <vt:lpwstr>Doc::/shared/document|contextualFeaturePermID::1516831</vt:lpwstr>
  </property>
  <property fmtid="{D5CDD505-2E9C-101B-9397-08002B2CF9AE}" pid="47" name="LADocumentID:urn:contentItem:67W4-YGV1-F07F-82FB-00000-00">
    <vt:lpwstr>Doc::/shared/document|contextualFeaturePermID::1516831</vt:lpwstr>
  </property>
  <property fmtid="{D5CDD505-2E9C-101B-9397-08002B2CF9AE}" pid="48" name="LADocumentID:urn:contentItem:67WX-S6V1-F07F-82R5-00000-00">
    <vt:lpwstr>Doc::/shared/document|contextualFeaturePermID::1516831</vt:lpwstr>
  </property>
  <property fmtid="{D5CDD505-2E9C-101B-9397-08002B2CF9AE}" pid="49" name="UserPermID">
    <vt:lpwstr>urn:user:PA192273167</vt:lpwstr>
  </property>
</Properties>
</file>