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val="false"/>
          <w:bCs w:val="false"/>
          <w:sz w:val="44"/>
          <w:szCs w:val="44"/>
        </w:rPr>
        <w:t xml:space="preserve">Noise-Aware Grover Key Search: How Per-Iteration Logical Error Limits the Quantum Speed-Up Against Symmetric Ciphers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c>
          <w:tcPr>
            <w:tcW w:type="dxa" w:w="261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sz w:val="20"/>
                <w:szCs w:val="20"/>
              </w:rPr>
              <w:t xml:space="preserve">Rahul Bansode</w:t>
            </w:r>
          </w:p>
          <w:p>
            <w:pPr>
              <w:jc w:val="center"/>
            </w:pPr>
            <w:r>
              <w:rPr>
                <w:rFonts w:ascii="Times New Roman" w:cs="Times New Roman" w:eastAsia="Times New Roman" w:hAnsi="Times New Roman"/>
                <w:i/>
                <w:iCs/>
                <w:sz w:val="20"/>
                <w:szCs w:val="20"/>
              </w:rPr>
              <w:t xml:space="preserve">Roll No. 24102A0058</w:t>
            </w:r>
          </w:p>
          <w:p>
            <w:pPr>
              <w:jc w:val="center"/>
            </w:pPr>
            <w:r>
              <w:rPr>
                <w:rFonts w:ascii="Times New Roman" w:cs="Times New Roman" w:eastAsia="Times New Roman" w:hAnsi="Times New Roman"/>
                <w:i/>
                <w:iCs/>
                <w:sz w:val="20"/>
                <w:szCs w:val="20"/>
              </w:rPr>
              <w:t xml:space="preserve">Dept. of Computer Engineering</w:t>
            </w:r>
          </w:p>
          <w:p>
            <w:pPr>
              <w:jc w:val="center"/>
            </w:pPr>
            <w:r>
              <w:rPr>
                <w:rFonts w:ascii="Times New Roman" w:cs="Times New Roman" w:eastAsia="Times New Roman" w:hAnsi="Times New Roman"/>
                <w:i/>
                <w:iCs/>
                <w:sz w:val="20"/>
                <w:szCs w:val="20"/>
              </w:rPr>
              <w:t xml:space="preserve">Vidyalankar Institute of Technology</w:t>
            </w:r>
          </w:p>
          <w:p>
            <w:pPr>
              <w:jc w:val="center"/>
            </w:pPr>
            <w:r>
              <w:rPr>
                <w:rFonts w:ascii="Times New Roman" w:cs="Times New Roman" w:eastAsia="Times New Roman" w:hAnsi="Times New Roman"/>
                <w:i/>
                <w:iCs/>
                <w:sz w:val="20"/>
                <w:szCs w:val="20"/>
              </w:rPr>
              <w:t xml:space="preserve">Mumbai, India</w:t>
            </w:r>
          </w:p>
          <w:p>
            <w:pPr>
              <w:jc w:val="center"/>
            </w:pPr>
            <w:r>
              <w:rPr>
                <w:rFonts w:ascii="Times New Roman" w:cs="Times New Roman" w:eastAsia="Times New Roman" w:hAnsi="Times New Roman"/>
                <w:i/>
                <w:iCs/>
                <w:sz w:val="20"/>
                <w:szCs w:val="20"/>
              </w:rPr>
              <w:t xml:space="preserve">rahul.bansode@vit.edu.in</w:t>
            </w:r>
          </w:p>
        </w:tc>
        <w:tc>
          <w:tcPr>
            <w:tcW w:type="dxa" w:w="261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sz w:val="20"/>
                <w:szCs w:val="20"/>
              </w:rPr>
              <w:t xml:space="preserve">Rishabh Hatlunkar</w:t>
            </w:r>
          </w:p>
          <w:p>
            <w:pPr>
              <w:jc w:val="center"/>
            </w:pPr>
            <w:r>
              <w:rPr>
                <w:rFonts w:ascii="Times New Roman" w:cs="Times New Roman" w:eastAsia="Times New Roman" w:hAnsi="Times New Roman"/>
                <w:i/>
                <w:iCs/>
                <w:sz w:val="20"/>
                <w:szCs w:val="20"/>
              </w:rPr>
              <w:t xml:space="preserve">Roll No. 26102A2006</w:t>
            </w:r>
          </w:p>
          <w:p>
            <w:pPr>
              <w:jc w:val="center"/>
            </w:pPr>
            <w:r>
              <w:rPr>
                <w:rFonts w:ascii="Times New Roman" w:cs="Times New Roman" w:eastAsia="Times New Roman" w:hAnsi="Times New Roman"/>
                <w:i/>
                <w:iCs/>
                <w:sz w:val="20"/>
                <w:szCs w:val="20"/>
              </w:rPr>
              <w:t xml:space="preserve">Dept. of Computer Engineering</w:t>
            </w:r>
          </w:p>
          <w:p>
            <w:pPr>
              <w:jc w:val="center"/>
            </w:pPr>
            <w:r>
              <w:rPr>
                <w:rFonts w:ascii="Times New Roman" w:cs="Times New Roman" w:eastAsia="Times New Roman" w:hAnsi="Times New Roman"/>
                <w:i/>
                <w:iCs/>
                <w:sz w:val="20"/>
                <w:szCs w:val="20"/>
              </w:rPr>
              <w:t xml:space="preserve">Vidyalankar Institute of Technology</w:t>
            </w:r>
          </w:p>
          <w:p>
            <w:pPr>
              <w:jc w:val="center"/>
            </w:pPr>
            <w:r>
              <w:rPr>
                <w:rFonts w:ascii="Times New Roman" w:cs="Times New Roman" w:eastAsia="Times New Roman" w:hAnsi="Times New Roman"/>
                <w:i/>
                <w:iCs/>
                <w:sz w:val="20"/>
                <w:szCs w:val="20"/>
              </w:rPr>
              <w:t xml:space="preserve">Mumbai, India</w:t>
            </w:r>
          </w:p>
          <w:p>
            <w:pPr>
              <w:jc w:val="center"/>
            </w:pPr>
            <w:r>
              <w:rPr>
                <w:rFonts w:ascii="Times New Roman" w:cs="Times New Roman" w:eastAsia="Times New Roman" w:hAnsi="Times New Roman"/>
                <w:i/>
                <w:iCs/>
                <w:sz w:val="20"/>
                <w:szCs w:val="20"/>
              </w:rPr>
              <w:t xml:space="preserve">rishabh.hatlunkar@vit.edu.in</w:t>
            </w:r>
          </w:p>
        </w:tc>
        <w:tc>
          <w:tcPr>
            <w:tcW w:type="dxa" w:w="261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sz w:val="20"/>
                <w:szCs w:val="20"/>
              </w:rPr>
              <w:t xml:space="preserve">Shubham Vaidya</w:t>
            </w:r>
          </w:p>
          <w:p>
            <w:pPr>
              <w:jc w:val="center"/>
            </w:pPr>
            <w:r>
              <w:rPr>
                <w:rFonts w:ascii="Times New Roman" w:cs="Times New Roman" w:eastAsia="Times New Roman" w:hAnsi="Times New Roman"/>
                <w:i/>
                <w:iCs/>
                <w:sz w:val="20"/>
                <w:szCs w:val="20"/>
              </w:rPr>
              <w:t xml:space="preserve">Roll No. 24102A0059</w:t>
            </w:r>
          </w:p>
          <w:p>
            <w:pPr>
              <w:jc w:val="center"/>
            </w:pPr>
            <w:r>
              <w:rPr>
                <w:rFonts w:ascii="Times New Roman" w:cs="Times New Roman" w:eastAsia="Times New Roman" w:hAnsi="Times New Roman"/>
                <w:i/>
                <w:iCs/>
                <w:sz w:val="20"/>
                <w:szCs w:val="20"/>
              </w:rPr>
              <w:t xml:space="preserve">Dept. of Computer Engineering</w:t>
            </w:r>
          </w:p>
          <w:p>
            <w:pPr>
              <w:jc w:val="center"/>
            </w:pPr>
            <w:r>
              <w:rPr>
                <w:rFonts w:ascii="Times New Roman" w:cs="Times New Roman" w:eastAsia="Times New Roman" w:hAnsi="Times New Roman"/>
                <w:i/>
                <w:iCs/>
                <w:sz w:val="20"/>
                <w:szCs w:val="20"/>
              </w:rPr>
              <w:t xml:space="preserve">Vidyalankar Institute of Technology</w:t>
            </w:r>
          </w:p>
          <w:p>
            <w:pPr>
              <w:jc w:val="center"/>
            </w:pPr>
            <w:r>
              <w:rPr>
                <w:rFonts w:ascii="Times New Roman" w:cs="Times New Roman" w:eastAsia="Times New Roman" w:hAnsi="Times New Roman"/>
                <w:i/>
                <w:iCs/>
                <w:sz w:val="20"/>
                <w:szCs w:val="20"/>
              </w:rPr>
              <w:t xml:space="preserve">Mumbai, India</w:t>
            </w:r>
          </w:p>
          <w:p>
            <w:pPr>
              <w:jc w:val="center"/>
            </w:pPr>
            <w:r>
              <w:rPr>
                <w:rFonts w:ascii="Times New Roman" w:cs="Times New Roman" w:eastAsia="Times New Roman" w:hAnsi="Times New Roman"/>
                <w:i/>
                <w:iCs/>
                <w:sz w:val="20"/>
                <w:szCs w:val="20"/>
              </w:rPr>
              <w:t xml:space="preserve">shubham.vaidya@vit.edu.in</w:t>
            </w:r>
          </w:p>
        </w:tc>
        <w:tc>
          <w:tcPr>
            <w:tcW w:type="dxa" w:w="261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rPr>
                <w:rFonts w:ascii="Times New Roman" w:cs="Times New Roman" w:eastAsia="Times New Roman" w:hAnsi="Times New Roman"/>
                <w:sz w:val="20"/>
                <w:szCs w:val="20"/>
              </w:rPr>
              <w:t xml:space="preserve">Dhiraj Pawar</w:t>
            </w:r>
          </w:p>
          <w:p>
            <w:pPr>
              <w:jc w:val="center"/>
            </w:pPr>
            <w:r>
              <w:rPr>
                <w:rFonts w:ascii="Times New Roman" w:cs="Times New Roman" w:eastAsia="Times New Roman" w:hAnsi="Times New Roman"/>
                <w:i/>
                <w:iCs/>
                <w:sz w:val="20"/>
                <w:szCs w:val="20"/>
              </w:rPr>
              <w:t xml:space="preserve">Roll No. 24102A0017</w:t>
            </w:r>
          </w:p>
          <w:p>
            <w:pPr>
              <w:jc w:val="center"/>
            </w:pPr>
            <w:r>
              <w:rPr>
                <w:rFonts w:ascii="Times New Roman" w:cs="Times New Roman" w:eastAsia="Times New Roman" w:hAnsi="Times New Roman"/>
                <w:i/>
                <w:iCs/>
                <w:sz w:val="20"/>
                <w:szCs w:val="20"/>
              </w:rPr>
              <w:t xml:space="preserve">Dept. of Computer Engineering</w:t>
            </w:r>
          </w:p>
          <w:p>
            <w:pPr>
              <w:jc w:val="center"/>
            </w:pPr>
            <w:r>
              <w:rPr>
                <w:rFonts w:ascii="Times New Roman" w:cs="Times New Roman" w:eastAsia="Times New Roman" w:hAnsi="Times New Roman"/>
                <w:i/>
                <w:iCs/>
                <w:sz w:val="20"/>
                <w:szCs w:val="20"/>
              </w:rPr>
              <w:t xml:space="preserve">Vidyalankar Institute of Technology</w:t>
            </w:r>
          </w:p>
          <w:p>
            <w:pPr>
              <w:jc w:val="center"/>
            </w:pPr>
            <w:r>
              <w:rPr>
                <w:rFonts w:ascii="Times New Roman" w:cs="Times New Roman" w:eastAsia="Times New Roman" w:hAnsi="Times New Roman"/>
                <w:i/>
                <w:iCs/>
                <w:sz w:val="20"/>
                <w:szCs w:val="20"/>
              </w:rPr>
              <w:t xml:space="preserve">Mumbai, India</w:t>
            </w:r>
          </w:p>
          <w:p>
            <w:pPr>
              <w:jc w:val="center"/>
            </w:pPr>
            <w:r>
              <w:rPr>
                <w:rFonts w:ascii="Times New Roman" w:cs="Times New Roman" w:eastAsia="Times New Roman" w:hAnsi="Times New Roman"/>
                <w:i/>
                <w:iCs/>
                <w:sz w:val="20"/>
                <w:szCs w:val="20"/>
              </w:rPr>
              <w:t xml:space="preserve">dhiraj.pawar@vit.edu.in</w:t>
            </w:r>
          </w:p>
        </w:tc>
      </w:tr>
    </w:tbl>
    <w:p>
      <w:pPr>
        <w:spacing w:after="120"/>
      </w:pPr>
    </w:p>
    <w:p>
      <w:pPr>
        <w:sectPr>
          <w:pgSz w:w="12240" w:h="15840" w:orient="portrait"/>
          <w:pgMar w:top="1080" w:right="900" w:bottom="1260" w:left="900" w:header="708" w:footer="708" w:gutter="0"/>
          <w:pgNumType/>
          <w:docGrid w:linePitch="360"/>
        </w:sectPr>
      </w:pPr>
    </w:p>
    <w:p>
      <w:pPr>
        <w:spacing w:after="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Grover’s algorithm is the standard reason that symmetric key lengths are doubled in the post-quantum setting, but the usual “</w:t>
      </w:r>
      <w:r>
        <w:rPr>
          <w:rFonts w:ascii="Times New Roman" w:cs="Times New Roman" w:eastAsia="Times New Roman" w:hAnsi="Times New Roman"/>
          <w:b/>
          <w:bCs/>
          <w:i/>
          <w:iCs/>
          <w:sz w:val="18"/>
          <w:szCs w:val="18"/>
        </w:rPr>
        <w:t xml:space="preserve">n</w:t>
      </w:r>
      <w:r>
        <w:rPr>
          <w:rFonts w:ascii="Times New Roman" w:cs="Times New Roman" w:eastAsia="Times New Roman" w:hAnsi="Times New Roman"/>
          <w:b/>
          <w:bCs/>
          <w:sz w:val="18"/>
          <w:szCs w:val="18"/>
        </w:rPr>
        <w:t xml:space="preserve">-bit key gives </w:t>
      </w:r>
      <w:r>
        <w:rPr>
          <w:rFonts w:ascii="Times New Roman" w:cs="Times New Roman" w:eastAsia="Times New Roman" w:hAnsi="Times New Roman"/>
          <w:b/>
          <w:bCs/>
          <w:i/>
          <w:iCs/>
          <w:sz w:val="18"/>
          <w:szCs w:val="18"/>
        </w:rPr>
        <w:t xml:space="preserve">n</w:t>
      </w:r>
      <w:r>
        <w:rPr>
          <w:rFonts w:ascii="Times New Roman" w:cs="Times New Roman" w:eastAsia="Times New Roman" w:hAnsi="Times New Roman"/>
          <w:b/>
          <w:bCs/>
          <w:sz w:val="18"/>
          <w:szCs w:val="18"/>
        </w:rPr>
        <w:t xml:space="preserve">/2 bits of quantum security” rule assumes a noiseless machine. We ask a narrower question: how much error per Grover iteration can a key-search attack tolerate before the quadratic speed-up is lost? We model each iteration as suffering a global depolarizing fault with probability </w:t>
      </w:r>
      <w:r>
        <w:rPr>
          <w:rFonts w:ascii="Times New Roman" w:cs="Times New Roman" w:eastAsia="Times New Roman" w:hAnsi="Times New Roman"/>
          <w:b/>
          <w:bCs/>
          <w:i/>
          <w:iCs/>
          <w:sz w:val="18"/>
          <w:szCs w:val="18"/>
        </w:rPr>
        <w:t xml:space="preserve">ε</w:t>
      </w:r>
      <w:r>
        <w:rPr>
          <w:rFonts w:ascii="Times New Roman" w:cs="Times New Roman" w:eastAsia="Times New Roman" w:hAnsi="Times New Roman"/>
          <w:b/>
          <w:bCs/>
          <w:sz w:val="18"/>
          <w:szCs w:val="18"/>
        </w:rPr>
        <w:t xml:space="preserve"> and derive a closed form for the success probability, which we confirm against exact density-matrix simulation (maximum deviation 4.3×10</w:t>
      </w:r>
      <w:r>
        <w:rPr>
          <w:rFonts w:ascii="Times New Roman" w:cs="Times New Roman" w:eastAsia="Times New Roman" w:hAnsi="Times New Roman"/>
          <w:b/>
          <w:bCs/>
          <w:sz w:val="18"/>
          <w:szCs w:val="18"/>
          <w:vertAlign w:val="superscript"/>
        </w:rPr>
        <w:t xml:space="preserve">-14</w:t>
      </w:r>
      <w:r>
        <w:rPr>
          <w:rFonts w:ascii="Times New Roman" w:cs="Times New Roman" w:eastAsia="Times New Roman" w:hAnsi="Times New Roman"/>
          <w:b/>
          <w:bCs/>
          <w:sz w:val="18"/>
          <w:szCs w:val="18"/>
        </w:rPr>
        <w:t xml:space="preserve">). Optimizing the iteration count with restarts gives an expected cost of (</w:t>
      </w:r>
      <w:r>
        <w:rPr>
          <w:rFonts w:ascii="Times New Roman" w:cs="Times New Roman" w:eastAsia="Times New Roman" w:hAnsi="Times New Roman"/>
          <w:b/>
          <w:bCs/>
          <w:i/>
          <w:iCs/>
          <w:sz w:val="18"/>
          <w:szCs w:val="18"/>
        </w:rPr>
        <w:t xml:space="preserve">e</w:t>
      </w:r>
      <w:r>
        <w:rPr>
          <w:rFonts w:ascii="Times New Roman" w:cs="Times New Roman" w:eastAsia="Times New Roman" w:hAnsi="Times New Roman"/>
          <w:b/>
          <w:bCs/>
          <w:sz w:val="18"/>
          <w:szCs w:val="18"/>
        </w:rPr>
        <w:t xml:space="preserve">/4)·</w:t>
      </w:r>
      <w:r>
        <w:rPr>
          <w:rFonts w:ascii="Times New Roman" w:cs="Times New Roman" w:eastAsia="Times New Roman" w:hAnsi="Times New Roman"/>
          <w:b/>
          <w:bCs/>
          <w:i/>
          <w:iCs/>
          <w:sz w:val="18"/>
          <w:szCs w:val="18"/>
        </w:rPr>
        <w:t xml:space="preserve">ε</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i/>
          <w:iCs/>
          <w:sz w:val="18"/>
          <w:szCs w:val="18"/>
        </w:rPr>
        <w:t xml:space="preserve">N</w:t>
      </w:r>
      <w:r>
        <w:rPr>
          <w:rFonts w:ascii="Times New Roman" w:cs="Times New Roman" w:eastAsia="Times New Roman" w:hAnsi="Times New Roman"/>
          <w:b/>
          <w:bCs/>
          <w:sz w:val="18"/>
          <w:szCs w:val="18"/>
        </w:rPr>
        <w:t xml:space="preserve"> iterations once </w:t>
      </w:r>
      <w:r>
        <w:rPr>
          <w:rFonts w:ascii="Times New Roman" w:cs="Times New Roman" w:eastAsia="Times New Roman" w:hAnsi="Times New Roman"/>
          <w:b/>
          <w:bCs/>
          <w:i/>
          <w:iCs/>
          <w:sz w:val="18"/>
          <w:szCs w:val="18"/>
        </w:rPr>
        <w:t xml:space="preserve">ε</w:t>
      </w:r>
      <w:r>
        <w:rPr>
          <w:rFonts w:ascii="Times New Roman" w:cs="Times New Roman" w:eastAsia="Times New Roman" w:hAnsi="Times New Roman"/>
          <w:b/>
          <w:bCs/>
          <w:sz w:val="18"/>
          <w:szCs w:val="18"/>
        </w:rPr>
        <w:t xml:space="preserve"> exceeds a critical value </w:t>
      </w:r>
      <w:r>
        <w:rPr>
          <w:rFonts w:ascii="Times New Roman" w:cs="Times New Roman" w:eastAsia="Times New Roman" w:hAnsi="Times New Roman"/>
          <w:b/>
          <w:bCs/>
          <w:i/>
          <w:iCs/>
          <w:sz w:val="18"/>
          <w:szCs w:val="18"/>
        </w:rPr>
        <w:t xml:space="preserve">ε</w:t>
      </w:r>
      <w:r>
        <w:rPr>
          <w:rFonts w:ascii="Times New Roman" w:cs="Times New Roman" w:eastAsia="Times New Roman" w:hAnsi="Times New Roman"/>
          <w:b/>
          <w:bCs/>
          <w:sz w:val="18"/>
          <w:szCs w:val="18"/>
          <w:vertAlign w:val="subscript"/>
        </w:rPr>
        <w:t xml:space="preserve">c</w:t>
      </w:r>
      <w:r>
        <w:rPr>
          <w:rFonts w:ascii="Times New Roman" w:cs="Times New Roman" w:eastAsia="Times New Roman" w:hAnsi="Times New Roman"/>
          <w:b/>
          <w:bCs/>
          <w:sz w:val="18"/>
          <w:szCs w:val="18"/>
        </w:rPr>
        <w:t xml:space="preserve"> = </w:t>
      </w:r>
      <w:r>
        <w:rPr>
          <w:rFonts w:ascii="Times New Roman" w:cs="Times New Roman" w:eastAsia="Times New Roman" w:hAnsi="Times New Roman"/>
          <w:b/>
          <w:bCs/>
          <w:i/>
          <w:iCs/>
          <w:sz w:val="18"/>
          <w:szCs w:val="18"/>
        </w:rPr>
        <w:t xml:space="preserve">π</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i/>
          <w:iCs/>
          <w:sz w:val="18"/>
          <w:szCs w:val="18"/>
        </w:rPr>
        <w:t xml:space="preserve">e</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i/>
          <w:iCs/>
          <w:sz w:val="18"/>
          <w:szCs w:val="18"/>
        </w:rPr>
        <w:t xml:space="preserve">N</w:t>
      </w:r>
      <w:r>
        <w:rPr>
          <w:rFonts w:ascii="Times New Roman" w:cs="Times New Roman" w:eastAsia="Times New Roman" w:hAnsi="Times New Roman"/>
          <w:b/>
          <w:bCs/>
          <w:sz w:val="18"/>
          <w:szCs w:val="18"/>
        </w:rPr>
        <w:t xml:space="preserve">), and the ideal (</w:t>
      </w:r>
      <w:r>
        <w:rPr>
          <w:rFonts w:ascii="Times New Roman" w:cs="Times New Roman" w:eastAsia="Times New Roman" w:hAnsi="Times New Roman"/>
          <w:b/>
          <w:bCs/>
          <w:i/>
          <w:iCs/>
          <w:sz w:val="18"/>
          <w:szCs w:val="18"/>
        </w:rPr>
        <w:t xml:space="preserve">π</w:t>
      </w:r>
      <w:r>
        <w:rPr>
          <w:rFonts w:ascii="Times New Roman" w:cs="Times New Roman" w:eastAsia="Times New Roman" w:hAnsi="Times New Roman"/>
          <w:b/>
          <w:bCs/>
          <w:sz w:val="18"/>
          <w:szCs w:val="18"/>
        </w:rPr>
        <w:t xml:space="preserve">/4)√</w:t>
      </w:r>
      <w:r>
        <w:rPr>
          <w:rFonts w:ascii="Times New Roman" w:cs="Times New Roman" w:eastAsia="Times New Roman" w:hAnsi="Times New Roman"/>
          <w:b/>
          <w:bCs/>
          <w:i/>
          <w:iCs/>
          <w:sz w:val="18"/>
          <w:szCs w:val="18"/>
        </w:rPr>
        <w:t xml:space="preserve">N</w:t>
      </w:r>
      <w:r>
        <w:rPr>
          <w:rFonts w:ascii="Times New Roman" w:cs="Times New Roman" w:eastAsia="Times New Roman" w:hAnsi="Times New Roman"/>
          <w:b/>
          <w:bCs/>
          <w:sz w:val="18"/>
          <w:szCs w:val="18"/>
        </w:rPr>
        <w:t xml:space="preserve"> below it. For a 128-bit key this places the threshold near </w:t>
      </w:r>
      <w:r>
        <w:rPr>
          <w:rFonts w:ascii="Times New Roman" w:cs="Times New Roman" w:eastAsia="Times New Roman" w:hAnsi="Times New Roman"/>
          <w:b/>
          <w:bCs/>
          <w:i/>
          <w:iCs/>
          <w:sz w:val="18"/>
          <w:szCs w:val="18"/>
        </w:rPr>
        <w:t xml:space="preserve">ε</w:t>
      </w:r>
      <w:r>
        <w:rPr>
          <w:rFonts w:ascii="Times New Roman" w:cs="Times New Roman" w:eastAsia="Times New Roman" w:hAnsi="Times New Roman"/>
          <w:b/>
          <w:bCs/>
          <w:sz w:val="18"/>
          <w:szCs w:val="18"/>
        </w:rPr>
        <w:t xml:space="preserve"> ≈ 2</w:t>
      </w:r>
      <w:r>
        <w:rPr>
          <w:rFonts w:ascii="Times New Roman" w:cs="Times New Roman" w:eastAsia="Times New Roman" w:hAnsi="Times New Roman"/>
          <w:b/>
          <w:bCs/>
          <w:sz w:val="18"/>
          <w:szCs w:val="18"/>
          <w:vertAlign w:val="superscript"/>
        </w:rPr>
        <w:t xml:space="preserve">-63.8</w:t>
      </w:r>
      <w:r>
        <w:rPr>
          <w:rFonts w:ascii="Times New Roman" w:cs="Times New Roman" w:eastAsia="Times New Roman" w:hAnsi="Times New Roman"/>
          <w:b/>
          <w:bCs/>
          <w:sz w:val="18"/>
          <w:szCs w:val="18"/>
        </w:rPr>
        <w:t xml:space="preserve">; at </w:t>
      </w:r>
      <w:r>
        <w:rPr>
          <w:rFonts w:ascii="Times New Roman" w:cs="Times New Roman" w:eastAsia="Times New Roman" w:hAnsi="Times New Roman"/>
          <w:b/>
          <w:bCs/>
          <w:i/>
          <w:iCs/>
          <w:sz w:val="18"/>
          <w:szCs w:val="18"/>
        </w:rPr>
        <w:t xml:space="preserve">ε</w:t>
      </w:r>
      <w:r>
        <w:rPr>
          <w:rFonts w:ascii="Times New Roman" w:cs="Times New Roman" w:eastAsia="Times New Roman" w:hAnsi="Times New Roman"/>
          <w:b/>
          <w:bCs/>
          <w:sz w:val="18"/>
          <w:szCs w:val="18"/>
        </w:rPr>
        <w:t xml:space="preserve"> = 2</w:t>
      </w:r>
      <w:r>
        <w:rPr>
          <w:rFonts w:ascii="Times New Roman" w:cs="Times New Roman" w:eastAsia="Times New Roman" w:hAnsi="Times New Roman"/>
          <w:b/>
          <w:bCs/>
          <w:sz w:val="18"/>
          <w:szCs w:val="18"/>
          <w:vertAlign w:val="superscript"/>
        </w:rPr>
        <w:t xml:space="preserve">-40</w:t>
      </w:r>
      <w:r>
        <w:rPr>
          <w:rFonts w:ascii="Times New Roman" w:cs="Times New Roman" w:eastAsia="Times New Roman" w:hAnsi="Times New Roman"/>
          <w:b/>
          <w:bCs/>
          <w:sz w:val="18"/>
          <w:szCs w:val="18"/>
        </w:rPr>
        <w:t xml:space="preserve"> the attack costs about 2</w:t>
      </w:r>
      <w:r>
        <w:rPr>
          <w:rFonts w:ascii="Times New Roman" w:cs="Times New Roman" w:eastAsia="Times New Roman" w:hAnsi="Times New Roman"/>
          <w:b/>
          <w:bCs/>
          <w:sz w:val="18"/>
          <w:szCs w:val="18"/>
          <w:vertAlign w:val="superscript"/>
        </w:rPr>
        <w:t xml:space="preserve">87.4</w:t>
      </w:r>
      <w:r>
        <w:rPr>
          <w:rFonts w:ascii="Times New Roman" w:cs="Times New Roman" w:eastAsia="Times New Roman" w:hAnsi="Times New Roman"/>
          <w:b/>
          <w:bCs/>
          <w:sz w:val="18"/>
          <w:szCs w:val="18"/>
        </w:rPr>
        <w:t xml:space="preserve"> iterations instead of 2</w:t>
      </w:r>
      <w:r>
        <w:rPr>
          <w:rFonts w:ascii="Times New Roman" w:cs="Times New Roman" w:eastAsia="Times New Roman" w:hAnsi="Times New Roman"/>
          <w:b/>
          <w:bCs/>
          <w:sz w:val="18"/>
          <w:szCs w:val="18"/>
          <w:vertAlign w:val="superscript"/>
        </w:rPr>
        <w:t xml:space="preserve">63.7</w:t>
      </w:r>
      <w:r>
        <w:rPr>
          <w:rFonts w:ascii="Times New Roman" w:cs="Times New Roman" w:eastAsia="Times New Roman" w:hAnsi="Times New Roman"/>
          <w:b/>
          <w:bCs/>
          <w:sz w:val="18"/>
          <w:szCs w:val="18"/>
        </w:rPr>
        <w:t xml:space="preserve">. Using a surface-code heuristic and illustrative circuit-volume assumptions, meeting the threshold for a 128-bit key needs a code distance of about 51, i.e. on the order of 10</w:t>
      </w:r>
      <w:r>
        <w:rPr>
          <w:rFonts w:ascii="Times New Roman" w:cs="Times New Roman" w:eastAsia="Times New Roman" w:hAnsi="Times New Roman"/>
          <w:b/>
          <w:bCs/>
          <w:sz w:val="18"/>
          <w:szCs w:val="18"/>
          <w:vertAlign w:val="superscript"/>
        </w:rPr>
        <w:t xml:space="preserve">7</w:t>
      </w:r>
      <w:r>
        <w:rPr>
          <w:rFonts w:ascii="Times New Roman" w:cs="Times New Roman" w:eastAsia="Times New Roman" w:hAnsi="Times New Roman"/>
          <w:b/>
          <w:bCs/>
          <w:sz w:val="18"/>
          <w:szCs w:val="18"/>
        </w:rPr>
        <w:t xml:space="preserve"> physical qubits for error suppression alone. We argue that quantum-security estimates for symmetric ciphers should report the logical error budget alongside gate counts.</w:t>
      </w:r>
    </w:p>
    <w:p>
      <w:pPr>
        <w:spacing w:after="8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Grover’s algorithm, quantum key search, symmetric cryptography, post-quantum security, quantum error correction, depolarizing noise.</w:t>
      </w:r>
    </w:p>
    <w:p>
      <w:pPr>
        <w:keepNext/>
        <w:spacing w:after="80" w:before="160"/>
        <w:jc w:val="center"/>
      </w:pPr>
      <w:r>
        <w:rPr>
          <w:rFonts w:ascii="Times New Roman" w:cs="Times New Roman" w:eastAsia="Times New Roman" w:hAnsi="Times New Roman"/>
          <w:smallCaps w:val="false"/>
          <w:sz w:val="20"/>
          <w:szCs w:val="20"/>
        </w:rPr>
        <w:t xml:space="preserve">I. INTRODUCTION</w:t>
      </w:r>
    </w:p>
    <w:p>
      <w:pPr>
        <w:spacing w:after="0" w:line="240"/>
        <w:ind w:firstLine="200"/>
        <w:jc w:val="both"/>
      </w:pPr>
      <w:r>
        <w:rPr>
          <w:rFonts w:ascii="Times New Roman" w:cs="Times New Roman" w:eastAsia="Times New Roman" w:hAnsi="Times New Roman"/>
          <w:sz w:val="20"/>
          <w:szCs w:val="20"/>
        </w:rPr>
        <w:t xml:space="preserve">Large-scale quantum computers threaten deployed public-key cryptography through Shor’s algorithm [1], which solves factoring and discrete logarithms in polynomial time. Symmetric primitives are affected differently: Grover’s algorithm [2] finds a marked element among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candidates with </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queries, so exhaustive search over an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-bit key costs roughly 2</w:t>
      </w:r>
      <w:r>
        <w:rPr>
          <w:rFonts w:ascii="Times New Roman" w:cs="Times New Roman" w:eastAsia="Times New Roman" w:hAnsi="Times New Roman"/>
          <w:i/>
          <w:iCs/>
          <w:sz w:val="20"/>
          <w:szCs w:val="20"/>
          <w:vertAlign w:val="superscript"/>
        </w:rPr>
        <w:t xml:space="preserve">n</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quantum iterations instead of 2</w:t>
      </w:r>
      <w:r>
        <w:rPr>
          <w:rFonts w:ascii="Times New Roman" w:cs="Times New Roman" w:eastAsia="Times New Roman" w:hAnsi="Times New Roman"/>
          <w:i/>
          <w:iCs/>
          <w:sz w:val="20"/>
          <w:szCs w:val="20"/>
          <w:vertAlign w:val="superscript"/>
        </w:rPr>
        <w:t xml:space="preserve">n</w:t>
      </w:r>
      <w:r>
        <w:rPr>
          <w:rFonts w:ascii="Times New Roman" w:cs="Times New Roman" w:eastAsia="Times New Roman" w:hAnsi="Times New Roman"/>
          <w:sz w:val="20"/>
          <w:szCs w:val="20"/>
        </w:rPr>
        <w:t xml:space="preserve">. This is why 256-bit keys are routinely recommended for long-term security, and why NIST’s post-quantum evaluation criteria [3] use key search against AES as reference points for its security categories.</w:t>
      </w:r>
    </w:p>
    <w:p>
      <w:pPr>
        <w:spacing w:after="0" w:line="240"/>
        <w:ind w:firstLine="200"/>
        <w:jc w:val="both"/>
      </w:pPr>
      <w:r>
        <w:rPr>
          <w:rFonts w:ascii="Times New Roman" w:cs="Times New Roman" w:eastAsia="Times New Roman" w:hAnsi="Times New Roman"/>
          <w:sz w:val="20"/>
          <w:szCs w:val="20"/>
        </w:rPr>
        <w:t xml:space="preserve">These estimates treat the quantum computer as ideal. A real Grover attack on a 128-bit key must run about 2</w:t>
      </w:r>
      <w:r>
        <w:rPr>
          <w:rFonts w:ascii="Times New Roman" w:cs="Times New Roman" w:eastAsia="Times New Roman" w:hAnsi="Times New Roman"/>
          <w:sz w:val="20"/>
          <w:szCs w:val="20"/>
          <w:vertAlign w:val="superscript"/>
        </w:rPr>
        <w:t xml:space="preserve">64</w:t>
      </w:r>
      <w:r>
        <w:rPr>
          <w:rFonts w:ascii="Times New Roman" w:cs="Times New Roman" w:eastAsia="Times New Roman" w:hAnsi="Times New Roman"/>
          <w:sz w:val="20"/>
          <w:szCs w:val="20"/>
        </w:rPr>
        <w:t xml:space="preserve"> sequential iterations, each containing a full reversible cipher evaluation, without a single uncorrected fault corrupting the register. The natural question, and the problem studied here, is: </w:t>
      </w:r>
      <w:r>
        <w:rPr>
          <w:rFonts w:ascii="Times New Roman" w:cs="Times New Roman" w:eastAsia="Times New Roman" w:hAnsi="Times New Roman"/>
          <w:i/>
          <w:iCs/>
          <w:sz w:val="20"/>
          <w:szCs w:val="20"/>
        </w:rPr>
        <w:t xml:space="preserve">how large may the per-iteration error probability be before Grover’s quadratic advantage disappears, and what does meeting that bound cost in error-correction overhead?</w:t>
      </w:r>
    </w:p>
    <w:p>
      <w:pPr>
        <w:spacing w:after="0" w:line="240"/>
        <w:ind w:firstLine="200"/>
        <w:jc w:val="both"/>
      </w:pPr>
      <w:r>
        <w:rPr>
          <w:rFonts w:ascii="Times New Roman" w:cs="Times New Roman" w:eastAsia="Times New Roman" w:hAnsi="Times New Roman"/>
          <w:sz w:val="20"/>
          <w:szCs w:val="20"/>
        </w:rPr>
        <w:t xml:space="preserve">Our contributions are: (i) a closed-form success probability for Grover search under per-iteration depolarizing noise, verified numerically; (ii) the optimal restart strategy, a critical error rate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π</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and an “effective security” formula for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&gt;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(iii) a density-matrix study of per-qubit noise showing how it maps onto the global model; and (iv) an illustrative surface-code overhead estimate for 128-, 192- and 256-bit keys.</w:t>
      </w:r>
    </w:p>
    <w:p>
      <w:pPr>
        <w:keepNext/>
        <w:spacing w:after="80" w:before="160"/>
        <w:jc w:val="center"/>
      </w:pPr>
      <w:r>
        <w:rPr>
          <w:rFonts w:ascii="Times New Roman" w:cs="Times New Roman" w:eastAsia="Times New Roman" w:hAnsi="Times New Roman"/>
          <w:smallCaps w:val="false"/>
          <w:sz w:val="20"/>
          <w:szCs w:val="20"/>
        </w:rPr>
        <w:t xml:space="preserve">II. BACKGROUND AND RELATED WORK</w:t>
      </w:r>
    </w:p>
    <w:p>
      <w:pPr>
        <w:spacing w:after="0" w:line="240"/>
        <w:ind w:firstLine="200"/>
        <w:jc w:val="both"/>
      </w:pPr>
      <w:r>
        <w:rPr>
          <w:rFonts w:ascii="Times New Roman" w:cs="Times New Roman" w:eastAsia="Times New Roman" w:hAnsi="Times New Roman"/>
          <w:sz w:val="20"/>
          <w:szCs w:val="20"/>
        </w:rPr>
        <w:t xml:space="preserve">Grover’s algorithm is optimal up to a constant: Zalka showed that no quantum algorithm can search an unstructured space faster than order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[4], and Boyer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gave tight bounds on the iteration count, including the case of an unknown number of solutions [5]. Applying the algorithm to block ciphers requires a reversible circuit for the cipher. Grassl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produced the first detailed resource estimates for AES [6], and Jaques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later reduced the cost and extended the analysis to LowMC, reporting logical-qubit counts in the thousands for AES key search [7]. These works count gates and qubits for a fault-free machine.</w:t>
      </w:r>
    </w:p>
    <w:p>
      <w:pPr>
        <w:spacing w:after="0" w:line="240"/>
        <w:ind w:firstLine="200"/>
        <w:jc w:val="both"/>
      </w:pPr>
      <w:r>
        <w:rPr>
          <w:rFonts w:ascii="Times New Roman" w:cs="Times New Roman" w:eastAsia="Times New Roman" w:hAnsi="Times New Roman"/>
          <w:sz w:val="20"/>
          <w:szCs w:val="20"/>
        </w:rPr>
        <w:t xml:space="preserve">The effect of imperfections on Grover search has been studied, for example for a noisy oracle by Shenvi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[8]. In the NISQ regime [9] such noise limits the achievable problem size; in the fault-tolerant regime it becomes a question of how much error correction is needed. Surface codes [10] are the leading candidate, with logical error rates that fall exponentially in code distance. Gidney and Ekerå’s estimate for factoring 2048-bit RSA with about 20 million noisy qubits [11] is a useful scale reference for our results. To our knowledge the direct link between a per-iteration error budget and the </w:t>
      </w:r>
      <w:r>
        <w:rPr>
          <w:rFonts w:ascii="Times New Roman" w:cs="Times New Roman" w:eastAsia="Times New Roman" w:hAnsi="Times New Roman"/>
          <w:i/>
          <w:iCs/>
          <w:sz w:val="20"/>
          <w:szCs w:val="20"/>
        </w:rPr>
        <w:t xml:space="preserve">effective</w:t>
      </w:r>
      <w:r>
        <w:rPr>
          <w:rFonts w:ascii="Times New Roman" w:cs="Times New Roman" w:eastAsia="Times New Roman" w:hAnsi="Times New Roman"/>
          <w:sz w:val="20"/>
          <w:szCs w:val="20"/>
        </w:rPr>
        <w:t xml:space="preserve"> bit-security of a key-search attack is rarely stated explicitly in resource-estimate papers, which is the gap this paper addresses; we have not performed an exhaustive literature survey, so this claim should be read cautiously.</w:t>
      </w:r>
    </w:p>
    <w:p>
      <w:pPr>
        <w:keepNext/>
        <w:spacing w:after="80" w:before="160"/>
        <w:jc w:val="center"/>
      </w:pPr>
      <w:r>
        <w:rPr>
          <w:rFonts w:ascii="Times New Roman" w:cs="Times New Roman" w:eastAsia="Times New Roman" w:hAnsi="Times New Roman"/>
          <w:smallCaps w:val="false"/>
          <w:sz w:val="20"/>
          <w:szCs w:val="20"/>
        </w:rPr>
        <w:t xml:space="preserve">III. PROBLEM FORMULATION</w:t>
      </w:r>
    </w:p>
    <w:p>
      <w:pPr>
        <w:keepNext/>
        <w:spacing w:after="40" w:before="80"/>
        <w:jc w:val="left"/>
      </w:pPr>
      <w:r>
        <w:rPr>
          <w:rFonts w:ascii="Times New Roman" w:cs="Times New Roman" w:eastAsia="Times New Roman" w:hAnsi="Times New Roman"/>
          <w:i/>
          <w:iCs/>
          <w:sz w:val="20"/>
          <w:szCs w:val="20"/>
        </w:rPr>
        <w:t xml:space="preserve">A. Ideal Key Search</w:t>
      </w:r>
    </w:p>
    <w:p>
      <w:pPr>
        <w:spacing w:after="0" w:line="240"/>
        <w:ind w:firstLine="200"/>
        <w:jc w:val="both"/>
      </w:pPr>
      <w:r>
        <w:rPr>
          <w:rFonts w:ascii="Times New Roman" w:cs="Times New Roman" w:eastAsia="Times New Roman" w:hAnsi="Times New Roman"/>
          <w:sz w:val="20"/>
          <w:szCs w:val="20"/>
        </w:rPr>
        <w:t xml:space="preserve">Let the key space be of size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2</w:t>
      </w:r>
      <w:r>
        <w:rPr>
          <w:rFonts w:ascii="Times New Roman" w:cs="Times New Roman" w:eastAsia="Times New Roman" w:hAnsi="Times New Roman"/>
          <w:i/>
          <w:iCs/>
          <w:sz w:val="20"/>
          <w:szCs w:val="20"/>
          <w:vertAlign w:val="superscript"/>
        </w:rPr>
        <w:t xml:space="preserve">n</w:t>
      </w:r>
      <w:r>
        <w:rPr>
          <w:rFonts w:ascii="Times New Roman" w:cs="Times New Roman" w:eastAsia="Times New Roman" w:hAnsi="Times New Roman"/>
          <w:sz w:val="20"/>
          <w:szCs w:val="20"/>
        </w:rPr>
        <w:t xml:space="preserve"> with a single marked key. One Grover iteration applies the oracle (a reversible cipher evaluation on a known plaintext–ciphertext pair, its comparison, and uncomputation) followed by inversion about the mean. With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rPr>
        <w:t xml:space="preserve"> = arcsin(</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perscript"/>
        </w:rPr>
        <w:t xml:space="preserve">-1/2</w:t>
      </w:r>
      <w:r>
        <w:rPr>
          <w:rFonts w:ascii="Times New Roman" w:cs="Times New Roman" w:eastAsia="Times New Roman" w:hAnsi="Times New Roman"/>
          <w:sz w:val="20"/>
          <w:szCs w:val="20"/>
        </w:rPr>
        <w:t xml:space="preserve">), the success probability after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iterations is</w:t>
      </w:r>
    </w:p>
    <w:p>
      <w:pPr>
        <w:tabs>
          <w:tab w:val="center" w:pos="2520"/>
          <w:tab w:val="right" w:pos="5040"/>
        </w:tabs>
        <w:spacing w:after="4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sin</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((2</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+ 1)</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(1)</w:t>
      </w:r>
    </w:p>
    <w:p>
      <w:pPr>
        <w:spacing w:after="0" w:line="240"/>
        <w:jc w:val="both"/>
      </w:pPr>
      <w:r>
        <w:rPr>
          <w:rFonts w:ascii="Times New Roman" w:cs="Times New Roman" w:eastAsia="Times New Roman" w:hAnsi="Times New Roman"/>
          <w:sz w:val="20"/>
          <w:szCs w:val="20"/>
        </w:rPr>
        <w:t xml:space="preserve">maximized near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π</w:t>
      </w:r>
      <w:r>
        <w:rPr>
          <w:rFonts w:ascii="Times New Roman" w:cs="Times New Roman" w:eastAsia="Times New Roman" w:hAnsi="Times New Roman"/>
          <w:sz w:val="20"/>
          <w:szCs w:val="20"/>
        </w:rPr>
        <w:t xml:space="preserve">/4)√</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giving an ideal cost of (</w:t>
      </w:r>
      <w:r>
        <w:rPr>
          <w:rFonts w:ascii="Times New Roman" w:cs="Times New Roman" w:eastAsia="Times New Roman" w:hAnsi="Times New Roman"/>
          <w:i/>
          <w:iCs/>
          <w:sz w:val="20"/>
          <w:szCs w:val="20"/>
        </w:rPr>
        <w:t xml:space="preserve">π</w:t>
      </w:r>
      <w:r>
        <w:rPr>
          <w:rFonts w:ascii="Times New Roman" w:cs="Times New Roman" w:eastAsia="Times New Roman" w:hAnsi="Times New Roman"/>
          <w:sz w:val="20"/>
          <w:szCs w:val="20"/>
        </w:rPr>
        <w:t xml:space="preserve">/4)√</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iterations.</w:t>
      </w:r>
    </w:p>
    <w:p>
      <w:pPr>
        <w:keepNext/>
        <w:spacing w:after="40" w:before="80"/>
        <w:jc w:val="left"/>
      </w:pPr>
      <w:r>
        <w:rPr>
          <w:rFonts w:ascii="Times New Roman" w:cs="Times New Roman" w:eastAsia="Times New Roman" w:hAnsi="Times New Roman"/>
          <w:i/>
          <w:iCs/>
          <w:sz w:val="20"/>
          <w:szCs w:val="20"/>
        </w:rPr>
        <w:t xml:space="preserve">B. Noise Model</w:t>
      </w:r>
    </w:p>
    <w:p>
      <w:pPr>
        <w:spacing w:after="0" w:line="240"/>
        <w:ind w:firstLine="200"/>
        <w:jc w:val="both"/>
      </w:pPr>
      <w:r>
        <w:rPr>
          <w:rFonts w:ascii="Times New Roman" w:cs="Times New Roman" w:eastAsia="Times New Roman" w:hAnsi="Times New Roman"/>
          <w:sz w:val="20"/>
          <w:szCs w:val="20"/>
        </w:rPr>
        <w:t xml:space="preserve">We abstract the effect of faults in each iteration by a global depolarizing channel acting on the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-dimensional register state </w:t>
      </w:r>
      <w:r>
        <w:rPr>
          <w:rFonts w:ascii="Times New Roman" w:cs="Times New Roman" w:eastAsia="Times New Roman" w:hAnsi="Times New Roman"/>
          <w:i/>
          <w:iCs/>
          <w:sz w:val="20"/>
          <w:szCs w:val="20"/>
        </w:rPr>
        <w:t xml:space="preserve">ρ</w:t>
      </w:r>
      <w:r>
        <w:rPr>
          <w:rFonts w:ascii="Times New Roman" w:cs="Times New Roman" w:eastAsia="Times New Roman" w:hAnsi="Times New Roman"/>
          <w:sz w:val="20"/>
          <w:szCs w:val="20"/>
        </w:rPr>
        <w:t xml:space="preserve"> [12]:</w:t>
      </w:r>
    </w:p>
    <w:p>
      <w:pPr>
        <w:tabs>
          <w:tab w:val="center" w:pos="2520"/>
          <w:tab w:val="right" w:pos="5040"/>
        </w:tabs>
        <w:spacing w:after="4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ρ</w:t>
      </w:r>
      <w:r>
        <w:rPr>
          <w:rFonts w:ascii="Times New Roman" w:cs="Times New Roman" w:eastAsia="Times New Roman" w:hAnsi="Times New Roman"/>
          <w:sz w:val="20"/>
          <w:szCs w:val="20"/>
        </w:rPr>
        <w:t xml:space="preserve">) = (1 −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ρ</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(2)</w:t>
      </w:r>
    </w:p>
    <w:p>
      <w:pPr>
        <w:spacing w:after="0" w:line="240"/>
        <w:jc w:val="both"/>
      </w:pPr>
      <w:r>
        <w:rPr>
          <w:rFonts w:ascii="Times New Roman" w:cs="Times New Roman" w:eastAsia="Times New Roman" w:hAnsi="Times New Roman"/>
          <w:sz w:val="20"/>
          <w:szCs w:val="20"/>
        </w:rPr>
        <w:t xml:space="preserve">Here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is the probability that an iteration suffers an uncorrected fault that fully randomizes the state. For a deep fault-tolerant circuit this is a pessimistic but natural abstraction: once a logical fault occurs mid-circuit, the final measurement is essentially uninformative. Section V tests how well the abstraction matches per-qubit noise.</w:t>
      </w:r>
    </w:p>
    <w:p>
      <w:pPr>
        <w:keepNext/>
        <w:spacing w:after="40" w:before="80"/>
        <w:jc w:val="left"/>
      </w:pPr>
      <w:r>
        <w:rPr>
          <w:rFonts w:ascii="Times New Roman" w:cs="Times New Roman" w:eastAsia="Times New Roman" w:hAnsi="Times New Roman"/>
          <w:i/>
          <w:iCs/>
          <w:sz w:val="20"/>
          <w:szCs w:val="20"/>
        </w:rPr>
        <w:t xml:space="preserve">C. Attack Strategy and Cost</w:t>
      </w:r>
    </w:p>
    <w:p>
      <w:pPr>
        <w:spacing w:after="0" w:line="240"/>
        <w:ind w:firstLine="200"/>
        <w:jc w:val="both"/>
      </w:pPr>
      <w:r>
        <w:rPr>
          <w:rFonts w:ascii="Times New Roman" w:cs="Times New Roman" w:eastAsia="Times New Roman" w:hAnsi="Times New Roman"/>
          <w:sz w:val="20"/>
          <w:szCs w:val="20"/>
        </w:rPr>
        <w:t xml:space="preserve">The attacker runs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iterations, measures, checks the candidate key with one classical cipher evaluation, and restarts on failure. The expected number of iterations until success is</w:t>
      </w:r>
    </w:p>
    <w:p>
      <w:pPr>
        <w:tabs>
          <w:tab w:val="center" w:pos="2520"/>
          <w:tab w:val="right" w:pos="5040"/>
        </w:tabs>
        <w:spacing w:after="4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(3)</w:t>
      </w:r>
    </w:p>
    <w:p>
      <w:pPr>
        <w:spacing w:after="0" w:line="240"/>
        <w:jc w:val="both"/>
      </w:pPr>
      <w:r>
        <w:rPr>
          <w:rFonts w:ascii="Times New Roman" w:cs="Times New Roman" w:eastAsia="Times New Roman" w:hAnsi="Times New Roman"/>
          <w:sz w:val="20"/>
          <w:szCs w:val="20"/>
        </w:rPr>
        <w:t xml:space="preserve">and the attacker chooses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to minimize it. We write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 for the minimum. The verification cost is neglected.</w:t>
      </w:r>
    </w:p>
    <w:p>
      <w:pPr>
        <w:keepNext/>
        <w:spacing w:after="80" w:before="160"/>
        <w:jc w:val="center"/>
      </w:pPr>
      <w:r>
        <w:rPr>
          <w:rFonts w:ascii="Times New Roman" w:cs="Times New Roman" w:eastAsia="Times New Roman" w:hAnsi="Times New Roman"/>
          <w:smallCaps w:val="false"/>
          <w:sz w:val="20"/>
          <w:szCs w:val="20"/>
        </w:rPr>
        <w:t xml:space="preserve">IV. ANALYTICAL RESULTS</w:t>
      </w:r>
    </w:p>
    <w:p>
      <w:pPr>
        <w:spacing w:after="0" w:line="240"/>
        <w:ind w:firstLine="200"/>
        <w:jc w:val="both"/>
      </w:pPr>
      <w:r>
        <w:rPr>
          <w:rFonts w:ascii="Times New Roman" w:cs="Times New Roman" w:eastAsia="Times New Roman" w:hAnsi="Times New Roman"/>
          <w:i/>
          <w:iCs/>
          <w:sz w:val="20"/>
          <w:szCs w:val="20"/>
        </w:rPr>
        <w:t xml:space="preserve">Proposition 1.</w:t>
      </w:r>
      <w:r>
        <w:rPr>
          <w:rFonts w:ascii="Times New Roman" w:cs="Times New Roman" w:eastAsia="Times New Roman" w:hAnsi="Times New Roman"/>
          <w:sz w:val="20"/>
          <w:szCs w:val="20"/>
        </w:rPr>
        <w:t xml:space="preserve"> Under (2), the success probability after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iterations is</w:t>
      </w:r>
    </w:p>
    <w:p>
      <w:pPr>
        <w:tabs>
          <w:tab w:val="center" w:pos="2520"/>
          <w:tab w:val="right" w:pos="5040"/>
        </w:tabs>
        <w:spacing w:after="4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 (1 −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vertAlign w:val="superscript"/>
        </w:rPr>
        <w:t xml:space="preserve">t</w:t>
      </w:r>
      <w:r>
        <w:rPr>
          <w:rFonts w:ascii="Times New Roman" w:cs="Times New Roman" w:eastAsia="Times New Roman" w:hAnsi="Times New Roman"/>
          <w:sz w:val="20"/>
          <w:szCs w:val="20"/>
        </w:rPr>
        <w:t xml:space="preserve"> sin</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((2</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+ 1)</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rPr>
        <w:t xml:space="preserve">) + [1 − (1 −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vertAlign w:val="superscript"/>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(4)</w:t>
      </w:r>
    </w:p>
    <w:p>
      <w:pPr>
        <w:spacing w:after="0" w:line="240"/>
        <w:ind w:firstLine="200"/>
        <w:jc w:val="both"/>
      </w:pPr>
      <w:r>
        <w:rPr>
          <w:rFonts w:ascii="Times New Roman" w:cs="Times New Roman" w:eastAsia="Times New Roman" w:hAnsi="Times New Roman"/>
          <w:i/>
          <w:iCs/>
          <w:sz w:val="20"/>
          <w:szCs w:val="20"/>
        </w:rPr>
        <w:t xml:space="preserve">Proof sketch.</w:t>
      </w:r>
      <w:r>
        <w:rPr>
          <w:rFonts w:ascii="Times New Roman" w:cs="Times New Roman" w:eastAsia="Times New Roman" w:hAnsi="Times New Roman"/>
          <w:sz w:val="20"/>
          <w:szCs w:val="20"/>
        </w:rPr>
        <w:t xml:space="preserve"> The unitary of one iteration maps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to itself, and (2) is linear, so by induction the state is </w:t>
      </w:r>
      <w:r>
        <w:rPr>
          <w:rFonts w:ascii="Times New Roman" w:cs="Times New Roman" w:eastAsia="Times New Roman" w:hAnsi="Times New Roman"/>
          <w:i/>
          <w:iCs/>
          <w:sz w:val="20"/>
          <w:szCs w:val="20"/>
        </w:rPr>
        <w:t xml:space="preserve">ρ</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(1 −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vertAlign w:val="superscript"/>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ψ</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ψ</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[1 − (1 −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vertAlign w:val="superscript"/>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where |</w:t>
      </w:r>
      <w:r>
        <w:rPr>
          <w:rFonts w:ascii="Times New Roman" w:cs="Times New Roman" w:eastAsia="Times New Roman" w:hAnsi="Times New Roman"/>
          <w:i/>
          <w:iCs/>
          <w:sz w:val="20"/>
          <w:szCs w:val="20"/>
        </w:rPr>
        <w:t xml:space="preserve">ψ</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is the noiseless Grover state. Reading off the marked-state population gives (4). ∎</w:t>
      </w:r>
    </w:p>
    <w:p>
      <w:pPr>
        <w:spacing w:after="0" w:line="240"/>
        <w:ind w:firstLine="200"/>
        <w:jc w:val="both"/>
      </w:pPr>
      <w:r>
        <w:rPr>
          <w:rFonts w:ascii="Times New Roman" w:cs="Times New Roman" w:eastAsia="Times New Roman" w:hAnsi="Times New Roman"/>
          <w:i/>
          <w:iCs/>
          <w:sz w:val="20"/>
          <w:szCs w:val="20"/>
        </w:rPr>
        <w:t xml:space="preserve">Proposition 2 (approximate optimum).</w:t>
      </w:r>
      <w:r>
        <w:rPr>
          <w:rFonts w:ascii="Times New Roman" w:cs="Times New Roman" w:eastAsia="Times New Roman" w:hAnsi="Times New Roman"/>
          <w:sz w:val="20"/>
          <w:szCs w:val="20"/>
        </w:rPr>
        <w:t xml:space="preserve"> For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 1/√</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sin</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((2</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+ 1)</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rPr>
        <w:t xml:space="preserve">) ≈ 4</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and (1 −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vertAlign w:val="superscript"/>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i/>
          <w:iCs/>
          <w:sz w:val="20"/>
          <w:szCs w:val="20"/>
          <w:vertAlign w:val="superscript"/>
        </w:rPr>
        <w:t xml:space="preserve">εt</w:t>
      </w:r>
      <w:r>
        <w:rPr>
          <w:rFonts w:ascii="Times New Roman" w:cs="Times New Roman" w:eastAsia="Times New Roman" w:hAnsi="Times New Roman"/>
          <w:sz w:val="20"/>
          <w:szCs w:val="20"/>
        </w:rPr>
        <w:t xml:space="preserve">, so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e</w:t>
      </w:r>
      <w:r>
        <w:rPr>
          <w:rFonts w:ascii="Times New Roman" w:cs="Times New Roman" w:eastAsia="Times New Roman" w:hAnsi="Times New Roman"/>
          <w:i/>
          <w:iCs/>
          <w:sz w:val="20"/>
          <w:szCs w:val="20"/>
          <w:vertAlign w:val="superscript"/>
        </w:rPr>
        <w:t xml:space="preserve">εt</w:t>
      </w:r>
      <w:r>
        <w:rPr>
          <w:rFonts w:ascii="Times New Roman" w:cs="Times New Roman" w:eastAsia="Times New Roman" w:hAnsi="Times New Roman"/>
          <w:sz w:val="20"/>
          <w:szCs w:val="20"/>
        </w:rPr>
        <w:t xml:space="preserve">/(4</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Setting the derivative to zero gives</w:t>
      </w:r>
    </w:p>
    <w:p>
      <w:pPr>
        <w:tabs>
          <w:tab w:val="center" w:pos="2520"/>
          <w:tab w:val="right" w:pos="5040"/>
        </w:tabs>
        <w:spacing w:after="4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 ≈ 1/</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/4)·</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(5)</w:t>
      </w:r>
    </w:p>
    <w:p>
      <w:pPr>
        <w:spacing w:after="0" w:line="240"/>
        <w:ind w:firstLine="200"/>
        <w:jc w:val="both"/>
      </w:pPr>
      <w:r>
        <w:rPr>
          <w:rFonts w:ascii="Times New Roman" w:cs="Times New Roman" w:eastAsia="Times New Roman" w:hAnsi="Times New Roman"/>
          <w:sz w:val="20"/>
          <w:szCs w:val="20"/>
        </w:rPr>
        <w:t xml:space="preserve">The expression is linear in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the attacker is forced to short runs, and the quadratic speed-up is replaced by a speed-up that shrinks only linearly in the error rate. Equating (5) with the ideal cost (</w:t>
      </w:r>
      <w:r>
        <w:rPr>
          <w:rFonts w:ascii="Times New Roman" w:cs="Times New Roman" w:eastAsia="Times New Roman" w:hAnsi="Times New Roman"/>
          <w:i/>
          <w:iCs/>
          <w:sz w:val="20"/>
          <w:szCs w:val="20"/>
        </w:rPr>
        <w:t xml:space="preserve">π</w:t>
      </w:r>
      <w:r>
        <w:rPr>
          <w:rFonts w:ascii="Times New Roman" w:cs="Times New Roman" w:eastAsia="Times New Roman" w:hAnsi="Times New Roman"/>
          <w:sz w:val="20"/>
          <w:szCs w:val="20"/>
        </w:rPr>
        <w:t xml:space="preserve">/4)√</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gives the critical error rate</w:t>
      </w:r>
    </w:p>
    <w:p>
      <w:pPr>
        <w:tabs>
          <w:tab w:val="center" w:pos="2520"/>
          <w:tab w:val="right" w:pos="5040"/>
        </w:tabs>
        <w:spacing w:after="4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π</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1.16·2</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i/>
          <w:iCs/>
          <w:sz w:val="20"/>
          <w:szCs w:val="20"/>
          <w:vertAlign w:val="superscript"/>
        </w:rPr>
        <w:t xml:space="preserve">n</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(6)</w:t>
      </w:r>
    </w:p>
    <w:p>
      <w:pPr>
        <w:spacing w:after="0" w:line="240"/>
        <w:ind w:firstLine="200"/>
        <w:jc w:val="both"/>
      </w:pPr>
      <w:r>
        <w:rPr>
          <w:rFonts w:ascii="Times New Roman" w:cs="Times New Roman" w:eastAsia="Times New Roman" w:hAnsi="Times New Roman"/>
          <w:sz w:val="20"/>
          <w:szCs w:val="20"/>
        </w:rPr>
        <w:t xml:space="preserve">Taking logarithms, the </w:t>
      </w:r>
      <w:r>
        <w:rPr>
          <w:rFonts w:ascii="Times New Roman" w:cs="Times New Roman" w:eastAsia="Times New Roman" w:hAnsi="Times New Roman"/>
          <w:i/>
          <w:iCs/>
          <w:sz w:val="20"/>
          <w:szCs w:val="20"/>
        </w:rPr>
        <w:t xml:space="preserve">effective security level</w:t>
      </w:r>
      <w:r>
        <w:rPr>
          <w:rFonts w:ascii="Times New Roman" w:cs="Times New Roman" w:eastAsia="Times New Roman" w:hAnsi="Times New Roman"/>
          <w:sz w:val="20"/>
          <w:szCs w:val="20"/>
        </w:rPr>
        <w:t xml:space="preserve"> of an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-bit key against noisy Grover search is</w:t>
      </w:r>
    </w:p>
    <w:p>
      <w:pPr>
        <w:tabs>
          <w:tab w:val="center" w:pos="2520"/>
          <w:tab w:val="right" w:pos="5040"/>
        </w:tabs>
        <w:spacing w:after="4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eff</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log</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(1/</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− 0.55 for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&gt;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(7)</w:t>
      </w:r>
    </w:p>
    <w:p>
      <w:pPr>
        <w:spacing w:after="0" w:line="240"/>
        <w:jc w:val="both"/>
      </w:pPr>
      <w:r>
        <w:rPr>
          <w:rFonts w:ascii="Times New Roman" w:cs="Times New Roman" w:eastAsia="Times New Roman" w:hAnsi="Times New Roman"/>
          <w:sz w:val="20"/>
          <w:szCs w:val="20"/>
        </w:rPr>
        <w:t xml:space="preserve">and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eff</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/2 − 0.35 for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Each factor of two in the error rate therefore costs the defender nothing and the attacker one bit, until the threshold is reached.</w:t>
      </w:r>
    </w:p>
    <w:p>
      <w:pPr>
        <w:keepNext/>
        <w:spacing w:after="80" w:before="160"/>
        <w:jc w:val="center"/>
      </w:pPr>
      <w:r>
        <w:rPr>
          <w:rFonts w:ascii="Times New Roman" w:cs="Times New Roman" w:eastAsia="Times New Roman" w:hAnsi="Times New Roman"/>
          <w:smallCaps w:val="false"/>
          <w:sz w:val="20"/>
          <w:szCs w:val="20"/>
        </w:rPr>
        <w:t xml:space="preserve">V. SIMULATION METHODOLOGY</w:t>
      </w:r>
    </w:p>
    <w:p>
      <w:pPr>
        <w:spacing w:after="0" w:line="240"/>
        <w:ind w:firstLine="200"/>
        <w:jc w:val="both"/>
      </w:pPr>
      <w:r>
        <w:rPr>
          <w:rFonts w:ascii="Times New Roman" w:cs="Times New Roman" w:eastAsia="Times New Roman" w:hAnsi="Times New Roman"/>
          <w:sz w:val="20"/>
          <w:szCs w:val="20"/>
        </w:rPr>
        <w:t xml:space="preserve">All experiments use NumPy in double precision. </w:t>
      </w:r>
      <w:r>
        <w:rPr>
          <w:rFonts w:ascii="Times New Roman" w:cs="Times New Roman" w:eastAsia="Times New Roman" w:hAnsi="Times New Roman"/>
          <w:i/>
          <w:iCs/>
          <w:sz w:val="20"/>
          <w:szCs w:val="20"/>
        </w:rPr>
        <w:t xml:space="preserve">Global-noise validation:</w:t>
      </w:r>
      <w:r>
        <w:rPr>
          <w:rFonts w:ascii="Times New Roman" w:cs="Times New Roman" w:eastAsia="Times New Roman" w:hAnsi="Times New Roman"/>
          <w:sz w:val="20"/>
          <w:szCs w:val="20"/>
        </w:rPr>
        <w:t xml:space="preserve"> for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8 we evolve the full 256 × 256 density matrix through 30 Grover iterations, applying (2) after each, for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 {0, 0.01, 0.03, 0.1}, and compare the marked-state population with (4).</w:t>
      </w:r>
    </w:p>
    <w:p>
      <w:pPr>
        <w:spacing w:after="0" w:line="240"/>
        <w:ind w:firstLine="200"/>
        <w:jc w:val="both"/>
      </w:pPr>
      <w:r>
        <w:rPr>
          <w:rFonts w:ascii="Times New Roman" w:cs="Times New Roman" w:eastAsia="Times New Roman" w:hAnsi="Times New Roman"/>
          <w:i/>
          <w:iCs/>
          <w:sz w:val="20"/>
          <w:szCs w:val="20"/>
        </w:rPr>
        <w:t xml:space="preserve">Per-qubit noise:</w:t>
      </w:r>
      <w:r>
        <w:rPr>
          <w:rFonts w:ascii="Times New Roman" w:cs="Times New Roman" w:eastAsia="Times New Roman" w:hAnsi="Times New Roman"/>
          <w:sz w:val="20"/>
          <w:szCs w:val="20"/>
        </w:rPr>
        <w:t xml:space="preserve"> for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{6, 8} we apply, after each iteration, a single-qubit depolarizing channel </w:t>
      </w:r>
      <w:r>
        <w:rPr>
          <w:rFonts w:ascii="Times New Roman" w:cs="Times New Roman" w:eastAsia="Times New Roman" w:hAnsi="Times New Roman"/>
          <w:i/>
          <w:iCs/>
          <w:sz w:val="20"/>
          <w:szCs w:val="20"/>
        </w:rPr>
        <w:t xml:space="preserve">ρ</w:t>
      </w:r>
      <w:r>
        <w:rPr>
          <w:rFonts w:ascii="Times New Roman" w:cs="Times New Roman" w:eastAsia="Times New Roman" w:hAnsi="Times New Roman"/>
          <w:sz w:val="20"/>
          <w:szCs w:val="20"/>
        </w:rPr>
        <w:t xml:space="preserve"> → (1 −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ρ</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/2 ⊗ Tr</w:t>
      </w:r>
      <w:r>
        <w:rPr>
          <w:rFonts w:ascii="Times New Roman" w:cs="Times New Roman" w:eastAsia="Times New Roman" w:hAnsi="Times New Roman"/>
          <w:i/>
          <w:iCs/>
          <w:sz w:val="20"/>
          <w:szCs w:val="20"/>
          <w:vertAlign w:val="subscript"/>
        </w:rPr>
        <w:t xml:space="preserve">q</w:t>
      </w:r>
      <w:r>
        <w:rPr>
          <w:rFonts w:ascii="Times New Roman" w:cs="Times New Roman" w:eastAsia="Times New Roman" w:hAnsi="Times New Roman"/>
          <w:i/>
          <w:iCs/>
          <w:sz w:val="20"/>
          <w:szCs w:val="20"/>
        </w:rPr>
        <w:t xml:space="preserve">ρ</w:t>
      </w:r>
      <w:r>
        <w:rPr>
          <w:rFonts w:ascii="Times New Roman" w:cs="Times New Roman" w:eastAsia="Times New Roman" w:hAnsi="Times New Roman"/>
          <w:sz w:val="20"/>
          <w:szCs w:val="20"/>
        </w:rPr>
        <w:t xml:space="preserve">) to every qubit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 for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{5×10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10</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 2×10</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 5×10</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 10</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over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2⌊(</w:t>
      </w:r>
      <w:r>
        <w:rPr>
          <w:rFonts w:ascii="Times New Roman" w:cs="Times New Roman" w:eastAsia="Times New Roman" w:hAnsi="Times New Roman"/>
          <w:i/>
          <w:iCs/>
          <w:sz w:val="20"/>
          <w:szCs w:val="20"/>
        </w:rPr>
        <w:t xml:space="preserve">π</w:t>
      </w:r>
      <w:r>
        <w:rPr>
          <w:rFonts w:ascii="Times New Roman" w:cs="Times New Roman" w:eastAsia="Times New Roman" w:hAnsi="Times New Roman"/>
          <w:sz w:val="20"/>
          <w:szCs w:val="20"/>
        </w:rPr>
        <w:t xml:space="preserve">/4)√</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+ 4 iterations. For each run we fit the single parameter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vertAlign w:val="subscript"/>
        </w:rPr>
        <w:t xml:space="preserve">eff</w:t>
      </w:r>
      <w:r>
        <w:rPr>
          <w:rFonts w:ascii="Times New Roman" w:cs="Times New Roman" w:eastAsia="Times New Roman" w:hAnsi="Times New Roman"/>
          <w:sz w:val="20"/>
          <w:szCs w:val="20"/>
        </w:rPr>
        <w:t xml:space="preserve"> of (4) by least squares on a grid of step 2.5×10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over [0, 0.5].</w:t>
      </w:r>
    </w:p>
    <w:p>
      <w:pPr>
        <w:spacing w:after="0" w:line="240"/>
        <w:ind w:firstLine="200"/>
        <w:jc w:val="both"/>
      </w:pPr>
      <w:r>
        <w:rPr>
          <w:rFonts w:ascii="Times New Roman" w:cs="Times New Roman" w:eastAsia="Times New Roman" w:hAnsi="Times New Roman"/>
          <w:i/>
          <w:iCs/>
          <w:sz w:val="20"/>
          <w:szCs w:val="20"/>
        </w:rPr>
        <w:t xml:space="preserve">Cost at cryptographic sizes:</w:t>
      </w:r>
      <w:r>
        <w:rPr>
          <w:rFonts w:ascii="Times New Roman" w:cs="Times New Roman" w:eastAsia="Times New Roman" w:hAnsi="Times New Roman"/>
          <w:sz w:val="20"/>
          <w:szCs w:val="20"/>
        </w:rPr>
        <w:t xml:space="preserve"> for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{128, 192, 256} we minimize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of (3) numerically over integer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(a 4000-point logarithmic grid plus 200 points around 1/</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evaluating (1 −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vertAlign w:val="superscript"/>
        </w:rPr>
        <w:t xml:space="preserve">t</w:t>
      </w:r>
      <w:r>
        <w:rPr>
          <w:rFonts w:ascii="Times New Roman" w:cs="Times New Roman" w:eastAsia="Times New Roman" w:hAnsi="Times New Roman"/>
          <w:sz w:val="20"/>
          <w:szCs w:val="20"/>
        </w:rPr>
        <w:t xml:space="preserve"> through log1p for numerical stability.</w:t>
      </w:r>
    </w:p>
    <w:p>
      <w:pPr>
        <w:spacing w:after="0" w:line="240"/>
        <w:ind w:firstLine="200"/>
        <w:jc w:val="both"/>
      </w:pPr>
      <w:r>
        <w:rPr>
          <w:rFonts w:ascii="Times New Roman" w:cs="Times New Roman" w:eastAsia="Times New Roman" w:hAnsi="Times New Roman"/>
          <w:i/>
          <w:iCs/>
          <w:sz w:val="20"/>
          <w:szCs w:val="20"/>
        </w:rPr>
        <w:t xml:space="preserve">Error-correction overhead:</w:t>
      </w:r>
      <w:r>
        <w:rPr>
          <w:rFonts w:ascii="Times New Roman" w:cs="Times New Roman" w:eastAsia="Times New Roman" w:hAnsi="Times New Roman"/>
          <w:sz w:val="20"/>
          <w:szCs w:val="20"/>
        </w:rPr>
        <w:t xml:space="preserve"> we use the common surface-code heuristic [10]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 0.1(</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th</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i/>
          <w:iCs/>
          <w:sz w:val="20"/>
          <w:szCs w:val="20"/>
          <w:vertAlign w:val="superscript"/>
        </w:rPr>
        <w:t xml:space="preserve">d</w:t>
      </w:r>
      <w:r>
        <w:rPr>
          <w:rFonts w:ascii="Times New Roman" w:cs="Times New Roman" w:eastAsia="Times New Roman" w:hAnsi="Times New Roman"/>
          <w:sz w:val="20"/>
          <w:szCs w:val="20"/>
          <w:vertAlign w:val="superscript"/>
        </w:rPr>
        <w:t xml:space="preserve">+1)/2</w:t>
      </w:r>
      <w:r>
        <w:rPr>
          <w:rFonts w:ascii="Times New Roman" w:cs="Times New Roman" w:eastAsia="Times New Roman" w:hAnsi="Times New Roman"/>
          <w:sz w:val="20"/>
          <w:szCs w:val="20"/>
        </w:rPr>
        <w:t xml:space="preserve">, with physical error rate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10</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 threshold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th</w:t>
      </w:r>
      <w:r>
        <w:rPr>
          <w:rFonts w:ascii="Times New Roman" w:cs="Times New Roman" w:eastAsia="Times New Roman" w:hAnsi="Times New Roman"/>
          <w:sz w:val="20"/>
          <w:szCs w:val="20"/>
        </w:rPr>
        <w:t xml:space="preserve"> = 10</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and 2</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physical qubits per logical qubit. A Grover iteration is assumed to occupy a space-time volume of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logical qubit-cycles, so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 and the requirement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reads</w:t>
      </w:r>
    </w:p>
    <w:p>
      <w:pPr>
        <w:tabs>
          <w:tab w:val="center" w:pos="2520"/>
          <w:tab w:val="right" w:pos="5040"/>
        </w:tabs>
        <w:spacing w:after="4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π</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(8)</w:t>
      </w:r>
    </w:p>
    <w:p>
      <w:pPr>
        <w:spacing w:after="0" w:line="240"/>
        <w:jc w:val="both"/>
      </w:pPr>
      <w:r>
        <w:rPr>
          <w:rFonts w:ascii="Times New Roman" w:cs="Times New Roman" w:eastAsia="Times New Roman" w:hAnsi="Times New Roman"/>
          <w:sz w:val="20"/>
          <w:szCs w:val="20"/>
        </w:rPr>
        <w:t xml:space="preserve">We set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2</w:t>
      </w:r>
      <w:r>
        <w:rPr>
          <w:rFonts w:ascii="Times New Roman" w:cs="Times New Roman" w:eastAsia="Times New Roman" w:hAnsi="Times New Roman"/>
          <w:sz w:val="20"/>
          <w:szCs w:val="20"/>
          <w:vertAlign w:val="superscript"/>
        </w:rPr>
        <w:t xml:space="preserve">24</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 = 3000 logical qubits as </w:t>
      </w:r>
      <w:r>
        <w:rPr>
          <w:rFonts w:ascii="Times New Roman" w:cs="Times New Roman" w:eastAsia="Times New Roman" w:hAnsi="Times New Roman"/>
          <w:i/>
          <w:iCs/>
          <w:sz w:val="20"/>
          <w:szCs w:val="20"/>
        </w:rPr>
        <w:t xml:space="preserve">illustrative</w:t>
      </w:r>
      <w:r>
        <w:rPr>
          <w:rFonts w:ascii="Times New Roman" w:cs="Times New Roman" w:eastAsia="Times New Roman" w:hAnsi="Times New Roman"/>
          <w:sz w:val="20"/>
          <w:szCs w:val="20"/>
        </w:rPr>
        <w:t xml:space="preserve"> values of the order suggested by published AES oracle estimates [6], [7]; they are not taken from a specific circuit.</w:t>
      </w:r>
    </w:p>
    <w:p>
      <w:pPr>
        <w:keepNext/>
        <w:spacing w:after="80" w:before="160"/>
        <w:jc w:val="center"/>
      </w:pPr>
      <w:r>
        <w:rPr>
          <w:rFonts w:ascii="Times New Roman" w:cs="Times New Roman" w:eastAsia="Times New Roman" w:hAnsi="Times New Roman"/>
          <w:smallCaps w:val="false"/>
          <w:sz w:val="20"/>
          <w:szCs w:val="20"/>
        </w:rPr>
        <w:t xml:space="preserve">VI. RESULTS AND DISCUSSION</w:t>
      </w:r>
    </w:p>
    <w:p>
      <w:pPr>
        <w:keepNext/>
        <w:spacing w:after="40" w:before="80"/>
        <w:jc w:val="left"/>
      </w:pPr>
      <w:r>
        <w:rPr>
          <w:rFonts w:ascii="Times New Roman" w:cs="Times New Roman" w:eastAsia="Times New Roman" w:hAnsi="Times New Roman"/>
          <w:i/>
          <w:iCs/>
          <w:sz w:val="20"/>
          <w:szCs w:val="20"/>
        </w:rPr>
        <w:t xml:space="preserve">A. Closed-Form Validation</w:t>
      </w:r>
    </w:p>
    <w:p>
      <w:pPr>
        <w:spacing w:after="0" w:line="240"/>
        <w:ind w:firstLine="200"/>
        <w:jc w:val="both"/>
      </w:pPr>
      <w:r>
        <w:rPr>
          <w:rFonts w:ascii="Times New Roman" w:cs="Times New Roman" w:eastAsia="Times New Roman" w:hAnsi="Times New Roman"/>
          <w:sz w:val="20"/>
          <w:szCs w:val="20"/>
        </w:rPr>
        <w:t xml:space="preserve">Across all four noise levels, the closed form (4) and the density-matrix simulation agree to within 4.3×10</w:t>
      </w:r>
      <w:r>
        <w:rPr>
          <w:rFonts w:ascii="Times New Roman" w:cs="Times New Roman" w:eastAsia="Times New Roman" w:hAnsi="Times New Roman"/>
          <w:sz w:val="20"/>
          <w:szCs w:val="20"/>
          <w:vertAlign w:val="superscript"/>
        </w:rPr>
        <w:t xml:space="preserve">-14</w:t>
      </w:r>
      <w:r>
        <w:rPr>
          <w:rFonts w:ascii="Times New Roman" w:cs="Times New Roman" w:eastAsia="Times New Roman" w:hAnsi="Times New Roman"/>
          <w:sz w:val="20"/>
          <w:szCs w:val="20"/>
        </w:rPr>
        <w:t xml:space="preserve"> (Fig. 1), which is rounding error. This confirms Proposition 1 for the global model; it is a consistency check of the algebra, not evidence that real hardware is globally depolarizing. Noise lowers the attainable peak and moves it earlier: at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 0.1 the success probability never rises far above the noise floor.</w:t>
      </w:r>
    </w:p>
    <w:p>
      <w:pPr>
        <w:keepNext/>
        <w:spacing w:after="0" w:before="60"/>
        <w:jc w:val="center"/>
      </w:pPr>
      <w:r>
        <w:drawing>
          <wp:inline distT="0" distB="0" distL="0" distR="0">
            <wp:extent cx="3143250" cy="2219325"/>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2219325"/>
                    </a:xfrm>
                    <a:prstGeom prst="rect">
                      <a:avLst/>
                    </a:prstGeom>
                  </pic:spPr>
                </pic:pic>
              </a:graphicData>
            </a:graphic>
          </wp:inline>
        </w:drawing>
      </w:r>
    </w:p>
    <w:p>
      <w:pPr>
        <w:spacing w:after="120" w:before="40"/>
        <w:jc w:val="both"/>
      </w:pPr>
      <w:r>
        <w:rPr>
          <w:rFonts w:ascii="Times New Roman" w:cs="Times New Roman" w:eastAsia="Times New Roman" w:hAnsi="Times New Roman"/>
          <w:sz w:val="16"/>
          <w:szCs w:val="16"/>
        </w:rPr>
        <w:t xml:space="preserve">Fig. 1. Success probability </w:t>
      </w:r>
      <w:r>
        <w:rPr>
          <w:rFonts w:ascii="Times New Roman" w:cs="Times New Roman" w:eastAsia="Times New Roman" w:hAnsi="Times New Roman"/>
          <w:i/>
          <w:iCs/>
          <w:sz w:val="16"/>
          <w:szCs w:val="16"/>
        </w:rPr>
        <w:t xml:space="preserve">P</w:t>
      </w:r>
      <w:r>
        <w:rPr>
          <w:rFonts w:ascii="Times New Roman" w:cs="Times New Roman" w:eastAsia="Times New Roman" w:hAnsi="Times New Roman"/>
          <w:sz w:val="16"/>
          <w:szCs w:val="16"/>
          <w:vertAlign w:val="subscript"/>
        </w:rPr>
        <w:t xml:space="preserve">t</w:t>
      </w:r>
      <w:r>
        <w:rPr>
          <w:rFonts w:ascii="Times New Roman" w:cs="Times New Roman" w:eastAsia="Times New Roman" w:hAnsi="Times New Roman"/>
          <w:sz w:val="16"/>
          <w:szCs w:val="16"/>
        </w:rPr>
        <w:t xml:space="preserve"> for </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rPr>
        <w:t xml:space="preserve"> = 8 (</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rPr>
        <w:t xml:space="preserve"> = 256). Lines: closed form (4); markers: exact density-matrix simulation (every third point).</w:t>
      </w:r>
    </w:p>
    <w:p>
      <w:pPr>
        <w:keepNext/>
        <w:spacing w:after="40" w:before="80"/>
        <w:jc w:val="left"/>
      </w:pPr>
      <w:r>
        <w:rPr>
          <w:rFonts w:ascii="Times New Roman" w:cs="Times New Roman" w:eastAsia="Times New Roman" w:hAnsi="Times New Roman"/>
          <w:i/>
          <w:iCs/>
          <w:sz w:val="20"/>
          <w:szCs w:val="20"/>
        </w:rPr>
        <w:t xml:space="preserve">B. Per-Qubit Noise</w:t>
      </w:r>
    </w:p>
    <w:p>
      <w:pPr>
        <w:spacing w:after="0" w:line="240"/>
        <w:ind w:firstLine="200"/>
        <w:jc w:val="both"/>
      </w:pPr>
      <w:r>
        <w:rPr>
          <w:rFonts w:ascii="Times New Roman" w:cs="Times New Roman" w:eastAsia="Times New Roman" w:hAnsi="Times New Roman"/>
          <w:sz w:val="20"/>
          <w:szCs w:val="20"/>
        </w:rPr>
        <w:t xml:space="preserve">Table I shows the fitted global error rate for per-qubit depolarizing noise. Across all ten runs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vertAlign w:val="subscript"/>
        </w:rPr>
        <w:t xml:space="preserve">eff</w:t>
      </w:r>
      <w:r>
        <w:rPr>
          <w:rFonts w:ascii="Times New Roman" w:cs="Times New Roman" w:eastAsia="Times New Roman" w:hAnsi="Times New Roman"/>
          <w:sz w:val="20"/>
          <w:szCs w:val="20"/>
        </w:rPr>
        <w:t xml:space="preserve"> ≈ 0.50–0.54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roughly independent of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in the tested range. We observed this empirically and have not derived it. The fit is imperfect: the root-mean-square error between the fitted model and the simulated curve grows with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(from 0.001 at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5×10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6, to 0.029 at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10</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8), so the global model should be read as an effective description that captures the scale of the error budget, not its exact shape. Only two small sizes were simulated; extrapolating the ratio to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128 is unverified.</w:t>
      </w:r>
    </w:p>
    <w:p>
      <w:pPr>
        <w:keepNext/>
        <w:spacing w:after="0" w:before="12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z w:val="16"/>
          <w:szCs w:val="16"/>
        </w:rPr>
        <w:t xml:space="preserve">Fitted Global Error Rate for Per-Qubit Depolarizing Noise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840"/>
        <w:gridCol w:w="840"/>
        <w:gridCol w:w="840"/>
        <w:gridCol w:w="840"/>
        <w:gridCol w:w="840"/>
        <w:gridCol w:w="840"/>
      </w:tblGrid>
      <w:tr>
        <w:trPr>
          <w:tblHeader/>
        </w:trPr>
        <w:tc>
          <w:tcPr>
            <w:tcW w:type="dxa" w:w="84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i/>
                <w:iCs/>
                <w:sz w:val="15"/>
                <w:szCs w:val="15"/>
              </w:rPr>
              <w:t xml:space="preserve">n</w:t>
            </w:r>
          </w:p>
        </w:tc>
        <w:tc>
          <w:tcPr>
            <w:tcW w:type="dxa" w:w="84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i/>
                <w:iCs/>
                <w:sz w:val="15"/>
                <w:szCs w:val="15"/>
              </w:rPr>
              <w:t xml:space="preserve">p</w:t>
            </w:r>
          </w:p>
        </w:tc>
        <w:tc>
          <w:tcPr>
            <w:tcW w:type="dxa" w:w="84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i/>
                <w:iCs/>
                <w:sz w:val="15"/>
                <w:szCs w:val="15"/>
              </w:rPr>
              <w:t xml:space="preserve">ε</w:t>
            </w:r>
            <w:r>
              <w:rPr>
                <w:rFonts w:ascii="Times New Roman" w:cs="Times New Roman" w:eastAsia="Times New Roman" w:hAnsi="Times New Roman"/>
                <w:b/>
                <w:bCs/>
                <w:sz w:val="15"/>
                <w:szCs w:val="15"/>
                <w:vertAlign w:val="subscript"/>
              </w:rPr>
              <w:t xml:space="preserve">eff</w:t>
            </w:r>
          </w:p>
        </w:tc>
        <w:tc>
          <w:tcPr>
            <w:tcW w:type="dxa" w:w="84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i/>
                <w:iCs/>
                <w:sz w:val="15"/>
                <w:szCs w:val="15"/>
              </w:rPr>
              <w:t xml:space="preserve">ε</w:t>
            </w:r>
            <w:r>
              <w:rPr>
                <w:rFonts w:ascii="Times New Roman" w:cs="Times New Roman" w:eastAsia="Times New Roman" w:hAnsi="Times New Roman"/>
                <w:b/>
                <w:bCs/>
                <w:sz w:val="15"/>
                <w:szCs w:val="15"/>
                <w:vertAlign w:val="subscript"/>
              </w:rPr>
              <w:t xml:space="preserve">eff</w:t>
            </w:r>
            <w:r>
              <w:rPr>
                <w:rFonts w:ascii="Times New Roman" w:cs="Times New Roman" w:eastAsia="Times New Roman" w:hAnsi="Times New Roman"/>
                <w:b/>
                <w:bCs/>
                <w:sz w:val="15"/>
                <w:szCs w:val="15"/>
              </w:rPr>
              <w:t xml:space="preserve">/(</w:t>
            </w:r>
            <w:r>
              <w:rPr>
                <w:rFonts w:ascii="Times New Roman" w:cs="Times New Roman" w:eastAsia="Times New Roman" w:hAnsi="Times New Roman"/>
                <w:b/>
                <w:bCs/>
                <w:i/>
                <w:iCs/>
                <w:sz w:val="15"/>
                <w:szCs w:val="15"/>
              </w:rPr>
              <w:t xml:space="preserve">np</w:t>
            </w:r>
            <w:r>
              <w:rPr>
                <w:rFonts w:ascii="Times New Roman" w:cs="Times New Roman" w:eastAsia="Times New Roman" w:hAnsi="Times New Roman"/>
                <w:b/>
                <w:bCs/>
                <w:sz w:val="15"/>
                <w:szCs w:val="15"/>
              </w:rPr>
              <w:t xml:space="preserve">)</w:t>
            </w:r>
          </w:p>
        </w:tc>
        <w:tc>
          <w:tcPr>
            <w:tcW w:type="dxa" w:w="84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5"/>
                <w:szCs w:val="15"/>
              </w:rPr>
              <w:t xml:space="preserve">max </w:t>
            </w:r>
            <w:r>
              <w:rPr>
                <w:rFonts w:ascii="Times New Roman" w:cs="Times New Roman" w:eastAsia="Times New Roman" w:hAnsi="Times New Roman"/>
                <w:b/>
                <w:bCs/>
                <w:i/>
                <w:iCs/>
                <w:sz w:val="15"/>
                <w:szCs w:val="15"/>
              </w:rPr>
              <w:t xml:space="preserve">P</w:t>
            </w:r>
            <w:r>
              <w:rPr>
                <w:rFonts w:ascii="Times New Roman" w:cs="Times New Roman" w:eastAsia="Times New Roman" w:hAnsi="Times New Roman"/>
                <w:b/>
                <w:bCs/>
                <w:sz w:val="15"/>
                <w:szCs w:val="15"/>
                <w:vertAlign w:val="subscript"/>
              </w:rPr>
              <w:t xml:space="preserve">t</w:t>
            </w:r>
          </w:p>
        </w:tc>
        <w:tc>
          <w:tcPr>
            <w:tcW w:type="dxa" w:w="84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5"/>
                <w:szCs w:val="15"/>
              </w:rPr>
              <w:t xml:space="preserve">argmax </w:t>
            </w:r>
            <w:r>
              <w:rPr>
                <w:rFonts w:ascii="Times New Roman" w:cs="Times New Roman" w:eastAsia="Times New Roman" w:hAnsi="Times New Roman"/>
                <w:b/>
                <w:bCs/>
                <w:i/>
                <w:iCs/>
                <w:sz w:val="15"/>
                <w:szCs w:val="15"/>
              </w:rPr>
              <w:t xml:space="preserve">t</w:t>
            </w:r>
          </w:p>
        </w:tc>
      </w:tr>
      <w:tr>
        <w:trPr>
          <w:tblHeader w:val="false"/>
        </w:trPr>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6</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0.001</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0.0033</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0.54</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0.977</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6</w:t>
            </w:r>
          </w:p>
        </w:tc>
      </w:tr>
      <w:tr>
        <w:trPr>
          <w:tblHeader w:val="false"/>
        </w:trPr>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6</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0.005</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0.0158</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0.53</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0.903</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6</w:t>
            </w:r>
          </w:p>
        </w:tc>
      </w:tr>
      <w:tr>
        <w:trPr>
          <w:tblHeader w:val="false"/>
        </w:trPr>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6</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0.010</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0.0308</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0.51</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0.819</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6</w:t>
            </w:r>
          </w:p>
        </w:tc>
      </w:tr>
      <w:tr>
        <w:trPr>
          <w:tblHeader w:val="false"/>
        </w:trPr>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8</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0.001</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0.0043</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0.53</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0.948</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12</w:t>
            </w:r>
          </w:p>
        </w:tc>
      </w:tr>
      <w:tr>
        <w:trPr>
          <w:tblHeader w:val="false"/>
        </w:trPr>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8</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0.005</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0.0208</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0.52</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0.769</w:t>
            </w:r>
          </w:p>
        </w:tc>
        <w:tc>
          <w:tcPr>
            <w:tcW w:type="dxa" w:w="8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11</w:t>
            </w:r>
          </w:p>
        </w:tc>
      </w:tr>
      <w:tr>
        <w:trPr>
          <w:tblHeader w:val="false"/>
        </w:trPr>
        <w:tc>
          <w:tcPr>
            <w:tcW w:type="dxa" w:w="84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8</w:t>
            </w:r>
          </w:p>
        </w:tc>
        <w:tc>
          <w:tcPr>
            <w:tcW w:type="dxa" w:w="84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0.010</w:t>
            </w:r>
          </w:p>
        </w:tc>
        <w:tc>
          <w:tcPr>
            <w:tcW w:type="dxa" w:w="84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0.0410</w:t>
            </w:r>
          </w:p>
        </w:tc>
        <w:tc>
          <w:tcPr>
            <w:tcW w:type="dxa" w:w="84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0.51</w:t>
            </w:r>
          </w:p>
        </w:tc>
        <w:tc>
          <w:tcPr>
            <w:tcW w:type="dxa" w:w="84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0.604</w:t>
            </w:r>
          </w:p>
        </w:tc>
        <w:tc>
          <w:tcPr>
            <w:tcW w:type="dxa" w:w="84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11</w:t>
            </w:r>
          </w:p>
        </w:tc>
      </w:tr>
    </w:tbl>
    <w:p>
      <w:pPr>
        <w:spacing w:after="60"/>
      </w:pPr>
    </w:p>
    <w:p>
      <w:pPr>
        <w:keepNext/>
        <w:spacing w:after="40" w:before="80"/>
        <w:jc w:val="left"/>
      </w:pPr>
      <w:r>
        <w:rPr>
          <w:rFonts w:ascii="Times New Roman" w:cs="Times New Roman" w:eastAsia="Times New Roman" w:hAnsi="Times New Roman"/>
          <w:i/>
          <w:iCs/>
          <w:sz w:val="20"/>
          <w:szCs w:val="20"/>
        </w:rPr>
        <w:t xml:space="preserve">C. Effective Security at Cryptographic Key Sizes</w:t>
      </w:r>
    </w:p>
    <w:p>
      <w:pPr>
        <w:spacing w:after="0" w:line="240"/>
        <w:ind w:firstLine="200"/>
        <w:jc w:val="both"/>
      </w:pPr>
      <w:r>
        <w:rPr>
          <w:rFonts w:ascii="Times New Roman" w:cs="Times New Roman" w:eastAsia="Times New Roman" w:hAnsi="Times New Roman"/>
          <w:sz w:val="20"/>
          <w:szCs w:val="20"/>
        </w:rPr>
        <w:t xml:space="preserve">Fig. 2 plots the optimized cost for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128. The numerical optimum follows the ideal value 2</w:t>
      </w:r>
      <w:r>
        <w:rPr>
          <w:rFonts w:ascii="Times New Roman" w:cs="Times New Roman" w:eastAsia="Times New Roman" w:hAnsi="Times New Roman"/>
          <w:sz w:val="20"/>
          <w:szCs w:val="20"/>
          <w:vertAlign w:val="superscript"/>
        </w:rPr>
        <w:t xml:space="preserve">63.7</w:t>
      </w:r>
      <w:r>
        <w:rPr>
          <w:rFonts w:ascii="Times New Roman" w:cs="Times New Roman" w:eastAsia="Times New Roman" w:hAnsi="Times New Roman"/>
          <w:sz w:val="20"/>
          <w:szCs w:val="20"/>
        </w:rPr>
        <w:t xml:space="preserve"> for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well below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 2</w:t>
      </w:r>
      <w:r>
        <w:rPr>
          <w:rFonts w:ascii="Times New Roman" w:cs="Times New Roman" w:eastAsia="Times New Roman" w:hAnsi="Times New Roman"/>
          <w:sz w:val="20"/>
          <w:szCs w:val="20"/>
          <w:vertAlign w:val="superscript"/>
        </w:rPr>
        <w:t xml:space="preserve">-63.8</w:t>
      </w:r>
      <w:r>
        <w:rPr>
          <w:rFonts w:ascii="Times New Roman" w:cs="Times New Roman" w:eastAsia="Times New Roman" w:hAnsi="Times New Roman"/>
          <w:sz w:val="20"/>
          <w:szCs w:val="20"/>
        </w:rPr>
        <w:t xml:space="preserve">, then tracks the asymptote (5) closely; for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 2</w:t>
      </w:r>
      <w:r>
        <w:rPr>
          <w:rFonts w:ascii="Times New Roman" w:cs="Times New Roman" w:eastAsia="Times New Roman" w:hAnsi="Times New Roman"/>
          <w:sz w:val="20"/>
          <w:szCs w:val="20"/>
          <w:vertAlign w:val="superscript"/>
        </w:rPr>
        <w:t xml:space="preserve">-60</w:t>
      </w:r>
      <w:r>
        <w:rPr>
          <w:rFonts w:ascii="Times New Roman" w:cs="Times New Roman" w:eastAsia="Times New Roman" w:hAnsi="Times New Roman"/>
          <w:sz w:val="20"/>
          <w:szCs w:val="20"/>
        </w:rPr>
        <w:t xml:space="preserve"> the two differ by less than 0.01 bit. The optimal run length matches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 ≈ 1/</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in this regime (for example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 ≈ 2</w:t>
      </w:r>
      <w:r>
        <w:rPr>
          <w:rFonts w:ascii="Times New Roman" w:cs="Times New Roman" w:eastAsia="Times New Roman" w:hAnsi="Times New Roman"/>
          <w:sz w:val="20"/>
          <w:szCs w:val="20"/>
          <w:vertAlign w:val="superscript"/>
        </w:rPr>
        <w:t xml:space="preserve">40.0</w:t>
      </w:r>
      <w:r>
        <w:rPr>
          <w:rFonts w:ascii="Times New Roman" w:cs="Times New Roman" w:eastAsia="Times New Roman" w:hAnsi="Times New Roman"/>
          <w:sz w:val="20"/>
          <w:szCs w:val="20"/>
        </w:rPr>
        <w:t xml:space="preserve"> at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 2</w:t>
      </w:r>
      <w:r>
        <w:rPr>
          <w:rFonts w:ascii="Times New Roman" w:cs="Times New Roman" w:eastAsia="Times New Roman" w:hAnsi="Times New Roman"/>
          <w:sz w:val="20"/>
          <w:szCs w:val="20"/>
          <w:vertAlign w:val="superscript"/>
        </w:rPr>
        <w:t xml:space="preserve">-40</w:t>
      </w:r>
      <w:r>
        <w:rPr>
          <w:rFonts w:ascii="Times New Roman" w:cs="Times New Roman" w:eastAsia="Times New Roman" w:hAnsi="Times New Roman"/>
          <w:sz w:val="20"/>
          <w:szCs w:val="20"/>
        </w:rPr>
        <w:t xml:space="preserve">).</w:t>
      </w:r>
    </w:p>
    <w:p>
      <w:pPr>
        <w:keepNext/>
        <w:spacing w:after="0" w:before="60"/>
        <w:jc w:val="center"/>
      </w:pPr>
      <w:r>
        <w:drawing>
          <wp:inline distT="0" distB="0" distL="0" distR="0">
            <wp:extent cx="3143250" cy="2314575"/>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2314575"/>
                    </a:xfrm>
                    <a:prstGeom prst="rect">
                      <a:avLst/>
                    </a:prstGeom>
                  </pic:spPr>
                </pic:pic>
              </a:graphicData>
            </a:graphic>
          </wp:inline>
        </w:drawing>
      </w:r>
    </w:p>
    <w:p>
      <w:pPr>
        <w:spacing w:after="120" w:before="40"/>
        <w:jc w:val="both"/>
      </w:pPr>
      <w:r>
        <w:rPr>
          <w:rFonts w:ascii="Times New Roman" w:cs="Times New Roman" w:eastAsia="Times New Roman" w:hAnsi="Times New Roman"/>
          <w:sz w:val="16"/>
          <w:szCs w:val="16"/>
        </w:rPr>
        <w:t xml:space="preserve">Fig. 2. Expected iterations to recover a 128-bit key versus per-iteration failure probability </w:t>
      </w:r>
      <w:r>
        <w:rPr>
          <w:rFonts w:ascii="Times New Roman" w:cs="Times New Roman" w:eastAsia="Times New Roman" w:hAnsi="Times New Roman"/>
          <w:i/>
          <w:iCs/>
          <w:sz w:val="16"/>
          <w:szCs w:val="16"/>
        </w:rPr>
        <w:t xml:space="preserve">ε</w:t>
      </w:r>
      <w:r>
        <w:rPr>
          <w:rFonts w:ascii="Times New Roman" w:cs="Times New Roman" w:eastAsia="Times New Roman" w:hAnsi="Times New Roman"/>
          <w:sz w:val="16"/>
          <w:szCs w:val="16"/>
        </w:rPr>
        <w:t xml:space="preserve">. The curve is the numerical optimum over run length </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rPr>
        <w:t xml:space="preserve">; the classical line counts cipher evaluations and is shown for scale only.</w:t>
      </w:r>
    </w:p>
    <w:p>
      <w:pPr>
        <w:spacing w:after="0" w:line="240"/>
        <w:ind w:firstLine="200"/>
        <w:jc w:val="both"/>
      </w:pPr>
      <w:r>
        <w:rPr>
          <w:rFonts w:ascii="Times New Roman" w:cs="Times New Roman" w:eastAsia="Times New Roman" w:hAnsi="Times New Roman"/>
          <w:sz w:val="20"/>
          <w:szCs w:val="20"/>
        </w:rPr>
        <w:t xml:space="preserve">Table II gives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eff</w:t>
      </w:r>
      <w:r>
        <w:rPr>
          <w:rFonts w:ascii="Times New Roman" w:cs="Times New Roman" w:eastAsia="Times New Roman" w:hAnsi="Times New Roman"/>
          <w:sz w:val="20"/>
          <w:szCs w:val="20"/>
        </w:rPr>
        <w:t xml:space="preserve"> for the three AES key sizes. A 128-bit key retains its ideal 63.7 bits only if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 2</w:t>
      </w:r>
      <w:r>
        <w:rPr>
          <w:rFonts w:ascii="Times New Roman" w:cs="Times New Roman" w:eastAsia="Times New Roman" w:hAnsi="Times New Roman"/>
          <w:sz w:val="20"/>
          <w:szCs w:val="20"/>
          <w:vertAlign w:val="superscript"/>
        </w:rPr>
        <w:t xml:space="preserve">-64</w:t>
      </w:r>
      <w:r>
        <w:rPr>
          <w:rFonts w:ascii="Times New Roman" w:cs="Times New Roman" w:eastAsia="Times New Roman" w:hAnsi="Times New Roman"/>
          <w:sz w:val="20"/>
          <w:szCs w:val="20"/>
        </w:rPr>
        <w:t xml:space="preserve">; at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 2</w:t>
      </w:r>
      <w:r>
        <w:rPr>
          <w:rFonts w:ascii="Times New Roman" w:cs="Times New Roman" w:eastAsia="Times New Roman" w:hAnsi="Times New Roman"/>
          <w:sz w:val="20"/>
          <w:szCs w:val="20"/>
          <w:vertAlign w:val="superscript"/>
        </w:rPr>
        <w:t xml:space="preserve">-40</w:t>
      </w:r>
      <w:r>
        <w:rPr>
          <w:rFonts w:ascii="Times New Roman" w:cs="Times New Roman" w:eastAsia="Times New Roman" w:hAnsi="Times New Roman"/>
          <w:sz w:val="20"/>
          <w:szCs w:val="20"/>
        </w:rPr>
        <w:t xml:space="preserve"> the attack costs 2</w:t>
      </w:r>
      <w:r>
        <w:rPr>
          <w:rFonts w:ascii="Times New Roman" w:cs="Times New Roman" w:eastAsia="Times New Roman" w:hAnsi="Times New Roman"/>
          <w:sz w:val="20"/>
          <w:szCs w:val="20"/>
          <w:vertAlign w:val="superscript"/>
        </w:rPr>
        <w:t xml:space="preserve">87.4</w:t>
      </w:r>
      <w:r>
        <w:rPr>
          <w:rFonts w:ascii="Times New Roman" w:cs="Times New Roman" w:eastAsia="Times New Roman" w:hAnsi="Times New Roman"/>
          <w:sz w:val="20"/>
          <w:szCs w:val="20"/>
        </w:rPr>
        <w:t xml:space="preserve"> iterations, and at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 2</w:t>
      </w:r>
      <w:r>
        <w:rPr>
          <w:rFonts w:ascii="Times New Roman" w:cs="Times New Roman" w:eastAsia="Times New Roman" w:hAnsi="Times New Roman"/>
          <w:sz w:val="20"/>
          <w:szCs w:val="20"/>
          <w:vertAlign w:val="superscript"/>
        </w:rPr>
        <w:t xml:space="preserve">-20</w:t>
      </w:r>
      <w:r>
        <w:rPr>
          <w:rFonts w:ascii="Times New Roman" w:cs="Times New Roman" w:eastAsia="Times New Roman" w:hAnsi="Times New Roman"/>
          <w:sz w:val="20"/>
          <w:szCs w:val="20"/>
        </w:rPr>
        <w:t xml:space="preserve"> it costs 2</w:t>
      </w:r>
      <w:r>
        <w:rPr>
          <w:rFonts w:ascii="Times New Roman" w:cs="Times New Roman" w:eastAsia="Times New Roman" w:hAnsi="Times New Roman"/>
          <w:sz w:val="20"/>
          <w:szCs w:val="20"/>
          <w:vertAlign w:val="superscript"/>
        </w:rPr>
        <w:t xml:space="preserve">107.4</w:t>
      </w:r>
      <w:r>
        <w:rPr>
          <w:rFonts w:ascii="Times New Roman" w:cs="Times New Roman" w:eastAsia="Times New Roman" w:hAnsi="Times New Roman"/>
          <w:sz w:val="20"/>
          <w:szCs w:val="20"/>
        </w:rPr>
        <w:t xml:space="preserve">. The same absolute error rate is far less damaging for larger keys relative to their thresholds, but the thresholds themselves (≈ 2</w:t>
      </w:r>
      <w:r>
        <w:rPr>
          <w:rFonts w:ascii="Times New Roman" w:cs="Times New Roman" w:eastAsia="Times New Roman" w:hAnsi="Times New Roman"/>
          <w:sz w:val="20"/>
          <w:szCs w:val="20"/>
          <w:vertAlign w:val="superscript"/>
        </w:rPr>
        <w:t xml:space="preserve">-96</w:t>
      </w:r>
      <w:r>
        <w:rPr>
          <w:rFonts w:ascii="Times New Roman" w:cs="Times New Roman" w:eastAsia="Times New Roman" w:hAnsi="Times New Roman"/>
          <w:sz w:val="20"/>
          <w:szCs w:val="20"/>
        </w:rPr>
        <w:t xml:space="preserve"> and 2</w:t>
      </w:r>
      <w:r>
        <w:rPr>
          <w:rFonts w:ascii="Times New Roman" w:cs="Times New Roman" w:eastAsia="Times New Roman" w:hAnsi="Times New Roman"/>
          <w:sz w:val="20"/>
          <w:szCs w:val="20"/>
          <w:vertAlign w:val="superscript"/>
        </w:rPr>
        <w:t xml:space="preserve">-128</w:t>
      </w:r>
      <w:r>
        <w:rPr>
          <w:rFonts w:ascii="Times New Roman" w:cs="Times New Roman" w:eastAsia="Times New Roman" w:hAnsi="Times New Roman"/>
          <w:sz w:val="20"/>
          <w:szCs w:val="20"/>
        </w:rPr>
        <w:t xml:space="preserve">) become correspondingly stricter.</w:t>
      </w:r>
    </w:p>
    <w:p>
      <w:pPr>
        <w:keepNext/>
        <w:spacing w:after="0" w:before="12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z w:val="16"/>
          <w:szCs w:val="16"/>
        </w:rPr>
        <w:t xml:space="preserve">Expected Grover Iterations (log</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for Per-Iteration Failure Probability 2</w:t>
      </w:r>
      <w:r>
        <w:rPr>
          <w:rFonts w:ascii="Times New Roman" w:cs="Times New Roman" w:eastAsia="Times New Roman" w:hAnsi="Times New Roman"/>
          <w:sz w:val="16"/>
          <w:szCs w:val="16"/>
          <w:vertAlign w:val="superscript"/>
        </w:rPr>
        <w:t xml:space="preserve">-x</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640"/>
        <w:gridCol w:w="733"/>
        <w:gridCol w:w="733"/>
        <w:gridCol w:w="733"/>
        <w:gridCol w:w="733"/>
        <w:gridCol w:w="733"/>
        <w:gridCol w:w="735"/>
      </w:tblGrid>
      <w:tr>
        <w:trPr>
          <w:tblHeader/>
        </w:trPr>
        <w:tc>
          <w:tcPr>
            <w:tcW w:type="dxa" w:w="64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i/>
                <w:iCs/>
                <w:sz w:val="15"/>
                <w:szCs w:val="15"/>
              </w:rPr>
              <w:t xml:space="preserve">n</w:t>
            </w:r>
          </w:p>
        </w:tc>
        <w:tc>
          <w:tcPr>
            <w:tcW w:type="dxa" w:w="733"/>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i/>
                <w:iCs/>
                <w:sz w:val="15"/>
                <w:szCs w:val="15"/>
              </w:rPr>
              <w:t xml:space="preserve">x</w:t>
            </w:r>
            <w:r>
              <w:rPr>
                <w:rFonts w:ascii="Times New Roman" w:cs="Times New Roman" w:eastAsia="Times New Roman" w:hAnsi="Times New Roman"/>
                <w:b/>
                <w:bCs/>
                <w:sz w:val="15"/>
                <w:szCs w:val="15"/>
              </w:rPr>
              <w:t xml:space="preserve">=80</w:t>
            </w:r>
          </w:p>
        </w:tc>
        <w:tc>
          <w:tcPr>
            <w:tcW w:type="dxa" w:w="733"/>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i/>
                <w:iCs/>
                <w:sz w:val="15"/>
                <w:szCs w:val="15"/>
              </w:rPr>
              <w:t xml:space="preserve">x</w:t>
            </w:r>
            <w:r>
              <w:rPr>
                <w:rFonts w:ascii="Times New Roman" w:cs="Times New Roman" w:eastAsia="Times New Roman" w:hAnsi="Times New Roman"/>
                <w:b/>
                <w:bCs/>
                <w:sz w:val="15"/>
                <w:szCs w:val="15"/>
              </w:rPr>
              <w:t xml:space="preserve">=64</w:t>
            </w:r>
          </w:p>
        </w:tc>
        <w:tc>
          <w:tcPr>
            <w:tcW w:type="dxa" w:w="733"/>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i/>
                <w:iCs/>
                <w:sz w:val="15"/>
                <w:szCs w:val="15"/>
              </w:rPr>
              <w:t xml:space="preserve">x</w:t>
            </w:r>
            <w:r>
              <w:rPr>
                <w:rFonts w:ascii="Times New Roman" w:cs="Times New Roman" w:eastAsia="Times New Roman" w:hAnsi="Times New Roman"/>
                <w:b/>
                <w:bCs/>
                <w:sz w:val="15"/>
                <w:szCs w:val="15"/>
              </w:rPr>
              <w:t xml:space="preserve">=40</w:t>
            </w:r>
          </w:p>
        </w:tc>
        <w:tc>
          <w:tcPr>
            <w:tcW w:type="dxa" w:w="733"/>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i/>
                <w:iCs/>
                <w:sz w:val="15"/>
                <w:szCs w:val="15"/>
              </w:rPr>
              <w:t xml:space="preserve">x</w:t>
            </w:r>
            <w:r>
              <w:rPr>
                <w:rFonts w:ascii="Times New Roman" w:cs="Times New Roman" w:eastAsia="Times New Roman" w:hAnsi="Times New Roman"/>
                <w:b/>
                <w:bCs/>
                <w:sz w:val="15"/>
                <w:szCs w:val="15"/>
              </w:rPr>
              <w:t xml:space="preserve">=30</w:t>
            </w:r>
          </w:p>
        </w:tc>
        <w:tc>
          <w:tcPr>
            <w:tcW w:type="dxa" w:w="733"/>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i/>
                <w:iCs/>
                <w:sz w:val="15"/>
                <w:szCs w:val="15"/>
              </w:rPr>
              <w:t xml:space="preserve">x</w:t>
            </w:r>
            <w:r>
              <w:rPr>
                <w:rFonts w:ascii="Times New Roman" w:cs="Times New Roman" w:eastAsia="Times New Roman" w:hAnsi="Times New Roman"/>
                <w:b/>
                <w:bCs/>
                <w:sz w:val="15"/>
                <w:szCs w:val="15"/>
              </w:rPr>
              <w:t xml:space="preserve">=20</w:t>
            </w:r>
          </w:p>
        </w:tc>
        <w:tc>
          <w:tcPr>
            <w:tcW w:type="dxa" w:w="735"/>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5"/>
                <w:szCs w:val="15"/>
              </w:rPr>
              <w:t xml:space="preserve">Ideal</w:t>
            </w:r>
          </w:p>
        </w:tc>
      </w:tr>
      <w:tr>
        <w:trPr>
          <w:tblHeader w:val="false"/>
        </w:trPr>
        <w:tc>
          <w:tcPr>
            <w:tcW w:type="dxa" w:w="6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128</w:t>
            </w:r>
          </w:p>
        </w:tc>
        <w:tc>
          <w:tcPr>
            <w:tcW w:type="dxa" w:w="73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63.5</w:t>
            </w:r>
          </w:p>
        </w:tc>
        <w:tc>
          <w:tcPr>
            <w:tcW w:type="dxa" w:w="73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64.2</w:t>
            </w:r>
          </w:p>
        </w:tc>
        <w:tc>
          <w:tcPr>
            <w:tcW w:type="dxa" w:w="73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87.4</w:t>
            </w:r>
          </w:p>
        </w:tc>
        <w:tc>
          <w:tcPr>
            <w:tcW w:type="dxa" w:w="73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97.4</w:t>
            </w:r>
          </w:p>
        </w:tc>
        <w:tc>
          <w:tcPr>
            <w:tcW w:type="dxa" w:w="73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107.4</w:t>
            </w:r>
          </w:p>
        </w:tc>
        <w:tc>
          <w:tcPr>
            <w:tcW w:type="dxa" w:w="73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63.7</w:t>
            </w:r>
          </w:p>
        </w:tc>
      </w:tr>
      <w:tr>
        <w:trPr>
          <w:tblHeader w:val="false"/>
        </w:trPr>
        <w:tc>
          <w:tcPr>
            <w:tcW w:type="dxa" w:w="6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192</w:t>
            </w:r>
          </w:p>
        </w:tc>
        <w:tc>
          <w:tcPr>
            <w:tcW w:type="dxa" w:w="73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111.4</w:t>
            </w:r>
          </w:p>
        </w:tc>
        <w:tc>
          <w:tcPr>
            <w:tcW w:type="dxa" w:w="73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127.4</w:t>
            </w:r>
          </w:p>
        </w:tc>
        <w:tc>
          <w:tcPr>
            <w:tcW w:type="dxa" w:w="73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151.4</w:t>
            </w:r>
          </w:p>
        </w:tc>
        <w:tc>
          <w:tcPr>
            <w:tcW w:type="dxa" w:w="73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161.4</w:t>
            </w:r>
          </w:p>
        </w:tc>
        <w:tc>
          <w:tcPr>
            <w:tcW w:type="dxa" w:w="73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171.4</w:t>
            </w:r>
          </w:p>
        </w:tc>
        <w:tc>
          <w:tcPr>
            <w:tcW w:type="dxa" w:w="73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95.7</w:t>
            </w:r>
          </w:p>
        </w:tc>
      </w:tr>
      <w:tr>
        <w:trPr>
          <w:tblHeader w:val="false"/>
        </w:trPr>
        <w:tc>
          <w:tcPr>
            <w:tcW w:type="dxa" w:w="64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256</w:t>
            </w:r>
          </w:p>
        </w:tc>
        <w:tc>
          <w:tcPr>
            <w:tcW w:type="dxa" w:w="733"/>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175.4</w:t>
            </w:r>
          </w:p>
        </w:tc>
        <w:tc>
          <w:tcPr>
            <w:tcW w:type="dxa" w:w="733"/>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191.4</w:t>
            </w:r>
          </w:p>
        </w:tc>
        <w:tc>
          <w:tcPr>
            <w:tcW w:type="dxa" w:w="733"/>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215.4</w:t>
            </w:r>
          </w:p>
        </w:tc>
        <w:tc>
          <w:tcPr>
            <w:tcW w:type="dxa" w:w="733"/>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225.4</w:t>
            </w:r>
          </w:p>
        </w:tc>
        <w:tc>
          <w:tcPr>
            <w:tcW w:type="dxa" w:w="733"/>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235.4</w:t>
            </w:r>
          </w:p>
        </w:tc>
        <w:tc>
          <w:tcPr>
            <w:tcW w:type="dxa" w:w="735"/>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127.7</w:t>
            </w:r>
          </w:p>
        </w:tc>
      </w:tr>
    </w:tbl>
    <w:p>
      <w:pPr>
        <w:spacing w:after="60"/>
      </w:pPr>
    </w:p>
    <w:p>
      <w:pPr>
        <w:keepNext/>
        <w:spacing w:after="40" w:before="80"/>
        <w:jc w:val="left"/>
      </w:pPr>
      <w:r>
        <w:rPr>
          <w:rFonts w:ascii="Times New Roman" w:cs="Times New Roman" w:eastAsia="Times New Roman" w:hAnsi="Times New Roman"/>
          <w:i/>
          <w:iCs/>
          <w:sz w:val="20"/>
          <w:szCs w:val="20"/>
        </w:rPr>
        <w:t xml:space="preserve">D. Error-Correction Overhead</w:t>
      </w:r>
    </w:p>
    <w:p>
      <w:pPr>
        <w:spacing w:after="0" w:line="240"/>
        <w:ind w:firstLine="200"/>
        <w:jc w:val="both"/>
      </w:pPr>
      <w:r>
        <w:rPr>
          <w:rFonts w:ascii="Times New Roman" w:cs="Times New Roman" w:eastAsia="Times New Roman" w:hAnsi="Times New Roman"/>
          <w:sz w:val="20"/>
          <w:szCs w:val="20"/>
        </w:rPr>
        <w:t xml:space="preserve">Table III applies (8) with the illustrative parameters of Section V. For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128 the logical error rate must reach about 2</w:t>
      </w:r>
      <w:r>
        <w:rPr>
          <w:rFonts w:ascii="Times New Roman" w:cs="Times New Roman" w:eastAsia="Times New Roman" w:hAnsi="Times New Roman"/>
          <w:sz w:val="20"/>
          <w:szCs w:val="20"/>
          <w:vertAlign w:val="superscript"/>
        </w:rPr>
        <w:t xml:space="preserve">-87.8</w:t>
      </w:r>
      <w:r>
        <w:rPr>
          <w:rFonts w:ascii="Times New Roman" w:cs="Times New Roman" w:eastAsia="Times New Roman" w:hAnsi="Times New Roman"/>
          <w:sz w:val="20"/>
          <w:szCs w:val="20"/>
        </w:rPr>
        <w:t xml:space="preserve">, requiring a distance-51 surface code and about 1.6×10</w:t>
      </w:r>
      <w:r>
        <w:rPr>
          <w:rFonts w:ascii="Times New Roman" w:cs="Times New Roman" w:eastAsia="Times New Roman" w:hAnsi="Times New Roman"/>
          <w:sz w:val="20"/>
          <w:szCs w:val="20"/>
          <w:vertAlign w:val="superscript"/>
        </w:rPr>
        <w:t xml:space="preserve">7</w:t>
      </w:r>
      <w:r>
        <w:rPr>
          <w:rFonts w:ascii="Times New Roman" w:cs="Times New Roman" w:eastAsia="Times New Roman" w:hAnsi="Times New Roman"/>
          <w:sz w:val="20"/>
          <w:szCs w:val="20"/>
        </w:rPr>
        <w:t xml:space="preserve"> physical qubits for the 3000 logical qubits, before counting magic-state factories or routing. This is the same order as the 2×10</w:t>
      </w:r>
      <w:r>
        <w:rPr>
          <w:rFonts w:ascii="Times New Roman" w:cs="Times New Roman" w:eastAsia="Times New Roman" w:hAnsi="Times New Roman"/>
          <w:sz w:val="20"/>
          <w:szCs w:val="20"/>
          <w:vertAlign w:val="superscript"/>
        </w:rPr>
        <w:t xml:space="preserve">7</w:t>
      </w:r>
      <w:r>
        <w:rPr>
          <w:rFonts w:ascii="Times New Roman" w:cs="Times New Roman" w:eastAsia="Times New Roman" w:hAnsi="Times New Roman"/>
          <w:sz w:val="20"/>
          <w:szCs w:val="20"/>
        </w:rPr>
        <w:t xml:space="preserve"> qubits estimated for RSA-2048 [11], which is a reason to treat Grover key search and Shor-style attacks as comparable engineering challenges rather than the former being easy. The dependence on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is mild: sweeping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from 2</w:t>
      </w:r>
      <w:r>
        <w:rPr>
          <w:rFonts w:ascii="Times New Roman" w:cs="Times New Roman" w:eastAsia="Times New Roman" w:hAnsi="Times New Roman"/>
          <w:sz w:val="20"/>
          <w:szCs w:val="20"/>
          <w:vertAlign w:val="superscript"/>
        </w:rPr>
        <w:t xml:space="preserve">20</w:t>
      </w:r>
      <w:r>
        <w:rPr>
          <w:rFonts w:ascii="Times New Roman" w:cs="Times New Roman" w:eastAsia="Times New Roman" w:hAnsi="Times New Roman"/>
          <w:sz w:val="20"/>
          <w:szCs w:val="20"/>
        </w:rPr>
        <w:t xml:space="preserve"> to 2</w:t>
      </w:r>
      <w:r>
        <w:rPr>
          <w:rFonts w:ascii="Times New Roman" w:cs="Times New Roman" w:eastAsia="Times New Roman" w:hAnsi="Times New Roman"/>
          <w:sz w:val="20"/>
          <w:szCs w:val="20"/>
          <w:vertAlign w:val="superscript"/>
        </w:rPr>
        <w:t xml:space="preserve">32</w:t>
      </w:r>
      <w:r>
        <w:rPr>
          <w:rFonts w:ascii="Times New Roman" w:cs="Times New Roman" w:eastAsia="Times New Roman" w:hAnsi="Times New Roman"/>
          <w:sz w:val="20"/>
          <w:szCs w:val="20"/>
        </w:rPr>
        <w:t xml:space="preserve"> changes the distance only from 49 to 55 (1.4×10</w:t>
      </w:r>
      <w:r>
        <w:rPr>
          <w:rFonts w:ascii="Times New Roman" w:cs="Times New Roman" w:eastAsia="Times New Roman" w:hAnsi="Times New Roman"/>
          <w:sz w:val="20"/>
          <w:szCs w:val="20"/>
          <w:vertAlign w:val="superscript"/>
        </w:rPr>
        <w:t xml:space="preserve">7</w:t>
      </w:r>
      <w:r>
        <w:rPr>
          <w:rFonts w:ascii="Times New Roman" w:cs="Times New Roman" w:eastAsia="Times New Roman" w:hAnsi="Times New Roman"/>
          <w:sz w:val="20"/>
          <w:szCs w:val="20"/>
        </w:rPr>
        <w:t xml:space="preserve"> to 1.8×10</w:t>
      </w:r>
      <w:r>
        <w:rPr>
          <w:rFonts w:ascii="Times New Roman" w:cs="Times New Roman" w:eastAsia="Times New Roman" w:hAnsi="Times New Roman"/>
          <w:sz w:val="20"/>
          <w:szCs w:val="20"/>
          <w:vertAlign w:val="superscript"/>
        </w:rPr>
        <w:t xml:space="preserve">7</w:t>
      </w:r>
      <w:r>
        <w:rPr>
          <w:rFonts w:ascii="Times New Roman" w:cs="Times New Roman" w:eastAsia="Times New Roman" w:hAnsi="Times New Roman"/>
          <w:sz w:val="20"/>
          <w:szCs w:val="20"/>
        </w:rPr>
        <w:t xml:space="preserve"> physical qubits), because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 falls exponentially with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w:t>
      </w:r>
    </w:p>
    <w:p>
      <w:pPr>
        <w:keepNext/>
        <w:spacing w:after="0" w:before="12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z w:val="16"/>
          <w:szCs w:val="16"/>
        </w:rPr>
        <w:t xml:space="preserve">Illustrative Surface-Code Requirement for ε ≤ ε</w:t>
      </w:r>
      <w:r>
        <w:rPr>
          <w:rFonts w:ascii="Times New Roman" w:cs="Times New Roman" w:eastAsia="Times New Roman" w:hAnsi="Times New Roman"/>
          <w:sz w:val="16"/>
          <w:szCs w:val="16"/>
          <w:vertAlign w:val="subscript"/>
        </w:rPr>
        <w:t xml:space="preserve">c</w:t>
      </w:r>
      <w:r>
        <w:rPr>
          <w:rFonts w:ascii="Times New Roman" w:cs="Times New Roman" w:eastAsia="Times New Roman" w:hAnsi="Times New Roman"/>
          <w:sz w:val="16"/>
          <w:szCs w:val="16"/>
        </w:rPr>
        <w:t xml:space="preserve"> (V = 2</w:t>
      </w:r>
      <w:r>
        <w:rPr>
          <w:rFonts w:ascii="Times New Roman" w:cs="Times New Roman" w:eastAsia="Times New Roman" w:hAnsi="Times New Roman"/>
          <w:sz w:val="16"/>
          <w:szCs w:val="16"/>
          <w:vertAlign w:val="superscript"/>
        </w:rPr>
        <w:t xml:space="preserve">24</w:t>
      </w:r>
      <w:r>
        <w:rPr>
          <w:rFonts w:ascii="Times New Roman" w:cs="Times New Roman" w:eastAsia="Times New Roman" w:hAnsi="Times New Roman"/>
          <w:sz w:val="16"/>
          <w:szCs w:val="16"/>
        </w:rPr>
        <w:t xml:space="preserve">, Q = 3000)</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000"/>
        <w:gridCol w:w="800"/>
        <w:gridCol w:w="1540"/>
      </w:tblGrid>
      <w:tr>
        <w:trPr>
          <w:tblHeader/>
        </w:trPr>
        <w:tc>
          <w:tcPr>
            <w:tcW w:type="dxa" w:w="7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i/>
                <w:iCs/>
                <w:sz w:val="15"/>
                <w:szCs w:val="15"/>
              </w:rPr>
              <w:t xml:space="preserve">n</w:t>
            </w:r>
          </w:p>
        </w:tc>
        <w:tc>
          <w:tcPr>
            <w:tcW w:type="dxa" w:w="10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5"/>
                <w:szCs w:val="15"/>
              </w:rPr>
              <w:t xml:space="preserve">log</w:t>
            </w:r>
            <w:r>
              <w:rPr>
                <w:rFonts w:ascii="Times New Roman" w:cs="Times New Roman" w:eastAsia="Times New Roman" w:hAnsi="Times New Roman"/>
                <w:b/>
                <w:bCs/>
                <w:sz w:val="15"/>
                <w:szCs w:val="15"/>
                <w:vertAlign w:val="subscript"/>
              </w:rPr>
              <w:t xml:space="preserve">2</w:t>
            </w:r>
            <w:r>
              <w:rPr>
                <w:rFonts w:ascii="Times New Roman" w:cs="Times New Roman" w:eastAsia="Times New Roman" w:hAnsi="Times New Roman"/>
                <w:b/>
                <w:bCs/>
                <w:sz w:val="15"/>
                <w:szCs w:val="15"/>
              </w:rPr>
              <w:t xml:space="preserve"> </w:t>
            </w:r>
            <w:r>
              <w:rPr>
                <w:rFonts w:ascii="Times New Roman" w:cs="Times New Roman" w:eastAsia="Times New Roman" w:hAnsi="Times New Roman"/>
                <w:b/>
                <w:bCs/>
                <w:i/>
                <w:iCs/>
                <w:sz w:val="15"/>
                <w:szCs w:val="15"/>
              </w:rPr>
              <w:t xml:space="preserve">ε</w:t>
            </w:r>
            <w:r>
              <w:rPr>
                <w:rFonts w:ascii="Times New Roman" w:cs="Times New Roman" w:eastAsia="Times New Roman" w:hAnsi="Times New Roman"/>
                <w:b/>
                <w:bCs/>
                <w:sz w:val="15"/>
                <w:szCs w:val="15"/>
                <w:vertAlign w:val="subscript"/>
              </w:rPr>
              <w:t xml:space="preserve">c</w:t>
            </w:r>
          </w:p>
        </w:tc>
        <w:tc>
          <w:tcPr>
            <w:tcW w:type="dxa" w:w="10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5"/>
                <w:szCs w:val="15"/>
              </w:rPr>
              <w:t xml:space="preserve">log</w:t>
            </w:r>
            <w:r>
              <w:rPr>
                <w:rFonts w:ascii="Times New Roman" w:cs="Times New Roman" w:eastAsia="Times New Roman" w:hAnsi="Times New Roman"/>
                <w:b/>
                <w:bCs/>
                <w:sz w:val="15"/>
                <w:szCs w:val="15"/>
                <w:vertAlign w:val="subscript"/>
              </w:rPr>
              <w:t xml:space="preserve">2</w:t>
            </w:r>
            <w:r>
              <w:rPr>
                <w:rFonts w:ascii="Times New Roman" w:cs="Times New Roman" w:eastAsia="Times New Roman" w:hAnsi="Times New Roman"/>
                <w:b/>
                <w:bCs/>
                <w:sz w:val="15"/>
                <w:szCs w:val="15"/>
              </w:rPr>
              <w:t xml:space="preserve"> </w:t>
            </w:r>
            <w:r>
              <w:rPr>
                <w:rFonts w:ascii="Times New Roman" w:cs="Times New Roman" w:eastAsia="Times New Roman" w:hAnsi="Times New Roman"/>
                <w:b/>
                <w:bCs/>
                <w:i/>
                <w:iCs/>
                <w:sz w:val="15"/>
                <w:szCs w:val="15"/>
              </w:rPr>
              <w:t xml:space="preserve">p</w:t>
            </w:r>
            <w:r>
              <w:rPr>
                <w:rFonts w:ascii="Times New Roman" w:cs="Times New Roman" w:eastAsia="Times New Roman" w:hAnsi="Times New Roman"/>
                <w:b/>
                <w:bCs/>
                <w:sz w:val="15"/>
                <w:szCs w:val="15"/>
                <w:vertAlign w:val="subscript"/>
              </w:rPr>
              <w:t xml:space="preserve">L</w:t>
            </w:r>
          </w:p>
        </w:tc>
        <w:tc>
          <w:tcPr>
            <w:tcW w:type="dxa" w:w="8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i/>
                <w:iCs/>
                <w:sz w:val="15"/>
                <w:szCs w:val="15"/>
              </w:rPr>
              <w:t xml:space="preserve">d</w:t>
            </w:r>
          </w:p>
        </w:tc>
        <w:tc>
          <w:tcPr>
            <w:tcW w:type="dxa" w:w="154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5"/>
                <w:szCs w:val="15"/>
              </w:rPr>
              <w:t xml:space="preserve">Physical qubits</w:t>
            </w:r>
          </w:p>
        </w:tc>
      </w:tr>
      <w:tr>
        <w:trPr>
          <w:tblHeader w:val="false"/>
        </w:trPr>
        <w:tc>
          <w:tcPr>
            <w:tcW w:type="dxa" w:w="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128</w:t>
            </w:r>
          </w:p>
        </w:tc>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−63.8</w:t>
            </w:r>
          </w:p>
        </w:tc>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−87.8</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51</w:t>
            </w:r>
          </w:p>
        </w:tc>
        <w:tc>
          <w:tcPr>
            <w:tcW w:type="dxa" w:w="15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1.56×10</w:t>
            </w:r>
            <w:r>
              <w:rPr>
                <w:rFonts w:ascii="Times New Roman" w:cs="Times New Roman" w:eastAsia="Times New Roman" w:hAnsi="Times New Roman"/>
                <w:b w:val="false"/>
                <w:bCs w:val="false"/>
                <w:sz w:val="15"/>
                <w:szCs w:val="15"/>
                <w:vertAlign w:val="superscript"/>
              </w:rPr>
              <w:t xml:space="preserve">7</w:t>
            </w:r>
          </w:p>
        </w:tc>
      </w:tr>
      <w:tr>
        <w:trPr>
          <w:tblHeader w:val="false"/>
        </w:trPr>
        <w:tc>
          <w:tcPr>
            <w:tcW w:type="dxa" w:w="7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192</w:t>
            </w:r>
          </w:p>
        </w:tc>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−95.8</w:t>
            </w:r>
          </w:p>
        </w:tc>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−119.8</w:t>
            </w:r>
          </w:p>
        </w:tc>
        <w:tc>
          <w:tcPr>
            <w:tcW w:type="dxa" w:w="8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71</w:t>
            </w:r>
          </w:p>
        </w:tc>
        <w:tc>
          <w:tcPr>
            <w:tcW w:type="dxa" w:w="15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3.02×10</w:t>
            </w:r>
            <w:r>
              <w:rPr>
                <w:rFonts w:ascii="Times New Roman" w:cs="Times New Roman" w:eastAsia="Times New Roman" w:hAnsi="Times New Roman"/>
                <w:b w:val="false"/>
                <w:bCs w:val="false"/>
                <w:sz w:val="15"/>
                <w:szCs w:val="15"/>
                <w:vertAlign w:val="superscript"/>
              </w:rPr>
              <w:t xml:space="preserve">7</w:t>
            </w:r>
          </w:p>
        </w:tc>
      </w:tr>
      <w:tr>
        <w:trPr>
          <w:tblHeader w:val="false"/>
        </w:trPr>
        <w:tc>
          <w:tcPr>
            <w:tcW w:type="dxa" w:w="7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256</w:t>
            </w:r>
          </w:p>
        </w:tc>
        <w:tc>
          <w:tcPr>
            <w:tcW w:type="dxa" w:w="10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−127.8</w:t>
            </w:r>
          </w:p>
        </w:tc>
        <w:tc>
          <w:tcPr>
            <w:tcW w:type="dxa" w:w="10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−151.8</w:t>
            </w:r>
          </w:p>
        </w:tc>
        <w:tc>
          <w:tcPr>
            <w:tcW w:type="dxa" w:w="8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89</w:t>
            </w:r>
          </w:p>
        </w:tc>
        <w:tc>
          <w:tcPr>
            <w:tcW w:type="dxa" w:w="154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5"/>
                <w:szCs w:val="15"/>
              </w:rPr>
              <w:t xml:space="preserve">4.75×10</w:t>
            </w:r>
            <w:r>
              <w:rPr>
                <w:rFonts w:ascii="Times New Roman" w:cs="Times New Roman" w:eastAsia="Times New Roman" w:hAnsi="Times New Roman"/>
                <w:b w:val="false"/>
                <w:bCs w:val="false"/>
                <w:sz w:val="15"/>
                <w:szCs w:val="15"/>
                <w:vertAlign w:val="superscript"/>
              </w:rPr>
              <w:t xml:space="preserve">7</w:t>
            </w:r>
          </w:p>
        </w:tc>
      </w:tr>
    </w:tbl>
    <w:p>
      <w:pPr>
        <w:spacing w:after="60"/>
      </w:pPr>
    </w:p>
    <w:p>
      <w:pPr>
        <w:keepNext/>
        <w:spacing w:after="40" w:before="80"/>
        <w:jc w:val="left"/>
      </w:pPr>
      <w:r>
        <w:rPr>
          <w:rFonts w:ascii="Times New Roman" w:cs="Times New Roman" w:eastAsia="Times New Roman" w:hAnsi="Times New Roman"/>
          <w:i/>
          <w:iCs/>
          <w:sz w:val="20"/>
          <w:szCs w:val="20"/>
        </w:rPr>
        <w:t xml:space="preserve">E. Limitations</w:t>
      </w:r>
    </w:p>
    <w:p>
      <w:pPr>
        <w:spacing w:after="0" w:line="240"/>
        <w:ind w:firstLine="200"/>
        <w:jc w:val="both"/>
      </w:pPr>
      <w:r>
        <w:rPr>
          <w:rFonts w:ascii="Times New Roman" w:cs="Times New Roman" w:eastAsia="Times New Roman" w:hAnsi="Times New Roman"/>
          <w:sz w:val="20"/>
          <w:szCs w:val="20"/>
        </w:rPr>
        <w:t xml:space="preserve">The conclusions rest on several simplifications. (1) The global depolarizing model is an effective abstraction; Section VI-B (Table I) shows it fits per-qubit noise only approximately, and only for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8. (2)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 are illustrative, and the same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 is reused for all key sizes for comparability, although larger keys need more qubits. (3) The surface-code formula is a heuristic with uniform physical error rates; it ignores magic-state distillation, routing and decoder latency. (4) The attack is purely sequential: parallel Grover with limited circuit depth, as considered in NIST’s depth-bounded analysis [3], is not modeled. (5) The classical baseline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/2 counts cipher evaluations, whereas a Grover iteration includes at least two, so the real crossover against classical search is less favorable to the quantum attacker than the figure suggests. None of this implies that AES is weakened or broken: the results show that the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speed-up demands extreme error suppression.</w:t>
      </w:r>
    </w:p>
    <w:p>
      <w:pPr>
        <w:keepNext/>
        <w:spacing w:after="80" w:before="160"/>
        <w:jc w:val="center"/>
      </w:pPr>
      <w:r>
        <w:rPr>
          <w:rFonts w:ascii="Times New Roman" w:cs="Times New Roman" w:eastAsia="Times New Roman" w:hAnsi="Times New Roman"/>
          <w:smallCaps w:val="false"/>
          <w:sz w:val="20"/>
          <w:szCs w:val="20"/>
        </w:rPr>
        <w:t xml:space="preserve">VII. CONCLUSION</w:t>
      </w:r>
    </w:p>
    <w:p>
      <w:pPr>
        <w:spacing w:after="0" w:line="240"/>
        <w:ind w:firstLine="200"/>
        <w:jc w:val="both"/>
      </w:pPr>
      <w:r>
        <w:rPr>
          <w:rFonts w:ascii="Times New Roman" w:cs="Times New Roman" w:eastAsia="Times New Roman" w:hAnsi="Times New Roman"/>
          <w:sz w:val="20"/>
          <w:szCs w:val="20"/>
        </w:rPr>
        <w:t xml:space="preserve">We showed that under a per-iteration depolarizing model, Grover key search keeps its quadratic speed-up only when the failure probability per iteration stays below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π</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about 2</w:t>
      </w:r>
      <w:r>
        <w:rPr>
          <w:rFonts w:ascii="Times New Roman" w:cs="Times New Roman" w:eastAsia="Times New Roman" w:hAnsi="Times New Roman"/>
          <w:sz w:val="20"/>
          <w:szCs w:val="20"/>
          <w:vertAlign w:val="superscript"/>
        </w:rPr>
        <w:t xml:space="preserve">-64</w:t>
      </w:r>
      <w:r>
        <w:rPr>
          <w:rFonts w:ascii="Times New Roman" w:cs="Times New Roman" w:eastAsia="Times New Roman" w:hAnsi="Times New Roman"/>
          <w:sz w:val="20"/>
          <w:szCs w:val="20"/>
        </w:rPr>
        <w:t xml:space="preserve"> for a 128-bit key. Above this threshold the optimal attack degrades to a cost of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/4)</w:t>
      </w:r>
      <w:r>
        <w:rPr>
          <w:rFonts w:ascii="Times New Roman" w:cs="Times New Roman" w:eastAsia="Times New Roman" w:hAnsi="Times New Roman"/>
          <w:i/>
          <w:iCs/>
          <w:sz w:val="20"/>
          <w:szCs w:val="20"/>
        </w:rPr>
        <w:t xml:space="preserve">εN</w:t>
      </w:r>
      <w:r>
        <w:rPr>
          <w:rFonts w:ascii="Times New Roman" w:cs="Times New Roman" w:eastAsia="Times New Roman" w:hAnsi="Times New Roman"/>
          <w:sz w:val="20"/>
          <w:szCs w:val="20"/>
        </w:rPr>
        <w:t xml:space="preserve">, which loses one bit of security per halving of the error budget. Verified against exact density-matrix simulation, the model gives practical guidance: resource estimates for symmetric-key attacks should state the logical error budget they presuppose, and security categories based on 2</w:t>
      </w:r>
      <w:r>
        <w:rPr>
          <w:rFonts w:ascii="Times New Roman" w:cs="Times New Roman" w:eastAsia="Times New Roman" w:hAnsi="Times New Roman"/>
          <w:i/>
          <w:iCs/>
          <w:sz w:val="20"/>
          <w:szCs w:val="20"/>
          <w:vertAlign w:val="superscript"/>
        </w:rPr>
        <w:t xml:space="preserve">n</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implicitly assume it. Future work includes error-detecting oracles that discard faulty runs early, noisy parallel Grover search under depth limits, validation of the per-qubit-to-global mapping at larger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and execution on small fault-tolerant devices as they become available.</w:t>
      </w:r>
    </w:p>
    <w:p>
      <w:pPr>
        <w:keepNext/>
        <w:spacing w:after="80" w:before="160"/>
        <w:jc w:val="center"/>
      </w:pPr>
      <w:r>
        <w:rPr>
          <w:rFonts w:ascii="Times New Roman" w:cs="Times New Roman" w:eastAsia="Times New Roman" w:hAnsi="Times New Roman"/>
          <w:smallCaps w:val="false"/>
          <w:sz w:val="20"/>
          <w:szCs w:val="20"/>
        </w:rPr>
        <w:t xml:space="preserve">ACKNOWLEDGMENT</w:t>
      </w:r>
    </w:p>
    <w:p>
      <w:pPr>
        <w:spacing w:after="0" w:line="240"/>
        <w:ind w:firstLine="200"/>
        <w:jc w:val="both"/>
      </w:pPr>
      <w:r>
        <w:rPr>
          <w:rFonts w:ascii="Times New Roman" w:cs="Times New Roman" w:eastAsia="Times New Roman" w:hAnsi="Times New Roman"/>
          <w:sz w:val="20"/>
          <w:szCs w:val="20"/>
        </w:rPr>
        <w:t xml:space="preserve">The authors thank the Department of Computer Engineering, Vidyalankar Institute of Technology, for academic support. An AI language model (Anthropic’s Claude) was used to assist with drafting the manuscript text, writing the simulation code and generating the figures. The authors reviewed the content, reproduced the simulations and take full responsibility for the results and claims in this paper.</w:t>
      </w:r>
    </w:p>
    <w:p>
      <w:pPr>
        <w:keepNext/>
        <w:spacing w:after="80" w:before="160"/>
        <w:jc w:val="center"/>
      </w:pPr>
      <w:r>
        <w:rPr>
          <w:rFonts w:ascii="Times New Roman" w:cs="Times New Roman" w:eastAsia="Times New Roman" w:hAnsi="Times New Roman"/>
          <w:smallCaps w:val="false"/>
          <w:sz w:val="20"/>
          <w:szCs w:val="20"/>
        </w:rPr>
        <w:t xml:space="preserve">REFERENCES</w:t>
      </w:r>
    </w:p>
    <w:p>
      <w:pPr>
        <w:tabs>
          <w:tab w:val="left" w:pos="360"/>
        </w:tabs>
        <w:spacing w:after="2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P. W. Shor, “Algorithms for quantum computation: Discrete logarithms and factoring,” in </w:t>
      </w:r>
      <w:r>
        <w:rPr>
          <w:rFonts w:ascii="Times New Roman" w:cs="Times New Roman" w:eastAsia="Times New Roman" w:hAnsi="Times New Roman"/>
          <w:i/>
          <w:iCs/>
          <w:sz w:val="16"/>
          <w:szCs w:val="16"/>
        </w:rPr>
        <w:t xml:space="preserve">Proc. 35th Annu. Symp. Found. Comput. Sci. (FOCS)</w:t>
      </w:r>
      <w:r>
        <w:rPr>
          <w:rFonts w:ascii="Times New Roman" w:cs="Times New Roman" w:eastAsia="Times New Roman" w:hAnsi="Times New Roman"/>
          <w:sz w:val="16"/>
          <w:szCs w:val="16"/>
        </w:rPr>
        <w:t xml:space="preserve">, 1994, pp. 124–134.</w:t>
      </w:r>
    </w:p>
    <w:p>
      <w:pPr>
        <w:tabs>
          <w:tab w:val="left" w:pos="360"/>
        </w:tabs>
        <w:spacing w:after="2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L. K. Grover, “A fast quantum mechanical algorithm for database search,” in </w:t>
      </w:r>
      <w:r>
        <w:rPr>
          <w:rFonts w:ascii="Times New Roman" w:cs="Times New Roman" w:eastAsia="Times New Roman" w:hAnsi="Times New Roman"/>
          <w:i/>
          <w:iCs/>
          <w:sz w:val="16"/>
          <w:szCs w:val="16"/>
        </w:rPr>
        <w:t xml:space="preserve">Proc. 28th Annu. ACM Symp. Theory Comput. (STOC)</w:t>
      </w:r>
      <w:r>
        <w:rPr>
          <w:rFonts w:ascii="Times New Roman" w:cs="Times New Roman" w:eastAsia="Times New Roman" w:hAnsi="Times New Roman"/>
          <w:sz w:val="16"/>
          <w:szCs w:val="16"/>
        </w:rPr>
        <w:t xml:space="preserve">, 1996, pp. 212–219.</w:t>
      </w:r>
    </w:p>
    <w:p>
      <w:pPr>
        <w:tabs>
          <w:tab w:val="left" w:pos="360"/>
        </w:tabs>
        <w:spacing w:after="2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NIST, “Submission requirements and evaluation criteria for the post-quantum cryptography standardization process,” 2016.</w:t>
      </w:r>
    </w:p>
    <w:p>
      <w:pPr>
        <w:tabs>
          <w:tab w:val="left" w:pos="360"/>
        </w:tabs>
        <w:spacing w:after="2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C. Zalka, “Grover’s quantum searching algorithm is optimal,” </w:t>
      </w:r>
      <w:r>
        <w:rPr>
          <w:rFonts w:ascii="Times New Roman" w:cs="Times New Roman" w:eastAsia="Times New Roman" w:hAnsi="Times New Roman"/>
          <w:i/>
          <w:iCs/>
          <w:sz w:val="16"/>
          <w:szCs w:val="16"/>
        </w:rPr>
        <w:t xml:space="preserve">Phys. Rev. A</w:t>
      </w:r>
      <w:r>
        <w:rPr>
          <w:rFonts w:ascii="Times New Roman" w:cs="Times New Roman" w:eastAsia="Times New Roman" w:hAnsi="Times New Roman"/>
          <w:sz w:val="16"/>
          <w:szCs w:val="16"/>
        </w:rPr>
        <w:t xml:space="preserve">, vol. 60, no. 4, pp. 2746–2751, 1999.</w:t>
      </w:r>
    </w:p>
    <w:p>
      <w:pPr>
        <w:tabs>
          <w:tab w:val="left" w:pos="360"/>
        </w:tabs>
        <w:spacing w:after="2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M. Boyer, G. Brassard, P. Høyer, and A. Tapp, “Tight bounds on quantum searching,” </w:t>
      </w:r>
      <w:r>
        <w:rPr>
          <w:rFonts w:ascii="Times New Roman" w:cs="Times New Roman" w:eastAsia="Times New Roman" w:hAnsi="Times New Roman"/>
          <w:i/>
          <w:iCs/>
          <w:sz w:val="16"/>
          <w:szCs w:val="16"/>
        </w:rPr>
        <w:t xml:space="preserve">Fortschr. Phys.</w:t>
      </w:r>
      <w:r>
        <w:rPr>
          <w:rFonts w:ascii="Times New Roman" w:cs="Times New Roman" w:eastAsia="Times New Roman" w:hAnsi="Times New Roman"/>
          <w:sz w:val="16"/>
          <w:szCs w:val="16"/>
        </w:rPr>
        <w:t xml:space="preserve">, vol. 46, no. 4–5, pp. 493–505, 1998.</w:t>
      </w:r>
    </w:p>
    <w:p>
      <w:pPr>
        <w:tabs>
          <w:tab w:val="left" w:pos="360"/>
        </w:tabs>
        <w:spacing w:after="2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M. Grassl, B. Langenberg, M. Roetteler, and R. Steinwandt, “Applying Grover’s algorithm to AES: Quantum resource estimates,” in </w:t>
      </w:r>
      <w:r>
        <w:rPr>
          <w:rFonts w:ascii="Times New Roman" w:cs="Times New Roman" w:eastAsia="Times New Roman" w:hAnsi="Times New Roman"/>
          <w:i/>
          <w:iCs/>
          <w:sz w:val="16"/>
          <w:szCs w:val="16"/>
        </w:rPr>
        <w:t xml:space="preserve">Post-Quantum Cryptography (PQCrypto)</w:t>
      </w:r>
      <w:r>
        <w:rPr>
          <w:rFonts w:ascii="Times New Roman" w:cs="Times New Roman" w:eastAsia="Times New Roman" w:hAnsi="Times New Roman"/>
          <w:sz w:val="16"/>
          <w:szCs w:val="16"/>
        </w:rPr>
        <w:t xml:space="preserve">, LNCS vol. 9606, 2016, pp. 29–43.</w:t>
      </w:r>
    </w:p>
    <w:p>
      <w:pPr>
        <w:tabs>
          <w:tab w:val="left" w:pos="360"/>
        </w:tabs>
        <w:spacing w:after="2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S. Jaques, M. Naehrig, M. Roetteler, and F. Virdia, “Implementing Grover oracles for quantum key search on AES and LowMC,” in </w:t>
      </w:r>
      <w:r>
        <w:rPr>
          <w:rFonts w:ascii="Times New Roman" w:cs="Times New Roman" w:eastAsia="Times New Roman" w:hAnsi="Times New Roman"/>
          <w:i/>
          <w:iCs/>
          <w:sz w:val="16"/>
          <w:szCs w:val="16"/>
        </w:rPr>
        <w:t xml:space="preserve">Advances in Cryptology—EUROCRYPT 2020</w:t>
      </w:r>
      <w:r>
        <w:rPr>
          <w:rFonts w:ascii="Times New Roman" w:cs="Times New Roman" w:eastAsia="Times New Roman" w:hAnsi="Times New Roman"/>
          <w:sz w:val="16"/>
          <w:szCs w:val="16"/>
        </w:rPr>
        <w:t xml:space="preserve">, LNCS vol. 12106, 2020, pp. 280–310.</w:t>
      </w:r>
    </w:p>
    <w:p>
      <w:pPr>
        <w:tabs>
          <w:tab w:val="left" w:pos="360"/>
        </w:tabs>
        <w:spacing w:after="20"/>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N. Shenvi, K. R. Brown, and K. B. Whaley, “Effects of a random noisy oracle on search algorithm complexity,” </w:t>
      </w:r>
      <w:r>
        <w:rPr>
          <w:rFonts w:ascii="Times New Roman" w:cs="Times New Roman" w:eastAsia="Times New Roman" w:hAnsi="Times New Roman"/>
          <w:i/>
          <w:iCs/>
          <w:sz w:val="16"/>
          <w:szCs w:val="16"/>
        </w:rPr>
        <w:t xml:space="preserve">Phys. Rev. A</w:t>
      </w:r>
      <w:r>
        <w:rPr>
          <w:rFonts w:ascii="Times New Roman" w:cs="Times New Roman" w:eastAsia="Times New Roman" w:hAnsi="Times New Roman"/>
          <w:sz w:val="16"/>
          <w:szCs w:val="16"/>
        </w:rPr>
        <w:t xml:space="preserve">, vol. 68, 052313, 2003.</w:t>
      </w:r>
    </w:p>
    <w:p>
      <w:pPr>
        <w:tabs>
          <w:tab w:val="left" w:pos="360"/>
        </w:tabs>
        <w:spacing w:after="20"/>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J. Preskill, “Quantum computing in the NISQ era and beyond,” </w:t>
      </w:r>
      <w:r>
        <w:rPr>
          <w:rFonts w:ascii="Times New Roman" w:cs="Times New Roman" w:eastAsia="Times New Roman" w:hAnsi="Times New Roman"/>
          <w:i/>
          <w:iCs/>
          <w:sz w:val="16"/>
          <w:szCs w:val="16"/>
        </w:rPr>
        <w:t xml:space="preserve">Quantum</w:t>
      </w:r>
      <w:r>
        <w:rPr>
          <w:rFonts w:ascii="Times New Roman" w:cs="Times New Roman" w:eastAsia="Times New Roman" w:hAnsi="Times New Roman"/>
          <w:sz w:val="16"/>
          <w:szCs w:val="16"/>
        </w:rPr>
        <w:t xml:space="preserve">, vol. 2, p. 79, 2018.</w:t>
      </w:r>
    </w:p>
    <w:p>
      <w:pPr>
        <w:tabs>
          <w:tab w:val="left" w:pos="360"/>
        </w:tabs>
        <w:spacing w:after="20"/>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A. G. Fowler, M. Mariantoni, J. M. Martinis, and A. N. Cleland, “Surface codes: Towards practical large-scale quantum computation,” </w:t>
      </w:r>
      <w:r>
        <w:rPr>
          <w:rFonts w:ascii="Times New Roman" w:cs="Times New Roman" w:eastAsia="Times New Roman" w:hAnsi="Times New Roman"/>
          <w:i/>
          <w:iCs/>
          <w:sz w:val="16"/>
          <w:szCs w:val="16"/>
        </w:rPr>
        <w:t xml:space="preserve">Phys. Rev. A</w:t>
      </w:r>
      <w:r>
        <w:rPr>
          <w:rFonts w:ascii="Times New Roman" w:cs="Times New Roman" w:eastAsia="Times New Roman" w:hAnsi="Times New Roman"/>
          <w:sz w:val="16"/>
          <w:szCs w:val="16"/>
        </w:rPr>
        <w:t xml:space="preserve">, vol. 86, 032324, 2012.</w:t>
      </w:r>
    </w:p>
    <w:p>
      <w:pPr>
        <w:tabs>
          <w:tab w:val="left" w:pos="360"/>
        </w:tabs>
        <w:spacing w:after="20"/>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C. Gidney and M. Ekerå, “How to factor 2048 bit RSA integers in 8 hours using 20 million noisy qubits,” </w:t>
      </w:r>
      <w:r>
        <w:rPr>
          <w:rFonts w:ascii="Times New Roman" w:cs="Times New Roman" w:eastAsia="Times New Roman" w:hAnsi="Times New Roman"/>
          <w:i/>
          <w:iCs/>
          <w:sz w:val="16"/>
          <w:szCs w:val="16"/>
        </w:rPr>
        <w:t xml:space="preserve">Quantum</w:t>
      </w:r>
      <w:r>
        <w:rPr>
          <w:rFonts w:ascii="Times New Roman" w:cs="Times New Roman" w:eastAsia="Times New Roman" w:hAnsi="Times New Roman"/>
          <w:sz w:val="16"/>
          <w:szCs w:val="16"/>
        </w:rPr>
        <w:t xml:space="preserve">, vol. 5, p. 433, 2021.</w:t>
      </w:r>
    </w:p>
    <w:p>
      <w:pPr>
        <w:tabs>
          <w:tab w:val="left" w:pos="360"/>
        </w:tabs>
        <w:spacing w:after="20"/>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M. A. Nielsen and I. L. Chuang, </w:t>
      </w:r>
      <w:r>
        <w:rPr>
          <w:rFonts w:ascii="Times New Roman" w:cs="Times New Roman" w:eastAsia="Times New Roman" w:hAnsi="Times New Roman"/>
          <w:i/>
          <w:iCs/>
          <w:sz w:val="16"/>
          <w:szCs w:val="16"/>
        </w:rPr>
        <w:t xml:space="preserve">Quantum Computation and Quantum Information</w:t>
      </w:r>
      <w:r>
        <w:rPr>
          <w:rFonts w:ascii="Times New Roman" w:cs="Times New Roman" w:eastAsia="Times New Roman" w:hAnsi="Times New Roman"/>
          <w:sz w:val="16"/>
          <w:szCs w:val="16"/>
        </w:rPr>
        <w:t xml:space="preserve">, 10th anniv. ed. Cambridge, U.K.: Cambridge Univ. Press, 2010.</w:t>
      </w:r>
    </w:p>
    <w:sectPr>
      <w:type w:val="continuous"/>
      <w:pgSz w:w="12240" w:h="15840" w:orient="portrait"/>
      <w:pgMar w:top="1080" w:right="900" w:bottom="126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image" Target="media/758a77f9d160ae573c085c38eb5a3c524ffd8bf6.png"/><Relationship Id="rId3" Type="http://schemas.openxmlformats.org/officeDocument/2006/relationships/footnotes" Target="footnotes.xml"/><Relationship Id="rId7" Type="http://schemas.openxmlformats.org/officeDocument/2006/relationships/image" Target="media/11e926eabcefe5822e4b17ff89efd891fffa0987.png"/><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7A232B3FA31C48ADAF29702DE3C893" ma:contentTypeVersion="12" ma:contentTypeDescription="Create a new document." ma:contentTypeScope="" ma:versionID="9733aeacb51a31fd2347aff2540d3a50">
  <xsd:schema xmlns:xsd="http://www.w3.org/2001/XMLSchema" xmlns:xs="http://www.w3.org/2001/XMLSchema" xmlns:p="http://schemas.microsoft.com/office/2006/metadata/properties" xmlns:ns2="dd5b6b3d-3d39-4526-b8e4-79d21e1438f0" xmlns:ns3="44678d20-5b6e-4792-b133-ca784477d689" targetNamespace="http://schemas.microsoft.com/office/2006/metadata/properties" ma:root="true" ma:fieldsID="37926f2f1ae8b3f68e3dbd3dffff8aa9" ns2:_="" ns3:_="">
    <xsd:import namespace="dd5b6b3d-3d39-4526-b8e4-79d21e1438f0"/>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5b6b3d-3d39-4526-b8e4-79d21e1438f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e8ad495-3829-482e-ad1b-cf0f2662c940}"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5b6b3d-3d39-4526-b8e4-79d21e1438f0">
      <Terms xmlns="http://schemas.microsoft.com/office/infopath/2007/PartnerControls"/>
    </lcf76f155ced4ddcb4097134ff3c332f>
    <TaxCatchAll xmlns="44678d20-5b6e-4792-b133-ca784477d689" xsi:nil="true"/>
    <ReferenceId xmlns="dd5b6b3d-3d39-4526-b8e4-79d21e1438f0" xsi:nil="true"/>
  </documentManagement>
</p:properties>
</file>

<file path=customXml/itemProps1.xml><?xml version="1.0" encoding="utf-8"?>
<ds:datastoreItem xmlns:ds="http://schemas.openxmlformats.org/officeDocument/2006/customXml" ds:itemID="{A52A3C70-4423-461D-8D4E-F51C8D58937E}"/>
</file>

<file path=customXml/itemProps2.xml><?xml version="1.0" encoding="utf-8"?>
<ds:datastoreItem xmlns:ds="http://schemas.openxmlformats.org/officeDocument/2006/customXml" ds:itemID="{E2395F54-5BEB-4D57-A534-5BEB39669182}"/>
</file>

<file path=customXml/itemProps3.xml><?xml version="1.0" encoding="utf-8"?>
<ds:datastoreItem xmlns:ds="http://schemas.openxmlformats.org/officeDocument/2006/customXml" ds:itemID="{0D6B0B64-617B-4F3A-B56D-3B43BA6D7E1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2026-10-06T07:27:56Z</dcterms:created>
  <dcterms:modified xsi:type="dcterms:W3CDTF">2026-10-06T07:27:56Z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0x010100B17A232B3FA31C48ADAF29702DE3C893</vt:lpwstr>
  </property>
</Properties>
</file>