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word/_rels/document.xml.rels" ContentType="application/vnd.openxmlformats-package.relationship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200"/>
        <w:jc w:val="center"/>
        <w:rPr/>
      </w:pPr>
      <w:r>
        <w:rPr>
          <w:b/>
          <w:color w:val="8B0000"/>
          <w:sz w:val="42"/>
        </w:rPr>
        <w:t>REGULATORY COMPLIANCE OF FIVE ELECTRONICS MANUFACTURERS IN INDIA</w:t>
      </w:r>
    </w:p>
    <w:p>
      <w:pPr>
        <w:pStyle w:val="Normal"/>
        <w:jc w:val="center"/>
        <w:rPr/>
      </w:pPr>
      <w:r>
        <w:rPr>
          <w:b/>
          <w:color w:val="5B0000"/>
          <w:sz w:val="28"/>
        </w:rPr>
        <w:t>E-Waste Management, Environmental Duties, Regulations Followed and Documented Compliance Gaps</w:t>
      </w:r>
    </w:p>
    <w:p>
      <w:pPr>
        <w:pStyle w:val="Normal"/>
        <w:spacing w:before="320" w:after="200"/>
        <w:jc w:val="center"/>
        <w:rPr/>
      </w:pPr>
      <w:r>
        <w:rPr>
          <w:sz w:val="22"/>
        </w:rPr>
        <w:t>Comparative case study of Foxconn India, Dixon Technologies, Kaynes Technology, Tata Electronics and Syrma SGS Technology</w:t>
      </w:r>
    </w:p>
    <w:p>
      <w:pPr>
        <w:pStyle w:val="Normal"/>
        <w:spacing w:before="700" w:after="200"/>
        <w:jc w:val="center"/>
        <w:rPr/>
      </w:pPr>
      <w:r>
        <w:rPr>
          <w:b/>
          <w:sz w:val="20"/>
        </w:rPr>
        <w:t>Prepared in the exact sectional structure of the supplied reference article:</w:t>
        <w:br/>
      </w:r>
      <w:r>
        <w:rPr>
          <w:sz w:val="20"/>
        </w:rPr>
        <w:t>“Law Relating to E-Waste, its Impacts and Disposal Management”</w:t>
        <w:br/>
      </w:r>
      <w:r>
        <w:rPr>
          <w:sz w:val="19"/>
        </w:rPr>
        <w:t>Dr. Anuradha Chadha / Neuro Quantology, August 2022</w:t>
      </w:r>
    </w:p>
    <w:p>
      <w:pPr>
        <w:pStyle w:val="Normal"/>
        <w:spacing w:before="900" w:after="200"/>
        <w:jc w:val="center"/>
        <w:rPr/>
      </w:pPr>
      <w:r>
        <w:rPr>
          <w:b/>
          <w:sz w:val="20"/>
        </w:rPr>
        <w:t>Academic Report | 1 September 2026</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5B0000"/>
                <w:kern w:val="0"/>
                <w:sz w:val="19"/>
                <w:szCs w:val="22"/>
                <w:lang w:val="en-US" w:eastAsia="en-US" w:bidi="ar-SA"/>
              </w:rPr>
              <w:t>Important interpretation rule</w:t>
              <w:br/>
            </w:r>
            <w:r>
              <w:rPr>
                <w:rFonts w:eastAsia="ＭＳ 明朝" w:cs=""/>
                <w:kern w:val="0"/>
                <w:sz w:val="17"/>
                <w:szCs w:val="22"/>
                <w:lang w:val="en-US" w:eastAsia="en-US" w:bidi="ar-SA"/>
              </w:rPr>
              <w:t>This report distinguishes a confirmed legal violation from (1) a regulatory concern or show-cause notice, (2) a company-disclosed limitation, and (3) information that is simply not publicly demonstrated. A missing public disclosure is not treated as proof of non-compliance.</w:t>
            </w:r>
          </w:p>
        </w:tc>
      </w:tr>
    </w:tbl>
    <w:p>
      <w:pPr>
        <w:pStyle w:val="Normal"/>
        <w:rPr/>
      </w:pPr>
      <w:r>
        <w:rPr/>
      </w:r>
    </w:p>
    <w:p>
      <w:pPr>
        <w:pStyle w:val="Normal"/>
        <w:rPr/>
      </w:pPr>
      <w:r>
        <w:rPr/>
      </w:r>
      <w:r>
        <w:br w:type="page"/>
      </w:r>
    </w:p>
    <w:p>
      <w:pPr>
        <w:pStyle w:val="Heading1"/>
        <w:spacing w:before="0" w:after="100"/>
        <w:rPr/>
      </w:pPr>
      <w:r>
        <w:rPr>
          <w:rFonts w:ascii="Arial" w:hAnsi="Arial"/>
          <w:b/>
          <w:color w:val="8B0000"/>
          <w:sz w:val="28"/>
        </w:rPr>
        <w:t>Abstract</w:t>
      </w:r>
    </w:p>
    <w:p>
      <w:pPr>
        <w:pStyle w:val="Normal"/>
        <w:spacing w:lineRule="auto" w:line="259" w:before="0" w:after="100"/>
        <w:jc w:val="both"/>
        <w:rPr/>
      </w:pPr>
      <w:r>
        <w:rPr>
          <w:sz w:val="18"/>
        </w:rPr>
        <w:t>Electronic and electrical equipment is fundamental to modern manufacturing, communication and economic activity, but the rapid growth of production and consumption also creates a growing stream of discarded electrical and electronic equipment. The supplied reference article presents e-waste as both an environmental and legal problem, stressing the need for authorised recycling, Extended Producer Responsibility (EPR), stronger monitoring, safer treatment and better infrastructure. The article also highlights the health significance of hazardous substances that may occur in e-waste.</w:t>
      </w:r>
    </w:p>
    <w:p>
      <w:pPr>
        <w:pStyle w:val="Normal"/>
        <w:spacing w:lineRule="auto" w:line="259" w:before="0" w:after="100"/>
        <w:jc w:val="both"/>
        <w:rPr/>
      </w:pPr>
      <w:r>
        <w:rPr>
          <w:sz w:val="18"/>
        </w:rPr>
        <w:t>This report follows the same broad structure as the supplied article and applies it to five electronics manufacturing companies operating in India: Foxconn India, Dixon Technologies, Kaynes Technology, Tata Electronics and Syrma SGS Technology. The regulatory benchmark is the E-Waste (Management) Rules, 2022 and subsequent amendments, supported by the Central Pollution Control Board (CPCB) FAQ and company disclosures.</w:t>
      </w:r>
    </w:p>
    <w:p>
      <w:pPr>
        <w:pStyle w:val="Normal"/>
        <w:spacing w:lineRule="auto" w:line="259" w:before="0" w:after="100"/>
        <w:jc w:val="both"/>
        <w:rPr/>
      </w:pPr>
      <w:r>
        <w:rPr>
          <w:sz w:val="18"/>
        </w:rPr>
        <w:t>The current CPCB framework requires covered manufacturers and producers to register on the E-Waste EPR Portal, fulfil phase-wise recycling obligations through registered recyclers, maintain relevant records and returns, and comply with Restriction of Hazardous Substances (RoHS) requirements. CPCB states that EPR obligations began on 1 April 2023 and that the general recycling target is 60% for FY 2023-24 and FY 2024-25, 70% for FY 2025-26 and FY 2026-27, and 80% from FY 2027-28 onward.</w:t>
      </w:r>
    </w:p>
    <w:p>
      <w:pPr>
        <w:pStyle w:val="Normal"/>
        <w:spacing w:lineRule="auto" w:line="259" w:before="0" w:after="100"/>
        <w:jc w:val="both"/>
        <w:rPr/>
      </w:pPr>
      <w:r>
        <w:rPr>
          <w:sz w:val="18"/>
        </w:rPr>
        <w:t>The company-level review finds strong documented environmental controls at Dixon, Kaynes and Syrma SGS. Dixon explicitly states that e-waste is managed through government-authorised recyclers and that its B2B model means it does not directly reclaim end-of-life products. Kaynes reports authorised handling of hazardous and non-recyclable waste and states that its EPR practices are aligned with Pollution Control Board plans. Syrma SGS reports ISO 14001-based waste management and RoHS/REACH-aligned product stewardship.</w:t>
      </w:r>
    </w:p>
    <w:p>
      <w:pPr>
        <w:pStyle w:val="Normal"/>
        <w:spacing w:lineRule="auto" w:line="259" w:before="0" w:after="100"/>
        <w:jc w:val="both"/>
        <w:rPr/>
      </w:pPr>
      <w:r>
        <w:rPr>
          <w:sz w:val="18"/>
        </w:rPr>
        <w:t>Foxconn's public sustainability material supports group-level waste-management and circular-economy practices and includes India within its reporting boundary, but the sources reviewed do not establish a complete India-specific E-Waste EPR performance calculation. Tata Electronics is a particularly important regulatory case: TNPCB issued a show-cause notice in May 2026 concerning alleged wastewater/groundwater issues at the Hosur facility, but later reporting stated that TNPCB closed the proceedings after reviewing water-sample results and the company's response. The Tata case is therefore classified as a regulatory concern that was subsequently closed, not as a confirmed continuing E-Waste Rules violation.</w:t>
      </w:r>
    </w:p>
    <w:p>
      <w:pPr>
        <w:pStyle w:val="Normal"/>
        <w:spacing w:lineRule="auto" w:line="259" w:before="0" w:after="100"/>
        <w:jc w:val="both"/>
        <w:rPr/>
      </w:pPr>
      <w:r>
        <w:rPr>
          <w:sz w:val="18"/>
        </w:rPr>
        <w:t>Overall, the evidence supports the conclusion that the five companies have formal environmental compliance mechanisms, but public disclosure of company-specific E-Waste EPR quantities, certificates, targets and verification outcomes is uneven. The report therefore focuses on what can be demonstrated and avoids treating disclosure gaps as proven violations.</w:t>
      </w:r>
    </w:p>
    <w:p>
      <w:pPr>
        <w:pStyle w:val="Normal"/>
        <w:spacing w:lineRule="auto" w:line="259" w:before="0" w:after="100"/>
        <w:jc w:val="both"/>
        <w:rPr/>
      </w:pPr>
      <w:r>
        <w:rPr>
          <w:sz w:val="18"/>
        </w:rPr>
        <w:t>Keywords: E-waste, EPR, RoHS, E-Waste Management Rules 2022, CPCB, authorised recyclers, environmental compliance, electronics manufacturing, circular economy.</w:t>
      </w:r>
    </w:p>
    <w:p>
      <w:pPr>
        <w:pStyle w:val="Normal"/>
        <w:rPr/>
      </w:pPr>
      <w:r>
        <w:rPr/>
      </w:r>
      <w:r>
        <w:br w:type="page"/>
      </w:r>
    </w:p>
    <w:p>
      <w:pPr>
        <w:pStyle w:val="Heading1"/>
        <w:spacing w:before="0" w:after="100"/>
        <w:rPr/>
      </w:pPr>
      <w:r>
        <w:rPr>
          <w:rFonts w:ascii="Arial" w:hAnsi="Arial"/>
          <w:b/>
          <w:color w:val="8B0000"/>
          <w:sz w:val="28"/>
        </w:rPr>
        <w:t>INTRODUCTION</w:t>
      </w:r>
    </w:p>
    <w:p>
      <w:pPr>
        <w:pStyle w:val="Normal"/>
        <w:spacing w:lineRule="auto" w:line="259" w:before="0" w:after="100"/>
        <w:jc w:val="both"/>
        <w:rPr/>
      </w:pPr>
      <w:r>
        <w:rPr>
          <w:sz w:val="18"/>
        </w:rPr>
        <w:t>The supplied reference article begins from the tension between technological development and environmental pressure. The growth of electrical and electronic equipment increases the benefits of technology but also increases the quantity of equipment discarded at the end of its useful life and the extraction of natural resources required for new products. The article notes that e-waste contains numerous substances and that several can be toxic when equipment is improperly treated.</w:t>
      </w:r>
    </w:p>
    <w:p>
      <w:pPr>
        <w:pStyle w:val="Normal"/>
        <w:spacing w:lineRule="auto" w:line="259" w:before="0" w:after="100"/>
        <w:jc w:val="both"/>
        <w:rPr/>
      </w:pPr>
      <w:r>
        <w:rPr>
          <w:sz w:val="18"/>
        </w:rPr>
        <w:t>The same framing is directly relevant to electronics manufacturing in India. A manufacturing ecosystem may generate rejected components, printed circuit boards, production scrap, damaged equipment, packaging-related waste and other residues. In addition, a company may be legally classified as a 'producer' depending on whether it manufactures and sells EEE under its own brand, sells assembled EEE under its own brand, sells imported EEE, or imports used EEE. Therefore, the legal responsibility of an electronics manufacturer cannot be determined solely by its description as an EMS/B2B company.</w:t>
      </w:r>
    </w:p>
    <w:p>
      <w:pPr>
        <w:pStyle w:val="Normal"/>
        <w:spacing w:lineRule="auto" w:line="259" w:before="0" w:after="100"/>
        <w:jc w:val="both"/>
        <w:rPr/>
      </w:pPr>
      <w:r>
        <w:rPr>
          <w:sz w:val="18"/>
        </w:rPr>
        <w:t>The CPCB FAQ states that the E-Waste (Management) Rules, 2022 are made under the Environment (Protection) Act, 1986 and became effective on 1 April 2023. The framework applies to manufacturers, producers, recyclers, refurbishers and other covered stakeholders involved with electrical and electronic equipment listed in Schedule I.</w:t>
      </w:r>
    </w:p>
    <w:p>
      <w:pPr>
        <w:pStyle w:val="Normal"/>
        <w:spacing w:lineRule="auto" w:line="259" w:before="0" w:after="100"/>
        <w:jc w:val="both"/>
        <w:rPr/>
      </w:pPr>
      <w:r>
        <w:rPr>
          <w:sz w:val="18"/>
        </w:rPr>
        <w:t>For this reason, the present study does not simply ask whether a company 'recycles e-waste'. It asks a broader set of compliance questions: Is the company operating within the EPR system where applicable? Does it use authorised/registered recyclers? Does it disclose RoHS controls? Does it have environmental authorisations and waste-handling systems? Does it provide end-of-life take-back? Has a regulator raised a concern? And, importantly, is the evidence strong enough to call a practice compliant or non-compliant?</w:t>
      </w:r>
    </w:p>
    <w:p>
      <w:pPr>
        <w:pStyle w:val="Heading2"/>
        <w:spacing w:before="180" w:after="100"/>
        <w:rPr/>
      </w:pPr>
      <w:r>
        <w:rPr>
          <w:rFonts w:ascii="Arial" w:hAnsi="Arial"/>
          <w:b/>
          <w:color w:val="5B0000"/>
          <w:sz w:val="23"/>
        </w:rPr>
        <w:t>Objectives of the Study</w:t>
      </w:r>
    </w:p>
    <w:p>
      <w:pPr>
        <w:pStyle w:val="ListNumber"/>
        <w:numPr>
          <w:ilvl w:val="0"/>
          <w:numId w:val="4"/>
        </w:numPr>
        <w:spacing w:before="0" w:after="60"/>
        <w:contextualSpacing/>
        <w:rPr/>
      </w:pPr>
      <w:r>
        <w:rPr>
          <w:sz w:val="18"/>
        </w:rPr>
        <w:t>To explain the e-waste problem using the conceptual and sectional framework of the supplied reference article.</w:t>
      </w:r>
    </w:p>
    <w:p>
      <w:pPr>
        <w:pStyle w:val="ListNumber"/>
        <w:numPr>
          <w:ilvl w:val="0"/>
          <w:numId w:val="4"/>
        </w:numPr>
        <w:spacing w:before="0" w:after="60"/>
        <w:contextualSpacing/>
        <w:rPr/>
      </w:pPr>
      <w:r>
        <w:rPr>
          <w:sz w:val="18"/>
        </w:rPr>
        <w:t>To identify the current Indian regulatory requirements most relevant to electronics manufacturers.</w:t>
      </w:r>
    </w:p>
    <w:p>
      <w:pPr>
        <w:pStyle w:val="ListNumber"/>
        <w:numPr>
          <w:ilvl w:val="0"/>
          <w:numId w:val="4"/>
        </w:numPr>
        <w:spacing w:before="0" w:after="60"/>
        <w:contextualSpacing/>
        <w:rPr/>
      </w:pPr>
      <w:r>
        <w:rPr>
          <w:sz w:val="18"/>
        </w:rPr>
        <w:t>To assess five selected companies against EPR, RoHS, authorised recycling, waste handling and environmental compliance requirements.</w:t>
      </w:r>
    </w:p>
    <w:p>
      <w:pPr>
        <w:pStyle w:val="ListNumber"/>
        <w:numPr>
          <w:ilvl w:val="0"/>
          <w:numId w:val="4"/>
        </w:numPr>
        <w:spacing w:before="0" w:after="60"/>
        <w:contextualSpacing/>
        <w:rPr/>
      </w:pPr>
      <w:r>
        <w:rPr>
          <w:sz w:val="18"/>
        </w:rPr>
        <w:t>To clearly separate followed regulations from documented gaps, regulatory concerns and unproven assumptions.</w:t>
      </w:r>
    </w:p>
    <w:p>
      <w:pPr>
        <w:pStyle w:val="ListNumber"/>
        <w:numPr>
          <w:ilvl w:val="0"/>
          <w:numId w:val="4"/>
        </w:numPr>
        <w:spacing w:before="0" w:after="60"/>
        <w:contextualSpacing/>
        <w:rPr/>
      </w:pPr>
      <w:r>
        <w:rPr>
          <w:sz w:val="18"/>
        </w:rPr>
        <w:t>To provide recommendations for stronger e-waste governance and circularity.</w:t>
      </w:r>
    </w:p>
    <w:p>
      <w:pPr>
        <w:pStyle w:val="Heading2"/>
        <w:spacing w:before="180" w:after="100"/>
        <w:rPr/>
      </w:pPr>
      <w:r>
        <w:rPr>
          <w:rFonts w:ascii="Arial" w:hAnsi="Arial"/>
          <w:b/>
          <w:color w:val="5B0000"/>
          <w:sz w:val="23"/>
        </w:rPr>
        <w:t>Companies Selected for the Comparative Study</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blHeader w:val="true"/>
        </w:trPr>
        <w:tc>
          <w:tcPr>
            <w:tcW w:w="3312"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Company</w:t>
            </w:r>
          </w:p>
        </w:tc>
        <w:tc>
          <w:tcPr>
            <w:tcW w:w="3312"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Business relevance</w:t>
            </w:r>
          </w:p>
        </w:tc>
        <w:tc>
          <w:tcPr>
            <w:tcW w:w="3312"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Main compliance questions</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Foxconn India</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Large-scale electronics manufacturing/EMS operations in India.</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Waste management, circular economy, EPR evidence, environmental authorisations and India-specific disclosure.</w:t>
            </w:r>
          </w:p>
        </w:tc>
      </w:tr>
      <w:tr>
        <w:trPr/>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Dixon Technologies</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Large Indian electronics manufacturing services provider with detailed public ESG disclosures.</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Authorised recyclers, end-of-life reclamation, RoHS and EPR-related waste management.</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Kaynes Technology</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Electronics manufacturing and design company with environmental disclosures.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E-waste handling, hazardous waste, authorised vendors, EPR and product take-back.</w:t>
            </w:r>
          </w:p>
        </w:tc>
      </w:tr>
      <w:tr>
        <w:trPr/>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Tata Electronics</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Major electronics manufacturing operation with a significant 2026 environmental regulatory event.</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Environmental authorisations, wastewater compliance, e-waste framework and regulatory response.</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Syrma SGS Technology</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B2B electronics manufacturing company with public environmental/product stewardship disclosures.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RoHS/REACH, ISO 14001, waste management, E-waste Rules and EPR evidence.</w:t>
            </w:r>
          </w:p>
        </w:tc>
      </w:tr>
    </w:tbl>
    <w:p>
      <w:pPr>
        <w:pStyle w:val="Normal"/>
        <w:rPr/>
      </w:pPr>
      <w:r>
        <w:rPr/>
      </w:r>
    </w:p>
    <w:p>
      <w:pPr>
        <w:pStyle w:val="Normal"/>
        <w:rPr/>
      </w:pPr>
      <w:r>
        <w:rPr/>
      </w:r>
      <w:r>
        <w:br w:type="page"/>
      </w:r>
    </w:p>
    <w:p>
      <w:pPr>
        <w:pStyle w:val="Heading1"/>
        <w:spacing w:before="0" w:after="100"/>
        <w:rPr/>
      </w:pPr>
      <w:r>
        <w:rPr>
          <w:rFonts w:ascii="Arial" w:hAnsi="Arial"/>
          <w:b/>
          <w:color w:val="8B0000"/>
          <w:sz w:val="28"/>
        </w:rPr>
        <w:t>MATERIAL AND METHOD</w:t>
      </w:r>
    </w:p>
    <w:p>
      <w:pPr>
        <w:pStyle w:val="Normal"/>
        <w:spacing w:lineRule="auto" w:line="259" w:before="0" w:after="100"/>
        <w:jc w:val="both"/>
        <w:rPr/>
      </w:pPr>
      <w:r>
        <w:rPr>
          <w:sz w:val="18"/>
        </w:rPr>
        <w:t>The supplied reference article describes its study as an analytical examination based on international norms, Global E-waste Monitor reports, national statutory laws and legal scholarship. The present report preserves that analytical approach but adds a company-level compliance matrix.</w:t>
      </w:r>
    </w:p>
    <w:p>
      <w:pPr>
        <w:pStyle w:val="Heading2"/>
        <w:spacing w:before="180" w:after="100"/>
        <w:rPr/>
      </w:pPr>
      <w:r>
        <w:rPr>
          <w:rFonts w:ascii="Arial" w:hAnsi="Arial"/>
          <w:b/>
          <w:color w:val="5B0000"/>
          <w:sz w:val="23"/>
        </w:rPr>
        <w:t>Source hierarchy</w:t>
      </w:r>
    </w:p>
    <w:p>
      <w:pPr>
        <w:pStyle w:val="ListBullet"/>
        <w:numPr>
          <w:ilvl w:val="0"/>
          <w:numId w:val="1"/>
        </w:numPr>
        <w:spacing w:before="0" w:after="50"/>
        <w:contextualSpacing/>
        <w:rPr/>
      </w:pPr>
      <w:r>
        <w:rPr>
          <w:sz w:val="18"/>
        </w:rPr>
        <w:t>Primary regulatory benchmark: CPCB FAQ under the E-Waste (Management) Rules, 2022 and amendments.</w:t>
      </w:r>
    </w:p>
    <w:p>
      <w:pPr>
        <w:pStyle w:val="ListBullet"/>
        <w:numPr>
          <w:ilvl w:val="0"/>
          <w:numId w:val="1"/>
        </w:numPr>
        <w:spacing w:before="0" w:after="50"/>
        <w:contextualSpacing/>
        <w:rPr/>
      </w:pPr>
      <w:r>
        <w:rPr>
          <w:sz w:val="18"/>
        </w:rPr>
        <w:t>Company disclosures: annual reports, sustainability reports and official investor-relations/environmental disclosures.</w:t>
      </w:r>
    </w:p>
    <w:p>
      <w:pPr>
        <w:pStyle w:val="ListBullet"/>
        <w:numPr>
          <w:ilvl w:val="0"/>
          <w:numId w:val="1"/>
        </w:numPr>
        <w:spacing w:before="0" w:after="50"/>
        <w:contextualSpacing/>
        <w:rPr/>
      </w:pPr>
      <w:r>
        <w:rPr>
          <w:sz w:val="18"/>
        </w:rPr>
        <w:t>Regulatory and government reporting: CPCB, Pollution Control Board notices/outcomes and government records.</w:t>
      </w:r>
    </w:p>
    <w:p>
      <w:pPr>
        <w:pStyle w:val="ListBullet"/>
        <w:numPr>
          <w:ilvl w:val="0"/>
          <w:numId w:val="1"/>
        </w:numPr>
        <w:spacing w:before="0" w:after="50"/>
        <w:contextualSpacing/>
        <w:rPr/>
      </w:pPr>
      <w:r>
        <w:rPr>
          <w:sz w:val="18"/>
        </w:rPr>
        <w:t>Reputable current reporting: used only where a recent regulatory event is not yet reflected in an annual report.</w:t>
      </w:r>
    </w:p>
    <w:p>
      <w:pPr>
        <w:pStyle w:val="Heading2"/>
        <w:spacing w:before="180" w:after="100"/>
        <w:rPr/>
      </w:pPr>
      <w:r>
        <w:rPr>
          <w:rFonts w:ascii="Arial" w:hAnsi="Arial"/>
          <w:b/>
          <w:color w:val="5B0000"/>
          <w:sz w:val="23"/>
        </w:rPr>
        <w:t>Compliance classification used in this report</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blHeader w:val="true"/>
        </w:trPr>
        <w:tc>
          <w:tcPr>
            <w:tcW w:w="4968"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Classification</w:t>
            </w:r>
          </w:p>
        </w:tc>
        <w:tc>
          <w:tcPr>
            <w:tcW w:w="4967"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Meaning</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FOLLOWED / DOCUMENTED</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The reviewed source directly states or demonstrates implementation of the requirement.</w:t>
            </w:r>
          </w:p>
        </w:tc>
      </w:tr>
      <w:tr>
        <w:trPr/>
        <w:tc>
          <w:tcPr>
            <w:tcW w:w="4968"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PARTIALLY FOLLOWED / LIMITED</w:t>
            </w:r>
          </w:p>
        </w:tc>
        <w:tc>
          <w:tcPr>
            <w:tcW w:w="4967"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A company discloses a limitation or the practice covers only part of the requirement.</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REGULATORY CONCERN</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A regulator issued a notice, direction or raised an allegation. This is not automatically a final finding of violation.</w:t>
            </w:r>
          </w:p>
        </w:tc>
      </w:tr>
      <w:tr>
        <w:trPr/>
        <w:tc>
          <w:tcPr>
            <w:tcW w:w="4968"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NOT PUBLICLY DEMONSTRATED</w:t>
            </w:r>
          </w:p>
        </w:tc>
        <w:tc>
          <w:tcPr>
            <w:tcW w:w="4967"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The reviewed sources do not provide enough evidence to confirm the requirement. This is an evidence gap, not proof of non-compliance.</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CONFIRMED NON-COMPLIANCE</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Used only when the reviewed source clearly establishes a violation, shortfall or final enforcement outcome.</w:t>
            </w:r>
          </w:p>
        </w:tc>
      </w:tr>
    </w:tbl>
    <w:p>
      <w:pPr>
        <w:pStyle w:val="Normal"/>
        <w:rPr/>
      </w:pPr>
      <w:r>
        <w:rPr/>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4E6E6"/>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5B0000"/>
                <w:kern w:val="0"/>
                <w:sz w:val="19"/>
                <w:szCs w:val="22"/>
                <w:lang w:val="en-US" w:eastAsia="en-US" w:bidi="ar-SA"/>
              </w:rPr>
              <w:t>Legal interpretation caution</w:t>
              <w:br/>
            </w:r>
            <w:r>
              <w:rPr>
                <w:rFonts w:eastAsia="ＭＳ 明朝" w:cs=""/>
                <w:kern w:val="0"/>
                <w:sz w:val="17"/>
                <w:szCs w:val="22"/>
                <w:lang w:val="en-US" w:eastAsia="en-US" w:bidi="ar-SA"/>
              </w:rPr>
              <w:t>The same company can be an EMS manufacturer, a manufacturer of EEE, and/or a statutory producer depending on the product, brand, transaction and role involved. Therefore, an absence of consumer take-back at a B2B EMS company is not automatically a breach of EPR.</w:t>
            </w:r>
          </w:p>
        </w:tc>
      </w:tr>
    </w:tbl>
    <w:p>
      <w:pPr>
        <w:pStyle w:val="Normal"/>
        <w:rPr/>
      </w:pPr>
      <w:r>
        <w:rPr/>
      </w:r>
    </w:p>
    <w:p>
      <w:pPr>
        <w:pStyle w:val="Normal"/>
        <w:rPr/>
      </w:pPr>
      <w:r>
        <w:rPr/>
      </w:r>
      <w:r>
        <w:br w:type="page"/>
      </w:r>
    </w:p>
    <w:p>
      <w:pPr>
        <w:pStyle w:val="Heading1"/>
        <w:spacing w:before="0" w:after="100"/>
        <w:rPr/>
      </w:pPr>
      <w:r>
        <w:rPr>
          <w:rFonts w:ascii="Arial" w:hAnsi="Arial"/>
          <w:b/>
          <w:color w:val="8B0000"/>
          <w:sz w:val="28"/>
        </w:rPr>
        <w:t>GENERATION OF E-WASTE AND THE CAUSES BEHIND IT</w:t>
      </w:r>
    </w:p>
    <w:p>
      <w:pPr>
        <w:pStyle w:val="Normal"/>
        <w:spacing w:lineRule="auto" w:line="259" w:before="0" w:after="100"/>
        <w:jc w:val="both"/>
        <w:rPr/>
      </w:pPr>
      <w:r>
        <w:rPr>
          <w:sz w:val="18"/>
        </w:rPr>
        <w:t>The supplied article cites the Global E-waste Monitor 2020 and records that 53.6 million tonnes of e-waste were generated globally in 2019, with Asia accounting for 24.9 million tonnes. It records 3.2 million tonnes for India in 2019 and explains that higher consumption of electrical and electronic equipment, short product life cycles and limited repair options contribute to rising e-waste.</w:t>
      </w:r>
    </w:p>
    <w:p>
      <w:pPr>
        <w:pStyle w:val="Normal"/>
        <w:spacing w:lineRule="auto" w:line="259" w:before="0" w:after="100"/>
        <w:jc w:val="both"/>
        <w:rPr/>
      </w:pPr>
      <w:r>
        <w:rPr>
          <w:sz w:val="18"/>
        </w:rPr>
        <w:t>For an electronics manufacturing company, e-waste can arise both inside and outside the factory. Internal generation includes manufacturing rejects, damaged boards, obsolete components, test equipment and other discarded EEE. External generation occurs when products reach the end of their useful life. The E-Waste Rules 2022 specifically define e-waste to include whole or partial EEE discarded as waste as well as rejects from manufacturing, refurbishment and repair processes.</w:t>
      </w:r>
    </w:p>
    <w:p>
      <w:pPr>
        <w:pStyle w:val="Heading2"/>
        <w:spacing w:before="180" w:after="100"/>
        <w:rPr/>
      </w:pPr>
      <w:r>
        <w:rPr>
          <w:rFonts w:ascii="Arial" w:hAnsi="Arial"/>
          <w:b/>
          <w:color w:val="5B0000"/>
          <w:sz w:val="23"/>
        </w:rPr>
        <w:t>Why EPR changes the compliance question</w:t>
      </w:r>
    </w:p>
    <w:p>
      <w:pPr>
        <w:pStyle w:val="Normal"/>
        <w:spacing w:lineRule="auto" w:line="259" w:before="0" w:after="100"/>
        <w:jc w:val="both"/>
        <w:rPr/>
      </w:pPr>
      <w:r>
        <w:rPr>
          <w:sz w:val="18"/>
        </w:rPr>
        <w:t>EPR shifts responsibility from a purely disposal-oriented model to a producer responsibility model. Under the CPCB FAQ, EPR means the responsibility of a producer of covered EEE to meet recycling targets through registered e-waste recyclers so that e-waste is managed in an environmentally sound manner. Producer registration is mandatory for entities falling within the statutory producer definition.</w:t>
      </w:r>
    </w:p>
    <w:p>
      <w:pPr>
        <w:pStyle w:val="Normal"/>
        <w:spacing w:lineRule="auto" w:line="259" w:before="0" w:after="100"/>
        <w:jc w:val="both"/>
        <w:rPr/>
      </w:pPr>
      <w:r>
        <w:rPr>
          <w:sz w:val="18"/>
        </w:rPr>
        <w:t>This distinction is central to the five-company comparison. A B2B EMS company may have excellent factory waste management while having limited direct control over post-consumer products because those products are sold under a customer's brand. Conversely, a company that sells EEE under its own brand may have a more direct EPR obligation.</w:t>
      </w:r>
    </w:p>
    <w:p>
      <w:pPr>
        <w:pStyle w:val="Normal"/>
        <w:rPr/>
      </w:pPr>
      <w:r>
        <w:rPr/>
      </w:r>
      <w:r>
        <w:br w:type="page"/>
      </w:r>
    </w:p>
    <w:p>
      <w:pPr>
        <w:pStyle w:val="Heading1"/>
        <w:spacing w:before="0" w:after="100"/>
        <w:rPr/>
      </w:pPr>
      <w:r>
        <w:rPr>
          <w:rFonts w:ascii="Arial" w:hAnsi="Arial"/>
          <w:b/>
          <w:color w:val="8B0000"/>
          <w:sz w:val="28"/>
        </w:rPr>
        <w:t>IMPACTS OF HAZARDOUS CHEMICALS CONTAINED IN E-WASTE ON HEALTH AND ENVIRONMENT</w:t>
      </w:r>
    </w:p>
    <w:p>
      <w:pPr>
        <w:pStyle w:val="Normal"/>
        <w:spacing w:lineRule="auto" w:line="259" w:before="0" w:after="100"/>
        <w:jc w:val="both"/>
        <w:rPr/>
      </w:pPr>
      <w:r>
        <w:rPr>
          <w:sz w:val="18"/>
        </w:rPr>
        <w:t>The supplied article describes e-waste as a mixture of useful materials and hazardous constituents. It identifies heavy metals and other substances including lead, arsenic, mercury, cadmium, hexavalent chromium and brominated flame retardants. It explains that incomplete treatment and uncontrolled recovery can produce harmful emissions and can allow hazardous materials to leach into soil and water.</w:t>
      </w:r>
    </w:p>
    <w:p>
      <w:pPr>
        <w:pStyle w:val="Normal"/>
        <w:spacing w:lineRule="auto" w:line="259" w:before="0" w:after="100"/>
        <w:jc w:val="both"/>
        <w:rPr/>
      </w:pPr>
      <w:r>
        <w:rPr>
          <w:sz w:val="18"/>
        </w:rPr>
        <w:t>The CPCB FAQ similarly identifies lead, cadmium, mercury, hexavalent chromium, PCBs and brominated flame retardants among hazardous substances associated with e-waste. It states that opening equipment or attempting material recovery in an unscientific manner, or disposing of e-waste in the open, can create risks to health and the environment.</w:t>
      </w:r>
    </w:p>
    <w:p>
      <w:pPr>
        <w:pStyle w:val="Heading2"/>
        <w:spacing w:before="180" w:after="100"/>
        <w:rPr/>
      </w:pPr>
      <w:r>
        <w:rPr>
          <w:rFonts w:ascii="Arial" w:hAnsi="Arial"/>
          <w:b/>
          <w:color w:val="5B0000"/>
          <w:sz w:val="23"/>
        </w:rPr>
        <w:t>Relevance to manufacturing compliance</w:t>
      </w:r>
    </w:p>
    <w:p>
      <w:pPr>
        <w:pStyle w:val="ListBullet"/>
        <w:numPr>
          <w:ilvl w:val="0"/>
          <w:numId w:val="1"/>
        </w:numPr>
        <w:spacing w:before="0" w:after="50"/>
        <w:contextualSpacing/>
        <w:rPr/>
      </w:pPr>
      <w:r>
        <w:rPr>
          <w:sz w:val="18"/>
        </w:rPr>
        <w:t>Segregation prevents hazardous components from being mixed with ordinary waste.</w:t>
      </w:r>
    </w:p>
    <w:p>
      <w:pPr>
        <w:pStyle w:val="ListBullet"/>
        <w:numPr>
          <w:ilvl w:val="0"/>
          <w:numId w:val="1"/>
        </w:numPr>
        <w:spacing w:before="0" w:after="50"/>
        <w:contextualSpacing/>
        <w:rPr/>
      </w:pPr>
      <w:r>
        <w:rPr>
          <w:sz w:val="18"/>
        </w:rPr>
        <w:t>Authorised recyclers provide regulated recovery and traceability.</w:t>
      </w:r>
    </w:p>
    <w:p>
      <w:pPr>
        <w:pStyle w:val="ListBullet"/>
        <w:numPr>
          <w:ilvl w:val="0"/>
          <w:numId w:val="1"/>
        </w:numPr>
        <w:spacing w:before="0" w:after="50"/>
        <w:contextualSpacing/>
        <w:rPr/>
      </w:pPr>
      <w:r>
        <w:rPr>
          <w:sz w:val="18"/>
        </w:rPr>
        <w:t>RoHS reduces the hazardous substance content of new covered electrical and electronic equipment.</w:t>
      </w:r>
    </w:p>
    <w:p>
      <w:pPr>
        <w:pStyle w:val="ListBullet"/>
        <w:numPr>
          <w:ilvl w:val="0"/>
          <w:numId w:val="1"/>
        </w:numPr>
        <w:spacing w:before="0" w:after="50"/>
        <w:contextualSpacing/>
        <w:rPr/>
      </w:pPr>
      <w:r>
        <w:rPr>
          <w:sz w:val="18"/>
        </w:rPr>
        <w:t>Hazardous-waste authorisations and pollution-control consents control associated manufacturing risks.</w:t>
      </w:r>
    </w:p>
    <w:p>
      <w:pPr>
        <w:pStyle w:val="ListBullet"/>
        <w:numPr>
          <w:ilvl w:val="0"/>
          <w:numId w:val="1"/>
        </w:numPr>
        <w:spacing w:before="0" w:after="50"/>
        <w:contextualSpacing/>
        <w:rPr/>
      </w:pPr>
      <w:r>
        <w:rPr>
          <w:sz w:val="18"/>
        </w:rPr>
        <w:t>Records, manifests, invoices and EPR certificates create evidence that waste has entered a formal management chain.</w:t>
      </w:r>
    </w:p>
    <w:p>
      <w:pPr>
        <w:pStyle w:val="Heading2"/>
        <w:spacing w:before="180" w:after="100"/>
        <w:rPr/>
      </w:pPr>
      <w:r>
        <w:rPr>
          <w:rFonts w:ascii="Arial" w:hAnsi="Arial"/>
          <w:b/>
          <w:color w:val="5B0000"/>
          <w:sz w:val="23"/>
        </w:rPr>
        <w:t>RoHS benchmark</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blHeader w:val="true"/>
        </w:trPr>
        <w:tc>
          <w:tcPr>
            <w:tcW w:w="3312"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Substance</w:t>
            </w:r>
          </w:p>
        </w:tc>
        <w:tc>
          <w:tcPr>
            <w:tcW w:w="3312"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Maximum concentration under CPCB FAQ</w:t>
            </w:r>
          </w:p>
        </w:tc>
        <w:tc>
          <w:tcPr>
            <w:tcW w:w="3312"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Compliance implication</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Lead</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0.1% by weight in homogeneous material</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Covered producers must ensure applicable new EEE remains within the prescribed limit.</w:t>
            </w:r>
          </w:p>
        </w:tc>
      </w:tr>
      <w:tr>
        <w:trPr/>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Mercury</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0.1%</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Same requirement, subject to applicable exemptions.</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Hexavalent Chromium</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0.1%</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Same requirement, subject to applicable exemptions.</w:t>
            </w:r>
          </w:p>
        </w:tc>
      </w:tr>
      <w:tr>
        <w:trPr/>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PBB</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0.1%</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Same requirement, subject to applicable exemptions.</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PBDE</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0.1%</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Same requirement, subject to applicable exemptions.</w:t>
            </w:r>
          </w:p>
        </w:tc>
      </w:tr>
      <w:tr>
        <w:trPr/>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Cadmium</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0.01%</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Stricter concentration limit applies.</w:t>
            </w:r>
          </w:p>
        </w:tc>
      </w:tr>
    </w:tbl>
    <w:p>
      <w:pPr>
        <w:pStyle w:val="Normal"/>
        <w:rPr/>
      </w:pPr>
      <w:r>
        <w:rPr/>
      </w:r>
    </w:p>
    <w:p>
      <w:pPr>
        <w:pStyle w:val="Normal"/>
        <w:rPr/>
      </w:pPr>
      <w:r>
        <w:rPr/>
      </w:r>
      <w:r>
        <w:br w:type="page"/>
      </w:r>
    </w:p>
    <w:p>
      <w:pPr>
        <w:pStyle w:val="Heading1"/>
        <w:spacing w:before="0" w:after="100"/>
        <w:rPr/>
      </w:pPr>
      <w:r>
        <w:rPr>
          <w:rFonts w:ascii="Arial" w:hAnsi="Arial"/>
          <w:b/>
          <w:color w:val="8B0000"/>
          <w:sz w:val="28"/>
        </w:rPr>
        <w:t>CHALLENGES OF RECYCLING OF E-WASTE</w:t>
      </w:r>
    </w:p>
    <w:p>
      <w:pPr>
        <w:pStyle w:val="Normal"/>
        <w:spacing w:lineRule="auto" w:line="259" w:before="0" w:after="100"/>
        <w:jc w:val="both"/>
        <w:rPr/>
      </w:pPr>
      <w:r>
        <w:rPr>
          <w:sz w:val="18"/>
        </w:rPr>
        <w:t>The supplied reference article identifies insufficient recycling infrastructure, the informal sector and difficulties surrounding hazardous waste movement as major challenges. It argues for stronger collection, recycling infrastructure, awareness and integration of informal workers into safer systems.</w:t>
      </w:r>
    </w:p>
    <w:p>
      <w:pPr>
        <w:pStyle w:val="Normal"/>
        <w:spacing w:lineRule="auto" w:line="259" w:before="0" w:after="100"/>
        <w:jc w:val="both"/>
        <w:rPr/>
      </w:pPr>
      <w:r>
        <w:rPr>
          <w:sz w:val="18"/>
        </w:rPr>
        <w:t>The current CPCB framework addresses part of this problem through mandatory registration, EPR certificates, registered recyclers, record keeping, audits and environmental compensation. CPCB also states that recycling residues must be sent to authorised treatment, storage and disposal facilities and that recyclers must maintain records of collection, dismantling, recycling and transfers.</w:t>
      </w:r>
    </w:p>
    <w:p>
      <w:pPr>
        <w:pStyle w:val="Heading2"/>
        <w:spacing w:before="180" w:after="100"/>
        <w:rPr/>
      </w:pPr>
      <w:r>
        <w:rPr>
          <w:rFonts w:ascii="Arial" w:hAnsi="Arial"/>
          <w:b/>
          <w:color w:val="5B0000"/>
          <w:sz w:val="23"/>
        </w:rPr>
        <w:t>Company-level challenge: B2B manufacturing</w:t>
      </w:r>
    </w:p>
    <w:p>
      <w:pPr>
        <w:pStyle w:val="Normal"/>
        <w:spacing w:lineRule="auto" w:line="259" w:before="0" w:after="100"/>
        <w:jc w:val="both"/>
        <w:rPr/>
      </w:pPr>
      <w:r>
        <w:rPr>
          <w:sz w:val="18"/>
        </w:rPr>
        <w:t>Dixon, Kaynes and Syrma SGS illustrate a recurring problem: the manufacturer may have strong factory-level waste controls while the customer or brand owner controls post-consumer products. This creates a practical distinction between operational waste management and producer-level EPR. The report therefore treats direct product take-back as a separate assessment item.</w:t>
      </w:r>
    </w:p>
    <w:p>
      <w:pPr>
        <w:pStyle w:val="Heading2"/>
        <w:spacing w:before="180" w:after="100"/>
        <w:rPr/>
      </w:pPr>
      <w:r>
        <w:rPr>
          <w:rFonts w:ascii="Arial" w:hAnsi="Arial"/>
          <w:b/>
          <w:color w:val="5B0000"/>
          <w:sz w:val="23"/>
        </w:rPr>
        <w:t>Company-level challenge: disclosure</w:t>
      </w:r>
    </w:p>
    <w:p>
      <w:pPr>
        <w:pStyle w:val="Normal"/>
        <w:spacing w:lineRule="auto" w:line="259" w:before="0" w:after="100"/>
        <w:jc w:val="both"/>
        <w:rPr/>
      </w:pPr>
      <w:r>
        <w:rPr>
          <w:sz w:val="18"/>
        </w:rPr>
        <w:t>Another major challenge is the uneven public availability of EPR performance data. Annual reports may describe authorised recyclers, RoHS systems or waste policies without disclosing the exact EPR certificates purchased, annual target, quantity recycled and portal verification status. Such an omission should be reported as 'not publicly demonstrated' rather than automatically called non-compliance.</w:t>
      </w:r>
    </w:p>
    <w:p>
      <w:pPr>
        <w:pStyle w:val="Normal"/>
        <w:rPr/>
      </w:pPr>
      <w:r>
        <w:rPr/>
      </w:r>
      <w:r>
        <w:br w:type="page"/>
      </w:r>
    </w:p>
    <w:p>
      <w:pPr>
        <w:pStyle w:val="Heading1"/>
        <w:spacing w:before="0" w:after="100"/>
        <w:rPr/>
      </w:pPr>
      <w:r>
        <w:rPr>
          <w:rFonts w:ascii="Arial" w:hAnsi="Arial"/>
          <w:b/>
          <w:color w:val="8B0000"/>
          <w:sz w:val="28"/>
        </w:rPr>
        <w:t>LEGAL INITIATIVES AT GLOBAL LEVEL</w:t>
      </w:r>
    </w:p>
    <w:p>
      <w:pPr>
        <w:pStyle w:val="Normal"/>
        <w:spacing w:lineRule="auto" w:line="259" w:before="0" w:after="100"/>
        <w:jc w:val="both"/>
        <w:rPr/>
      </w:pPr>
      <w:r>
        <w:rPr>
          <w:sz w:val="18"/>
        </w:rPr>
        <w:t>The supplied article discusses global initiatives including the Basel Convention, Bamako Convention, Rotterdam Convention, the European Union WEEE Directive, RoHS and international cooperation through environmental agencies and the StEP initiative. These frameworks establish the broader context in which e-waste movement, hazardous substances and environmentally sound recycling are regulated.</w:t>
      </w:r>
    </w:p>
    <w:p>
      <w:pPr>
        <w:pStyle w:val="Heading2"/>
        <w:spacing w:before="180" w:after="100"/>
        <w:rPr/>
      </w:pPr>
      <w:r>
        <w:rPr>
          <w:rFonts w:ascii="Arial" w:hAnsi="Arial"/>
          <w:b/>
          <w:color w:val="5B0000"/>
          <w:sz w:val="23"/>
        </w:rPr>
        <w:t>Basel Convention</w:t>
      </w:r>
    </w:p>
    <w:p>
      <w:pPr>
        <w:pStyle w:val="Normal"/>
        <w:spacing w:lineRule="auto" w:line="259" w:before="0" w:after="100"/>
        <w:jc w:val="both"/>
        <w:rPr/>
      </w:pPr>
      <w:r>
        <w:rPr>
          <w:sz w:val="18"/>
        </w:rPr>
        <w:t>The Basel Convention addresses transboundary movements of hazardous wastes and their disposal. Its importance to e-waste is the control of hazardous waste movements and environmentally sound management.</w:t>
      </w:r>
    </w:p>
    <w:p>
      <w:pPr>
        <w:pStyle w:val="Heading2"/>
        <w:spacing w:before="180" w:after="100"/>
        <w:rPr/>
      </w:pPr>
      <w:r>
        <w:rPr>
          <w:rFonts w:ascii="Arial" w:hAnsi="Arial"/>
          <w:b/>
          <w:color w:val="5B0000"/>
          <w:sz w:val="23"/>
        </w:rPr>
        <w:t>WEEE and RoHS</w:t>
      </w:r>
    </w:p>
    <w:p>
      <w:pPr>
        <w:pStyle w:val="Normal"/>
        <w:spacing w:lineRule="auto" w:line="259" w:before="0" w:after="100"/>
        <w:jc w:val="both"/>
        <w:rPr/>
      </w:pPr>
      <w:r>
        <w:rPr>
          <w:sz w:val="18"/>
        </w:rPr>
        <w:t>The EU WEEE framework addresses collection, treatment and recovery of waste electrical and electronic equipment, while RoHS limits certain hazardous substances in electrical and electronic equipment. The Indian E-Waste Rules contain a domestic RoHS obligation for covered products, making substance restriction directly relevant to the five-company assessment.</w:t>
      </w:r>
    </w:p>
    <w:p>
      <w:pPr>
        <w:pStyle w:val="Heading2"/>
        <w:spacing w:before="180" w:after="100"/>
        <w:rPr/>
      </w:pPr>
      <w:r>
        <w:rPr>
          <w:rFonts w:ascii="Arial" w:hAnsi="Arial"/>
          <w:b/>
          <w:color w:val="5B0000"/>
          <w:sz w:val="23"/>
        </w:rPr>
        <w:t>Relevance to the five companies</w:t>
      </w:r>
    </w:p>
    <w:p>
      <w:pPr>
        <w:pStyle w:val="Normal"/>
        <w:spacing w:lineRule="auto" w:line="259" w:before="0" w:after="100"/>
        <w:jc w:val="both"/>
        <w:rPr/>
      </w:pPr>
      <w:r>
        <w:rPr>
          <w:sz w:val="18"/>
        </w:rPr>
        <w:t>Large electronics manufacturers frequently serve global supply chains. Even where Indian law is the primary legal benchmark, customer contracts and export markets may require additional product stewardship standards such as RoHS/REACH. Syrma SGS, for example, explicitly reports RoHS/REACH product stewardship; Dixon reports restrictions on hazardous substances; and Foxconn's global sustainability framework includes environmental management across its India operations.</w:t>
      </w:r>
    </w:p>
    <w:p>
      <w:pPr>
        <w:pStyle w:val="Normal"/>
        <w:rPr/>
      </w:pPr>
      <w:r>
        <w:rPr/>
      </w:r>
      <w:r>
        <w:br w:type="page"/>
      </w:r>
    </w:p>
    <w:p>
      <w:pPr>
        <w:pStyle w:val="Heading1"/>
        <w:spacing w:before="0" w:after="100"/>
        <w:rPr/>
      </w:pPr>
      <w:r>
        <w:rPr>
          <w:rFonts w:ascii="Arial" w:hAnsi="Arial"/>
          <w:b/>
          <w:color w:val="8B0000"/>
          <w:sz w:val="28"/>
        </w:rPr>
        <w:t>LEGISLATIVE MEASURES REGARDING E-WASTE IN VARIOUS NATIONS</w:t>
      </w:r>
    </w:p>
    <w:p>
      <w:pPr>
        <w:pStyle w:val="Normal"/>
        <w:spacing w:lineRule="auto" w:line="259" w:before="0" w:after="100"/>
        <w:jc w:val="both"/>
        <w:rPr/>
      </w:pPr>
      <w:r>
        <w:rPr>
          <w:sz w:val="18"/>
        </w:rPr>
        <w:t>The supplied article reviews approaches in Africa, the United States, Canada, Latin America, Oceania, Europe and Asia. It demonstrates that countries differ in whether they use national legislation, state/provincial systems, producer responsibility, product stewardship or a combination of these mechanisms.</w:t>
      </w:r>
    </w:p>
    <w:p>
      <w:pPr>
        <w:pStyle w:val="Normal"/>
        <w:spacing w:lineRule="auto" w:line="259" w:before="0" w:after="100"/>
        <w:jc w:val="both"/>
        <w:rPr/>
      </w:pPr>
      <w:r>
        <w:rPr>
          <w:sz w:val="18"/>
        </w:rPr>
        <w:t>For the purposes of this company study, the international comparison is useful because electronics manufacturers operate in global supply chains. However, legal compliance for Indian facilities must first be assessed against Indian statutes, CPCB rules and applicable State Pollution Control Board requirements.</w:t>
      </w:r>
    </w:p>
    <w:p>
      <w:pPr>
        <w:pStyle w:val="Heading2"/>
        <w:spacing w:before="180" w:after="100"/>
        <w:rPr/>
      </w:pPr>
      <w:r>
        <w:rPr>
          <w:rFonts w:ascii="Arial" w:hAnsi="Arial"/>
          <w:b/>
          <w:color w:val="5B0000"/>
          <w:sz w:val="23"/>
        </w:rPr>
        <w:t>Indian Legislative / Regulatory Framework</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blHeader w:val="true"/>
        </w:trPr>
        <w:tc>
          <w:tcPr>
            <w:tcW w:w="4968"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Framework</w:t>
            </w:r>
          </w:p>
        </w:tc>
        <w:tc>
          <w:tcPr>
            <w:tcW w:w="4967"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Relevance to electronics manufacturing</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Environment (Protection) Act, 1986</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Parent environmental legislation under which the current E-Waste Management Rules are made.</w:t>
            </w:r>
          </w:p>
        </w:tc>
      </w:tr>
      <w:tr>
        <w:trPr/>
        <w:tc>
          <w:tcPr>
            <w:tcW w:w="4968"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E-Waste (Management) Rules, 2022</w:t>
            </w:r>
          </w:p>
        </w:tc>
        <w:tc>
          <w:tcPr>
            <w:tcW w:w="4967"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Primary current framework for covered EEE, EPR, registered stakeholders, recycling and RoHS.</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E-Waste (Management) Second Amendment Rules, 2023</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Modified/clarified RoHS applicability and related exemptions/transition periods.</w:t>
            </w:r>
          </w:p>
        </w:tc>
      </w:tr>
      <w:tr>
        <w:trPr/>
        <w:tc>
          <w:tcPr>
            <w:tcW w:w="4968"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Hazardous and Other Wastes Rules, 2016</w:t>
            </w:r>
          </w:p>
        </w:tc>
        <w:tc>
          <w:tcPr>
            <w:tcW w:w="4967"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Relevant to hazardous waste authorisation and management at facilities where applicable.</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Air (Prevention and Control of Pollution) Act, 1981</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Consent requirements and pollution control for relevant industrial activities.</w:t>
            </w:r>
          </w:p>
        </w:tc>
      </w:tr>
      <w:tr>
        <w:trPr/>
        <w:tc>
          <w:tcPr>
            <w:tcW w:w="4968"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Water (Prevention and Control of Pollution) Act, 1974</w:t>
            </w:r>
          </w:p>
        </w:tc>
        <w:tc>
          <w:tcPr>
            <w:tcW w:w="4967"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Consent and wastewater/effluent control for relevant facilities.</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Plastic Waste Management Rules, 2016</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Applies to plastic waste separately; should not be confused with E-Waste Rules.</w:t>
            </w:r>
          </w:p>
        </w:tc>
      </w:tr>
      <w:tr>
        <w:trPr/>
        <w:tc>
          <w:tcPr>
            <w:tcW w:w="4968"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Battery Waste Management Rules, 2022</w:t>
            </w:r>
          </w:p>
        </w:tc>
        <w:tc>
          <w:tcPr>
            <w:tcW w:w="4967"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Applies to waste batteries separately; battery obligations should not be mislabelled as e-waste obligations.</w:t>
            </w:r>
          </w:p>
        </w:tc>
      </w:tr>
    </w:tbl>
    <w:p>
      <w:pPr>
        <w:pStyle w:val="Normal"/>
        <w:rPr/>
      </w:pPr>
      <w:r>
        <w:rPr/>
      </w:r>
    </w:p>
    <w:p>
      <w:pPr>
        <w:pStyle w:val="Heading2"/>
        <w:spacing w:before="180" w:after="100"/>
        <w:rPr/>
      </w:pPr>
      <w:r>
        <w:rPr>
          <w:rFonts w:ascii="Arial" w:hAnsi="Arial"/>
          <w:b/>
          <w:color w:val="5B0000"/>
          <w:sz w:val="23"/>
        </w:rPr>
        <w:t>Key E-Waste Rules 2022 requirements used in this study</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blHeader w:val="true"/>
        </w:trPr>
        <w:tc>
          <w:tcPr>
            <w:tcW w:w="4968"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Requirement</w:t>
            </w:r>
          </w:p>
        </w:tc>
        <w:tc>
          <w:tcPr>
            <w:tcW w:w="4967"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6"/>
                <w:szCs w:val="22"/>
                <w:lang w:val="en-US" w:eastAsia="en-US" w:bidi="ar-SA"/>
              </w:rPr>
              <w:t>CPCB benchmark</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Portal registration</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Covered manufacturers, producers, refurbishers and recyclers must register on the E-Waste EPR Portal.</w:t>
            </w:r>
          </w:p>
        </w:tc>
      </w:tr>
      <w:tr>
        <w:trPr/>
        <w:tc>
          <w:tcPr>
            <w:tcW w:w="4968"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Producer EPR</w:t>
            </w:r>
          </w:p>
        </w:tc>
        <w:tc>
          <w:tcPr>
            <w:tcW w:w="4967"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Producers of Schedule-I EEE must meet recycling obligations through registered recyclers.</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Recycling targets</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60% in FY 2023-24 and FY 2024-25; 70% in FY 2025-26 and FY 2026-27; 80% from FY 2027-28 onward, subject to the applicable schedule.</w:t>
            </w:r>
          </w:p>
        </w:tc>
      </w:tr>
      <w:tr>
        <w:trPr/>
        <w:tc>
          <w:tcPr>
            <w:tcW w:w="4968"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EPR certificates</w:t>
            </w:r>
          </w:p>
        </w:tc>
        <w:tc>
          <w:tcPr>
            <w:tcW w:w="4967"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Producers fulfil obligations by purchasing EPR certificates from registered recyclers through the portal.</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RoHS</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Lead, mercury, hexavalent chromium, PBB and PBDE: 0.1% by weight in homogeneous material; cadmium: 0.01%, subject to applicable exemptions.</w:t>
            </w:r>
          </w:p>
        </w:tc>
      </w:tr>
      <w:tr>
        <w:trPr/>
        <w:tc>
          <w:tcPr>
            <w:tcW w:w="4968"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Returns and audit</w:t>
            </w:r>
          </w:p>
        </w:tc>
        <w:tc>
          <w:tcPr>
            <w:tcW w:w="4967"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Quarterly and annual returns and stakeholder audits are part of the framework.</w:t>
            </w:r>
          </w:p>
        </w:tc>
      </w:tr>
      <w:tr>
        <w:trPr/>
        <w:tc>
          <w:tcPr>
            <w:tcW w:w="49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Residues</w:t>
            </w:r>
          </w:p>
        </w:tc>
        <w:tc>
          <w:tcPr>
            <w:tcW w:w="496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Non-recycled fractions must be channelled appropriately; recycling residues must go to authorised treatment/storage/disposal facilities.</w:t>
            </w:r>
          </w:p>
        </w:tc>
      </w:tr>
      <w:tr>
        <w:trPr/>
        <w:tc>
          <w:tcPr>
            <w:tcW w:w="4968"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Manufacturer authorisation</w:t>
            </w:r>
          </w:p>
        </w:tc>
        <w:tc>
          <w:tcPr>
            <w:tcW w:w="4967"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6"/>
                <w:szCs w:val="22"/>
                <w:lang w:val="en-US" w:eastAsia="en-US" w:bidi="ar-SA"/>
              </w:rPr>
              <w:t>For covered manufacturers, CPCB FAQ refers to valid CTO under Air &amp; Water law for Green/Orange/Red categories and hazardous-waste authorisation from the SPCB; white-category CTO exemption applies.</w:t>
            </w:r>
          </w:p>
        </w:tc>
      </w:tr>
    </w:tbl>
    <w:p>
      <w:pPr>
        <w:pStyle w:val="Normal"/>
        <w:rPr/>
      </w:pPr>
      <w:r>
        <w:rPr/>
      </w:r>
    </w:p>
    <w:p>
      <w:pPr>
        <w:pStyle w:val="Normal"/>
        <w:rPr/>
      </w:pPr>
      <w:r>
        <w:rPr/>
      </w:r>
      <w:r>
        <w:br w:type="page"/>
      </w:r>
    </w:p>
    <w:p>
      <w:pPr>
        <w:pStyle w:val="Heading1"/>
        <w:spacing w:before="0" w:after="100"/>
        <w:rPr/>
      </w:pPr>
      <w:r>
        <w:rPr>
          <w:rFonts w:ascii="Arial" w:hAnsi="Arial"/>
          <w:b/>
          <w:color w:val="8B0000"/>
          <w:sz w:val="28"/>
        </w:rPr>
        <w:t>COMPANY-WISE COMPLIANCE ASSESSMENT</w:t>
      </w:r>
    </w:p>
    <w:p>
      <w:pPr>
        <w:pStyle w:val="Normal"/>
        <w:spacing w:lineRule="auto" w:line="259" w:before="0" w:after="100"/>
        <w:jc w:val="both"/>
        <w:rPr/>
      </w:pPr>
      <w:r>
        <w:rPr>
          <w:sz w:val="18"/>
        </w:rPr>
        <w:t>The following five sections constitute the core of the report. Each company is assessed against the same categories: EPR/registration, authorised recycling, waste handling, RoHS, end-of-life responsibility, environmental authorisations and regulatory concerns. The conclusions are deliberately evidence-based.</w:t>
      </w:r>
    </w:p>
    <w:p>
      <w:pPr>
        <w:pStyle w:val="Heading1"/>
        <w:spacing w:before="180" w:after="100"/>
        <w:rPr/>
      </w:pPr>
      <w:r>
        <w:rPr>
          <w:rFonts w:ascii="Arial" w:hAnsi="Arial"/>
          <w:b/>
          <w:color w:val="8B0000"/>
          <w:sz w:val="28"/>
        </w:rPr>
        <w:t>1. FOXCONN INDIA</w:t>
      </w:r>
    </w:p>
    <w:p>
      <w:pPr>
        <w:pStyle w:val="Normal"/>
        <w:spacing w:lineRule="auto" w:line="259" w:before="0" w:after="100"/>
        <w:jc w:val="both"/>
        <w:rPr/>
      </w:pPr>
      <w:r>
        <w:rPr>
          <w:sz w:val="18"/>
        </w:rPr>
        <w:t>Foxconn is a major electronics manufacturing and services group with substantial operations in India. Its 2024 sustainability reporting covers directly and indirectly controlled entities and explicitly includes India within the reporting boundary. Foxconn's global environmental programme emphasises circular economy, waste management, recycling/reuse and zero-landfill objectives.</w:t>
      </w:r>
    </w:p>
    <w:p>
      <w:pPr>
        <w:pStyle w:val="Heading2"/>
        <w:spacing w:before="180" w:after="100"/>
        <w:rPr/>
      </w:pPr>
      <w:r>
        <w:rPr>
          <w:rFonts w:ascii="Arial" w:hAnsi="Arial"/>
          <w:b/>
          <w:color w:val="5B0000"/>
          <w:sz w:val="23"/>
        </w:rPr>
        <w:t>Regulations / practices documented as followed</w:t>
      </w:r>
    </w:p>
    <w:p>
      <w:pPr>
        <w:pStyle w:val="ListBullet"/>
        <w:numPr>
          <w:ilvl w:val="0"/>
          <w:numId w:val="1"/>
        </w:numPr>
        <w:spacing w:before="0" w:after="50"/>
        <w:contextualSpacing/>
        <w:rPr/>
      </w:pPr>
      <w:r>
        <w:rPr>
          <w:sz w:val="18"/>
        </w:rPr>
        <w:t>Group-level environmental management and waste controls are formally documented, including circular-economy and waste-management objectives.</w:t>
      </w:r>
    </w:p>
    <w:p>
      <w:pPr>
        <w:pStyle w:val="ListBullet"/>
        <w:numPr>
          <w:ilvl w:val="0"/>
          <w:numId w:val="1"/>
        </w:numPr>
        <w:spacing w:before="0" w:after="50"/>
        <w:contextualSpacing/>
        <w:rPr/>
      </w:pPr>
      <w:r>
        <w:rPr>
          <w:sz w:val="18"/>
        </w:rPr>
        <w:t>Foxconn's sustainability reporting covers India within its consolidated sustainability boundary, making environmental performance part of the group's formal ESG reporting.</w:t>
      </w:r>
    </w:p>
    <w:p>
      <w:pPr>
        <w:pStyle w:val="ListBullet"/>
        <w:numPr>
          <w:ilvl w:val="0"/>
          <w:numId w:val="1"/>
        </w:numPr>
        <w:spacing w:before="0" w:after="50"/>
        <w:contextualSpacing/>
        <w:rPr/>
      </w:pPr>
      <w:r>
        <w:rPr>
          <w:sz w:val="18"/>
        </w:rPr>
        <w:t>Foxconn uses structured environmental management and third-party audit processes at group level.</w:t>
      </w:r>
    </w:p>
    <w:p>
      <w:pPr>
        <w:pStyle w:val="ListBullet"/>
        <w:numPr>
          <w:ilvl w:val="0"/>
          <w:numId w:val="1"/>
        </w:numPr>
        <w:spacing w:before="0" w:after="50"/>
        <w:contextualSpacing/>
        <w:rPr/>
      </w:pPr>
      <w:r>
        <w:rPr>
          <w:sz w:val="18"/>
        </w:rPr>
        <w:t>The company operates within regulated Indian manufacturing and environmental-authorisation systems where applicable.</w:t>
      </w:r>
    </w:p>
    <w:p>
      <w:pPr>
        <w:pStyle w:val="Heading2"/>
        <w:spacing w:before="180" w:after="100"/>
        <w:rPr/>
      </w:pPr>
      <w:r>
        <w:rPr>
          <w:rFonts w:ascii="Arial" w:hAnsi="Arial"/>
          <w:b/>
          <w:color w:val="5B0000"/>
          <w:sz w:val="23"/>
        </w:rPr>
        <w:t>Regulations / areas not fully demonstrated or documented gaps</w:t>
      </w:r>
    </w:p>
    <w:p>
      <w:pPr>
        <w:pStyle w:val="ListBullet"/>
        <w:numPr>
          <w:ilvl w:val="0"/>
          <w:numId w:val="1"/>
        </w:numPr>
        <w:spacing w:before="0" w:after="50"/>
        <w:contextualSpacing/>
        <w:rPr/>
      </w:pPr>
      <w:r>
        <w:rPr>
          <w:sz w:val="18"/>
        </w:rPr>
        <w:t>The sources reviewed do not provide a sufficiently detailed India-specific E-Waste EPR performance table showing annual EPR obligation, certificates purchased, quantity recycled and portal verification.</w:t>
      </w:r>
    </w:p>
    <w:p>
      <w:pPr>
        <w:pStyle w:val="ListBullet"/>
        <w:numPr>
          <w:ilvl w:val="0"/>
          <w:numId w:val="1"/>
        </w:numPr>
        <w:spacing w:before="0" w:after="50"/>
        <w:contextualSpacing/>
        <w:rPr/>
      </w:pPr>
      <w:r>
        <w:rPr>
          <w:sz w:val="18"/>
        </w:rPr>
        <w:t>Because Foxconn primarily operates as an EMS/manufacturing partner in many product chains, the legal producer may be the brand owner rather than Foxconn for particular finished products. The legal role must therefore be determined product by product.</w:t>
      </w:r>
    </w:p>
    <w:p>
      <w:pPr>
        <w:pStyle w:val="ListBullet"/>
        <w:numPr>
          <w:ilvl w:val="0"/>
          <w:numId w:val="1"/>
        </w:numPr>
        <w:spacing w:before="0" w:after="50"/>
        <w:contextualSpacing/>
        <w:rPr/>
      </w:pPr>
      <w:r>
        <w:rPr>
          <w:sz w:val="18"/>
        </w:rPr>
        <w:t>The absence of a public India-specific EPR number is an evidence/disclosure gap, not proof that Foxconn has failed to comply.</w:t>
      </w:r>
    </w:p>
    <w:p>
      <w:pPr>
        <w:pStyle w:val="Heading2"/>
        <w:spacing w:before="180" w:after="100"/>
        <w:rPr/>
      </w:pPr>
      <w:r>
        <w:rPr>
          <w:rFonts w:ascii="Arial" w:hAnsi="Arial"/>
          <w:b/>
          <w:color w:val="5B0000"/>
          <w:sz w:val="23"/>
        </w:rPr>
        <w:t>Regulatory concern / interpretation</w:t>
      </w:r>
    </w:p>
    <w:p>
      <w:pPr>
        <w:pStyle w:val="Normal"/>
        <w:spacing w:lineRule="auto" w:line="259" w:before="0" w:after="100"/>
        <w:jc w:val="both"/>
        <w:rPr/>
      </w:pPr>
      <w:r>
        <w:rPr>
          <w:sz w:val="18"/>
        </w:rPr>
        <w:t>No confirmed continuing E-Waste Rules violation was established from the reviewed sources. Foxconn's global sustainability materials show formal waste-management systems, but they are not sufficient by themselves to prove the exact India-specific EPR target achievement required under CPCB rules.</w:t>
      </w:r>
    </w:p>
    <w:p>
      <w:pPr>
        <w:pStyle w:val="Heading2"/>
        <w:spacing w:before="180" w:after="100"/>
        <w:rPr/>
      </w:pPr>
      <w:r>
        <w:rPr>
          <w:rFonts w:ascii="Arial" w:hAnsi="Arial"/>
          <w:b/>
          <w:color w:val="5B0000"/>
          <w:sz w:val="23"/>
        </w:rPr>
        <w:t>Compliance conclusion</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E8F3E8"/>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5B0000"/>
                <w:kern w:val="0"/>
                <w:sz w:val="19"/>
                <w:szCs w:val="22"/>
                <w:lang w:val="en-US" w:eastAsia="en-US" w:bidi="ar-SA"/>
              </w:rPr>
              <w:t>Assessment</w:t>
              <w:br/>
            </w:r>
            <w:r>
              <w:rPr>
                <w:rFonts w:eastAsia="ＭＳ 明朝" w:cs=""/>
                <w:kern w:val="0"/>
                <w:sz w:val="17"/>
                <w:szCs w:val="22"/>
                <w:lang w:val="en-US" w:eastAsia="en-US" w:bidi="ar-SA"/>
              </w:rPr>
              <w:t>Overall classification: &lt;b&gt;DOCUMENTED ENVIRONMENTAL MANAGEMENT; INDIA-SPECIFIC E-WASTE EPR PERFORMANCE NOT FULLY PUBLICLY DEMONSTRATED.&lt;/b&gt; Foxconn should not be labelled non-compliant solely because detailed EPR certificate data was not found in the reviewed public material.</w:t>
            </w:r>
          </w:p>
        </w:tc>
      </w:tr>
    </w:tbl>
    <w:p>
      <w:pPr>
        <w:pStyle w:val="Normal"/>
        <w:rPr/>
      </w:pPr>
      <w:r>
        <w:rPr/>
      </w:r>
    </w:p>
    <w:p>
      <w:pPr>
        <w:pStyle w:val="Heading2"/>
        <w:spacing w:before="180" w:after="100"/>
        <w:rPr/>
      </w:pPr>
      <w:r>
        <w:rPr>
          <w:rFonts w:ascii="Arial" w:hAnsi="Arial"/>
          <w:b/>
          <w:color w:val="5B0000"/>
          <w:sz w:val="23"/>
        </w:rPr>
        <w:t>Key sources</w:t>
      </w:r>
    </w:p>
    <w:p>
      <w:pPr>
        <w:pStyle w:val="ListBullet"/>
        <w:numPr>
          <w:ilvl w:val="0"/>
          <w:numId w:val="1"/>
        </w:numPr>
        <w:spacing w:before="0" w:after="50"/>
        <w:contextualSpacing/>
        <w:rPr/>
      </w:pPr>
      <w:r>
        <w:rPr>
          <w:sz w:val="18"/>
        </w:rPr>
        <w:t>Hon Hai Technology Group, 2024 Sustainability Report (report boundary includes India).</w:t>
      </w:r>
    </w:p>
    <w:p>
      <w:pPr>
        <w:pStyle w:val="ListBullet"/>
        <w:numPr>
          <w:ilvl w:val="0"/>
          <w:numId w:val="1"/>
        </w:numPr>
        <w:spacing w:before="0" w:after="50"/>
        <w:contextualSpacing/>
        <w:rPr/>
      </w:pPr>
      <w:r>
        <w:rPr>
          <w:sz w:val="18"/>
        </w:rPr>
        <w:t>Hon Hai Technology Group, Focus – Environment: water, waste and air-pollution management and circular economy.</w:t>
      </w:r>
    </w:p>
    <w:p>
      <w:pPr>
        <w:pStyle w:val="ListBullet"/>
        <w:numPr>
          <w:ilvl w:val="0"/>
          <w:numId w:val="1"/>
        </w:numPr>
        <w:spacing w:before="0" w:after="50"/>
        <w:contextualSpacing/>
        <w:rPr/>
      </w:pPr>
      <w:r>
        <w:rPr>
          <w:sz w:val="18"/>
        </w:rPr>
        <w:t>Hon Hai Technology Group, 2025 Third-Party Audit Summary Report.</w:t>
      </w:r>
    </w:p>
    <w:p>
      <w:pPr>
        <w:pStyle w:val="ListBullet"/>
        <w:numPr>
          <w:ilvl w:val="0"/>
          <w:numId w:val="1"/>
        </w:numPr>
        <w:spacing w:before="0" w:after="50"/>
        <w:contextualSpacing/>
        <w:rPr/>
      </w:pPr>
      <w:r>
        <w:rPr>
          <w:sz w:val="18"/>
        </w:rPr>
        <w:t>CPCB, FAQ under E-Waste (Management) Rules, 2022 and amendments.</w:t>
      </w:r>
    </w:p>
    <w:p>
      <w:pPr>
        <w:pStyle w:val="Normal"/>
        <w:rPr/>
      </w:pPr>
      <w:r>
        <w:rPr/>
      </w:r>
      <w:r>
        <w:br w:type="page"/>
      </w:r>
    </w:p>
    <w:p>
      <w:pPr>
        <w:pStyle w:val="Heading1"/>
        <w:spacing w:before="0" w:after="100"/>
        <w:rPr/>
      </w:pPr>
      <w:r>
        <w:rPr>
          <w:rFonts w:ascii="Arial" w:hAnsi="Arial"/>
          <w:b/>
          <w:color w:val="8B0000"/>
          <w:sz w:val="28"/>
        </w:rPr>
        <w:t>2. DIXON TECHNOLOGIES</w:t>
      </w:r>
    </w:p>
    <w:p>
      <w:pPr>
        <w:pStyle w:val="Normal"/>
        <w:spacing w:lineRule="auto" w:line="259" w:before="0" w:after="100"/>
        <w:jc w:val="both"/>
        <w:rPr/>
      </w:pPr>
      <w:r>
        <w:rPr>
          <w:sz w:val="18"/>
        </w:rPr>
        <w:t>Dixon Technologies is a major Indian electronics manufacturing services company. Its FY2024-25 Integrated Annual Report contains direct disclosures on waste management, authorised recyclers, end-of-life reclamation, hazardous substances and the company's B2B operating model.</w:t>
      </w:r>
    </w:p>
    <w:p>
      <w:pPr>
        <w:pStyle w:val="Heading2"/>
        <w:spacing w:before="180" w:after="100"/>
        <w:rPr/>
      </w:pPr>
      <w:r>
        <w:rPr>
          <w:rFonts w:ascii="Arial" w:hAnsi="Arial"/>
          <w:b/>
          <w:color w:val="5B0000"/>
          <w:sz w:val="23"/>
        </w:rPr>
        <w:t>Regulations / practices documented as followed</w:t>
      </w:r>
    </w:p>
    <w:p>
      <w:pPr>
        <w:pStyle w:val="ListBullet"/>
        <w:numPr>
          <w:ilvl w:val="0"/>
          <w:numId w:val="1"/>
        </w:numPr>
        <w:spacing w:before="0" w:after="50"/>
        <w:contextualSpacing/>
        <w:rPr/>
      </w:pPr>
      <w:r>
        <w:rPr>
          <w:sz w:val="18"/>
        </w:rPr>
        <w:t>E-waste, plastic waste and hazardous waste are managed through government-authorised recyclers.</w:t>
      </w:r>
    </w:p>
    <w:p>
      <w:pPr>
        <w:pStyle w:val="ListBullet"/>
        <w:numPr>
          <w:ilvl w:val="0"/>
          <w:numId w:val="1"/>
        </w:numPr>
        <w:spacing w:before="0" w:after="50"/>
        <w:contextualSpacing/>
        <w:rPr/>
      </w:pPr>
      <w:r>
        <w:rPr>
          <w:sz w:val="18"/>
        </w:rPr>
        <w:t>The company describes segregation, collection and disposal systems based on Reduce, Reuse and Recycle principles.</w:t>
      </w:r>
    </w:p>
    <w:p>
      <w:pPr>
        <w:pStyle w:val="ListBullet"/>
        <w:numPr>
          <w:ilvl w:val="0"/>
          <w:numId w:val="1"/>
        </w:numPr>
        <w:spacing w:before="0" w:after="50"/>
        <w:contextualSpacing/>
        <w:rPr/>
      </w:pPr>
      <w:r>
        <w:rPr>
          <w:sz w:val="18"/>
        </w:rPr>
        <w:t>Dixon reports Zero Waste to Landfill across its manufacturing facilities.</w:t>
      </w:r>
    </w:p>
    <w:p>
      <w:pPr>
        <w:pStyle w:val="ListBullet"/>
        <w:numPr>
          <w:ilvl w:val="0"/>
          <w:numId w:val="1"/>
        </w:numPr>
        <w:spacing w:before="0" w:after="50"/>
        <w:contextualSpacing/>
        <w:rPr/>
      </w:pPr>
      <w:r>
        <w:rPr>
          <w:sz w:val="18"/>
        </w:rPr>
        <w:t>The company states that it complies with applicable environmental requirements for handling, storage, transportation and disposal of hazardous materials.</w:t>
      </w:r>
    </w:p>
    <w:p>
      <w:pPr>
        <w:pStyle w:val="ListBullet"/>
        <w:numPr>
          <w:ilvl w:val="0"/>
          <w:numId w:val="1"/>
        </w:numPr>
        <w:spacing w:before="0" w:after="50"/>
        <w:contextualSpacing/>
        <w:rPr/>
      </w:pPr>
      <w:r>
        <w:rPr>
          <w:sz w:val="18"/>
        </w:rPr>
        <w:t>Dixon reports restrictions on lead, mercury, cadmium, hexavalent chromium, PBB and PBDE in electronic/electrical equipment, supporting RoHS-oriented product controls.</w:t>
      </w:r>
    </w:p>
    <w:p>
      <w:pPr>
        <w:pStyle w:val="ListBullet"/>
        <w:numPr>
          <w:ilvl w:val="0"/>
          <w:numId w:val="1"/>
        </w:numPr>
        <w:spacing w:before="0" w:after="50"/>
        <w:contextualSpacing/>
        <w:rPr/>
      </w:pPr>
      <w:r>
        <w:rPr>
          <w:sz w:val="18"/>
        </w:rPr>
        <w:t>The FY2024-25 report states that authorised third-party recyclers are accredited by Central and State Pollution Control Boards.</w:t>
      </w:r>
    </w:p>
    <w:p>
      <w:pPr>
        <w:pStyle w:val="Heading2"/>
        <w:spacing w:before="180" w:after="100"/>
        <w:rPr/>
      </w:pPr>
      <w:r>
        <w:rPr>
          <w:rFonts w:ascii="Arial" w:hAnsi="Arial"/>
          <w:b/>
          <w:color w:val="5B0000"/>
          <w:sz w:val="23"/>
        </w:rPr>
        <w:t>Regulations / areas not fully demonstrated or documented gaps</w:t>
      </w:r>
    </w:p>
    <w:p>
      <w:pPr>
        <w:pStyle w:val="ListBullet"/>
        <w:numPr>
          <w:ilvl w:val="0"/>
          <w:numId w:val="1"/>
        </w:numPr>
        <w:spacing w:before="0" w:after="50"/>
        <w:contextualSpacing/>
        <w:rPr/>
      </w:pPr>
      <w:r>
        <w:rPr>
          <w:sz w:val="18"/>
        </w:rPr>
        <w:t>Dixon explicitly states that it does not reclaim end-of-life products because it operates in a B2B manufacturing model.</w:t>
      </w:r>
    </w:p>
    <w:p>
      <w:pPr>
        <w:pStyle w:val="ListBullet"/>
        <w:numPr>
          <w:ilvl w:val="0"/>
          <w:numId w:val="1"/>
        </w:numPr>
        <w:spacing w:before="0" w:after="50"/>
        <w:contextualSpacing/>
        <w:rPr/>
      </w:pPr>
      <w:r>
        <w:rPr>
          <w:sz w:val="18"/>
        </w:rPr>
        <w:t>Its report also states that it does not directly receive products or packaging at end of life. Therefore, direct consumer take-back is not demonstrated.</w:t>
      </w:r>
    </w:p>
    <w:p>
      <w:pPr>
        <w:pStyle w:val="ListBullet"/>
        <w:numPr>
          <w:ilvl w:val="0"/>
          <w:numId w:val="1"/>
        </w:numPr>
        <w:spacing w:before="0" w:after="50"/>
        <w:contextualSpacing/>
        <w:rPr/>
      </w:pPr>
      <w:r>
        <w:rPr>
          <w:sz w:val="18"/>
        </w:rPr>
        <w:t>The public annual report does not by itself allow an independent calculation of Dixon's current EPR certificate purchases against the CPCB target for each financial year.</w:t>
      </w:r>
    </w:p>
    <w:p>
      <w:pPr>
        <w:pStyle w:val="Heading2"/>
        <w:spacing w:before="180" w:after="100"/>
        <w:rPr/>
      </w:pPr>
      <w:r>
        <w:rPr>
          <w:rFonts w:ascii="Arial" w:hAnsi="Arial"/>
          <w:b/>
          <w:color w:val="5B0000"/>
          <w:sz w:val="23"/>
        </w:rPr>
        <w:t>Regulatory concern / interpretation</w:t>
      </w:r>
    </w:p>
    <w:p>
      <w:pPr>
        <w:pStyle w:val="Normal"/>
        <w:spacing w:lineRule="auto" w:line="259" w:before="0" w:after="100"/>
        <w:jc w:val="both"/>
        <w:rPr/>
      </w:pPr>
      <w:r>
        <w:rPr>
          <w:sz w:val="18"/>
        </w:rPr>
        <w:t>The B2B end-of-life limitation is a disclosed business-model characteristic, not a confirmed violation. The key legal question is whether Dixon is the statutory producer for the relevant EEE. Where the brand owner is the producer, the brand owner's EPR obligation may govern the post-consumer stage.</w:t>
      </w:r>
    </w:p>
    <w:p>
      <w:pPr>
        <w:pStyle w:val="Heading2"/>
        <w:spacing w:before="180" w:after="100"/>
        <w:rPr/>
      </w:pPr>
      <w:r>
        <w:rPr>
          <w:rFonts w:ascii="Arial" w:hAnsi="Arial"/>
          <w:b/>
          <w:color w:val="5B0000"/>
          <w:sz w:val="23"/>
        </w:rPr>
        <w:t>Compliance conclusion</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E8F3E8"/>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5B0000"/>
                <w:kern w:val="0"/>
                <w:sz w:val="19"/>
                <w:szCs w:val="22"/>
                <w:lang w:val="en-US" w:eastAsia="en-US" w:bidi="ar-SA"/>
              </w:rPr>
              <w:t>Assessment</w:t>
              <w:br/>
            </w:r>
            <w:r>
              <w:rPr>
                <w:rFonts w:eastAsia="ＭＳ 明朝" w:cs=""/>
                <w:kern w:val="0"/>
                <w:sz w:val="17"/>
                <w:szCs w:val="22"/>
                <w:lang w:val="en-US" w:eastAsia="en-US" w:bidi="ar-SA"/>
              </w:rPr>
              <w:t>Overall classification: &lt;b&gt;STRONG DOCUMENTED COMPLIANCE FOR OPERATIONAL WASTE MANAGEMENT AND RoHS-RELATED CONTROLS; DIRECT END-OF-LIFE TAKE-BACK LIMITED BY B2B MODEL.&lt;/b&gt;</w:t>
            </w:r>
          </w:p>
        </w:tc>
      </w:tr>
    </w:tbl>
    <w:p>
      <w:pPr>
        <w:pStyle w:val="Normal"/>
        <w:rPr/>
      </w:pPr>
      <w:r>
        <w:rPr/>
      </w:r>
    </w:p>
    <w:p>
      <w:pPr>
        <w:pStyle w:val="Heading2"/>
        <w:spacing w:before="180" w:after="100"/>
        <w:rPr/>
      </w:pPr>
      <w:r>
        <w:rPr>
          <w:rFonts w:ascii="Arial" w:hAnsi="Arial"/>
          <w:b/>
          <w:color w:val="5B0000"/>
          <w:sz w:val="23"/>
        </w:rPr>
        <w:t>Key sources</w:t>
      </w:r>
    </w:p>
    <w:p>
      <w:pPr>
        <w:pStyle w:val="ListBullet"/>
        <w:numPr>
          <w:ilvl w:val="0"/>
          <w:numId w:val="1"/>
        </w:numPr>
        <w:spacing w:before="0" w:after="50"/>
        <w:contextualSpacing/>
        <w:rPr/>
      </w:pPr>
      <w:r>
        <w:rPr>
          <w:sz w:val="18"/>
        </w:rPr>
        <w:t>Dixon Technologies (India) Limited, Integrated Annual Report 2024-25.</w:t>
      </w:r>
    </w:p>
    <w:p>
      <w:pPr>
        <w:pStyle w:val="ListBullet"/>
        <w:numPr>
          <w:ilvl w:val="0"/>
          <w:numId w:val="1"/>
        </w:numPr>
        <w:spacing w:before="0" w:after="50"/>
        <w:contextualSpacing/>
        <w:rPr/>
      </w:pPr>
      <w:r>
        <w:rPr>
          <w:sz w:val="18"/>
        </w:rPr>
        <w:t>Dixon Technologies FY2024-25 BRSR/ESG disclosures on authorised recyclers and waste handling.</w:t>
      </w:r>
    </w:p>
    <w:p>
      <w:pPr>
        <w:pStyle w:val="ListBullet"/>
        <w:numPr>
          <w:ilvl w:val="0"/>
          <w:numId w:val="1"/>
        </w:numPr>
        <w:spacing w:before="0" w:after="50"/>
        <w:contextualSpacing/>
        <w:rPr/>
      </w:pPr>
      <w:r>
        <w:rPr>
          <w:sz w:val="18"/>
        </w:rPr>
        <w:t>CPCB, FAQ under E-Waste (Management) Rules, 2022.</w:t>
      </w:r>
    </w:p>
    <w:p>
      <w:pPr>
        <w:pStyle w:val="Normal"/>
        <w:rPr/>
      </w:pPr>
      <w:r>
        <w:rPr/>
      </w:r>
      <w:r>
        <w:br w:type="page"/>
      </w:r>
    </w:p>
    <w:p>
      <w:pPr>
        <w:pStyle w:val="Heading1"/>
        <w:spacing w:before="0" w:after="100"/>
        <w:rPr/>
      </w:pPr>
      <w:r>
        <w:rPr>
          <w:rFonts w:ascii="Arial" w:hAnsi="Arial"/>
          <w:b/>
          <w:color w:val="8B0000"/>
          <w:sz w:val="28"/>
        </w:rPr>
        <w:t>3. KAYNES TECHNOLOGY</w:t>
      </w:r>
    </w:p>
    <w:p>
      <w:pPr>
        <w:pStyle w:val="Normal"/>
        <w:spacing w:lineRule="auto" w:line="259" w:before="0" w:after="100"/>
        <w:jc w:val="both"/>
        <w:rPr/>
      </w:pPr>
      <w:r>
        <w:rPr>
          <w:sz w:val="18"/>
        </w:rPr>
        <w:t>Kaynes Technology India Limited is an electronics manufacturing services and design company. Its annual reporting gives specific attention to hazardous waste, non-recyclable waste, authorised vendors, employee training, chemical substitution and EPR.</w:t>
      </w:r>
    </w:p>
    <w:p>
      <w:pPr>
        <w:pStyle w:val="Heading2"/>
        <w:spacing w:before="180" w:after="100"/>
        <w:rPr/>
      </w:pPr>
      <w:r>
        <w:rPr>
          <w:rFonts w:ascii="Arial" w:hAnsi="Arial"/>
          <w:b/>
          <w:color w:val="5B0000"/>
          <w:sz w:val="23"/>
        </w:rPr>
        <w:t>Regulations / practices documented as followed</w:t>
      </w:r>
    </w:p>
    <w:p>
      <w:pPr>
        <w:pStyle w:val="ListBullet"/>
        <w:numPr>
          <w:ilvl w:val="0"/>
          <w:numId w:val="1"/>
        </w:numPr>
        <w:spacing w:before="0" w:after="50"/>
        <w:contextualSpacing/>
        <w:rPr/>
      </w:pPr>
      <w:r>
        <w:rPr>
          <w:sz w:val="18"/>
        </w:rPr>
        <w:t>Hazardous and non-recyclable waste is channelled through authorised government-approved vendors.</w:t>
      </w:r>
    </w:p>
    <w:p>
      <w:pPr>
        <w:pStyle w:val="ListBullet"/>
        <w:numPr>
          <w:ilvl w:val="0"/>
          <w:numId w:val="1"/>
        </w:numPr>
        <w:spacing w:before="0" w:after="50"/>
        <w:contextualSpacing/>
        <w:rPr/>
      </w:pPr>
      <w:r>
        <w:rPr>
          <w:sz w:val="18"/>
        </w:rPr>
        <w:t>The company describes secure storage, traceability and documentation for hazardous waste.</w:t>
      </w:r>
    </w:p>
    <w:p>
      <w:pPr>
        <w:pStyle w:val="ListBullet"/>
        <w:numPr>
          <w:ilvl w:val="0"/>
          <w:numId w:val="1"/>
        </w:numPr>
        <w:spacing w:before="0" w:after="50"/>
        <w:contextualSpacing/>
        <w:rPr/>
      </w:pPr>
      <w:r>
        <w:rPr>
          <w:sz w:val="18"/>
        </w:rPr>
        <w:t>Kaynes reports regular employee training in waste handling, hazardous chemical use and emergency response.</w:t>
      </w:r>
    </w:p>
    <w:p>
      <w:pPr>
        <w:pStyle w:val="ListBullet"/>
        <w:numPr>
          <w:ilvl w:val="0"/>
          <w:numId w:val="1"/>
        </w:numPr>
        <w:spacing w:before="0" w:after="50"/>
        <w:contextualSpacing/>
        <w:rPr/>
      </w:pPr>
      <w:r>
        <w:rPr>
          <w:sz w:val="18"/>
        </w:rPr>
        <w:t>The company states that EPR is applicable to its operations and that waste collection and disposal practices are aligned with EPR plans submitted to Pollution Control Boards.</w:t>
      </w:r>
    </w:p>
    <w:p>
      <w:pPr>
        <w:pStyle w:val="ListBullet"/>
        <w:numPr>
          <w:ilvl w:val="0"/>
          <w:numId w:val="1"/>
        </w:numPr>
        <w:spacing w:before="0" w:after="50"/>
        <w:contextualSpacing/>
        <w:rPr/>
      </w:pPr>
      <w:r>
        <w:rPr>
          <w:sz w:val="18"/>
        </w:rPr>
        <w:t>The company reports use of authorised recyclers and registered waste processors for applicable EPR and recycling obligations.</w:t>
      </w:r>
    </w:p>
    <w:p>
      <w:pPr>
        <w:pStyle w:val="ListBullet"/>
        <w:numPr>
          <w:ilvl w:val="0"/>
          <w:numId w:val="1"/>
        </w:numPr>
        <w:spacing w:before="0" w:after="50"/>
        <w:contextualSpacing/>
        <w:rPr/>
      </w:pPr>
      <w:r>
        <w:rPr>
          <w:sz w:val="18"/>
        </w:rPr>
        <w:t>Kaynes states that toxic chemical use is reviewed and safer alternatives are adopted where possible.</w:t>
      </w:r>
    </w:p>
    <w:p>
      <w:pPr>
        <w:pStyle w:val="Heading2"/>
        <w:spacing w:before="180" w:after="100"/>
        <w:rPr/>
      </w:pPr>
      <w:r>
        <w:rPr>
          <w:rFonts w:ascii="Arial" w:hAnsi="Arial"/>
          <w:b/>
          <w:color w:val="5B0000"/>
          <w:sz w:val="23"/>
        </w:rPr>
        <w:t>Regulations / areas not fully demonstrated or documented gaps</w:t>
      </w:r>
    </w:p>
    <w:p>
      <w:pPr>
        <w:pStyle w:val="ListBullet"/>
        <w:numPr>
          <w:ilvl w:val="0"/>
          <w:numId w:val="1"/>
        </w:numPr>
        <w:spacing w:before="0" w:after="50"/>
        <w:contextualSpacing/>
        <w:rPr/>
      </w:pPr>
      <w:r>
        <w:rPr>
          <w:sz w:val="18"/>
        </w:rPr>
        <w:t>The reviewed public reporting does not provide a complete independent reconciliation of E-Waste EPR obligation, certificate purchases and actual recycling tonnage for every financial year.</w:t>
      </w:r>
    </w:p>
    <w:p>
      <w:pPr>
        <w:pStyle w:val="ListBullet"/>
        <w:numPr>
          <w:ilvl w:val="0"/>
          <w:numId w:val="1"/>
        </w:numPr>
        <w:spacing w:before="0" w:after="50"/>
        <w:contextualSpacing/>
        <w:rPr/>
      </w:pPr>
      <w:r>
        <w:rPr>
          <w:sz w:val="18"/>
        </w:rPr>
        <w:t>Direct product take-back/reclamation is not a major feature of the disclosed B2B EMS operating model.</w:t>
      </w:r>
    </w:p>
    <w:p>
      <w:pPr>
        <w:pStyle w:val="ListBullet"/>
        <w:numPr>
          <w:ilvl w:val="0"/>
          <w:numId w:val="1"/>
        </w:numPr>
        <w:spacing w:before="0" w:after="50"/>
        <w:contextualSpacing/>
        <w:rPr/>
      </w:pPr>
      <w:r>
        <w:rPr>
          <w:sz w:val="18"/>
        </w:rPr>
        <w:t>A disclosure gap should not be treated as a proven violation.</w:t>
      </w:r>
    </w:p>
    <w:p>
      <w:pPr>
        <w:pStyle w:val="Heading2"/>
        <w:spacing w:before="180" w:after="100"/>
        <w:rPr/>
      </w:pPr>
      <w:r>
        <w:rPr>
          <w:rFonts w:ascii="Arial" w:hAnsi="Arial"/>
          <w:b/>
          <w:color w:val="5B0000"/>
          <w:sz w:val="23"/>
        </w:rPr>
        <w:t>Regulatory concern / interpretation</w:t>
      </w:r>
    </w:p>
    <w:p>
      <w:pPr>
        <w:pStyle w:val="Normal"/>
        <w:spacing w:lineRule="auto" w:line="259" w:before="0" w:after="100"/>
        <w:jc w:val="both"/>
        <w:rPr/>
      </w:pPr>
      <w:r>
        <w:rPr>
          <w:sz w:val="18"/>
        </w:rPr>
        <w:t>No confirmed continuing E-Waste Rules violation was established from the reviewed sources. The company's disclosures instead indicate a formal system of authorised waste handling and EPR-aligned processes.</w:t>
      </w:r>
    </w:p>
    <w:p>
      <w:pPr>
        <w:pStyle w:val="Heading2"/>
        <w:spacing w:before="180" w:after="100"/>
        <w:rPr/>
      </w:pPr>
      <w:r>
        <w:rPr>
          <w:rFonts w:ascii="Arial" w:hAnsi="Arial"/>
          <w:b/>
          <w:color w:val="5B0000"/>
          <w:sz w:val="23"/>
        </w:rPr>
        <w:t>Compliance conclusion</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E8F3E8"/>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5B0000"/>
                <w:kern w:val="0"/>
                <w:sz w:val="19"/>
                <w:szCs w:val="22"/>
                <w:lang w:val="en-US" w:eastAsia="en-US" w:bidi="ar-SA"/>
              </w:rPr>
              <w:t>Assessment</w:t>
              <w:br/>
            </w:r>
            <w:r>
              <w:rPr>
                <w:rFonts w:eastAsia="ＭＳ 明朝" w:cs=""/>
                <w:kern w:val="0"/>
                <w:sz w:val="17"/>
                <w:szCs w:val="22"/>
                <w:lang w:val="en-US" w:eastAsia="en-US" w:bidi="ar-SA"/>
              </w:rPr>
              <w:t>Overall classification: &lt;b&gt;SUBSTANTIALLY COMPLIANT ON DOCUMENTED WASTE-MANAGEMENT AND EPR PROCESSES, WITH LIMITED PUBLIC DETAIL ON PRODUCT-LEVEL EPR PERFORMANCE.&lt;/b&gt;</w:t>
            </w:r>
          </w:p>
        </w:tc>
      </w:tr>
    </w:tbl>
    <w:p>
      <w:pPr>
        <w:pStyle w:val="Normal"/>
        <w:rPr/>
      </w:pPr>
      <w:r>
        <w:rPr/>
      </w:r>
    </w:p>
    <w:p>
      <w:pPr>
        <w:pStyle w:val="Heading2"/>
        <w:spacing w:before="180" w:after="100"/>
        <w:rPr/>
      </w:pPr>
      <w:r>
        <w:rPr>
          <w:rFonts w:ascii="Arial" w:hAnsi="Arial"/>
          <w:b/>
          <w:color w:val="5B0000"/>
          <w:sz w:val="23"/>
        </w:rPr>
        <w:t>Key sources</w:t>
      </w:r>
    </w:p>
    <w:p>
      <w:pPr>
        <w:pStyle w:val="ListBullet"/>
        <w:numPr>
          <w:ilvl w:val="0"/>
          <w:numId w:val="1"/>
        </w:numPr>
        <w:spacing w:before="0" w:after="50"/>
        <w:contextualSpacing/>
        <w:rPr/>
      </w:pPr>
      <w:r>
        <w:rPr>
          <w:sz w:val="18"/>
        </w:rPr>
        <w:t>Kaynes Technology India Limited, Annual Report FY2024-25.</w:t>
      </w:r>
    </w:p>
    <w:p>
      <w:pPr>
        <w:pStyle w:val="ListBullet"/>
        <w:numPr>
          <w:ilvl w:val="0"/>
          <w:numId w:val="1"/>
        </w:numPr>
        <w:spacing w:before="0" w:after="50"/>
        <w:contextualSpacing/>
        <w:rPr/>
      </w:pPr>
      <w:r>
        <w:rPr>
          <w:sz w:val="18"/>
        </w:rPr>
        <w:t>Kaynes Technology India Limited, Annual Report FY2025-26 disclosures on EPR and authorised waste processors.</w:t>
      </w:r>
    </w:p>
    <w:p>
      <w:pPr>
        <w:pStyle w:val="ListBullet"/>
        <w:numPr>
          <w:ilvl w:val="0"/>
          <w:numId w:val="1"/>
        </w:numPr>
        <w:spacing w:before="0" w:after="50"/>
        <w:contextualSpacing/>
        <w:rPr/>
      </w:pPr>
      <w:r>
        <w:rPr>
          <w:sz w:val="18"/>
        </w:rPr>
        <w:t>CPCB, FAQ under E-Waste (Management) Rules, 2022.</w:t>
      </w:r>
    </w:p>
    <w:p>
      <w:pPr>
        <w:pStyle w:val="Normal"/>
        <w:rPr/>
      </w:pPr>
      <w:r>
        <w:rPr/>
      </w:r>
      <w:r>
        <w:br w:type="page"/>
      </w:r>
    </w:p>
    <w:p>
      <w:pPr>
        <w:pStyle w:val="Heading1"/>
        <w:spacing w:before="0" w:after="100"/>
        <w:rPr/>
      </w:pPr>
      <w:r>
        <w:rPr>
          <w:rFonts w:ascii="Arial" w:hAnsi="Arial"/>
          <w:b/>
          <w:color w:val="8B0000"/>
          <w:sz w:val="28"/>
        </w:rPr>
        <w:t>4. TATA ELECTRONICS</w:t>
      </w:r>
    </w:p>
    <w:p>
      <w:pPr>
        <w:pStyle w:val="Normal"/>
        <w:spacing w:lineRule="auto" w:line="259" w:before="0" w:after="100"/>
        <w:jc w:val="both"/>
        <w:rPr/>
      </w:pPr>
      <w:r>
        <w:rPr>
          <w:sz w:val="18"/>
        </w:rPr>
        <w:t>Tata Electronics is a major Indian electronics manufacturing company. Its regulatory assessment is especially important because of the environmental scrutiny of its Hosur facility in 2026. The event primarily concerned wastewater and Consent-to-Operate/environmental norms rather than a confirmed E-Waste Management Rules violation.</w:t>
      </w:r>
    </w:p>
    <w:p>
      <w:pPr>
        <w:pStyle w:val="Heading2"/>
        <w:spacing w:before="180" w:after="100"/>
        <w:rPr/>
      </w:pPr>
      <w:r>
        <w:rPr>
          <w:rFonts w:ascii="Arial" w:hAnsi="Arial"/>
          <w:b/>
          <w:color w:val="5B0000"/>
          <w:sz w:val="23"/>
        </w:rPr>
        <w:t>Regulations / practices documented as followed</w:t>
      </w:r>
    </w:p>
    <w:p>
      <w:pPr>
        <w:pStyle w:val="ListBullet"/>
        <w:numPr>
          <w:ilvl w:val="0"/>
          <w:numId w:val="1"/>
        </w:numPr>
        <w:spacing w:before="0" w:after="50"/>
        <w:contextualSpacing/>
        <w:rPr/>
      </w:pPr>
      <w:r>
        <w:rPr>
          <w:sz w:val="18"/>
        </w:rPr>
        <w:t>Tata Electronics operates under formal environmental regulatory oversight and consent frameworks applicable to its manufacturing facilities.</w:t>
      </w:r>
    </w:p>
    <w:p>
      <w:pPr>
        <w:pStyle w:val="ListBullet"/>
        <w:numPr>
          <w:ilvl w:val="0"/>
          <w:numId w:val="1"/>
        </w:numPr>
        <w:spacing w:before="0" w:after="50"/>
        <w:contextualSpacing/>
        <w:rPr/>
      </w:pPr>
      <w:r>
        <w:rPr>
          <w:sz w:val="18"/>
        </w:rPr>
        <w:t>Government regulatory records demonstrate that used electrical/electronic equipment and end-of-life disposal are considered within applicable environmental and e-waste conditions where relevant.</w:t>
      </w:r>
    </w:p>
    <w:p>
      <w:pPr>
        <w:pStyle w:val="ListBullet"/>
        <w:numPr>
          <w:ilvl w:val="0"/>
          <w:numId w:val="1"/>
        </w:numPr>
        <w:spacing w:before="0" w:after="50"/>
        <w:contextualSpacing/>
        <w:rPr/>
      </w:pPr>
      <w:r>
        <w:rPr>
          <w:sz w:val="18"/>
        </w:rPr>
        <w:t>The company responded to the TNPCB show-cause process and provided environmental testing/assessment information.</w:t>
      </w:r>
    </w:p>
    <w:p>
      <w:pPr>
        <w:pStyle w:val="Heading2"/>
        <w:spacing w:before="180" w:after="100"/>
        <w:rPr/>
      </w:pPr>
      <w:r>
        <w:rPr>
          <w:rFonts w:ascii="Arial" w:hAnsi="Arial"/>
          <w:b/>
          <w:color w:val="5B0000"/>
          <w:sz w:val="23"/>
        </w:rPr>
        <w:t>Regulations / areas not fully demonstrated or documented gaps</w:t>
      </w:r>
    </w:p>
    <w:p>
      <w:pPr>
        <w:pStyle w:val="ListBullet"/>
        <w:numPr>
          <w:ilvl w:val="0"/>
          <w:numId w:val="1"/>
        </w:numPr>
        <w:spacing w:before="0" w:after="50"/>
        <w:contextualSpacing/>
        <w:rPr/>
      </w:pPr>
      <w:r>
        <w:rPr>
          <w:sz w:val="18"/>
        </w:rPr>
        <w:t>A TNPCB show-cause notice dated 25 May 2026 raised allegations concerning Consent-to-Operate conditions and possible groundwater contamination associated with wastewater discharge from the Hosur facility.</w:t>
      </w:r>
    </w:p>
    <w:p>
      <w:pPr>
        <w:pStyle w:val="ListBullet"/>
        <w:numPr>
          <w:ilvl w:val="0"/>
          <w:numId w:val="1"/>
        </w:numPr>
        <w:spacing w:before="0" w:after="50"/>
        <w:contextualSpacing/>
        <w:rPr/>
      </w:pPr>
      <w:r>
        <w:rPr>
          <w:sz w:val="18"/>
        </w:rPr>
        <w:t>The notice was a significant regulatory concern at the time, but it should not be presented as a final finding of continuing violation.</w:t>
      </w:r>
    </w:p>
    <w:p>
      <w:pPr>
        <w:pStyle w:val="ListBullet"/>
        <w:numPr>
          <w:ilvl w:val="0"/>
          <w:numId w:val="1"/>
        </w:numPr>
        <w:spacing w:before="0" w:after="50"/>
        <w:contextualSpacing/>
        <w:rPr/>
      </w:pPr>
      <w:r>
        <w:rPr>
          <w:sz w:val="18"/>
        </w:rPr>
        <w:t>Public material reviewed does not establish a confirmed breach of the E-Waste Management Rules themselves.</w:t>
      </w:r>
    </w:p>
    <w:p>
      <w:pPr>
        <w:pStyle w:val="Heading2"/>
        <w:spacing w:before="180" w:after="100"/>
        <w:rPr/>
      </w:pPr>
      <w:r>
        <w:rPr>
          <w:rFonts w:ascii="Arial" w:hAnsi="Arial"/>
          <w:b/>
          <w:color w:val="5B0000"/>
          <w:sz w:val="23"/>
        </w:rPr>
        <w:t>Regulatory concern / interpretation</w:t>
      </w:r>
    </w:p>
    <w:p>
      <w:pPr>
        <w:pStyle w:val="Normal"/>
        <w:spacing w:lineRule="auto" w:line="259" w:before="0" w:after="100"/>
        <w:jc w:val="both"/>
        <w:rPr/>
      </w:pPr>
      <w:r>
        <w:rPr>
          <w:sz w:val="18"/>
        </w:rPr>
        <w:t>TNPCB subsequently closed the proceedings after reviewing water-sample analysis and the company's response. Reporting stated that the regulator's tests found key indicators within permissible limits and no evidence of contamination. The case therefore moved from regulatory concern to closure.</w:t>
      </w:r>
    </w:p>
    <w:p>
      <w:pPr>
        <w:pStyle w:val="Heading2"/>
        <w:spacing w:before="180" w:after="100"/>
        <w:rPr/>
      </w:pPr>
      <w:r>
        <w:rPr>
          <w:rFonts w:ascii="Arial" w:hAnsi="Arial"/>
          <w:b/>
          <w:color w:val="5B0000"/>
          <w:sz w:val="23"/>
        </w:rPr>
        <w:t>Compliance conclusion</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FF2CC"/>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5B0000"/>
                <w:kern w:val="0"/>
                <w:sz w:val="19"/>
                <w:szCs w:val="22"/>
                <w:lang w:val="en-US" w:eastAsia="en-US" w:bidi="ar-SA"/>
              </w:rPr>
              <w:t>Assessment</w:t>
              <w:br/>
            </w:r>
            <w:r>
              <w:rPr>
                <w:rFonts w:eastAsia="ＭＳ 明朝" w:cs=""/>
                <w:kern w:val="0"/>
                <w:sz w:val="17"/>
                <w:szCs w:val="22"/>
                <w:lang w:val="en-US" w:eastAsia="en-US" w:bidi="ar-SA"/>
              </w:rPr>
              <w:t>Overall classification: &lt;b&gt;REGULATORY CONCERN IN 2026 — SUBSEQUENTLY CLOSED; NO CONFIRMED CONTINUING E-WASTE RULES VIOLATION ESTABLISHED IN THE REVIEWED SOURCES.&lt;/b&gt;</w:t>
            </w:r>
          </w:p>
        </w:tc>
      </w:tr>
    </w:tbl>
    <w:p>
      <w:pPr>
        <w:pStyle w:val="Normal"/>
        <w:rPr/>
      </w:pPr>
      <w:r>
        <w:rPr/>
      </w:r>
    </w:p>
    <w:p>
      <w:pPr>
        <w:pStyle w:val="Heading2"/>
        <w:spacing w:before="180" w:after="100"/>
        <w:rPr/>
      </w:pPr>
      <w:r>
        <w:rPr>
          <w:rFonts w:ascii="Arial" w:hAnsi="Arial"/>
          <w:b/>
          <w:color w:val="5B0000"/>
          <w:sz w:val="23"/>
        </w:rPr>
        <w:t>Key sources</w:t>
      </w:r>
    </w:p>
    <w:p>
      <w:pPr>
        <w:pStyle w:val="ListBullet"/>
        <w:numPr>
          <w:ilvl w:val="0"/>
          <w:numId w:val="1"/>
        </w:numPr>
        <w:spacing w:before="0" w:after="50"/>
        <w:contextualSpacing/>
        <w:rPr/>
      </w:pPr>
      <w:r>
        <w:rPr>
          <w:sz w:val="18"/>
        </w:rPr>
        <w:t>Tamil Nadu Pollution Control Board regulatory reporting as covered by current news reports.</w:t>
      </w:r>
    </w:p>
    <w:p>
      <w:pPr>
        <w:pStyle w:val="ListBullet"/>
        <w:numPr>
          <w:ilvl w:val="0"/>
          <w:numId w:val="1"/>
        </w:numPr>
        <w:spacing w:before="0" w:after="50"/>
        <w:contextualSpacing/>
        <w:rPr/>
      </w:pPr>
      <w:r>
        <w:rPr>
          <w:sz w:val="18"/>
        </w:rPr>
        <w:t>The New Indian Express, 17 June 2026: TNPCB closes proceedings against Tata Electronics after water-quality review.</w:t>
      </w:r>
    </w:p>
    <w:p>
      <w:pPr>
        <w:pStyle w:val="ListBullet"/>
        <w:numPr>
          <w:ilvl w:val="0"/>
          <w:numId w:val="1"/>
        </w:numPr>
        <w:spacing w:before="0" w:after="50"/>
        <w:contextualSpacing/>
        <w:rPr/>
      </w:pPr>
      <w:r>
        <w:rPr>
          <w:sz w:val="18"/>
        </w:rPr>
        <w:t>DT Next, 14 June 2026: report on 25 May 2026 show-cause notice.</w:t>
      </w:r>
    </w:p>
    <w:p>
      <w:pPr>
        <w:pStyle w:val="ListBullet"/>
        <w:numPr>
          <w:ilvl w:val="0"/>
          <w:numId w:val="1"/>
        </w:numPr>
        <w:spacing w:before="0" w:after="50"/>
        <w:contextualSpacing/>
        <w:rPr/>
      </w:pPr>
      <w:r>
        <w:rPr>
          <w:sz w:val="18"/>
        </w:rPr>
        <w:t>Economic Times, 17 June 2026: report on TNPCB dropping further action.</w:t>
      </w:r>
    </w:p>
    <w:p>
      <w:pPr>
        <w:pStyle w:val="ListBullet"/>
        <w:numPr>
          <w:ilvl w:val="0"/>
          <w:numId w:val="1"/>
        </w:numPr>
        <w:spacing w:before="0" w:after="50"/>
        <w:contextualSpacing/>
        <w:rPr/>
      </w:pPr>
      <w:r>
        <w:rPr>
          <w:sz w:val="18"/>
        </w:rPr>
        <w:t>CPCB, FAQ under E-Waste (Management) Rules, 2022.</w:t>
      </w:r>
    </w:p>
    <w:p>
      <w:pPr>
        <w:pStyle w:val="Normal"/>
        <w:rPr/>
      </w:pPr>
      <w:r>
        <w:rPr/>
      </w:r>
      <w:r>
        <w:br w:type="page"/>
      </w:r>
    </w:p>
    <w:p>
      <w:pPr>
        <w:pStyle w:val="Heading1"/>
        <w:spacing w:before="0" w:after="100"/>
        <w:rPr/>
      </w:pPr>
      <w:r>
        <w:rPr>
          <w:rFonts w:ascii="Arial" w:hAnsi="Arial"/>
          <w:b/>
          <w:color w:val="8B0000"/>
          <w:sz w:val="28"/>
        </w:rPr>
        <w:t>5. SYRMA SGS TECHNOLOGY</w:t>
      </w:r>
    </w:p>
    <w:p>
      <w:pPr>
        <w:pStyle w:val="Normal"/>
        <w:spacing w:lineRule="auto" w:line="259" w:before="0" w:after="100"/>
        <w:jc w:val="both"/>
        <w:rPr/>
      </w:pPr>
      <w:r>
        <w:rPr>
          <w:sz w:val="18"/>
        </w:rPr>
        <w:t>Syrma SGS Technology is a B2B electronics manufacturing company. Its FY2024-25 reporting provides direct evidence of environmental management through ISO 14001 practices, waste minimisation and product stewardship requirements including RoHS and REACH.</w:t>
      </w:r>
    </w:p>
    <w:p>
      <w:pPr>
        <w:pStyle w:val="Heading2"/>
        <w:spacing w:before="180" w:after="100"/>
        <w:rPr/>
      </w:pPr>
      <w:r>
        <w:rPr>
          <w:rFonts w:ascii="Arial" w:hAnsi="Arial"/>
          <w:b/>
          <w:color w:val="5B0000"/>
          <w:sz w:val="23"/>
        </w:rPr>
        <w:t>Regulations / practices documented as followed</w:t>
      </w:r>
    </w:p>
    <w:p>
      <w:pPr>
        <w:pStyle w:val="ListBullet"/>
        <w:numPr>
          <w:ilvl w:val="0"/>
          <w:numId w:val="1"/>
        </w:numPr>
        <w:spacing w:before="0" w:after="50"/>
        <w:contextualSpacing/>
        <w:rPr/>
      </w:pPr>
      <w:r>
        <w:rPr>
          <w:sz w:val="18"/>
        </w:rPr>
        <w:t>Waste-management practices are implemented in compliance with ISO 14001 environmental management principles.</w:t>
      </w:r>
    </w:p>
    <w:p>
      <w:pPr>
        <w:pStyle w:val="ListBullet"/>
        <w:numPr>
          <w:ilvl w:val="0"/>
          <w:numId w:val="1"/>
        </w:numPr>
        <w:spacing w:before="0" w:after="50"/>
        <w:contextualSpacing/>
        <w:rPr/>
      </w:pPr>
      <w:r>
        <w:rPr>
          <w:sz w:val="18"/>
        </w:rPr>
        <w:t>The company reports Reduce and Re-use practices to minimise waste and promote circularity.</w:t>
      </w:r>
    </w:p>
    <w:p>
      <w:pPr>
        <w:pStyle w:val="ListBullet"/>
        <w:numPr>
          <w:ilvl w:val="0"/>
          <w:numId w:val="1"/>
        </w:numPr>
        <w:spacing w:before="0" w:after="50"/>
        <w:contextualSpacing/>
        <w:rPr/>
      </w:pPr>
      <w:r>
        <w:rPr>
          <w:sz w:val="18"/>
        </w:rPr>
        <w:t>Syrma SGS reports use of lead-free, RoHS- and REACH-compliant solder paste and bars, which are recycled and reused.</w:t>
      </w:r>
    </w:p>
    <w:p>
      <w:pPr>
        <w:pStyle w:val="ListBullet"/>
        <w:numPr>
          <w:ilvl w:val="0"/>
          <w:numId w:val="1"/>
        </w:numPr>
        <w:spacing w:before="0" w:after="50"/>
        <w:contextualSpacing/>
        <w:rPr/>
      </w:pPr>
      <w:r>
        <w:rPr>
          <w:sz w:val="18"/>
        </w:rPr>
        <w:t>The company maintains product standards and certifications relevant to product stewardship and lifecycle integrity.</w:t>
      </w:r>
    </w:p>
    <w:p>
      <w:pPr>
        <w:pStyle w:val="ListBullet"/>
        <w:numPr>
          <w:ilvl w:val="0"/>
          <w:numId w:val="1"/>
        </w:numPr>
        <w:spacing w:before="0" w:after="50"/>
        <w:contextualSpacing/>
        <w:rPr/>
      </w:pPr>
      <w:r>
        <w:rPr>
          <w:sz w:val="18"/>
        </w:rPr>
        <w:t>The company has disclosed environmental compliance frameworks that include E-Waste Management Rules in its broader regulatory context.</w:t>
      </w:r>
    </w:p>
    <w:p>
      <w:pPr>
        <w:pStyle w:val="Heading2"/>
        <w:spacing w:before="180" w:after="100"/>
        <w:rPr/>
      </w:pPr>
      <w:r>
        <w:rPr>
          <w:rFonts w:ascii="Arial" w:hAnsi="Arial"/>
          <w:b/>
          <w:color w:val="5B0000"/>
          <w:sz w:val="23"/>
        </w:rPr>
        <w:t>Regulations / areas not fully demonstrated or documented gaps</w:t>
      </w:r>
    </w:p>
    <w:p>
      <w:pPr>
        <w:pStyle w:val="ListBullet"/>
        <w:numPr>
          <w:ilvl w:val="0"/>
          <w:numId w:val="1"/>
        </w:numPr>
        <w:spacing w:before="0" w:after="50"/>
        <w:contextualSpacing/>
        <w:rPr/>
      </w:pPr>
      <w:r>
        <w:rPr>
          <w:sz w:val="18"/>
        </w:rPr>
        <w:t>The public annual report does not provide a complete product-level E-Waste EPR certificate reconciliation for every current financial year.</w:t>
      </w:r>
    </w:p>
    <w:p>
      <w:pPr>
        <w:pStyle w:val="ListBullet"/>
        <w:numPr>
          <w:ilvl w:val="0"/>
          <w:numId w:val="1"/>
        </w:numPr>
        <w:spacing w:before="0" w:after="50"/>
        <w:contextualSpacing/>
        <w:rPr/>
      </w:pPr>
      <w:r>
        <w:rPr>
          <w:sz w:val="18"/>
        </w:rPr>
        <w:t>As a B2B manufacturer, the company may not directly control the post-consumer stage of products sold under customer brands.</w:t>
      </w:r>
    </w:p>
    <w:p>
      <w:pPr>
        <w:pStyle w:val="ListBullet"/>
        <w:numPr>
          <w:ilvl w:val="0"/>
          <w:numId w:val="1"/>
        </w:numPr>
        <w:spacing w:before="0" w:after="50"/>
        <w:contextualSpacing/>
        <w:rPr/>
      </w:pPr>
      <w:r>
        <w:rPr>
          <w:sz w:val="18"/>
        </w:rPr>
        <w:t>No confirmed E-Waste Rules violation was established in the reviewed public sources.</w:t>
      </w:r>
    </w:p>
    <w:p>
      <w:pPr>
        <w:pStyle w:val="Heading2"/>
        <w:spacing w:before="180" w:after="100"/>
        <w:rPr/>
      </w:pPr>
      <w:r>
        <w:rPr>
          <w:rFonts w:ascii="Arial" w:hAnsi="Arial"/>
          <w:b/>
          <w:color w:val="5B0000"/>
          <w:sz w:val="23"/>
        </w:rPr>
        <w:t>Regulatory concern / interpretation</w:t>
      </w:r>
    </w:p>
    <w:p>
      <w:pPr>
        <w:pStyle w:val="Normal"/>
        <w:spacing w:lineRule="auto" w:line="259" w:before="0" w:after="100"/>
        <w:jc w:val="both"/>
        <w:rPr/>
      </w:pPr>
      <w:r>
        <w:rPr>
          <w:sz w:val="18"/>
        </w:rPr>
        <w:t>The main issue is evidence depth rather than a documented violation. Strong environmental and product-stewardship systems are publicly described, but detailed EPR performance data is less visible.</w:t>
      </w:r>
    </w:p>
    <w:p>
      <w:pPr>
        <w:pStyle w:val="Heading2"/>
        <w:spacing w:before="180" w:after="100"/>
        <w:rPr/>
      </w:pPr>
      <w:r>
        <w:rPr>
          <w:rFonts w:ascii="Arial" w:hAnsi="Arial"/>
          <w:b/>
          <w:color w:val="5B0000"/>
          <w:sz w:val="23"/>
        </w:rPr>
        <w:t>Compliance conclusion</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E8F3E8"/>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5B0000"/>
                <w:kern w:val="0"/>
                <w:sz w:val="19"/>
                <w:szCs w:val="22"/>
                <w:lang w:val="en-US" w:eastAsia="en-US" w:bidi="ar-SA"/>
              </w:rPr>
              <w:t>Assessment</w:t>
              <w:br/>
            </w:r>
            <w:r>
              <w:rPr>
                <w:rFonts w:eastAsia="ＭＳ 明朝" w:cs=""/>
                <w:kern w:val="0"/>
                <w:sz w:val="17"/>
                <w:szCs w:val="22"/>
                <w:lang w:val="en-US" w:eastAsia="en-US" w:bidi="ar-SA"/>
              </w:rPr>
              <w:t>Overall classification: &lt;b&gt;SUBSTANTIALLY COMPLIANT IN DOCUMENTED ENVIRONMENTAL AND PRODUCT-STEWARDSHIP AREAS; DETAILED E-WASTE EPR PERFORMANCE NOT FULLY PUBLICLY DEMONSTRATED.&lt;/b&gt;</w:t>
            </w:r>
          </w:p>
        </w:tc>
      </w:tr>
    </w:tbl>
    <w:p>
      <w:pPr>
        <w:pStyle w:val="Normal"/>
        <w:rPr/>
      </w:pPr>
      <w:r>
        <w:rPr/>
      </w:r>
    </w:p>
    <w:p>
      <w:pPr>
        <w:pStyle w:val="Heading2"/>
        <w:spacing w:before="180" w:after="100"/>
        <w:rPr/>
      </w:pPr>
      <w:r>
        <w:rPr>
          <w:rFonts w:ascii="Arial" w:hAnsi="Arial"/>
          <w:b/>
          <w:color w:val="5B0000"/>
          <w:sz w:val="23"/>
        </w:rPr>
        <w:t>Key sources</w:t>
      </w:r>
    </w:p>
    <w:p>
      <w:pPr>
        <w:pStyle w:val="ListBullet"/>
        <w:numPr>
          <w:ilvl w:val="0"/>
          <w:numId w:val="1"/>
        </w:numPr>
        <w:spacing w:before="0" w:after="50"/>
        <w:contextualSpacing/>
        <w:rPr/>
      </w:pPr>
      <w:r>
        <w:rPr>
          <w:sz w:val="18"/>
        </w:rPr>
        <w:t>Syrma SGS Technology Limited, Annual Report 2024-25.</w:t>
      </w:r>
    </w:p>
    <w:p>
      <w:pPr>
        <w:pStyle w:val="ListBullet"/>
        <w:numPr>
          <w:ilvl w:val="0"/>
          <w:numId w:val="1"/>
        </w:numPr>
        <w:spacing w:before="0" w:after="50"/>
        <w:contextualSpacing/>
        <w:rPr/>
      </w:pPr>
      <w:r>
        <w:rPr>
          <w:sz w:val="18"/>
        </w:rPr>
        <w:t>Syrma SGS investor-relations disclosures.</w:t>
      </w:r>
    </w:p>
    <w:p>
      <w:pPr>
        <w:pStyle w:val="ListBullet"/>
        <w:numPr>
          <w:ilvl w:val="0"/>
          <w:numId w:val="1"/>
        </w:numPr>
        <w:spacing w:before="0" w:after="50"/>
        <w:contextualSpacing/>
        <w:rPr/>
      </w:pPr>
      <w:r>
        <w:rPr>
          <w:sz w:val="18"/>
        </w:rPr>
        <w:t>CPCB, FAQ under E-Waste (Management) Rules, 2022.</w:t>
      </w:r>
    </w:p>
    <w:p>
      <w:pPr>
        <w:pStyle w:val="Normal"/>
        <w:rPr/>
      </w:pPr>
      <w:r>
        <w:rPr/>
      </w:r>
      <w:r>
        <w:br w:type="page"/>
      </w:r>
    </w:p>
    <w:p>
      <w:pPr>
        <w:pStyle w:val="Heading1"/>
        <w:spacing w:before="0" w:after="100"/>
        <w:rPr/>
      </w:pPr>
      <w:r>
        <w:rPr>
          <w:rFonts w:ascii="Arial" w:hAnsi="Arial"/>
          <w:b/>
          <w:color w:val="8B0000"/>
          <w:sz w:val="28"/>
        </w:rPr>
        <w:t>COMPARATIVE ANALYSIS OF THE FIVE COMPANIES</w:t>
      </w:r>
    </w:p>
    <w:p>
      <w:pPr>
        <w:pStyle w:val="Normal"/>
        <w:spacing w:lineRule="auto" w:line="259" w:before="0" w:after="100"/>
        <w:jc w:val="both"/>
        <w:rPr/>
      </w:pPr>
      <w:r>
        <w:rPr>
          <w:sz w:val="18"/>
        </w:rPr>
        <w:t>The matrix below consolidates the company-level assessment. It deliberately uses evidence categories rather than a simplistic pass/fail label, because several companies are B2B manufacturers and because public reporting does not always disclose every EPR metric.</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56"/>
        <w:gridCol w:w="1655"/>
        <w:gridCol w:w="1657"/>
        <w:gridCol w:w="1656"/>
        <w:gridCol w:w="1655"/>
        <w:gridCol w:w="1656"/>
      </w:tblGrid>
      <w:tr>
        <w:trPr>
          <w:tblHeader w:val="true"/>
        </w:trPr>
        <w:tc>
          <w:tcPr>
            <w:tcW w:w="1656"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4"/>
                <w:szCs w:val="22"/>
                <w:lang w:val="en-US" w:eastAsia="en-US" w:bidi="ar-SA"/>
              </w:rPr>
              <w:t>Requirement / area</w:t>
            </w:r>
          </w:p>
        </w:tc>
        <w:tc>
          <w:tcPr>
            <w:tcW w:w="1655"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4"/>
                <w:szCs w:val="22"/>
                <w:lang w:val="en-US" w:eastAsia="en-US" w:bidi="ar-SA"/>
              </w:rPr>
              <w:t>Foxconn India</w:t>
            </w:r>
          </w:p>
        </w:tc>
        <w:tc>
          <w:tcPr>
            <w:tcW w:w="1657"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4"/>
                <w:szCs w:val="22"/>
                <w:lang w:val="en-US" w:eastAsia="en-US" w:bidi="ar-SA"/>
              </w:rPr>
              <w:t>Dixon</w:t>
            </w:r>
          </w:p>
        </w:tc>
        <w:tc>
          <w:tcPr>
            <w:tcW w:w="1656"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4"/>
                <w:szCs w:val="22"/>
                <w:lang w:val="en-US" w:eastAsia="en-US" w:bidi="ar-SA"/>
              </w:rPr>
              <w:t>Kaynes</w:t>
            </w:r>
          </w:p>
        </w:tc>
        <w:tc>
          <w:tcPr>
            <w:tcW w:w="1655"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4"/>
                <w:szCs w:val="22"/>
                <w:lang w:val="en-US" w:eastAsia="en-US" w:bidi="ar-SA"/>
              </w:rPr>
              <w:t>Tata Electronics</w:t>
            </w:r>
          </w:p>
        </w:tc>
        <w:tc>
          <w:tcPr>
            <w:tcW w:w="1656"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4"/>
                <w:szCs w:val="22"/>
                <w:lang w:val="en-US" w:eastAsia="en-US" w:bidi="ar-SA"/>
              </w:rPr>
              <w:t>Syrma SGS</w:t>
            </w:r>
          </w:p>
        </w:tc>
      </w:tr>
      <w:tr>
        <w:trPr/>
        <w:tc>
          <w:tcPr>
            <w:tcW w:w="16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Formal environmental management</w:t>
            </w:r>
          </w:p>
        </w:tc>
        <w:tc>
          <w:tcPr>
            <w:tcW w:w="16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Documented at group level; India included in sustainability boundary.</w:t>
            </w:r>
          </w:p>
        </w:tc>
        <w:tc>
          <w:tcPr>
            <w:tcW w:w="165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Documented.</w:t>
            </w:r>
          </w:p>
        </w:tc>
        <w:tc>
          <w:tcPr>
            <w:tcW w:w="16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Documented.</w:t>
            </w:r>
          </w:p>
        </w:tc>
        <w:tc>
          <w:tcPr>
            <w:tcW w:w="16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Documented regulatory oversight.</w:t>
            </w:r>
          </w:p>
        </w:tc>
        <w:tc>
          <w:tcPr>
            <w:tcW w:w="16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Documented; ISO 14001 practices.</w:t>
            </w:r>
          </w:p>
        </w:tc>
      </w:tr>
      <w:tr>
        <w:trPr/>
        <w:tc>
          <w:tcPr>
            <w:tcW w:w="1656"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Use of authorised recyclers / waste channels</w:t>
            </w:r>
          </w:p>
        </w:tc>
        <w:tc>
          <w:tcPr>
            <w:tcW w:w="1655"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Formal group waste-management system; India-specific detail limited.</w:t>
            </w:r>
          </w:p>
        </w:tc>
        <w:tc>
          <w:tcPr>
            <w:tcW w:w="1657"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Yes — authorised third-party recyclers.</w:t>
            </w:r>
          </w:p>
        </w:tc>
        <w:tc>
          <w:tcPr>
            <w:tcW w:w="1656"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Yes — authorised government-approved vendors/recyclers.</w:t>
            </w:r>
          </w:p>
        </w:tc>
        <w:tc>
          <w:tcPr>
            <w:tcW w:w="1655"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Regulated environmental systems; detailed e-waste channel data limited.</w:t>
            </w:r>
          </w:p>
        </w:tc>
        <w:tc>
          <w:tcPr>
            <w:tcW w:w="1656"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Waste recycling/reuse and regulated environmental practices documented.</w:t>
            </w:r>
          </w:p>
        </w:tc>
      </w:tr>
      <w:tr>
        <w:trPr/>
        <w:tc>
          <w:tcPr>
            <w:tcW w:w="16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RoHS / hazardous substance control</w:t>
            </w:r>
          </w:p>
        </w:tc>
        <w:tc>
          <w:tcPr>
            <w:tcW w:w="16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Group environmental/product controls; detailed India evidence limited.</w:t>
            </w:r>
          </w:p>
        </w:tc>
        <w:tc>
          <w:tcPr>
            <w:tcW w:w="165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Yes — explicit restrictions on hazardous substances.</w:t>
            </w:r>
          </w:p>
        </w:tc>
        <w:tc>
          <w:tcPr>
            <w:tcW w:w="16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Environmental/product controls reported; detailed product-level figures limited.</w:t>
            </w:r>
          </w:p>
        </w:tc>
        <w:tc>
          <w:tcPr>
            <w:tcW w:w="16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Not enough public evidence for a full company-specific RoHS assessment in reviewed sources.</w:t>
            </w:r>
          </w:p>
        </w:tc>
        <w:tc>
          <w:tcPr>
            <w:tcW w:w="16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Yes — RoHS/REACH and lead-free materials explicitly reported.</w:t>
            </w:r>
          </w:p>
        </w:tc>
      </w:tr>
      <w:tr>
        <w:trPr/>
        <w:tc>
          <w:tcPr>
            <w:tcW w:w="1656"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EPR applicability / implementation</w:t>
            </w:r>
          </w:p>
        </w:tc>
        <w:tc>
          <w:tcPr>
            <w:tcW w:w="1655"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Not fully demonstrated at India-specific level.</w:t>
            </w:r>
          </w:p>
        </w:tc>
        <w:tc>
          <w:tcPr>
            <w:tcW w:w="1657"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EPR context applies where Dixon is the statutory producer; detailed certificate data not publicly reconciled.</w:t>
            </w:r>
          </w:p>
        </w:tc>
        <w:tc>
          <w:tcPr>
            <w:tcW w:w="1656"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Yes — company states EPR is applicable and aligned with PCB plans.</w:t>
            </w:r>
          </w:p>
        </w:tc>
        <w:tc>
          <w:tcPr>
            <w:tcW w:w="1655"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Applicable depending on product/role; public evidence reviewed does not establish a confirmed E-Waste breach.</w:t>
            </w:r>
          </w:p>
        </w:tc>
        <w:tc>
          <w:tcPr>
            <w:tcW w:w="1656"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E-waste compliance framework disclosed; detailed EPR performance not fully public.</w:t>
            </w:r>
          </w:p>
        </w:tc>
      </w:tr>
      <w:tr>
        <w:trPr/>
        <w:tc>
          <w:tcPr>
            <w:tcW w:w="16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Direct end-of-life take-back</w:t>
            </w:r>
          </w:p>
        </w:tc>
        <w:tc>
          <w:tcPr>
            <w:tcW w:w="16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Not publicly demonstrated for India-specific EMS operations.</w:t>
            </w:r>
          </w:p>
        </w:tc>
        <w:tc>
          <w:tcPr>
            <w:tcW w:w="165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Limited — company says it does not reclaim end-of-life products due to B2B model.</w:t>
            </w:r>
          </w:p>
        </w:tc>
        <w:tc>
          <w:tcPr>
            <w:tcW w:w="16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Limited / not a major disclosed feature.</w:t>
            </w:r>
          </w:p>
        </w:tc>
        <w:tc>
          <w:tcPr>
            <w:tcW w:w="16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Not established in reviewed evidence.</w:t>
            </w:r>
          </w:p>
        </w:tc>
        <w:tc>
          <w:tcPr>
            <w:tcW w:w="16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Limited due to B2B/customer-brand model.</w:t>
            </w:r>
          </w:p>
        </w:tc>
      </w:tr>
      <w:tr>
        <w:trPr/>
        <w:tc>
          <w:tcPr>
            <w:tcW w:w="1656"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Regulatory notice / concern</w:t>
            </w:r>
          </w:p>
        </w:tc>
        <w:tc>
          <w:tcPr>
            <w:tcW w:w="1655"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No confirmed continuing E-waste violation found.</w:t>
            </w:r>
          </w:p>
        </w:tc>
        <w:tc>
          <w:tcPr>
            <w:tcW w:w="1657"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No confirmed E-waste violation found in reviewed sources.</w:t>
            </w:r>
          </w:p>
        </w:tc>
        <w:tc>
          <w:tcPr>
            <w:tcW w:w="1656"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No confirmed continuing E-waste violation found.</w:t>
            </w:r>
          </w:p>
        </w:tc>
        <w:tc>
          <w:tcPr>
            <w:tcW w:w="1655"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2026 TNPCB show-cause notice; later proceedings closed.</w:t>
            </w:r>
          </w:p>
        </w:tc>
        <w:tc>
          <w:tcPr>
            <w:tcW w:w="1656"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No confirmed E-waste violation found.</w:t>
            </w:r>
          </w:p>
        </w:tc>
      </w:tr>
      <w:tr>
        <w:trPr/>
        <w:tc>
          <w:tcPr>
            <w:tcW w:w="16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Overall assessment</w:t>
            </w:r>
          </w:p>
        </w:tc>
        <w:tc>
          <w:tcPr>
            <w:tcW w:w="16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Environmental systems documented; India-specific EPR evidence gap.</w:t>
            </w:r>
          </w:p>
        </w:tc>
        <w:tc>
          <w:tcPr>
            <w:tcW w:w="165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Strong operational compliance; B2B take-back limitation.</w:t>
            </w:r>
          </w:p>
        </w:tc>
        <w:tc>
          <w:tcPr>
            <w:tcW w:w="16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Substantially compliant on documented waste/EPR processes.</w:t>
            </w:r>
          </w:p>
        </w:tc>
        <w:tc>
          <w:tcPr>
            <w:tcW w:w="16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Regulatory concern subsequently closed; no confirmed E-waste breach established.</w:t>
            </w:r>
          </w:p>
        </w:tc>
        <w:tc>
          <w:tcPr>
            <w:tcW w:w="16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Substantially compliant; detailed EPR metrics less public.</w:t>
            </w:r>
          </w:p>
        </w:tc>
      </w:tr>
    </w:tbl>
    <w:p>
      <w:pPr>
        <w:pStyle w:val="Normal"/>
        <w:rPr/>
      </w:pPr>
      <w:r>
        <w:rPr/>
      </w:r>
    </w:p>
    <w:p>
      <w:pPr>
        <w:pStyle w:val="Heading2"/>
        <w:spacing w:before="180" w:after="100"/>
        <w:rPr/>
      </w:pPr>
      <w:r>
        <w:rPr>
          <w:rFonts w:ascii="Arial" w:hAnsi="Arial"/>
          <w:b/>
          <w:color w:val="5B0000"/>
          <w:sz w:val="23"/>
        </w:rPr>
        <w:t>What the comparison shows</w:t>
      </w:r>
    </w:p>
    <w:p>
      <w:pPr>
        <w:pStyle w:val="ListBullet"/>
        <w:numPr>
          <w:ilvl w:val="0"/>
          <w:numId w:val="1"/>
        </w:numPr>
        <w:spacing w:before="0" w:after="50"/>
        <w:contextualSpacing/>
        <w:rPr/>
      </w:pPr>
      <w:r>
        <w:rPr>
          <w:sz w:val="18"/>
        </w:rPr>
        <w:t>Dixon provides the clearest public statement that waste is sent to government-authorised recyclers and that hazardous substances are restricted.</w:t>
      </w:r>
    </w:p>
    <w:p>
      <w:pPr>
        <w:pStyle w:val="ListBullet"/>
        <w:numPr>
          <w:ilvl w:val="0"/>
          <w:numId w:val="1"/>
        </w:numPr>
        <w:spacing w:before="0" w:after="50"/>
        <w:contextualSpacing/>
        <w:rPr/>
      </w:pPr>
      <w:r>
        <w:rPr>
          <w:sz w:val="18"/>
        </w:rPr>
        <w:t>Kaynes provides strong public evidence of authorised hazardous-waste handling and EPR-aligned processes.</w:t>
      </w:r>
    </w:p>
    <w:p>
      <w:pPr>
        <w:pStyle w:val="ListBullet"/>
        <w:numPr>
          <w:ilvl w:val="0"/>
          <w:numId w:val="1"/>
        </w:numPr>
        <w:spacing w:before="0" w:after="50"/>
        <w:contextualSpacing/>
        <w:rPr/>
      </w:pPr>
      <w:r>
        <w:rPr>
          <w:sz w:val="18"/>
        </w:rPr>
        <w:t>Syrma SGS provides strong evidence for ISO 14001-based waste management and RoHS/REACH product stewardship.</w:t>
      </w:r>
    </w:p>
    <w:p>
      <w:pPr>
        <w:pStyle w:val="ListBullet"/>
        <w:numPr>
          <w:ilvl w:val="0"/>
          <w:numId w:val="1"/>
        </w:numPr>
        <w:spacing w:before="0" w:after="50"/>
        <w:contextualSpacing/>
        <w:rPr/>
      </w:pPr>
      <w:r>
        <w:rPr>
          <w:sz w:val="18"/>
        </w:rPr>
        <w:t>Foxconn has robust group-level sustainability and waste-management systems, but the public material reviewed is less granular for India-specific E-Waste EPR performance.</w:t>
      </w:r>
    </w:p>
    <w:p>
      <w:pPr>
        <w:pStyle w:val="ListBullet"/>
        <w:numPr>
          <w:ilvl w:val="0"/>
          <w:numId w:val="1"/>
        </w:numPr>
        <w:spacing w:before="0" w:after="50"/>
        <w:contextualSpacing/>
        <w:rPr/>
      </w:pPr>
      <w:r>
        <w:rPr>
          <w:sz w:val="18"/>
        </w:rPr>
        <w:t>Tata Electronics demonstrates why environmental compliance is broader than e-waste: the 2026 Hosur event concerned wastewater/groundwater and consent conditions, and the proceedings were later closed.</w:t>
      </w:r>
    </w:p>
    <w:p>
      <w:pPr>
        <w:pStyle w:val="Normal"/>
        <w:rPr/>
      </w:pPr>
      <w:r>
        <w:rPr/>
      </w:r>
      <w:r>
        <w:br w:type="page"/>
      </w:r>
    </w:p>
    <w:p>
      <w:pPr>
        <w:pStyle w:val="Heading1"/>
        <w:spacing w:before="0" w:after="100"/>
        <w:rPr/>
      </w:pPr>
      <w:r>
        <w:rPr>
          <w:rFonts w:ascii="Arial" w:hAnsi="Arial"/>
          <w:b/>
          <w:color w:val="8B0000"/>
          <w:sz w:val="28"/>
        </w:rPr>
        <w:t>REGULATIONS FOLLOWED AND REGULATIONS NOT FULLY DEMONSTRATED</w:t>
      </w:r>
    </w:p>
    <w:p>
      <w:pPr>
        <w:pStyle w:val="Normal"/>
        <w:spacing w:lineRule="auto" w:line="259" w:before="0" w:after="100"/>
        <w:jc w:val="both"/>
        <w:rPr/>
      </w:pPr>
      <w:r>
        <w:rPr>
          <w:sz w:val="18"/>
        </w:rPr>
        <w:t>The user's requested distinction between regulations being followed and regulations not being followed is summarised below. For academic accuracy, 'not followed' is used only where the evidence establishes a shortfall. In all other cases, the report uses 'not publicly demonstrated', 'limited' or 'regulatory concern'.</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84"/>
        <w:gridCol w:w="2484"/>
        <w:gridCol w:w="2484"/>
        <w:gridCol w:w="2483"/>
      </w:tblGrid>
      <w:tr>
        <w:trPr>
          <w:tblHeader w:val="true"/>
        </w:trPr>
        <w:tc>
          <w:tcPr>
            <w:tcW w:w="2484"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4"/>
                <w:szCs w:val="22"/>
                <w:lang w:val="en-US" w:eastAsia="en-US" w:bidi="ar-SA"/>
              </w:rPr>
              <w:t>Company</w:t>
            </w:r>
          </w:p>
        </w:tc>
        <w:tc>
          <w:tcPr>
            <w:tcW w:w="2484"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4"/>
                <w:szCs w:val="22"/>
                <w:lang w:val="en-US" w:eastAsia="en-US" w:bidi="ar-SA"/>
              </w:rPr>
              <w:t>Clearly documented as followed</w:t>
            </w:r>
          </w:p>
        </w:tc>
        <w:tc>
          <w:tcPr>
            <w:tcW w:w="2484"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4"/>
                <w:szCs w:val="22"/>
                <w:lang w:val="en-US" w:eastAsia="en-US" w:bidi="ar-SA"/>
              </w:rPr>
              <w:t>Not fully demonstrated / limitation</w:t>
            </w:r>
          </w:p>
        </w:tc>
        <w:tc>
          <w:tcPr>
            <w:tcW w:w="2483"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4"/>
                <w:szCs w:val="22"/>
                <w:lang w:val="en-US" w:eastAsia="en-US" w:bidi="ar-SA"/>
              </w:rPr>
              <w:t>Confirmed violation?</w:t>
            </w:r>
          </w:p>
        </w:tc>
      </w:tr>
      <w:tr>
        <w:trPr/>
        <w:tc>
          <w:tcPr>
            <w:tcW w:w="24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Foxconn India</w:t>
            </w:r>
          </w:p>
        </w:tc>
        <w:tc>
          <w:tcPr>
            <w:tcW w:w="24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Group environmental management; circular economy/waste controls; formal sustainability reporting covering India.</w:t>
            </w:r>
          </w:p>
        </w:tc>
        <w:tc>
          <w:tcPr>
            <w:tcW w:w="24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India-specific E-Waste EPR target/certificate data; exact producer status by product.</w:t>
            </w:r>
          </w:p>
        </w:tc>
        <w:tc>
          <w:tcPr>
            <w:tcW w:w="248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None established in reviewed sources.</w:t>
            </w:r>
          </w:p>
        </w:tc>
      </w:tr>
      <w:tr>
        <w:trPr/>
        <w:tc>
          <w:tcPr>
            <w:tcW w:w="2484"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Dixon Technologies</w:t>
            </w:r>
          </w:p>
        </w:tc>
        <w:tc>
          <w:tcPr>
            <w:tcW w:w="2484"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Authorised recyclers; waste segregation; Zero Waste to Landfill; hazardous material controls; RoHS-oriented substance restrictions.</w:t>
            </w:r>
          </w:p>
        </w:tc>
        <w:tc>
          <w:tcPr>
            <w:tcW w:w="2484"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Direct end-of-life product reclamation is not performed under the disclosed B2B model; detailed EPR certificate reconciliation not public.</w:t>
            </w:r>
          </w:p>
        </w:tc>
        <w:tc>
          <w:tcPr>
            <w:tcW w:w="2483"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None established in reviewed sources.</w:t>
            </w:r>
          </w:p>
        </w:tc>
      </w:tr>
      <w:tr>
        <w:trPr/>
        <w:tc>
          <w:tcPr>
            <w:tcW w:w="24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Kaynes Technology</w:t>
            </w:r>
          </w:p>
        </w:tc>
        <w:tc>
          <w:tcPr>
            <w:tcW w:w="24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Authorised government-approved waste vendors; hazardous waste controls; EPR plan alignment; registered recyclers/waste processors.</w:t>
            </w:r>
          </w:p>
        </w:tc>
        <w:tc>
          <w:tcPr>
            <w:tcW w:w="24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Detailed annual EPR certificate quantities and direct product take-back not fully disclosed.</w:t>
            </w:r>
          </w:p>
        </w:tc>
        <w:tc>
          <w:tcPr>
            <w:tcW w:w="248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None established in reviewed sources.</w:t>
            </w:r>
          </w:p>
        </w:tc>
      </w:tr>
      <w:tr>
        <w:trPr/>
        <w:tc>
          <w:tcPr>
            <w:tcW w:w="2484"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Tata Electronics</w:t>
            </w:r>
          </w:p>
        </w:tc>
        <w:tc>
          <w:tcPr>
            <w:tcW w:w="2484"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Formal environmental oversight; response to TNPCB process; subsequent closure of proceedings.</w:t>
            </w:r>
          </w:p>
        </w:tc>
        <w:tc>
          <w:tcPr>
            <w:tcW w:w="2484"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May 2026 wastewater/groundwater regulatory concern; detailed company-specific EPR data not established from reviewed sources.</w:t>
            </w:r>
          </w:p>
        </w:tc>
        <w:tc>
          <w:tcPr>
            <w:tcW w:w="2483"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No continuing violation established; TNPCB proceedings later closed.</w:t>
            </w:r>
          </w:p>
        </w:tc>
      </w:tr>
      <w:tr>
        <w:trPr/>
        <w:tc>
          <w:tcPr>
            <w:tcW w:w="24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Syrma SGS Technology</w:t>
            </w:r>
          </w:p>
        </w:tc>
        <w:tc>
          <w:tcPr>
            <w:tcW w:w="24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ISO 14001 waste management; Reduce/Reuse; RoHS/REACH; lead-free materials; environmental/product stewardship.</w:t>
            </w:r>
          </w:p>
        </w:tc>
        <w:tc>
          <w:tcPr>
            <w:tcW w:w="24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Detailed E-Waste EPR certificate/target data not fully public; direct post-consumer control limited by B2B model.</w:t>
            </w:r>
          </w:p>
        </w:tc>
        <w:tc>
          <w:tcPr>
            <w:tcW w:w="248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4"/>
                <w:szCs w:val="22"/>
                <w:lang w:val="en-US" w:eastAsia="en-US" w:bidi="ar-SA"/>
              </w:rPr>
              <w:t>None established in reviewed sources.</w:t>
            </w:r>
          </w:p>
        </w:tc>
      </w:tr>
    </w:tbl>
    <w:p>
      <w:pPr>
        <w:pStyle w:val="Normal"/>
        <w:rPr/>
      </w:pPr>
      <w:r>
        <w:rPr/>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4E6E6"/>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5B0000"/>
                <w:kern w:val="0"/>
                <w:sz w:val="19"/>
                <w:szCs w:val="22"/>
                <w:lang w:val="en-US" w:eastAsia="en-US" w:bidi="ar-SA"/>
              </w:rPr>
              <w:t>Important distinction</w:t>
              <w:br/>
            </w:r>
            <w:r>
              <w:rPr>
                <w:rFonts w:eastAsia="ＭＳ 明朝" w:cs=""/>
                <w:kern w:val="0"/>
                <w:sz w:val="17"/>
                <w:szCs w:val="22"/>
                <w:lang w:val="en-US" w:eastAsia="en-US" w:bidi="ar-SA"/>
              </w:rPr>
              <w:t>A company can have a compliance gap without having a proven violation. For example, not publishing an EPR certificate number is not the same as failing to purchase an EPR certificate. Likewise, a show-cause notice is evidence of regulatory scrutiny, not necessarily a final finding of liability.</w:t>
            </w:r>
          </w:p>
        </w:tc>
      </w:tr>
    </w:tbl>
    <w:p>
      <w:pPr>
        <w:pStyle w:val="Normal"/>
        <w:rPr/>
      </w:pPr>
      <w:r>
        <w:rPr/>
      </w:r>
    </w:p>
    <w:p>
      <w:pPr>
        <w:pStyle w:val="Normal"/>
        <w:rPr/>
      </w:pPr>
      <w:r>
        <w:rPr/>
      </w:r>
      <w:r>
        <w:br w:type="page"/>
      </w:r>
    </w:p>
    <w:p>
      <w:pPr>
        <w:pStyle w:val="Heading1"/>
        <w:spacing w:before="0" w:after="100"/>
        <w:rPr/>
      </w:pPr>
      <w:r>
        <w:rPr>
          <w:rFonts w:ascii="Arial" w:hAnsi="Arial"/>
          <w:b/>
          <w:color w:val="8B0000"/>
          <w:sz w:val="28"/>
        </w:rPr>
        <w:t>FINDINGS, CONCLUSION AND RECOMMENDATIONS</w:t>
      </w:r>
    </w:p>
    <w:p>
      <w:pPr>
        <w:pStyle w:val="Heading2"/>
        <w:spacing w:before="180" w:after="100"/>
        <w:rPr/>
      </w:pPr>
      <w:r>
        <w:rPr>
          <w:rFonts w:ascii="Arial" w:hAnsi="Arial"/>
          <w:b/>
          <w:color w:val="5B0000"/>
          <w:sz w:val="23"/>
        </w:rPr>
        <w:t>Findings</w:t>
      </w:r>
    </w:p>
    <w:p>
      <w:pPr>
        <w:pStyle w:val="ListBullet"/>
        <w:numPr>
          <w:ilvl w:val="0"/>
          <w:numId w:val="1"/>
        </w:numPr>
        <w:spacing w:before="0" w:after="50"/>
        <w:contextualSpacing/>
        <w:rPr/>
      </w:pPr>
      <w:r>
        <w:rPr>
          <w:sz w:val="18"/>
        </w:rPr>
        <w:t>India's current E-Waste Management Rules 2022 place substantial emphasis on EPR, registered recyclers, portal-based certificates, RoHS, returns, audits and environmentally sound management.</w:t>
      </w:r>
    </w:p>
    <w:p>
      <w:pPr>
        <w:pStyle w:val="ListBullet"/>
        <w:numPr>
          <w:ilvl w:val="0"/>
          <w:numId w:val="1"/>
        </w:numPr>
        <w:spacing w:before="0" w:after="50"/>
        <w:contextualSpacing/>
        <w:rPr/>
      </w:pPr>
      <w:r>
        <w:rPr>
          <w:sz w:val="18"/>
        </w:rPr>
        <w:t>The rules apply differently depending on whether an electronics company is a manufacturer, producer, recycler, refurbisher or another covered stakeholder.</w:t>
      </w:r>
    </w:p>
    <w:p>
      <w:pPr>
        <w:pStyle w:val="ListBullet"/>
        <w:numPr>
          <w:ilvl w:val="0"/>
          <w:numId w:val="1"/>
        </w:numPr>
        <w:spacing w:before="0" w:after="50"/>
        <w:contextualSpacing/>
        <w:rPr/>
      </w:pPr>
      <w:r>
        <w:rPr>
          <w:sz w:val="18"/>
        </w:rPr>
        <w:t>Operational waste management is generally better disclosed by the companies than product-level EPR performance.</w:t>
      </w:r>
    </w:p>
    <w:p>
      <w:pPr>
        <w:pStyle w:val="ListBullet"/>
        <w:numPr>
          <w:ilvl w:val="0"/>
          <w:numId w:val="1"/>
        </w:numPr>
        <w:spacing w:before="0" w:after="50"/>
        <w:contextualSpacing/>
        <w:rPr/>
      </w:pPr>
      <w:r>
        <w:rPr>
          <w:sz w:val="18"/>
        </w:rPr>
        <w:t>Dixon's B2B model creates a disclosed limitation on direct end-of-life product reclamation, but that limitation is not automatically a violation.</w:t>
      </w:r>
    </w:p>
    <w:p>
      <w:pPr>
        <w:pStyle w:val="ListBullet"/>
        <w:numPr>
          <w:ilvl w:val="0"/>
          <w:numId w:val="1"/>
        </w:numPr>
        <w:spacing w:before="0" w:after="50"/>
        <w:contextualSpacing/>
        <w:rPr/>
      </w:pPr>
      <w:r>
        <w:rPr>
          <w:sz w:val="18"/>
        </w:rPr>
        <w:t>Kaynes publicly states that EPR is applicable and that its waste collection/disposal practices are aligned with EPR plans submitted to Pollution Control Boards.</w:t>
      </w:r>
    </w:p>
    <w:p>
      <w:pPr>
        <w:pStyle w:val="ListBullet"/>
        <w:numPr>
          <w:ilvl w:val="0"/>
          <w:numId w:val="1"/>
        </w:numPr>
        <w:spacing w:before="0" w:after="50"/>
        <w:contextualSpacing/>
        <w:rPr/>
      </w:pPr>
      <w:r>
        <w:rPr>
          <w:sz w:val="18"/>
        </w:rPr>
        <w:t>Syrma SGS publicly reports ISO 14001 environmental management, RoHS/REACH product stewardship and lead-free materials that are recycled/reused.</w:t>
      </w:r>
    </w:p>
    <w:p>
      <w:pPr>
        <w:pStyle w:val="ListBullet"/>
        <w:numPr>
          <w:ilvl w:val="0"/>
          <w:numId w:val="1"/>
        </w:numPr>
        <w:spacing w:before="0" w:after="50"/>
        <w:contextualSpacing/>
        <w:rPr/>
      </w:pPr>
      <w:r>
        <w:rPr>
          <w:sz w:val="18"/>
        </w:rPr>
        <w:t>Foxconn's group-level sustainability framework demonstrates formal environmental and waste-management systems and includes India, but India-specific EPR performance is not sufficiently granular in the reviewed material.</w:t>
      </w:r>
    </w:p>
    <w:p>
      <w:pPr>
        <w:pStyle w:val="ListBullet"/>
        <w:numPr>
          <w:ilvl w:val="0"/>
          <w:numId w:val="1"/>
        </w:numPr>
        <w:spacing w:before="0" w:after="50"/>
        <w:contextualSpacing/>
        <w:rPr/>
      </w:pPr>
      <w:r>
        <w:rPr>
          <w:sz w:val="18"/>
        </w:rPr>
        <w:t>Tata Electronics experienced significant environmental regulatory scrutiny in 2026 at Hosur, but subsequent reporting stated that TNPCB closed the proceedings after reviewing water-quality results.</w:t>
      </w:r>
    </w:p>
    <w:p>
      <w:pPr>
        <w:pStyle w:val="ListBullet"/>
        <w:numPr>
          <w:ilvl w:val="0"/>
          <w:numId w:val="1"/>
        </w:numPr>
        <w:spacing w:before="0" w:after="50"/>
        <w:contextualSpacing/>
        <w:rPr/>
      </w:pPr>
      <w:r>
        <w:rPr>
          <w:sz w:val="18"/>
        </w:rPr>
        <w:t>No company in this review should be labelled a confirmed continuing violator of the E-Waste Management Rules solely on the basis of a missing disclosure or a non-E-waste environmental notice.</w:t>
      </w:r>
    </w:p>
    <w:p>
      <w:pPr>
        <w:pStyle w:val="Heading2"/>
        <w:spacing w:before="180" w:after="100"/>
        <w:rPr/>
      </w:pPr>
      <w:r>
        <w:rPr>
          <w:rFonts w:ascii="Arial" w:hAnsi="Arial"/>
          <w:b/>
          <w:color w:val="5B0000"/>
          <w:sz w:val="23"/>
        </w:rPr>
        <w:t>Conclusion</w:t>
      </w:r>
    </w:p>
    <w:p>
      <w:pPr>
        <w:pStyle w:val="Normal"/>
        <w:spacing w:lineRule="auto" w:line="259" w:before="0" w:after="100"/>
        <w:jc w:val="both"/>
        <w:rPr/>
      </w:pPr>
      <w:r>
        <w:rPr>
          <w:sz w:val="18"/>
        </w:rPr>
        <w:t>The comparative assessment demonstrates that compliance with e-waste law is not limited to sending scrap to a recycler. It includes identifying the company's legal role, registration where required, meeting EPR obligations, using registered recyclers, maintaining records, meeting RoHS requirements and ensuring environmentally sound management.</w:t>
      </w:r>
    </w:p>
    <w:p>
      <w:pPr>
        <w:pStyle w:val="Normal"/>
        <w:spacing w:lineRule="auto" w:line="259" w:before="0" w:after="100"/>
        <w:jc w:val="both"/>
        <w:rPr/>
      </w:pPr>
      <w:r>
        <w:rPr>
          <w:sz w:val="18"/>
        </w:rPr>
        <w:t>The five companies show different compliance profiles. Dixon has the strongest publicly explicit operational disclosure on authorised recycling and hazardous-substance restrictions. Kaynes provides detailed evidence of authorised waste handling and EPR alignment. Syrma SGS shows strong environmental management and RoHS/REACH product stewardship. Foxconn demonstrates a formal group-level environmental system but requires more India-specific public EPR detail for a precise company-level compliance calculation. Tata Electronics illustrates the importance of wider environmental compliance because its major 2026 regulatory event related to wastewater and groundwater rather than a confirmed e-waste breach.</w:t>
      </w:r>
    </w:p>
    <w:p>
      <w:pPr>
        <w:pStyle w:val="Normal"/>
        <w:spacing w:lineRule="auto" w:line="259" w:before="0" w:after="100"/>
        <w:jc w:val="both"/>
        <w:rPr/>
      </w:pPr>
      <w:r>
        <w:rPr>
          <w:sz w:val="18"/>
        </w:rPr>
        <w:t>The most important conclusion is methodological: public sustainability reporting can demonstrate systems and practices, but a definitive legal compliance determination should be based on the applicable company's statutory role, EPR portal records, consent/authorisation documents, audits and regulator findings. Therefore, this report identifies documented compliance and evidence gaps without overstating allegations.</w:t>
      </w:r>
    </w:p>
    <w:p>
      <w:pPr>
        <w:pStyle w:val="Heading2"/>
        <w:spacing w:before="180" w:after="100"/>
        <w:rPr/>
      </w:pPr>
      <w:r>
        <w:rPr>
          <w:rFonts w:ascii="Arial" w:hAnsi="Arial"/>
          <w:b/>
          <w:color w:val="5B0000"/>
          <w:sz w:val="23"/>
        </w:rPr>
        <w:t>Recommendations</w:t>
      </w:r>
    </w:p>
    <w:p>
      <w:pPr>
        <w:pStyle w:val="ListNumber"/>
        <w:numPr>
          <w:ilvl w:val="0"/>
          <w:numId w:val="4"/>
        </w:numPr>
        <w:spacing w:before="0" w:after="60"/>
        <w:contextualSpacing/>
        <w:rPr/>
      </w:pPr>
      <w:r>
        <w:rPr>
          <w:sz w:val="18"/>
        </w:rPr>
        <w:t>Publish annual India-specific E-Waste EPR dashboards showing obligation, quantity recycled, EPR certificates purchased, recycler names and verification status.</w:t>
      </w:r>
    </w:p>
    <w:p>
      <w:pPr>
        <w:pStyle w:val="ListNumber"/>
        <w:numPr>
          <w:ilvl w:val="0"/>
          <w:numId w:val="4"/>
        </w:numPr>
        <w:spacing w:before="0" w:after="60"/>
        <w:contextualSpacing/>
        <w:rPr/>
      </w:pPr>
      <w:r>
        <w:rPr>
          <w:sz w:val="18"/>
        </w:rPr>
        <w:t>Clearly identify which legal entity is the 'producer' for each major EEE category and brand/customer arrangement.</w:t>
      </w:r>
    </w:p>
    <w:p>
      <w:pPr>
        <w:pStyle w:val="ListNumber"/>
        <w:numPr>
          <w:ilvl w:val="0"/>
          <w:numId w:val="4"/>
        </w:numPr>
        <w:spacing w:before="0" w:after="60"/>
        <w:contextualSpacing/>
        <w:rPr/>
      </w:pPr>
      <w:r>
        <w:rPr>
          <w:sz w:val="18"/>
        </w:rPr>
        <w:t>Maintain an auditable chain of custody for manufacturing e-waste from generation through registered recycling and final residue treatment.</w:t>
      </w:r>
    </w:p>
    <w:p>
      <w:pPr>
        <w:pStyle w:val="ListNumber"/>
        <w:numPr>
          <w:ilvl w:val="0"/>
          <w:numId w:val="4"/>
        </w:numPr>
        <w:spacing w:before="0" w:after="60"/>
        <w:contextualSpacing/>
        <w:rPr/>
      </w:pPr>
      <w:r>
        <w:rPr>
          <w:sz w:val="18"/>
        </w:rPr>
        <w:t>Publish RoHS declarations and technical-document availability in a form that can be independently understood by customers and regulators.</w:t>
      </w:r>
    </w:p>
    <w:p>
      <w:pPr>
        <w:pStyle w:val="ListNumber"/>
        <w:numPr>
          <w:ilvl w:val="0"/>
          <w:numId w:val="4"/>
        </w:numPr>
        <w:spacing w:before="0" w:after="60"/>
        <w:contextualSpacing/>
        <w:rPr/>
      </w:pPr>
      <w:r>
        <w:rPr>
          <w:sz w:val="18"/>
        </w:rPr>
        <w:t>Where B2B arrangements limit direct take-back, establish contractual responsibility matrices identifying the brand owner, manufacturer and recycler responsibilities.</w:t>
      </w:r>
    </w:p>
    <w:p>
      <w:pPr>
        <w:pStyle w:val="ListNumber"/>
        <w:numPr>
          <w:ilvl w:val="0"/>
          <w:numId w:val="4"/>
        </w:numPr>
        <w:spacing w:before="0" w:after="60"/>
        <w:contextualSpacing/>
        <w:rPr/>
      </w:pPr>
      <w:r>
        <w:rPr>
          <w:sz w:val="18"/>
        </w:rPr>
        <w:t>Integrate e-waste, hazardous waste, plastic waste and battery waste dashboards while keeping the legal obligations for each waste stream clearly separated.</w:t>
      </w:r>
    </w:p>
    <w:p>
      <w:pPr>
        <w:pStyle w:val="ListNumber"/>
        <w:numPr>
          <w:ilvl w:val="0"/>
          <w:numId w:val="4"/>
        </w:numPr>
        <w:spacing w:before="0" w:after="60"/>
        <w:contextualSpacing/>
        <w:rPr/>
      </w:pPr>
      <w:r>
        <w:rPr>
          <w:sz w:val="18"/>
        </w:rPr>
        <w:t>Conduct periodic third-party compliance audits covering EPR registration, certificates, recycler registration status, waste manifests, invoices and RoHS documentation.</w:t>
      </w:r>
    </w:p>
    <w:p>
      <w:pPr>
        <w:pStyle w:val="ListNumber"/>
        <w:numPr>
          <w:ilvl w:val="0"/>
          <w:numId w:val="4"/>
        </w:numPr>
        <w:spacing w:before="0" w:after="60"/>
        <w:contextualSpacing/>
        <w:rPr/>
      </w:pPr>
      <w:r>
        <w:rPr>
          <w:sz w:val="18"/>
        </w:rPr>
        <w:t>Use lifecycle assessment, material flow analysis and circular-design principles to reduce waste at the product-design stage, consistent with the conceptual recommendations of the supplied article.</w:t>
      </w:r>
    </w:p>
    <w:p>
      <w:pPr>
        <w:pStyle w:val="ListNumber"/>
        <w:numPr>
          <w:ilvl w:val="0"/>
          <w:numId w:val="4"/>
        </w:numPr>
        <w:spacing w:before="0" w:after="60"/>
        <w:contextualSpacing/>
        <w:rPr/>
      </w:pPr>
      <w:r>
        <w:rPr>
          <w:sz w:val="18"/>
        </w:rPr>
        <w:t>Improve public disclosure of regulatory notices and closure outcomes so that stakeholders can distinguish allegations from final findings.</w:t>
      </w:r>
    </w:p>
    <w:p>
      <w:pPr>
        <w:pStyle w:val="ListNumber"/>
        <w:numPr>
          <w:ilvl w:val="0"/>
          <w:numId w:val="4"/>
        </w:numPr>
        <w:spacing w:before="0" w:after="60"/>
        <w:contextualSpacing/>
        <w:rPr/>
      </w:pPr>
      <w:r>
        <w:rPr>
          <w:sz w:val="18"/>
        </w:rPr>
        <w:t>Continue employee training and supplier controls for hazardous substances, waste segregation, emergency response and environmental compliance.</w:t>
      </w:r>
    </w:p>
    <w:p>
      <w:pPr>
        <w:pStyle w:val="Normal"/>
        <w:rPr/>
      </w:pPr>
      <w:r>
        <w:rPr/>
      </w:r>
      <w:r>
        <w:br w:type="page"/>
      </w:r>
    </w:p>
    <w:p>
      <w:pPr>
        <w:pStyle w:val="Heading1"/>
        <w:spacing w:before="0" w:after="100"/>
        <w:rPr/>
      </w:pPr>
      <w:r>
        <w:rPr>
          <w:rFonts w:ascii="Arial" w:hAnsi="Arial"/>
          <w:b/>
          <w:color w:val="8B0000"/>
          <w:sz w:val="28"/>
        </w:rPr>
        <w:t>REFERENCES</w:t>
      </w:r>
    </w:p>
    <w:p>
      <w:pPr>
        <w:pStyle w:val="ListNumber"/>
        <w:numPr>
          <w:ilvl w:val="0"/>
          <w:numId w:val="4"/>
        </w:numPr>
        <w:spacing w:before="0" w:after="80"/>
        <w:contextualSpacing/>
        <w:rPr/>
      </w:pPr>
      <w:r>
        <w:rPr>
          <w:sz w:val="17"/>
        </w:rPr>
        <w:t>Chadha, Anuradha. “Law Relating to E-Waste, its Impacts and Disposal Management.” Neuro Quantology, August 2022, Volume 20, Issue 9, pp. 1264–1273. DOI: 10.14704/nq.2022.20.9.NQ44143. Supplied by the user as the structural reference document.</w:t>
      </w:r>
    </w:p>
    <w:p>
      <w:pPr>
        <w:pStyle w:val="ListNumber"/>
        <w:numPr>
          <w:ilvl w:val="0"/>
          <w:numId w:val="4"/>
        </w:numPr>
        <w:spacing w:before="0" w:after="80"/>
        <w:contextualSpacing/>
        <w:rPr/>
      </w:pPr>
      <w:r>
        <w:rPr>
          <w:sz w:val="17"/>
        </w:rPr>
        <w:t>Central Pollution Control Board (CPCB). Frequently Asked Questions (FAQ) under E-Waste (Management) Rules, 2022 and amendments thereafter. 23 January 2024.</w:t>
      </w:r>
    </w:p>
    <w:p>
      <w:pPr>
        <w:pStyle w:val="ListNumber"/>
        <w:numPr>
          <w:ilvl w:val="0"/>
          <w:numId w:val="4"/>
        </w:numPr>
        <w:spacing w:before="0" w:after="80"/>
        <w:contextualSpacing/>
        <w:rPr/>
      </w:pPr>
      <w:r>
        <w:rPr>
          <w:sz w:val="17"/>
        </w:rPr>
        <w:t>Government of India / Ministry of Environment, Forest and Climate Change. E-Waste (Management) Rules, 2022 and subsequent amendments.</w:t>
      </w:r>
    </w:p>
    <w:p>
      <w:pPr>
        <w:pStyle w:val="ListNumber"/>
        <w:numPr>
          <w:ilvl w:val="0"/>
          <w:numId w:val="4"/>
        </w:numPr>
        <w:spacing w:before="0" w:after="80"/>
        <w:contextualSpacing/>
        <w:rPr/>
      </w:pPr>
      <w:r>
        <w:rPr>
          <w:sz w:val="17"/>
        </w:rPr>
        <w:t>Dixon Technologies (India) Limited. Integrated Annual Report 2024-25.</w:t>
      </w:r>
    </w:p>
    <w:p>
      <w:pPr>
        <w:pStyle w:val="ListNumber"/>
        <w:numPr>
          <w:ilvl w:val="0"/>
          <w:numId w:val="4"/>
        </w:numPr>
        <w:spacing w:before="0" w:after="80"/>
        <w:contextualSpacing/>
        <w:rPr/>
      </w:pPr>
      <w:r>
        <w:rPr>
          <w:sz w:val="17"/>
        </w:rPr>
        <w:t>Kaynes Technology India Limited. Annual Report FY2024-25.</w:t>
      </w:r>
    </w:p>
    <w:p>
      <w:pPr>
        <w:pStyle w:val="ListNumber"/>
        <w:numPr>
          <w:ilvl w:val="0"/>
          <w:numId w:val="4"/>
        </w:numPr>
        <w:spacing w:before="0" w:after="80"/>
        <w:contextualSpacing/>
        <w:rPr/>
      </w:pPr>
      <w:r>
        <w:rPr>
          <w:sz w:val="17"/>
        </w:rPr>
        <w:t>Kaynes Technology India Limited. Annual Report FY2025-26 / environmental and EPR disclosures.</w:t>
      </w:r>
    </w:p>
    <w:p>
      <w:pPr>
        <w:pStyle w:val="ListNumber"/>
        <w:numPr>
          <w:ilvl w:val="0"/>
          <w:numId w:val="4"/>
        </w:numPr>
        <w:spacing w:before="0" w:after="80"/>
        <w:contextualSpacing/>
        <w:rPr/>
      </w:pPr>
      <w:r>
        <w:rPr>
          <w:sz w:val="17"/>
        </w:rPr>
        <w:t>Syrma SGS Technology Limited. Annual Report 2024-25.</w:t>
      </w:r>
    </w:p>
    <w:p>
      <w:pPr>
        <w:pStyle w:val="ListNumber"/>
        <w:numPr>
          <w:ilvl w:val="0"/>
          <w:numId w:val="4"/>
        </w:numPr>
        <w:spacing w:before="0" w:after="80"/>
        <w:contextualSpacing/>
        <w:rPr/>
      </w:pPr>
      <w:r>
        <w:rPr>
          <w:sz w:val="17"/>
        </w:rPr>
        <w:t>Hon Hai Technology Group (Foxconn). 2024 Sustainability Report.</w:t>
      </w:r>
    </w:p>
    <w:p>
      <w:pPr>
        <w:pStyle w:val="ListNumber"/>
        <w:numPr>
          <w:ilvl w:val="0"/>
          <w:numId w:val="4"/>
        </w:numPr>
        <w:spacing w:before="0" w:after="80"/>
        <w:contextualSpacing/>
        <w:rPr/>
      </w:pPr>
      <w:r>
        <w:rPr>
          <w:sz w:val="17"/>
        </w:rPr>
        <w:t>Hon Hai Technology Group (Foxconn). Focus – Environment: Water, Waste and Air Pollution Management.</w:t>
      </w:r>
    </w:p>
    <w:p>
      <w:pPr>
        <w:pStyle w:val="ListNumber"/>
        <w:numPr>
          <w:ilvl w:val="0"/>
          <w:numId w:val="4"/>
        </w:numPr>
        <w:spacing w:before="0" w:after="80"/>
        <w:contextualSpacing/>
        <w:rPr/>
      </w:pPr>
      <w:r>
        <w:rPr>
          <w:sz w:val="17"/>
        </w:rPr>
        <w:t>Hon Hai Technology Group (Foxconn). 2025 Third-Party Audit Summary Report.</w:t>
      </w:r>
    </w:p>
    <w:p>
      <w:pPr>
        <w:pStyle w:val="ListNumber"/>
        <w:numPr>
          <w:ilvl w:val="0"/>
          <w:numId w:val="4"/>
        </w:numPr>
        <w:spacing w:before="0" w:after="80"/>
        <w:contextualSpacing/>
        <w:rPr/>
      </w:pPr>
      <w:r>
        <w:rPr>
          <w:sz w:val="17"/>
        </w:rPr>
        <w:t>The New Indian Express. “TNPCB closes proceedings against Tata Electronics after Hosur facility clears water quality tests.” 17 June 2026.</w:t>
      </w:r>
    </w:p>
    <w:p>
      <w:pPr>
        <w:pStyle w:val="ListNumber"/>
        <w:numPr>
          <w:ilvl w:val="0"/>
          <w:numId w:val="4"/>
        </w:numPr>
        <w:spacing w:before="0" w:after="80"/>
        <w:contextualSpacing/>
        <w:rPr/>
      </w:pPr>
      <w:r>
        <w:rPr>
          <w:sz w:val="17"/>
        </w:rPr>
        <w:t>DT Next. “Tamil Nadu: Tata factory served notice for polluting groundwater.” 14 June 2026; reporting on TNPCB notice dated 25 May 2026.</w:t>
      </w:r>
    </w:p>
    <w:p>
      <w:pPr>
        <w:pStyle w:val="ListNumber"/>
        <w:numPr>
          <w:ilvl w:val="0"/>
          <w:numId w:val="4"/>
        </w:numPr>
        <w:spacing w:before="0" w:after="80"/>
        <w:contextualSpacing/>
        <w:rPr/>
      </w:pPr>
      <w:r>
        <w:rPr>
          <w:sz w:val="17"/>
        </w:rPr>
        <w:t>The Economic Times. “Tamil Nadu pollution board finds no contamination at Hosur iPhone parts facility: Tata Electronics.” June 2026.</w:t>
      </w:r>
    </w:p>
    <w:p>
      <w:pPr>
        <w:pStyle w:val="ListNumber"/>
        <w:numPr>
          <w:ilvl w:val="0"/>
          <w:numId w:val="4"/>
        </w:numPr>
        <w:spacing w:before="0" w:after="80"/>
        <w:contextualSpacing/>
        <w:rPr/>
      </w:pPr>
      <w:r>
        <w:rPr>
          <w:sz w:val="17"/>
        </w:rPr>
        <w:t>Press Information Bureau, Government of India. “Parliament Question: E-waste processing management.” 24 July 2025.</w:t>
      </w:r>
    </w:p>
    <w:p>
      <w:pPr>
        <w:pStyle w:val="Heading2"/>
        <w:spacing w:before="180" w:after="100"/>
        <w:rPr/>
      </w:pPr>
      <w:r>
        <w:rPr>
          <w:rFonts w:ascii="Arial" w:hAnsi="Arial"/>
          <w:b/>
          <w:color w:val="5B0000"/>
          <w:sz w:val="23"/>
        </w:rPr>
        <w:t>Selected official web sources</w:t>
      </w:r>
    </w:p>
    <w:p>
      <w:pPr>
        <w:pStyle w:val="ListBullet"/>
        <w:numPr>
          <w:ilvl w:val="0"/>
          <w:numId w:val="1"/>
        </w:numPr>
        <w:spacing w:before="0" w:after="50"/>
        <w:contextualSpacing/>
        <w:rPr/>
      </w:pPr>
      <w:r>
        <w:rPr>
          <w:sz w:val="18"/>
        </w:rPr>
        <w:t>CPCB E-Waste FAQ: https://cpcb.nic.in/uploads/Projects/E-Waste/FAQ_ewaste_23012024.pdf</w:t>
      </w:r>
    </w:p>
    <w:p>
      <w:pPr>
        <w:pStyle w:val="ListBullet"/>
        <w:numPr>
          <w:ilvl w:val="0"/>
          <w:numId w:val="1"/>
        </w:numPr>
        <w:spacing w:before="0" w:after="50"/>
        <w:contextualSpacing/>
        <w:rPr/>
      </w:pPr>
      <w:r>
        <w:rPr>
          <w:sz w:val="18"/>
        </w:rPr>
        <w:t>Hon Hai / Foxconn Sustainability Reports: https://tima.foxconn.com/en-in/CSR/csr-report</w:t>
      </w:r>
    </w:p>
    <w:p>
      <w:pPr>
        <w:pStyle w:val="ListBullet"/>
        <w:numPr>
          <w:ilvl w:val="0"/>
          <w:numId w:val="1"/>
        </w:numPr>
        <w:spacing w:before="0" w:after="50"/>
        <w:contextualSpacing/>
        <w:rPr/>
      </w:pPr>
      <w:r>
        <w:rPr>
          <w:sz w:val="18"/>
        </w:rPr>
        <w:t>Dixon Technologies investor/annual report filings: https://www.dixoninfo.com/</w:t>
      </w:r>
    </w:p>
    <w:p>
      <w:pPr>
        <w:pStyle w:val="ListBullet"/>
        <w:numPr>
          <w:ilvl w:val="0"/>
          <w:numId w:val="1"/>
        </w:numPr>
        <w:spacing w:before="0" w:after="50"/>
        <w:contextualSpacing/>
        <w:rPr/>
      </w:pPr>
      <w:r>
        <w:rPr>
          <w:sz w:val="18"/>
        </w:rPr>
        <w:t>Kaynes Technology annual report: https://www.kaynestechnology.co.in/</w:t>
      </w:r>
    </w:p>
    <w:p>
      <w:pPr>
        <w:pStyle w:val="ListBullet"/>
        <w:numPr>
          <w:ilvl w:val="0"/>
          <w:numId w:val="1"/>
        </w:numPr>
        <w:spacing w:before="0" w:after="50"/>
        <w:contextualSpacing/>
        <w:rPr/>
      </w:pPr>
      <w:r>
        <w:rPr>
          <w:sz w:val="18"/>
        </w:rPr>
        <w:t>Syrma SGS investor relations: https://www.syrmasgs.com/investor-relations/</w:t>
      </w:r>
    </w:p>
    <w:p>
      <w:pPr>
        <w:pStyle w:val="Normal"/>
        <w:rPr/>
      </w:pPr>
      <w:r>
        <w:rPr/>
      </w:r>
      <w:r>
        <w:br w:type="page"/>
      </w:r>
    </w:p>
    <w:p>
      <w:pPr>
        <w:pStyle w:val="Heading1"/>
        <w:spacing w:before="0" w:after="100"/>
        <w:rPr/>
      </w:pPr>
      <w:r>
        <w:rPr>
          <w:rFonts w:ascii="Arial" w:hAnsi="Arial"/>
          <w:b/>
          <w:color w:val="8B0000"/>
          <w:sz w:val="28"/>
        </w:rPr>
        <w:t>APPENDIX A — QUICK COMPLIANCE CHECKLIST FOR AN ELECTRONICS MANUFACTURER</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blHeader w:val="true"/>
        </w:trPr>
        <w:tc>
          <w:tcPr>
            <w:tcW w:w="3312"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Check</w:t>
            </w:r>
          </w:p>
        </w:tc>
        <w:tc>
          <w:tcPr>
            <w:tcW w:w="3312"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Evidence to maintain</w:t>
            </w:r>
          </w:p>
        </w:tc>
        <w:tc>
          <w:tcPr>
            <w:tcW w:w="3312" w:type="dxa"/>
            <w:tcBorders/>
            <w:shd w:fill="8B0000"/>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Status for this study</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Determine legal role: manufacturer / producer / recycler / refurbisher</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Product list, brand ownership, import/sale documents, EPR registration.</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Company-specific legal mapping required.</w:t>
            </w:r>
          </w:p>
        </w:tc>
      </w:tr>
      <w:tr>
        <w:trPr/>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E-Waste EPR Portal registration</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CPCB registration certificate and current amendments.</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Verify directly from portal/company records.</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EPR target calculation</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Annual obligation calculation and Schedule III/IV basis.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Not fully public for all five companies.</w:t>
            </w:r>
          </w:p>
        </w:tc>
      </w:tr>
      <w:tr>
        <w:trPr/>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EPR certificates</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Portal purchase records and recycler registration details.</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Not fully public for all five companies.</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Registered recycler</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Recycler CPCB registration, applicable EEE code and invoices.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Documented strongly for Dixon/Kaynes; less granular for others.</w:t>
            </w:r>
          </w:p>
        </w:tc>
      </w:tr>
      <w:tr>
        <w:trPr/>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RoHS</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Self-declaration and technical documents; supplier declarations/testing.</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Strongly documented by Dixon/Syrma; others need direct verification.</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Waste segregation</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SOPs, registers, manifests, storage records.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Documented at company-policy level across several companies.</w:t>
            </w:r>
          </w:p>
        </w:tc>
      </w:tr>
      <w:tr>
        <w:trPr/>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Hazardous waste authorisation</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SPCB authorisation and renewal records.</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Direct verification recommended.</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CTO under Air/Water Acts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Valid consent and conditions.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Direct verification recommended for each facility.</w:t>
            </w:r>
          </w:p>
        </w:tc>
      </w:tr>
      <w:tr>
        <w:trPr/>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Quarterly and annual returns</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Portal submission acknowledgements.</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Not generally disclosed in annual reports.</w:t>
            </w:r>
          </w:p>
        </w:tc>
      </w:tr>
      <w:tr>
        <w:trPr/>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Audit trail</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Internal/third-party audit reports and corrective actions.</w:t>
            </w:r>
          </w:p>
        </w:tc>
        <w:tc>
          <w:tcPr>
            <w:tcW w:w="3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Foxconn and several companies disclose audit systems; detailed EPR audit records not public.</w:t>
            </w:r>
          </w:p>
        </w:tc>
      </w:tr>
      <w:tr>
        <w:trPr/>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End-of-life take-back</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Collection network, contracts, customer/brand responsibility matrix.</w:t>
            </w:r>
          </w:p>
        </w:tc>
        <w:tc>
          <w:tcPr>
            <w:tcW w:w="3312" w:type="dxa"/>
            <w:tcBorders/>
            <w:shd w:fill="F2F2F2"/>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000000"/>
                <w:kern w:val="0"/>
                <w:sz w:val="15"/>
                <w:szCs w:val="22"/>
                <w:lang w:val="en-US" w:eastAsia="en-US" w:bidi="ar-SA"/>
              </w:rPr>
              <w:t>Limited for B2B EMS companies.</w:t>
            </w:r>
          </w:p>
        </w:tc>
      </w:tr>
    </w:tbl>
    <w:p>
      <w:pPr>
        <w:pStyle w:val="Normal"/>
        <w:rPr/>
      </w:pPr>
      <w:r>
        <w:rPr/>
      </w:r>
    </w:p>
    <w:p>
      <w:pPr>
        <w:pStyle w:val="Heading1"/>
        <w:spacing w:before="180" w:after="100"/>
        <w:rPr/>
      </w:pPr>
      <w:r>
        <w:rPr>
          <w:rFonts w:ascii="Arial" w:hAnsi="Arial"/>
          <w:b/>
          <w:color w:val="8B0000"/>
          <w:sz w:val="28"/>
        </w:rPr>
        <w:t>APPENDIX B — FINAL ACADEMIC ASSESSMENT</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5B0000"/>
                <w:kern w:val="0"/>
                <w:sz w:val="19"/>
                <w:szCs w:val="22"/>
                <w:lang w:val="en-US" w:eastAsia="en-US" w:bidi="ar-SA"/>
              </w:rPr>
              <w:t>Overall conclusion</w:t>
              <w:br/>
            </w:r>
            <w:r>
              <w:rPr>
                <w:rFonts w:eastAsia="ＭＳ 明朝" w:cs=""/>
                <w:kern w:val="0"/>
                <w:sz w:val="17"/>
                <w:szCs w:val="22"/>
                <w:lang w:val="en-US" w:eastAsia="en-US" w:bidi="ar-SA"/>
              </w:rPr>
              <w:t>All five companies demonstrate at least some formal environmental/waste-management controls. The strongest recurring limitation is not evidence of illegal dumping, but incomplete public disclosure of product-level EPR performance. The Tata Electronics 2026 case is a separate environmental regulatory matter that was subsequently closed and should not be described as a confirmed E-Waste Rules violation.</w:t>
            </w:r>
          </w:p>
        </w:tc>
      </w:tr>
    </w:tbl>
    <w:p>
      <w:pPr>
        <w:pStyle w:val="Normal"/>
        <w:widowControl/>
        <w:bidi w:val="0"/>
        <w:spacing w:lineRule="auto" w:line="276" w:before="0" w:after="200"/>
        <w:jc w:val="lef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52" w:right="1152" w:gutter="0" w:header="720" w:top="1080"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6666"/>
        <w:sz w:val="14"/>
      </w:rPr>
      <w:t xml:space="preserve">Prepared from the supplied reference article, CPCB FAQ, company disclosures and cited public regulatory reporting |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6666"/>
        <w:sz w:val="14"/>
      </w:rPr>
      <w:t xml:space="preserve">Prepared from the supplied reference article, CPCB FAQ, company disclosures and cited public regulatory reporting |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color w:val="666666"/>
        <w:sz w:val="14"/>
      </w:rPr>
      <w:t>ACADEMIC CASE STUDY | E-WASTE REGULATORY COMPLIANCE IN INDIA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color w:val="666666"/>
        <w:sz w:val="14"/>
      </w:rPr>
      <w:t>ACADEMIC CASE STUDY | E-WASTE REGULATORY COMPLIANCE IN INDIA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customXml" Target="../customXml/item2.xml"/><Relationship Id="rId3" Type="http://schemas.openxmlformats.org/officeDocument/2006/relationships/header" Target="header2.xml"/><Relationship Id="rId7" Type="http://schemas.openxmlformats.org/officeDocument/2006/relationships/footer" Target="footer3.xml"/><Relationship Id="rId12" Type="http://schemas.openxmlformats.org/officeDocument/2006/relationships/customXml" Target="../customXml/item1.xml"/><Relationship Id="rId2" Type="http://schemas.openxmlformats.org/officeDocument/2006/relationships/header" Target="header1.xml"/><Relationship Id="rId1" Type="http://schemas.openxmlformats.org/officeDocument/2006/relationships/styles" Target="styles.xml"/><Relationship Id="rId6" Type="http://schemas.openxmlformats.org/officeDocument/2006/relationships/footer" Target="footer2.xml"/><Relationship Id="rId11" Type="http://schemas.openxmlformats.org/officeDocument/2006/relationships/theme" Target="theme/theme1.xml"/><Relationship Id="rId5" Type="http://schemas.openxmlformats.org/officeDocument/2006/relationships/footer" Target="footer1.xml"/><Relationship Id="rId15" Type="http://schemas.openxmlformats.org/officeDocument/2006/relationships/customXml" Target="../customXml/item4.xml"/><Relationship Id="rId10" Type="http://schemas.openxmlformats.org/officeDocument/2006/relationships/settings" Target="settings.xml"/><Relationship Id="rId4" Type="http://schemas.openxmlformats.org/officeDocument/2006/relationships/header" Target="header3.xml"/><Relationship Id="rId9" Type="http://schemas.openxmlformats.org/officeDocument/2006/relationships/fontTable" Target="fontTable.xml"/><Relationship Id="rId14" Type="http://schemas.openxmlformats.org/officeDocument/2006/relationships/customXml" Target="../customXml/item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17A232B3FA31C48ADAF29702DE3C893" ma:contentTypeVersion="12" ma:contentTypeDescription="Create a new document." ma:contentTypeScope="" ma:versionID="9733aeacb51a31fd2347aff2540d3a50">
  <xsd:schema xmlns:xsd="http://www.w3.org/2001/XMLSchema" xmlns:xs="http://www.w3.org/2001/XMLSchema" xmlns:p="http://schemas.microsoft.com/office/2006/metadata/properties" xmlns:ns2="dd5b6b3d-3d39-4526-b8e4-79d21e1438f0" xmlns:ns3="44678d20-5b6e-4792-b133-ca784477d689" targetNamespace="http://schemas.microsoft.com/office/2006/metadata/properties" ma:root="true" ma:fieldsID="37926f2f1ae8b3f68e3dbd3dffff8aa9" ns2:_="" ns3:_="">
    <xsd:import namespace="dd5b6b3d-3d39-4526-b8e4-79d21e1438f0"/>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6b3d-3d39-4526-b8e4-79d21e1438f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8ad495-3829-482e-ad1b-cf0f2662c940}"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d5b6b3d-3d39-4526-b8e4-79d21e1438f0">
      <Terms xmlns="http://schemas.microsoft.com/office/infopath/2007/PartnerControls"/>
    </lcf76f155ced4ddcb4097134ff3c332f>
    <TaxCatchAll xmlns="44678d20-5b6e-4792-b133-ca784477d689" xsi:nil="true"/>
    <ReferenceId xmlns="dd5b6b3d-3d39-4526-b8e4-79d21e1438f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CC01D6E-B655-4BE1-95A6-DE3A5C988224}"/>
</file>

<file path=customXml/itemProps3.xml><?xml version="1.0" encoding="utf-8"?>
<ds:datastoreItem xmlns:ds="http://schemas.openxmlformats.org/officeDocument/2006/customXml" ds:itemID="{0E75EE1B-16BC-45E6-B20E-A5429606D6BA}"/>
</file>

<file path=customXml/itemProps4.xml><?xml version="1.0" encoding="utf-8"?>
<ds:datastoreItem xmlns:ds="http://schemas.openxmlformats.org/officeDocument/2006/customXml" ds:itemID="{D5269EA5-555C-4C96-A093-906CB73C086C}"/>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
  <cp:revision>1</cp:revision>
  <dcterms:created xsi:type="dcterms:W3CDTF">2013-12-23T23:15:00Z</dcterms:created>
  <dcterms:modified xsi:type="dcterms:W3CDTF">2013-12-23T23:15:00Z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0x010100B17A232B3FA31C48ADAF29702DE3C893</vt:lpwstr>
  </property>
</Properties>
</file>