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3600" w:hRule="exact"/>
        </w:trPr>
        <w:tc>
          <w:tcPr>
            <w:tcW w:type="dxa" w:w="12240"/>
            <w:tcBorders>
              <w:top w:val="none" w:color="FFFFFF" w:sz="0"/>
              <w:left w:val="none" w:color="FFFFFF" w:sz="0"/>
              <w:bottom w:val="none" w:color="FFFFFF" w:sz="0"/>
              <w:right w:val="none" w:color="FFFFFF" w:sz="0"/>
            </w:tcBorders>
            <w:shd w:fill="1F3864" w:val="clear"/>
            <w:tcMar>
              <w:top w:type="dxa" w:w="0"/>
              <w:left w:type="dxa" w:w="1440"/>
              <w:bottom w:type="dxa" w:w="0"/>
              <w:right w:type="dxa" w:w="1440"/>
            </w:tcMar>
            <w:vAlign w:val="center"/>
          </w:tcPr>
          <w:p>
            <w:pPr>
              <w:spacing w:after="0" w:before="0"/>
            </w:pPr>
            <w:r>
              <w:rPr>
                <w:rFonts w:ascii="Arial" w:cs="Arial" w:eastAsia="Arial" w:hAnsi="Arial"/>
                <w:b/>
                <w:bCs/>
                <w:color w:val="FFFFFF"/>
                <w:sz w:val="52"/>
                <w:szCs w:val="52"/>
              </w:rPr>
              <w:t xml:space="preserve">TEST STRATEGY DOCUMENT</w:t>
            </w:r>
          </w:p>
          <w:p>
            <w:pPr>
              <w:spacing w:after="0" w:before="120"/>
            </w:pPr>
            <w:r>
              <w:rPr>
                <w:rFonts w:ascii="Arial" w:cs="Arial" w:eastAsia="Arial" w:hAnsi="Arial"/>
                <w:color w:val="A9C4E4"/>
                <w:sz w:val="34"/>
                <w:szCs w:val="34"/>
              </w:rPr>
              <w:t xml:space="preserve">Organization-Level QA Policy</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3060"/>
        <w:gridCol w:w="9180"/>
      </w:tblGrid>
      <w:tr>
        <w:tc>
          <w:tcPr>
            <w:tcW w:type="dxa" w:w="3060"/>
            <w:tcBorders>
              <w:top w:val="none" w:color="FFFFFF" w:sz="0"/>
              <w:left w:val="none" w:color="FFFFFF" w:sz="0"/>
              <w:bottom w:val="none" w:color="FFFFFF" w:sz="0"/>
              <w:right w:val="none" w:color="FFFFFF" w:sz="0"/>
            </w:tcBorders>
            <w:shd w:fill="D6E4F0" w:val="clear"/>
            <w:tcMar>
              <w:top w:type="dxa" w:w="200"/>
              <w:left w:type="dxa" w:w="1440"/>
              <w:bottom w:type="dxa" w:w="200"/>
              <w:right w:type="dxa" w:w="200"/>
            </w:tcMar>
          </w:tcPr>
          <w:p>
            <w:r>
              <w:rPr>
                <w:rFonts w:ascii="Arial" w:cs="Arial" w:eastAsia="Arial" w:hAnsi="Arial"/>
                <w:b/>
                <w:bCs/>
                <w:color w:val="1F3864"/>
                <w:sz w:val="22"/>
                <w:szCs w:val="22"/>
              </w:rPr>
              <w:t xml:space="preserve">Document Version</w:t>
            </w:r>
          </w:p>
        </w:tc>
        <w:tc>
          <w:tcPr>
            <w:tcW w:type="dxa" w:w="9180"/>
            <w:tcBorders>
              <w:top w:val="none" w:color="FFFFFF" w:sz="0"/>
              <w:left w:val="none" w:color="FFFFFF" w:sz="0"/>
              <w:bottom w:val="none" w:color="FFFFFF" w:sz="0"/>
              <w:right w:val="none" w:color="FFFFFF" w:sz="0"/>
            </w:tcBorders>
            <w:shd w:fill="FFFFFF" w:val="clear"/>
            <w:tcMar>
              <w:top w:type="dxa" w:w="200"/>
              <w:left w:type="dxa" w:w="200"/>
              <w:bottom w:type="dxa" w:w="200"/>
              <w:right w:type="dxa" w:w="1440"/>
            </w:tcMar>
          </w:tcPr>
          <w:p>
            <w:r>
              <w:rPr>
                <w:rFonts w:ascii="Arial" w:cs="Arial" w:eastAsia="Arial" w:hAnsi="Arial"/>
                <w:color w:val="1A1A1A"/>
                <w:sz w:val="22"/>
                <w:szCs w:val="22"/>
              </w:rPr>
              <w:t xml:space="preserve">1.0</w:t>
            </w:r>
          </w:p>
        </w:tc>
      </w:tr>
      <w:tr>
        <w:tc>
          <w:tcPr>
            <w:tcW w:type="dxa" w:w="3060"/>
            <w:tcBorders>
              <w:top w:val="none" w:color="FFFFFF" w:sz="0"/>
              <w:left w:val="none" w:color="FFFFFF" w:sz="0"/>
              <w:bottom w:val="none" w:color="FFFFFF" w:sz="0"/>
              <w:right w:val="none" w:color="FFFFFF" w:sz="0"/>
            </w:tcBorders>
            <w:shd w:fill="D6E4F0" w:val="clear"/>
            <w:tcMar>
              <w:top w:type="dxa" w:w="100"/>
              <w:left w:type="dxa" w:w="1440"/>
              <w:bottom w:type="dxa" w:w="100"/>
              <w:right w:type="dxa" w:w="200"/>
            </w:tcMar>
          </w:tcPr>
          <w:p>
            <w:r>
              <w:rPr>
                <w:rFonts w:ascii="Arial" w:cs="Arial" w:eastAsia="Arial" w:hAnsi="Arial"/>
                <w:b/>
                <w:bCs/>
                <w:color w:val="1F3864"/>
                <w:sz w:val="22"/>
                <w:szCs w:val="22"/>
              </w:rPr>
              <w:t xml:space="preserve">Effective Date</w:t>
            </w:r>
          </w:p>
        </w:tc>
        <w:tc>
          <w:tcPr>
            <w:tcW w:type="dxa" w:w="9180"/>
            <w:tcBorders>
              <w:top w:val="none" w:color="FFFFFF" w:sz="0"/>
              <w:left w:val="none" w:color="FFFFFF" w:sz="0"/>
              <w:bottom w:val="none" w:color="FFFFFF" w:sz="0"/>
              <w:right w:val="none" w:color="FFFFFF" w:sz="0"/>
            </w:tcBorders>
            <w:shd w:fill="FFFFFF" w:val="clear"/>
            <w:tcMar>
              <w:top w:type="dxa" w:w="100"/>
              <w:left w:type="dxa" w:w="200"/>
              <w:bottom w:type="dxa" w:w="100"/>
              <w:right w:type="dxa" w:w="1440"/>
            </w:tcMar>
          </w:tcPr>
          <w:p>
            <w:r>
              <w:rPr>
                <w:rFonts w:ascii="Arial" w:cs="Arial" w:eastAsia="Arial" w:hAnsi="Arial"/>
                <w:color w:val="1A1A1A"/>
                <w:sz w:val="22"/>
                <w:szCs w:val="22"/>
              </w:rPr>
              <w:t xml:space="preserve">April 2026</w:t>
            </w:r>
          </w:p>
        </w:tc>
      </w:tr>
      <w:tr>
        <w:tc>
          <w:tcPr>
            <w:tcW w:type="dxa" w:w="3060"/>
            <w:tcBorders>
              <w:top w:val="none" w:color="FFFFFF" w:sz="0"/>
              <w:left w:val="none" w:color="FFFFFF" w:sz="0"/>
              <w:bottom w:val="none" w:color="FFFFFF" w:sz="0"/>
              <w:right w:val="none" w:color="FFFFFF" w:sz="0"/>
            </w:tcBorders>
            <w:shd w:fill="D6E4F0" w:val="clear"/>
            <w:tcMar>
              <w:top w:type="dxa" w:w="100"/>
              <w:left w:type="dxa" w:w="1440"/>
              <w:bottom w:type="dxa" w:w="100"/>
              <w:right w:type="dxa" w:w="200"/>
            </w:tcMar>
          </w:tcPr>
          <w:p>
            <w:r>
              <w:rPr>
                <w:rFonts w:ascii="Arial" w:cs="Arial" w:eastAsia="Arial" w:hAnsi="Arial"/>
                <w:b/>
                <w:bCs/>
                <w:color w:val="1F3864"/>
                <w:sz w:val="22"/>
                <w:szCs w:val="22"/>
              </w:rPr>
              <w:t xml:space="preserve">Document Owner</w:t>
            </w:r>
          </w:p>
        </w:tc>
        <w:tc>
          <w:tcPr>
            <w:tcW w:type="dxa" w:w="9180"/>
            <w:tcBorders>
              <w:top w:val="none" w:color="FFFFFF" w:sz="0"/>
              <w:left w:val="none" w:color="FFFFFF" w:sz="0"/>
              <w:bottom w:val="none" w:color="FFFFFF" w:sz="0"/>
              <w:right w:val="none" w:color="FFFFFF" w:sz="0"/>
            </w:tcBorders>
            <w:shd w:fill="FFFFFF" w:val="clear"/>
            <w:tcMar>
              <w:top w:type="dxa" w:w="100"/>
              <w:left w:type="dxa" w:w="200"/>
              <w:bottom w:type="dxa" w:w="100"/>
              <w:right w:type="dxa" w:w="1440"/>
            </w:tcMar>
          </w:tcPr>
          <w:p>
            <w:r>
              <w:rPr>
                <w:rFonts w:ascii="Arial" w:cs="Arial" w:eastAsia="Arial" w:hAnsi="Arial"/>
                <w:color w:val="1A1A1A"/>
                <w:sz w:val="22"/>
                <w:szCs w:val="22"/>
              </w:rPr>
              <w:t xml:space="preserve">Quality Assurance (QA) Governance Committee</w:t>
            </w:r>
          </w:p>
        </w:tc>
      </w:tr>
      <w:tr>
        <w:tc>
          <w:tcPr>
            <w:tcW w:type="dxa" w:w="3060"/>
            <w:tcBorders>
              <w:top w:val="none" w:color="FFFFFF" w:sz="0"/>
              <w:left w:val="none" w:color="FFFFFF" w:sz="0"/>
              <w:bottom w:val="none" w:color="FFFFFF" w:sz="0"/>
              <w:right w:val="none" w:color="FFFFFF" w:sz="0"/>
            </w:tcBorders>
            <w:shd w:fill="D6E4F0" w:val="clear"/>
            <w:tcMar>
              <w:top w:type="dxa" w:w="100"/>
              <w:left w:type="dxa" w:w="1440"/>
              <w:bottom w:type="dxa" w:w="100"/>
              <w:right w:type="dxa" w:w="200"/>
            </w:tcMar>
          </w:tcPr>
          <w:p>
            <w:r>
              <w:rPr>
                <w:rFonts w:ascii="Arial" w:cs="Arial" w:eastAsia="Arial" w:hAnsi="Arial"/>
                <w:b/>
                <w:bCs/>
                <w:color w:val="1F3864"/>
                <w:sz w:val="22"/>
                <w:szCs w:val="22"/>
              </w:rPr>
              <w:t xml:space="preserve">Status</w:t>
            </w:r>
          </w:p>
        </w:tc>
        <w:tc>
          <w:tcPr>
            <w:tcW w:type="dxa" w:w="9180"/>
            <w:tcBorders>
              <w:top w:val="none" w:color="FFFFFF" w:sz="0"/>
              <w:left w:val="none" w:color="FFFFFF" w:sz="0"/>
              <w:bottom w:val="none" w:color="FFFFFF" w:sz="0"/>
              <w:right w:val="none" w:color="FFFFFF" w:sz="0"/>
            </w:tcBorders>
            <w:shd w:fill="FFFFFF" w:val="clear"/>
            <w:tcMar>
              <w:top w:type="dxa" w:w="100"/>
              <w:left w:type="dxa" w:w="200"/>
              <w:bottom w:type="dxa" w:w="100"/>
              <w:right w:type="dxa" w:w="1440"/>
            </w:tcMar>
          </w:tcPr>
          <w:p>
            <w:r>
              <w:rPr>
                <w:rFonts w:ascii="Arial" w:cs="Arial" w:eastAsia="Arial" w:hAnsi="Arial"/>
                <w:color w:val="1A1A1A"/>
                <w:sz w:val="22"/>
                <w:szCs w:val="22"/>
              </w:rPr>
              <w:t xml:space="preserve">Approved</w:t>
            </w:r>
          </w:p>
        </w:tc>
      </w:tr>
      <w:tr>
        <w:tc>
          <w:tcPr>
            <w:tcW w:type="dxa" w:w="3060"/>
            <w:tcBorders>
              <w:top w:val="none" w:color="FFFFFF" w:sz="0"/>
              <w:left w:val="none" w:color="FFFFFF" w:sz="0"/>
              <w:bottom w:val="none" w:color="FFFFFF" w:sz="0"/>
              <w:right w:val="none" w:color="FFFFFF" w:sz="0"/>
            </w:tcBorders>
            <w:shd w:fill="D6E4F0" w:val="clear"/>
            <w:tcMar>
              <w:top w:type="dxa" w:w="100"/>
              <w:left w:type="dxa" w:w="1440"/>
              <w:bottom w:type="dxa" w:w="100"/>
              <w:right w:type="dxa" w:w="200"/>
            </w:tcMar>
          </w:tcPr>
          <w:p>
            <w:r>
              <w:rPr>
                <w:rFonts w:ascii="Arial" w:cs="Arial" w:eastAsia="Arial" w:hAnsi="Arial"/>
                <w:b/>
                <w:bCs/>
                <w:color w:val="1F3864"/>
                <w:sz w:val="22"/>
                <w:szCs w:val="22"/>
              </w:rPr>
              <w:t xml:space="preserve">Classification</w:t>
            </w:r>
          </w:p>
        </w:tc>
        <w:tc>
          <w:tcPr>
            <w:tcW w:type="dxa" w:w="9180"/>
            <w:tcBorders>
              <w:top w:val="none" w:color="FFFFFF" w:sz="0"/>
              <w:left w:val="none" w:color="FFFFFF" w:sz="0"/>
              <w:bottom w:val="none" w:color="FFFFFF" w:sz="0"/>
              <w:right w:val="none" w:color="FFFFFF" w:sz="0"/>
            </w:tcBorders>
            <w:shd w:fill="FFFFFF" w:val="clear"/>
            <w:tcMar>
              <w:top w:type="dxa" w:w="100"/>
              <w:left w:type="dxa" w:w="200"/>
              <w:bottom w:type="dxa" w:w="100"/>
              <w:right w:type="dxa" w:w="1440"/>
            </w:tcMar>
          </w:tcPr>
          <w:p>
            <w:r>
              <w:rPr>
                <w:rFonts w:ascii="Arial" w:cs="Arial" w:eastAsia="Arial" w:hAnsi="Arial"/>
                <w:color w:val="1A1A1A"/>
                <w:sz w:val="22"/>
                <w:szCs w:val="22"/>
              </w:rPr>
              <w:t xml:space="preserve">Internal Use Only</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800" w:hRule="exact"/>
        </w:trPr>
        <w:tc>
          <w:tcPr>
            <w:tcW w:type="dxa" w:w="12240"/>
            <w:tcBorders>
              <w:top w:val="none" w:color="FFFFFF" w:sz="0"/>
              <w:left w:val="none" w:color="FFFFFF" w:sz="0"/>
              <w:bottom w:val="none" w:color="FFFFFF" w:sz="0"/>
              <w:right w:val="none" w:color="FFFFFF" w:sz="0"/>
            </w:tcBorders>
            <w:shd w:fill="2E75B6" w:val="clear"/>
            <w:tcMar>
              <w:top w:type="dxa" w:w="0"/>
              <w:left w:type="dxa" w:w="1440"/>
              <w:bottom w:type="dxa" w:w="0"/>
              <w:right w:type="dxa" w:w="1440"/>
            </w:tcMar>
            <w:vAlign w:val="center"/>
          </w:tcPr>
          <w:p>
            <w:r>
              <w:rPr>
                <w:rFonts w:ascii="Arial" w:cs="Arial" w:eastAsia="Arial" w:hAnsi="Arial"/>
                <w:i/>
                <w:iCs/>
                <w:color w:val="FFFFFF"/>
                <w:sz w:val="18"/>
                <w:szCs w:val="18"/>
              </w:rPr>
              <w:t xml:space="preserve">Confidential — For Internal Use Only</w:t>
            </w:r>
          </w:p>
        </w:tc>
      </w:tr>
    </w:tbl>
    <w:p>
      <w:pPr>
        <w:sectPr>
          <w:pgSz w:w="12240" w:h="15840" w:orient="portrait"/>
          <w:pgMar w:top="0" w:right="0" w:bottom="0" w:left="0" w:header="708" w:footer="708" w:gutter="0"/>
          <w:pgNumType/>
          <w:docGrid w:linePitch="360"/>
        </w:sectPr>
      </w:pPr>
    </w:p>
    <w:p>
      <w:pPr>
        <w:pStyle w:val="Heading1"/>
        <w:spacing w:after="120" w:before="360"/>
      </w:pPr>
      <w:r>
        <w:rPr>
          <w:rFonts w:ascii="Arial" w:cs="Arial" w:eastAsia="Arial" w:hAnsi="Arial"/>
          <w:b/>
          <w:bCs/>
          <w:color w:val="1F3864"/>
          <w:sz w:val="32"/>
          <w:szCs w:val="32"/>
        </w:rPr>
        <w:t xml:space="preserve">1. Purpose and Scope</w:t>
      </w:r>
    </w:p>
    <w:p>
      <w:pPr>
        <w:spacing w:after="80" w:before="60"/>
      </w:pPr>
      <w:r>
        <w:rPr>
          <w:rFonts w:ascii="Arial" w:cs="Arial" w:eastAsia="Arial" w:hAnsi="Arial"/>
          <w:color w:val="1A1A1A"/>
          <w:sz w:val="22"/>
          <w:szCs w:val="22"/>
        </w:rPr>
        <w:t xml:space="preserve">This Test Strategy Document establishes the organization-wide Quality Assurance (QA) policy, testing methodology, governance structure, and standards applicable to all software development and delivery activities across business units. It defines mandatory requirements and recommended practices to ensure software products meet defined quality, reliability, and compliance objectives before release.</w:t>
      </w:r>
    </w:p>
    <w:p>
      <w:pPr>
        <w:spacing w:after="80" w:before="80"/>
      </w:pPr>
    </w:p>
    <w:p>
      <w:pPr>
        <w:pStyle w:val="Heading2"/>
        <w:spacing w:after="100" w:before="240"/>
      </w:pPr>
      <w:r>
        <w:rPr>
          <w:rFonts w:ascii="Arial" w:cs="Arial" w:eastAsia="Arial" w:hAnsi="Arial"/>
          <w:b/>
          <w:bCs/>
          <w:color w:val="2E75B6"/>
          <w:sz w:val="26"/>
          <w:szCs w:val="26"/>
        </w:rPr>
        <w:t xml:space="preserve">1.1 Objectives</w:t>
      </w:r>
    </w:p>
    <w:p>
      <w:pPr>
        <w:pStyle w:val="ListParagraph"/>
        <w:numPr>
          <w:ilvl w:val="0"/>
          <w:numId w:val="2"/>
        </w:numPr>
        <w:spacing w:after="40" w:before="40"/>
      </w:pPr>
      <w:r>
        <w:rPr>
          <w:rFonts w:ascii="Arial" w:cs="Arial" w:eastAsia="Arial" w:hAnsi="Arial"/>
          <w:color w:val="1A1A1A"/>
          <w:sz w:val="22"/>
          <w:szCs w:val="22"/>
        </w:rPr>
        <w:t xml:space="preserve">Define a unified testing framework across all development teams and business units.</w:t>
      </w:r>
    </w:p>
    <w:p>
      <w:pPr>
        <w:pStyle w:val="ListParagraph"/>
        <w:numPr>
          <w:ilvl w:val="0"/>
          <w:numId w:val="2"/>
        </w:numPr>
        <w:spacing w:after="40" w:before="40"/>
      </w:pPr>
      <w:r>
        <w:rPr>
          <w:rFonts w:ascii="Arial" w:cs="Arial" w:eastAsia="Arial" w:hAnsi="Arial"/>
          <w:color w:val="1A1A1A"/>
          <w:sz w:val="22"/>
          <w:szCs w:val="22"/>
        </w:rPr>
        <w:t xml:space="preserve">Establish minimum quality gates and exit criteria for all release phases.</w:t>
      </w:r>
    </w:p>
    <w:p>
      <w:pPr>
        <w:pStyle w:val="ListParagraph"/>
        <w:numPr>
          <w:ilvl w:val="0"/>
          <w:numId w:val="2"/>
        </w:numPr>
        <w:spacing w:after="40" w:before="40"/>
      </w:pPr>
      <w:r>
        <w:rPr>
          <w:rFonts w:ascii="Arial" w:cs="Arial" w:eastAsia="Arial" w:hAnsi="Arial"/>
          <w:color w:val="1A1A1A"/>
          <w:sz w:val="22"/>
          <w:szCs w:val="22"/>
        </w:rPr>
        <w:t xml:space="preserve">Standardize test documentation, reporting, and defect management processes.</w:t>
      </w:r>
    </w:p>
    <w:p>
      <w:pPr>
        <w:pStyle w:val="ListParagraph"/>
        <w:numPr>
          <w:ilvl w:val="0"/>
          <w:numId w:val="2"/>
        </w:numPr>
        <w:spacing w:after="40" w:before="40"/>
      </w:pPr>
      <w:r>
        <w:rPr>
          <w:rFonts w:ascii="Arial" w:cs="Arial" w:eastAsia="Arial" w:hAnsi="Arial"/>
          <w:color w:val="1A1A1A"/>
          <w:sz w:val="22"/>
          <w:szCs w:val="22"/>
        </w:rPr>
        <w:t xml:space="preserve">Align QA practices with regulatory compliance, security, and organizational risk tolerance.</w:t>
      </w:r>
    </w:p>
    <w:p>
      <w:pPr>
        <w:pStyle w:val="ListParagraph"/>
        <w:numPr>
          <w:ilvl w:val="0"/>
          <w:numId w:val="2"/>
        </w:numPr>
        <w:spacing w:after="40" w:before="40"/>
      </w:pPr>
      <w:r>
        <w:rPr>
          <w:rFonts w:ascii="Arial" w:cs="Arial" w:eastAsia="Arial" w:hAnsi="Arial"/>
          <w:color w:val="1A1A1A"/>
          <w:sz w:val="22"/>
          <w:szCs w:val="22"/>
        </w:rPr>
        <w:t xml:space="preserve">Enable continuous improvement of testing processes through metrics and retrospectives.</w:t>
      </w:r>
    </w:p>
    <w:p>
      <w:pPr>
        <w:spacing w:after="80" w:before="80"/>
      </w:pPr>
    </w:p>
    <w:p>
      <w:pPr>
        <w:pStyle w:val="Heading2"/>
        <w:spacing w:after="100" w:before="240"/>
      </w:pPr>
      <w:r>
        <w:rPr>
          <w:rFonts w:ascii="Arial" w:cs="Arial" w:eastAsia="Arial" w:hAnsi="Arial"/>
          <w:b/>
          <w:bCs/>
          <w:color w:val="2E75B6"/>
          <w:sz w:val="26"/>
          <w:szCs w:val="26"/>
        </w:rPr>
        <w:t xml:space="preserve">1.2 Scope</w:t>
      </w:r>
    </w:p>
    <w:p>
      <w:pPr>
        <w:spacing w:after="80" w:before="60"/>
      </w:pPr>
      <w:r>
        <w:rPr>
          <w:rFonts w:ascii="Arial" w:cs="Arial" w:eastAsia="Arial" w:hAnsi="Arial"/>
          <w:color w:val="1A1A1A"/>
          <w:sz w:val="22"/>
          <w:szCs w:val="22"/>
        </w:rPr>
        <w:t xml:space="preserve">This document applies to all internally developed and third-party software that is deployed in or integrated with organizational systems. It covers:</w:t>
      </w:r>
    </w:p>
    <w:p>
      <w:pPr>
        <w:pStyle w:val="ListParagraph"/>
        <w:numPr>
          <w:ilvl w:val="0"/>
          <w:numId w:val="2"/>
        </w:numPr>
        <w:spacing w:after="40" w:before="40"/>
      </w:pPr>
      <w:r>
        <w:rPr>
          <w:rFonts w:ascii="Arial" w:cs="Arial" w:eastAsia="Arial" w:hAnsi="Arial"/>
          <w:color w:val="1A1A1A"/>
          <w:sz w:val="22"/>
          <w:szCs w:val="22"/>
        </w:rPr>
        <w:t xml:space="preserve">All software development projects, from greenfield to legacy modernization.</w:t>
      </w:r>
    </w:p>
    <w:p>
      <w:pPr>
        <w:pStyle w:val="ListParagraph"/>
        <w:numPr>
          <w:ilvl w:val="0"/>
          <w:numId w:val="2"/>
        </w:numPr>
        <w:spacing w:after="40" w:before="40"/>
      </w:pPr>
      <w:r>
        <w:rPr>
          <w:rFonts w:ascii="Arial" w:cs="Arial" w:eastAsia="Arial" w:hAnsi="Arial"/>
          <w:color w:val="1A1A1A"/>
          <w:sz w:val="22"/>
          <w:szCs w:val="22"/>
        </w:rPr>
        <w:t xml:space="preserve">Web, mobile, API, backend, and infrastructure-as-code deliverables.</w:t>
      </w:r>
    </w:p>
    <w:p>
      <w:pPr>
        <w:pStyle w:val="ListParagraph"/>
        <w:numPr>
          <w:ilvl w:val="0"/>
          <w:numId w:val="2"/>
        </w:numPr>
        <w:spacing w:after="40" w:before="40"/>
      </w:pPr>
      <w:r>
        <w:rPr>
          <w:rFonts w:ascii="Arial" w:cs="Arial" w:eastAsia="Arial" w:hAnsi="Arial"/>
          <w:color w:val="1A1A1A"/>
          <w:sz w:val="22"/>
          <w:szCs w:val="22"/>
        </w:rPr>
        <w:t xml:space="preserve">In-house development, staff augmentation, and third-party vendor engagements.</w:t>
      </w:r>
    </w:p>
    <w:p>
      <w:pPr>
        <w:pStyle w:val="ListParagraph"/>
        <w:numPr>
          <w:ilvl w:val="0"/>
          <w:numId w:val="2"/>
        </w:numPr>
        <w:spacing w:after="40" w:before="40"/>
      </w:pPr>
      <w:r>
        <w:rPr>
          <w:rFonts w:ascii="Arial" w:cs="Arial" w:eastAsia="Arial" w:hAnsi="Arial"/>
          <w:color w:val="1A1A1A"/>
          <w:sz w:val="22"/>
          <w:szCs w:val="22"/>
        </w:rPr>
        <w:t xml:space="preserve">All phases of the Software Development Lifecycle (SDLC): Development, System Integration, UAT, Performance, and Production Readiness.</w:t>
      </w:r>
    </w:p>
    <w:p>
      <w:pPr>
        <w:spacing w:after="80" w:before="80"/>
      </w:pPr>
    </w:p>
    <w:p>
      <w:pPr>
        <w:pStyle w:val="Heading2"/>
        <w:spacing w:after="100" w:before="240"/>
      </w:pPr>
      <w:r>
        <w:rPr>
          <w:rFonts w:ascii="Arial" w:cs="Arial" w:eastAsia="Arial" w:hAnsi="Arial"/>
          <w:b/>
          <w:bCs/>
          <w:color w:val="2E75B6"/>
          <w:sz w:val="26"/>
          <w:szCs w:val="26"/>
        </w:rPr>
        <w:t xml:space="preserve">1.3 Exclusions</w:t>
      </w:r>
    </w:p>
    <w:p>
      <w:pPr>
        <w:spacing w:after="80" w:before="60"/>
      </w:pPr>
      <w:r>
        <w:rPr>
          <w:rFonts w:ascii="Arial" w:cs="Arial" w:eastAsia="Arial" w:hAnsi="Arial"/>
          <w:color w:val="1A1A1A"/>
          <w:sz w:val="22"/>
          <w:szCs w:val="22"/>
        </w:rPr>
        <w:t xml:space="preserve">This policy does not apply to non-production proof-of-concept (PoC) builds that are explicitly not intended for production release, unless subsequently promoted for production use.</w:t>
      </w:r>
    </w:p>
    <w:p>
      <w:pPr>
        <w:pBdr>
          <w:bottom w:val="single" w:color="2E75B6" w:sz="4" w:space="1"/>
        </w:pBdr>
        <w:spacing w:after="160" w:before="160"/>
      </w:pPr>
    </w:p>
    <w:p>
      <w:pPr>
        <w:pStyle w:val="Heading1"/>
        <w:spacing w:after="120" w:before="360"/>
      </w:pPr>
      <w:r>
        <w:rPr>
          <w:rFonts w:ascii="Arial" w:cs="Arial" w:eastAsia="Arial" w:hAnsi="Arial"/>
          <w:b/>
          <w:bCs/>
          <w:color w:val="1F3864"/>
          <w:sz w:val="32"/>
          <w:szCs w:val="32"/>
        </w:rPr>
        <w:t xml:space="preserve">2. QA Guiding Principles</w:t>
      </w:r>
    </w:p>
    <w:p>
      <w:pPr>
        <w:spacing w:after="80" w:before="60"/>
      </w:pPr>
      <w:r>
        <w:rPr>
          <w:rFonts w:ascii="Arial" w:cs="Arial" w:eastAsia="Arial" w:hAnsi="Arial"/>
          <w:color w:val="1A1A1A"/>
          <w:sz w:val="22"/>
          <w:szCs w:val="22"/>
        </w:rPr>
        <w:t xml:space="preserve">All testing activities conducted within the organization shall adhere to the following core principles: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Principle</w:t>
            </w:r>
          </w:p>
        </w:tc>
        <w:tc>
          <w:tcPr>
            <w:tcW w:type="dxa" w:w="7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A1A1A"/>
                <w:sz w:val="20"/>
                <w:szCs w:val="20"/>
              </w:rPr>
              <w:t xml:space="preserve">Shift Left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Testing activities begin as early as the requirements and design phase. Defects discovered earlier are exponentially cheaper to resolve.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1A"/>
                <w:sz w:val="20"/>
                <w:szCs w:val="20"/>
              </w:rPr>
              <w:t xml:space="preserve">Risk-Based Testing</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Test effort and depth are proportional to the business risk, complexity, and criticality of the functionality being tested.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A1A1A"/>
                <w:sz w:val="20"/>
                <w:szCs w:val="20"/>
              </w:rPr>
              <w:t xml:space="preserve">Automation-First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Repetitive, stable, and high-frequency test cases shall be automated to reduce manual effort, increase coverage, and accelerate feedback cycles.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1A"/>
                <w:sz w:val="20"/>
                <w:szCs w:val="20"/>
              </w:rPr>
              <w:t xml:space="preserve">Independence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Testing activities shall maintain appropriate independence from development to ensure objectivity in defect detection and reporting.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A1A1A"/>
                <w:sz w:val="20"/>
                <w:szCs w:val="20"/>
              </w:rPr>
              <w:t xml:space="preserve">Traceability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Every test case must trace back to a documented business requirement, user story, or acceptance criterion.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1A"/>
                <w:sz w:val="20"/>
                <w:szCs w:val="20"/>
              </w:rPr>
              <w:t xml:space="preserve">Continuous Improvement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QA processes shall be reviewed and improved following each major release cycle based on metrics, retrospectives, and industry best practices.</w:t>
            </w:r>
          </w:p>
        </w:tc>
      </w:tr>
    </w:tbl>
    <w:p>
      <w:pPr>
        <w:pBdr>
          <w:bottom w:val="single" w:color="2E75B6" w:sz="4" w:space="1"/>
        </w:pBdr>
        <w:spacing w:after="160" w:before="160"/>
      </w:pPr>
    </w:p>
    <w:p>
      <w:pPr>
        <w:pStyle w:val="Heading1"/>
        <w:spacing w:after="120" w:before="360"/>
      </w:pPr>
      <w:r>
        <w:rPr>
          <w:rFonts w:ascii="Arial" w:cs="Arial" w:eastAsia="Arial" w:hAnsi="Arial"/>
          <w:b/>
          <w:bCs/>
          <w:color w:val="1F3864"/>
          <w:sz w:val="32"/>
          <w:szCs w:val="32"/>
        </w:rPr>
        <w:t xml:space="preserve">3. Test Levels and Types</w:t>
      </w:r>
    </w:p>
    <w:p>
      <w:pPr>
        <w:spacing w:after="80" w:before="60"/>
      </w:pPr>
      <w:r>
        <w:rPr>
          <w:rFonts w:ascii="Arial" w:cs="Arial" w:eastAsia="Arial" w:hAnsi="Arial"/>
          <w:color w:val="1A1A1A"/>
          <w:sz w:val="22"/>
          <w:szCs w:val="22"/>
        </w:rPr>
        <w:t xml:space="preserve">The following test levels are mandatory across all projects. Projects may adjust scope and depth based on risk classification, subject to QA Lead approval.</w:t>
      </w:r>
    </w:p>
    <w:p>
      <w:pPr>
        <w:spacing w:after="80" w:before="80"/>
      </w:pPr>
    </w:p>
    <w:p>
      <w:pPr>
        <w:pStyle w:val="Heading2"/>
        <w:spacing w:after="100" w:before="240"/>
      </w:pPr>
      <w:r>
        <w:rPr>
          <w:rFonts w:ascii="Arial" w:cs="Arial" w:eastAsia="Arial" w:hAnsi="Arial"/>
          <w:b/>
          <w:bCs/>
          <w:color w:val="2E75B6"/>
          <w:sz w:val="26"/>
          <w:szCs w:val="26"/>
        </w:rPr>
        <w:t xml:space="preserve">3.1 Unit Testing</w:t>
      </w:r>
    </w:p>
    <w:p>
      <w:pPr>
        <w:spacing w:after="80" w:before="60"/>
      </w:pPr>
      <w:r>
        <w:rPr>
          <w:rFonts w:ascii="Arial" w:cs="Arial" w:eastAsia="Arial" w:hAnsi="Arial"/>
          <w:color w:val="1A1A1A"/>
          <w:sz w:val="22"/>
          <w:szCs w:val="22"/>
        </w:rPr>
        <w:t xml:space="preserve">Scope: Individual functions, methods, components, or modules tested in isolation.</w:t>
      </w:r>
    </w:p>
    <w:p>
      <w:pPr>
        <w:pStyle w:val="ListParagraph"/>
        <w:numPr>
          <w:ilvl w:val="0"/>
          <w:numId w:val="2"/>
        </w:numPr>
        <w:spacing w:after="40" w:before="40"/>
      </w:pPr>
      <w:r>
        <w:rPr>
          <w:rFonts w:ascii="Arial" w:cs="Arial" w:eastAsia="Arial" w:hAnsi="Arial"/>
          <w:color w:val="1A1A1A"/>
          <w:sz w:val="22"/>
          <w:szCs w:val="22"/>
        </w:rPr>
        <w:t xml:space="preserve">Ownership: Development team.</w:t>
      </w:r>
    </w:p>
    <w:p>
      <w:pPr>
        <w:pStyle w:val="ListParagraph"/>
        <w:numPr>
          <w:ilvl w:val="0"/>
          <w:numId w:val="2"/>
        </w:numPr>
        <w:spacing w:after="40" w:before="40"/>
      </w:pPr>
      <w:r>
        <w:rPr>
          <w:rFonts w:ascii="Arial" w:cs="Arial" w:eastAsia="Arial" w:hAnsi="Arial"/>
          <w:color w:val="1A1A1A"/>
          <w:sz w:val="22"/>
          <w:szCs w:val="22"/>
        </w:rPr>
        <w:t xml:space="preserve">Minimum coverage requirement: 80% code coverage for all new and modified code.</w:t>
      </w:r>
    </w:p>
    <w:p>
      <w:pPr>
        <w:pStyle w:val="ListParagraph"/>
        <w:numPr>
          <w:ilvl w:val="0"/>
          <w:numId w:val="2"/>
        </w:numPr>
        <w:spacing w:after="40" w:before="40"/>
      </w:pPr>
      <w:r>
        <w:rPr>
          <w:rFonts w:ascii="Arial" w:cs="Arial" w:eastAsia="Arial" w:hAnsi="Arial"/>
          <w:color w:val="1A1A1A"/>
          <w:sz w:val="22"/>
          <w:szCs w:val="22"/>
        </w:rPr>
        <w:t xml:space="preserve">Execution: Automated, run as part of every pull request (PR) pipeline.</w:t>
      </w:r>
    </w:p>
    <w:p>
      <w:pPr>
        <w:pStyle w:val="ListParagraph"/>
        <w:numPr>
          <w:ilvl w:val="0"/>
          <w:numId w:val="2"/>
        </w:numPr>
        <w:spacing w:after="40" w:before="40"/>
      </w:pPr>
      <w:r>
        <w:rPr>
          <w:rFonts w:ascii="Arial" w:cs="Arial" w:eastAsia="Arial" w:hAnsi="Arial"/>
          <w:color w:val="1A1A1A"/>
          <w:sz w:val="22"/>
          <w:szCs w:val="22"/>
        </w:rPr>
        <w:t xml:space="preserve">Tools: Jest, JUnit, PyTest, NUnit (or equivalent team-approved frameworks).</w:t>
      </w:r>
    </w:p>
    <w:p>
      <w:pPr>
        <w:spacing w:after="80" w:before="80"/>
      </w:pPr>
    </w:p>
    <w:p>
      <w:pPr>
        <w:pStyle w:val="Heading2"/>
        <w:spacing w:after="100" w:before="240"/>
      </w:pPr>
      <w:r>
        <w:rPr>
          <w:rFonts w:ascii="Arial" w:cs="Arial" w:eastAsia="Arial" w:hAnsi="Arial"/>
          <w:b/>
          <w:bCs/>
          <w:color w:val="2E75B6"/>
          <w:sz w:val="26"/>
          <w:szCs w:val="26"/>
        </w:rPr>
        <w:t xml:space="preserve">3.2 Integration Testing</w:t>
      </w:r>
    </w:p>
    <w:p>
      <w:pPr>
        <w:spacing w:after="80" w:before="60"/>
      </w:pPr>
      <w:r>
        <w:rPr>
          <w:rFonts w:ascii="Arial" w:cs="Arial" w:eastAsia="Arial" w:hAnsi="Arial"/>
          <w:color w:val="1A1A1A"/>
          <w:sz w:val="22"/>
          <w:szCs w:val="22"/>
        </w:rPr>
        <w:t xml:space="preserve">Scope: Interactions between components, services, and third-party integrations.</w:t>
      </w:r>
    </w:p>
    <w:p>
      <w:pPr>
        <w:pStyle w:val="ListParagraph"/>
        <w:numPr>
          <w:ilvl w:val="0"/>
          <w:numId w:val="2"/>
        </w:numPr>
        <w:spacing w:after="40" w:before="40"/>
      </w:pPr>
      <w:r>
        <w:rPr>
          <w:rFonts w:ascii="Arial" w:cs="Arial" w:eastAsia="Arial" w:hAnsi="Arial"/>
          <w:color w:val="1A1A1A"/>
          <w:sz w:val="22"/>
          <w:szCs w:val="22"/>
        </w:rPr>
        <w:t xml:space="preserve">Ownership: Development team with QA oversight.</w:t>
      </w:r>
    </w:p>
    <w:p>
      <w:pPr>
        <w:pStyle w:val="ListParagraph"/>
        <w:numPr>
          <w:ilvl w:val="0"/>
          <w:numId w:val="2"/>
        </w:numPr>
        <w:spacing w:after="40" w:before="40"/>
      </w:pPr>
      <w:r>
        <w:rPr>
          <w:rFonts w:ascii="Arial" w:cs="Arial" w:eastAsia="Arial" w:hAnsi="Arial"/>
          <w:color w:val="1A1A1A"/>
          <w:sz w:val="22"/>
          <w:szCs w:val="22"/>
        </w:rPr>
        <w:t xml:space="preserve">Covers: API contract testing, database interaction validation, microservice communication.</w:t>
      </w:r>
    </w:p>
    <w:p>
      <w:pPr>
        <w:pStyle w:val="ListParagraph"/>
        <w:numPr>
          <w:ilvl w:val="0"/>
          <w:numId w:val="2"/>
        </w:numPr>
        <w:spacing w:after="40" w:before="40"/>
      </w:pPr>
      <w:r>
        <w:rPr>
          <w:rFonts w:ascii="Arial" w:cs="Arial" w:eastAsia="Arial" w:hAnsi="Arial"/>
          <w:color w:val="1A1A1A"/>
          <w:sz w:val="22"/>
          <w:szCs w:val="22"/>
        </w:rPr>
        <w:t xml:space="preserve">Execution: Automated, run as part of CI pipeline post-unit test phase.</w:t>
      </w:r>
    </w:p>
    <w:p>
      <w:pPr>
        <w:pStyle w:val="ListParagraph"/>
        <w:numPr>
          <w:ilvl w:val="0"/>
          <w:numId w:val="2"/>
        </w:numPr>
        <w:spacing w:after="40" w:before="40"/>
      </w:pPr>
      <w:r>
        <w:rPr>
          <w:rFonts w:ascii="Arial" w:cs="Arial" w:eastAsia="Arial" w:hAnsi="Arial"/>
          <w:color w:val="1A1A1A"/>
          <w:sz w:val="22"/>
          <w:szCs w:val="22"/>
        </w:rPr>
        <w:t xml:space="preserve">Tools: Postman/Newman, RestAssured, Pact (contract testing), or equivalent.</w:t>
      </w:r>
    </w:p>
    <w:p>
      <w:pPr>
        <w:spacing w:after="80" w:before="80"/>
      </w:pPr>
    </w:p>
    <w:p>
      <w:pPr>
        <w:pStyle w:val="Heading2"/>
        <w:spacing w:after="100" w:before="240"/>
      </w:pPr>
      <w:r>
        <w:rPr>
          <w:rFonts w:ascii="Arial" w:cs="Arial" w:eastAsia="Arial" w:hAnsi="Arial"/>
          <w:b/>
          <w:bCs/>
          <w:color w:val="2E75B6"/>
          <w:sz w:val="26"/>
          <w:szCs w:val="26"/>
        </w:rPr>
        <w:t xml:space="preserve">3.3 System Testing</w:t>
      </w:r>
    </w:p>
    <w:p>
      <w:pPr>
        <w:spacing w:after="80" w:before="60"/>
      </w:pPr>
      <w:r>
        <w:rPr>
          <w:rFonts w:ascii="Arial" w:cs="Arial" w:eastAsia="Arial" w:hAnsi="Arial"/>
          <w:color w:val="1A1A1A"/>
          <w:sz w:val="22"/>
          <w:szCs w:val="22"/>
        </w:rPr>
        <w:t xml:space="preserve">Scope: End-to-end validation of the complete application against functional requirements.</w:t>
      </w:r>
    </w:p>
    <w:p>
      <w:pPr>
        <w:pStyle w:val="ListParagraph"/>
        <w:numPr>
          <w:ilvl w:val="0"/>
          <w:numId w:val="2"/>
        </w:numPr>
        <w:spacing w:after="40" w:before="40"/>
      </w:pPr>
      <w:r>
        <w:rPr>
          <w:rFonts w:ascii="Arial" w:cs="Arial" w:eastAsia="Arial" w:hAnsi="Arial"/>
          <w:color w:val="1A1A1A"/>
          <w:sz w:val="22"/>
          <w:szCs w:val="22"/>
        </w:rPr>
        <w:t xml:space="preserve">Ownership: QA team.</w:t>
      </w:r>
    </w:p>
    <w:p>
      <w:pPr>
        <w:pStyle w:val="ListParagraph"/>
        <w:numPr>
          <w:ilvl w:val="0"/>
          <w:numId w:val="2"/>
        </w:numPr>
        <w:spacing w:after="40" w:before="40"/>
      </w:pPr>
      <w:r>
        <w:rPr>
          <w:rFonts w:ascii="Arial" w:cs="Arial" w:eastAsia="Arial" w:hAnsi="Arial"/>
          <w:color w:val="1A1A1A"/>
          <w:sz w:val="22"/>
          <w:szCs w:val="22"/>
        </w:rPr>
        <w:t xml:space="preserve">Includes: Functional, regression, and smoke test suites.</w:t>
      </w:r>
    </w:p>
    <w:p>
      <w:pPr>
        <w:pStyle w:val="ListParagraph"/>
        <w:numPr>
          <w:ilvl w:val="0"/>
          <w:numId w:val="2"/>
        </w:numPr>
        <w:spacing w:after="40" w:before="40"/>
      </w:pPr>
      <w:r>
        <w:rPr>
          <w:rFonts w:ascii="Arial" w:cs="Arial" w:eastAsia="Arial" w:hAnsi="Arial"/>
          <w:color w:val="1A1A1A"/>
          <w:sz w:val="22"/>
          <w:szCs w:val="22"/>
        </w:rPr>
        <w:t xml:space="preserve">Execution: Automated regression suite supplemented by exploratory testing.</w:t>
      </w:r>
    </w:p>
    <w:p>
      <w:pPr>
        <w:pStyle w:val="ListParagraph"/>
        <w:numPr>
          <w:ilvl w:val="0"/>
          <w:numId w:val="2"/>
        </w:numPr>
        <w:spacing w:after="40" w:before="40"/>
      </w:pPr>
      <w:r>
        <w:rPr>
          <w:rFonts w:ascii="Arial" w:cs="Arial" w:eastAsia="Arial" w:hAnsi="Arial"/>
          <w:color w:val="1A1A1A"/>
          <w:sz w:val="22"/>
          <w:szCs w:val="22"/>
        </w:rPr>
        <w:t xml:space="preserve">Entry Criteria: All integration tests pass; build is deployed to the QA environment.</w:t>
      </w:r>
    </w:p>
    <w:p>
      <w:pPr>
        <w:spacing w:after="80" w:before="80"/>
      </w:pPr>
    </w:p>
    <w:p>
      <w:pPr>
        <w:pStyle w:val="Heading2"/>
        <w:spacing w:after="100" w:before="240"/>
      </w:pPr>
      <w:r>
        <w:rPr>
          <w:rFonts w:ascii="Arial" w:cs="Arial" w:eastAsia="Arial" w:hAnsi="Arial"/>
          <w:b/>
          <w:bCs/>
          <w:color w:val="2E75B6"/>
          <w:sz w:val="26"/>
          <w:szCs w:val="26"/>
        </w:rPr>
        <w:t xml:space="preserve">3.4 User Acceptance Testing (UAT)</w:t>
      </w:r>
    </w:p>
    <w:p>
      <w:pPr>
        <w:spacing w:after="80" w:before="60"/>
      </w:pPr>
      <w:r>
        <w:rPr>
          <w:rFonts w:ascii="Arial" w:cs="Arial" w:eastAsia="Arial" w:hAnsi="Arial"/>
          <w:color w:val="1A1A1A"/>
          <w:sz w:val="22"/>
          <w:szCs w:val="22"/>
        </w:rPr>
        <w:t xml:space="preserve">Scope: Business stakeholder validation that the system meets business objectives.</w:t>
      </w:r>
    </w:p>
    <w:p>
      <w:pPr>
        <w:pStyle w:val="ListParagraph"/>
        <w:numPr>
          <w:ilvl w:val="0"/>
          <w:numId w:val="2"/>
        </w:numPr>
        <w:spacing w:after="40" w:before="40"/>
      </w:pPr>
      <w:r>
        <w:rPr>
          <w:rFonts w:ascii="Arial" w:cs="Arial" w:eastAsia="Arial" w:hAnsi="Arial"/>
          <w:color w:val="1A1A1A"/>
          <w:sz w:val="22"/>
          <w:szCs w:val="22"/>
        </w:rPr>
        <w:t xml:space="preserve">Ownership: Business Analyst / Product Owner with QA support.</w:t>
      </w:r>
    </w:p>
    <w:p>
      <w:pPr>
        <w:pStyle w:val="ListParagraph"/>
        <w:numPr>
          <w:ilvl w:val="0"/>
          <w:numId w:val="2"/>
        </w:numPr>
        <w:spacing w:after="40" w:before="40"/>
      </w:pPr>
      <w:r>
        <w:rPr>
          <w:rFonts w:ascii="Arial" w:cs="Arial" w:eastAsia="Arial" w:hAnsi="Arial"/>
          <w:color w:val="1A1A1A"/>
          <w:sz w:val="22"/>
          <w:szCs w:val="22"/>
        </w:rPr>
        <w:t xml:space="preserve">Execution: Manual execution using pre-approved test scenarios in a UAT environment.</w:t>
      </w:r>
    </w:p>
    <w:p>
      <w:pPr>
        <w:pStyle w:val="ListParagraph"/>
        <w:numPr>
          <w:ilvl w:val="0"/>
          <w:numId w:val="2"/>
        </w:numPr>
        <w:spacing w:after="40" w:before="40"/>
      </w:pPr>
      <w:r>
        <w:rPr>
          <w:rFonts w:ascii="Arial" w:cs="Arial" w:eastAsia="Arial" w:hAnsi="Arial"/>
          <w:color w:val="1A1A1A"/>
          <w:sz w:val="22"/>
          <w:szCs w:val="22"/>
        </w:rPr>
        <w:t xml:space="preserve">Exit Criteria: All critical and high-severity scenarios pass; no open P1/P2 defects.</w:t>
      </w:r>
    </w:p>
    <w:p>
      <w:pPr>
        <w:spacing w:after="80" w:before="80"/>
      </w:pPr>
    </w:p>
    <w:p>
      <w:pPr>
        <w:pStyle w:val="Heading2"/>
        <w:spacing w:after="100" w:before="240"/>
      </w:pPr>
      <w:r>
        <w:rPr>
          <w:rFonts w:ascii="Arial" w:cs="Arial" w:eastAsia="Arial" w:hAnsi="Arial"/>
          <w:b/>
          <w:bCs/>
          <w:color w:val="2E75B6"/>
          <w:sz w:val="26"/>
          <w:szCs w:val="26"/>
        </w:rPr>
        <w:t xml:space="preserve">3.5 Non-Functional Testing</w:t>
      </w:r>
    </w:p>
    <w:p>
      <w:pPr>
        <w:spacing w:after="80" w:before="60"/>
      </w:pPr>
      <w:r>
        <w:rPr>
          <w:rFonts w:ascii="Arial" w:cs="Arial" w:eastAsia="Arial" w:hAnsi="Arial"/>
          <w:color w:val="1A1A1A"/>
          <w:sz w:val="22"/>
          <w:szCs w:val="22"/>
        </w:rPr>
        <w:t xml:space="preserve">Non-functional testing requirements must be defined during the Test Planning phase for all major releases.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Test 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When Required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Baseline Threshold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Performance / Load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All major releases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Response time &lt;2s at P95 under expected peak 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Security / DAST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All externally facing systems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No Critical or High OWASP Top-10 vulnerabilities at release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Accessibility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All UI-bearing applications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WCAG 2.1 AA compliance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Compatibility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Web and mobile applications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Support matrix defined per project; min. 2 latest browser versions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Disaster Recovery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Tier 1 systems only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RTO &lt;4 hours, RPO &lt;1 hour validated via drill</w:t>
            </w:r>
          </w:p>
        </w:tc>
      </w:tr>
    </w:tbl>
    <w:p>
      <w:pPr>
        <w:pBdr>
          <w:bottom w:val="single" w:color="2E75B6" w:sz="4" w:space="1"/>
        </w:pBdr>
        <w:spacing w:after="160" w:before="160"/>
      </w:pPr>
    </w:p>
    <w:p>
      <w:pPr>
        <w:pStyle w:val="Heading1"/>
        <w:spacing w:after="120" w:before="360"/>
      </w:pPr>
      <w:r>
        <w:rPr>
          <w:rFonts w:ascii="Arial" w:cs="Arial" w:eastAsia="Arial" w:hAnsi="Arial"/>
          <w:b/>
          <w:bCs/>
          <w:color w:val="1F3864"/>
          <w:sz w:val="32"/>
          <w:szCs w:val="32"/>
        </w:rPr>
        <w:t xml:space="preserve">4. Test Process and Lifecycle</w:t>
      </w:r>
    </w:p>
    <w:p>
      <w:pPr>
        <w:spacing w:after="80" w:before="80"/>
      </w:pPr>
    </w:p>
    <w:p>
      <w:pPr>
        <w:pStyle w:val="Heading2"/>
        <w:spacing w:after="100" w:before="240"/>
      </w:pPr>
      <w:r>
        <w:rPr>
          <w:rFonts w:ascii="Arial" w:cs="Arial" w:eastAsia="Arial" w:hAnsi="Arial"/>
          <w:b/>
          <w:bCs/>
          <w:color w:val="2E75B6"/>
          <w:sz w:val="26"/>
          <w:szCs w:val="26"/>
        </w:rPr>
        <w:t xml:space="preserve">4.1 Test Planning</w:t>
      </w:r>
    </w:p>
    <w:p>
      <w:pPr>
        <w:spacing w:after="80" w:before="60"/>
      </w:pPr>
      <w:r>
        <w:rPr>
          <w:rFonts w:ascii="Arial" w:cs="Arial" w:eastAsia="Arial" w:hAnsi="Arial"/>
          <w:color w:val="1A1A1A"/>
          <w:sz w:val="22"/>
          <w:szCs w:val="22"/>
        </w:rPr>
        <w:t xml:space="preserve">A Test Plan must be authored by the QA Lead for all projects classified as Medium, High, or Critical risk. The Test Plan shall document:</w:t>
      </w:r>
    </w:p>
    <w:p>
      <w:pPr>
        <w:pStyle w:val="ListParagraph"/>
        <w:numPr>
          <w:ilvl w:val="0"/>
          <w:numId w:val="3"/>
        </w:numPr>
        <w:spacing w:after="40" w:before="40"/>
      </w:pPr>
      <w:r>
        <w:rPr>
          <w:rFonts w:ascii="Arial" w:cs="Arial" w:eastAsia="Arial" w:hAnsi="Arial"/>
          <w:color w:val="1A1A1A"/>
          <w:sz w:val="22"/>
          <w:szCs w:val="22"/>
        </w:rPr>
        <w:t xml:space="preserve">Objectives and scope of testing.</w:t>
      </w:r>
    </w:p>
    <w:p>
      <w:pPr>
        <w:pStyle w:val="ListParagraph"/>
        <w:numPr>
          <w:ilvl w:val="0"/>
          <w:numId w:val="3"/>
        </w:numPr>
        <w:spacing w:after="40" w:before="40"/>
      </w:pPr>
      <w:r>
        <w:rPr>
          <w:rFonts w:ascii="Arial" w:cs="Arial" w:eastAsia="Arial" w:hAnsi="Arial"/>
          <w:color w:val="1A1A1A"/>
          <w:sz w:val="22"/>
          <w:szCs w:val="22"/>
        </w:rPr>
        <w:t xml:space="preserve">Test levels and types applicable to the project.</w:t>
      </w:r>
    </w:p>
    <w:p>
      <w:pPr>
        <w:pStyle w:val="ListParagraph"/>
        <w:numPr>
          <w:ilvl w:val="0"/>
          <w:numId w:val="3"/>
        </w:numPr>
        <w:spacing w:after="40" w:before="40"/>
      </w:pPr>
      <w:r>
        <w:rPr>
          <w:rFonts w:ascii="Arial" w:cs="Arial" w:eastAsia="Arial" w:hAnsi="Arial"/>
          <w:color w:val="1A1A1A"/>
          <w:sz w:val="22"/>
          <w:szCs w:val="22"/>
        </w:rPr>
        <w:t xml:space="preserve">Entry and exit criteria for each test phase.</w:t>
      </w:r>
    </w:p>
    <w:p>
      <w:pPr>
        <w:pStyle w:val="ListParagraph"/>
        <w:numPr>
          <w:ilvl w:val="0"/>
          <w:numId w:val="3"/>
        </w:numPr>
        <w:spacing w:after="40" w:before="40"/>
      </w:pPr>
      <w:r>
        <w:rPr>
          <w:rFonts w:ascii="Arial" w:cs="Arial" w:eastAsia="Arial" w:hAnsi="Arial"/>
          <w:color w:val="1A1A1A"/>
          <w:sz w:val="22"/>
          <w:szCs w:val="22"/>
        </w:rPr>
        <w:t xml:space="preserve">Resource requirements, roles, and responsibilities.</w:t>
      </w:r>
    </w:p>
    <w:p>
      <w:pPr>
        <w:pStyle w:val="ListParagraph"/>
        <w:numPr>
          <w:ilvl w:val="0"/>
          <w:numId w:val="3"/>
        </w:numPr>
        <w:spacing w:after="40" w:before="40"/>
      </w:pPr>
      <w:r>
        <w:rPr>
          <w:rFonts w:ascii="Arial" w:cs="Arial" w:eastAsia="Arial" w:hAnsi="Arial"/>
          <w:color w:val="1A1A1A"/>
          <w:sz w:val="22"/>
          <w:szCs w:val="22"/>
        </w:rPr>
        <w:t xml:space="preserve">Environment and data requirements.</w:t>
      </w:r>
    </w:p>
    <w:p>
      <w:pPr>
        <w:pStyle w:val="ListParagraph"/>
        <w:numPr>
          <w:ilvl w:val="0"/>
          <w:numId w:val="3"/>
        </w:numPr>
        <w:spacing w:after="40" w:before="40"/>
      </w:pPr>
      <w:r>
        <w:rPr>
          <w:rFonts w:ascii="Arial" w:cs="Arial" w:eastAsia="Arial" w:hAnsi="Arial"/>
          <w:color w:val="1A1A1A"/>
          <w:sz w:val="22"/>
          <w:szCs w:val="22"/>
        </w:rPr>
        <w:t xml:space="preserve">Risk assessment and mitigation strategies.</w:t>
      </w:r>
    </w:p>
    <w:p>
      <w:pPr>
        <w:pStyle w:val="ListParagraph"/>
        <w:numPr>
          <w:ilvl w:val="0"/>
          <w:numId w:val="3"/>
        </w:numPr>
        <w:spacing w:after="40" w:before="40"/>
      </w:pPr>
      <w:r>
        <w:rPr>
          <w:rFonts w:ascii="Arial" w:cs="Arial" w:eastAsia="Arial" w:hAnsi="Arial"/>
          <w:color w:val="1A1A1A"/>
          <w:sz w:val="22"/>
          <w:szCs w:val="22"/>
        </w:rPr>
        <w:t xml:space="preserve">Schedule and milestones.</w:t>
      </w:r>
    </w:p>
    <w:p>
      <w:pPr>
        <w:pStyle w:val="ListParagraph"/>
        <w:numPr>
          <w:ilvl w:val="0"/>
          <w:numId w:val="3"/>
        </w:numPr>
        <w:spacing w:after="40" w:before="40"/>
      </w:pPr>
      <w:r>
        <w:rPr>
          <w:rFonts w:ascii="Arial" w:cs="Arial" w:eastAsia="Arial" w:hAnsi="Arial"/>
          <w:color w:val="1A1A1A"/>
          <w:sz w:val="22"/>
          <w:szCs w:val="22"/>
        </w:rPr>
        <w:t xml:space="preserve">Defect management and escalation procedures.</w:t>
      </w:r>
    </w:p>
    <w:p>
      <w:pPr>
        <w:spacing w:after="80" w:before="80"/>
      </w:pPr>
    </w:p>
    <w:p>
      <w:pPr>
        <w:pStyle w:val="Heading2"/>
        <w:spacing w:after="100" w:before="240"/>
      </w:pPr>
      <w:r>
        <w:rPr>
          <w:rFonts w:ascii="Arial" w:cs="Arial" w:eastAsia="Arial" w:hAnsi="Arial"/>
          <w:b/>
          <w:bCs/>
          <w:color w:val="2E75B6"/>
          <w:sz w:val="26"/>
          <w:szCs w:val="26"/>
        </w:rPr>
        <w:t xml:space="preserve">4.2 Test Design</w:t>
      </w:r>
    </w:p>
    <w:p>
      <w:pPr>
        <w:spacing w:after="80" w:before="60"/>
      </w:pPr>
      <w:r>
        <w:rPr>
          <w:rFonts w:ascii="Arial" w:cs="Arial" w:eastAsia="Arial" w:hAnsi="Arial"/>
          <w:color w:val="1A1A1A"/>
          <w:sz w:val="22"/>
          <w:szCs w:val="22"/>
        </w:rPr>
        <w:t xml:space="preserve">Test cases and test scenarios shall be derived from business requirements, user stories, and acceptance criteria using the following techniques as appropriate:</w:t>
      </w:r>
    </w:p>
    <w:p>
      <w:pPr>
        <w:pStyle w:val="ListParagraph"/>
        <w:numPr>
          <w:ilvl w:val="0"/>
          <w:numId w:val="2"/>
        </w:numPr>
        <w:spacing w:after="40" w:before="40"/>
      </w:pPr>
      <w:r>
        <w:rPr>
          <w:rFonts w:ascii="Arial" w:cs="Arial" w:eastAsia="Arial" w:hAnsi="Arial"/>
          <w:color w:val="1A1A1A"/>
          <w:sz w:val="22"/>
          <w:szCs w:val="22"/>
        </w:rPr>
        <w:t xml:space="preserve">Equivalence Partitioning and Boundary Value Analysis for data-driven scenarios.</w:t>
      </w:r>
    </w:p>
    <w:p>
      <w:pPr>
        <w:pStyle w:val="ListParagraph"/>
        <w:numPr>
          <w:ilvl w:val="0"/>
          <w:numId w:val="2"/>
        </w:numPr>
        <w:spacing w:after="40" w:before="40"/>
      </w:pPr>
      <w:r>
        <w:rPr>
          <w:rFonts w:ascii="Arial" w:cs="Arial" w:eastAsia="Arial" w:hAnsi="Arial"/>
          <w:color w:val="1A1A1A"/>
          <w:sz w:val="22"/>
          <w:szCs w:val="22"/>
        </w:rPr>
        <w:t xml:space="preserve">Decision Table Testing for complex business rules.</w:t>
      </w:r>
    </w:p>
    <w:p>
      <w:pPr>
        <w:pStyle w:val="ListParagraph"/>
        <w:numPr>
          <w:ilvl w:val="0"/>
          <w:numId w:val="2"/>
        </w:numPr>
        <w:spacing w:after="40" w:before="40"/>
      </w:pPr>
      <w:r>
        <w:rPr>
          <w:rFonts w:ascii="Arial" w:cs="Arial" w:eastAsia="Arial" w:hAnsi="Arial"/>
          <w:color w:val="1A1A1A"/>
          <w:sz w:val="22"/>
          <w:szCs w:val="22"/>
        </w:rPr>
        <w:t xml:space="preserve">State Transition Testing for workflow and stateful systems.</w:t>
      </w:r>
    </w:p>
    <w:p>
      <w:pPr>
        <w:pStyle w:val="ListParagraph"/>
        <w:numPr>
          <w:ilvl w:val="0"/>
          <w:numId w:val="2"/>
        </w:numPr>
        <w:spacing w:after="40" w:before="40"/>
      </w:pPr>
      <w:r>
        <w:rPr>
          <w:rFonts w:ascii="Arial" w:cs="Arial" w:eastAsia="Arial" w:hAnsi="Arial"/>
          <w:color w:val="1A1A1A"/>
          <w:sz w:val="22"/>
          <w:szCs w:val="22"/>
        </w:rPr>
        <w:t xml:space="preserve">Exploratory Testing for risk-based coverage of undefined edge cases.</w:t>
      </w:r>
    </w:p>
    <w:p>
      <w:pPr>
        <w:spacing w:after="80" w:before="80"/>
      </w:pPr>
    </w:p>
    <w:p>
      <w:pPr>
        <w:pStyle w:val="Heading2"/>
        <w:spacing w:after="100" w:before="240"/>
      </w:pPr>
      <w:r>
        <w:rPr>
          <w:rFonts w:ascii="Arial" w:cs="Arial" w:eastAsia="Arial" w:hAnsi="Arial"/>
          <w:b/>
          <w:bCs/>
          <w:color w:val="2E75B6"/>
          <w:sz w:val="26"/>
          <w:szCs w:val="26"/>
        </w:rPr>
        <w:t xml:space="preserve">4.3 Test Execution</w:t>
      </w:r>
    </w:p>
    <w:p>
      <w:pPr>
        <w:pStyle w:val="ListParagraph"/>
        <w:numPr>
          <w:ilvl w:val="0"/>
          <w:numId w:val="2"/>
        </w:numPr>
        <w:spacing w:after="40" w:before="40"/>
      </w:pPr>
      <w:r>
        <w:rPr>
          <w:rFonts w:ascii="Arial" w:cs="Arial" w:eastAsia="Arial" w:hAnsi="Arial"/>
          <w:color w:val="1A1A1A"/>
          <w:sz w:val="22"/>
          <w:szCs w:val="22"/>
        </w:rPr>
        <w:t xml:space="preserve">Test execution shall be tracked in the organization-approved test management tool.</w:t>
      </w:r>
    </w:p>
    <w:p>
      <w:pPr>
        <w:pStyle w:val="ListParagraph"/>
        <w:numPr>
          <w:ilvl w:val="0"/>
          <w:numId w:val="2"/>
        </w:numPr>
        <w:spacing w:after="40" w:before="40"/>
      </w:pPr>
      <w:r>
        <w:rPr>
          <w:rFonts w:ascii="Arial" w:cs="Arial" w:eastAsia="Arial" w:hAnsi="Arial"/>
          <w:color w:val="1A1A1A"/>
          <w:sz w:val="22"/>
          <w:szCs w:val="22"/>
        </w:rPr>
        <w:t xml:space="preserve">Automated test results shall be published to the CI/CD pipeline dashboard.</w:t>
      </w:r>
    </w:p>
    <w:p>
      <w:pPr>
        <w:pStyle w:val="ListParagraph"/>
        <w:numPr>
          <w:ilvl w:val="0"/>
          <w:numId w:val="2"/>
        </w:numPr>
        <w:spacing w:after="40" w:before="40"/>
      </w:pPr>
      <w:r>
        <w:rPr>
          <w:rFonts w:ascii="Arial" w:cs="Arial" w:eastAsia="Arial" w:hAnsi="Arial"/>
          <w:color w:val="1A1A1A"/>
          <w:sz w:val="22"/>
          <w:szCs w:val="22"/>
        </w:rPr>
        <w:t xml:space="preserve">Test execution status (Pass / Fail / Blocked / Skipped) must be logged for all test cases.</w:t>
      </w:r>
    </w:p>
    <w:p>
      <w:pPr>
        <w:pStyle w:val="ListParagraph"/>
        <w:numPr>
          <w:ilvl w:val="0"/>
          <w:numId w:val="2"/>
        </w:numPr>
        <w:spacing w:after="40" w:before="40"/>
      </w:pPr>
      <w:r>
        <w:rPr>
          <w:rFonts w:ascii="Arial" w:cs="Arial" w:eastAsia="Arial" w:hAnsi="Arial"/>
          <w:color w:val="1A1A1A"/>
          <w:sz w:val="22"/>
          <w:szCs w:val="22"/>
        </w:rPr>
        <w:t xml:space="preserve">Defects discovered during execution must be logged with reproducible steps, severity, and priority before end of the same business day.</w:t>
      </w:r>
    </w:p>
    <w:p>
      <w:pPr>
        <w:spacing w:after="80" w:before="80"/>
      </w:pPr>
    </w:p>
    <w:p>
      <w:pPr>
        <w:pStyle w:val="Heading2"/>
        <w:spacing w:after="100" w:before="240"/>
      </w:pPr>
      <w:r>
        <w:rPr>
          <w:rFonts w:ascii="Arial" w:cs="Arial" w:eastAsia="Arial" w:hAnsi="Arial"/>
          <w:b/>
          <w:bCs/>
          <w:color w:val="2E75B6"/>
          <w:sz w:val="26"/>
          <w:szCs w:val="26"/>
        </w:rPr>
        <w:t xml:space="preserve">4.4 Test Reporting</w:t>
      </w:r>
    </w:p>
    <w:p>
      <w:pPr>
        <w:spacing w:after="80" w:before="60"/>
      </w:pPr>
      <w:r>
        <w:rPr>
          <w:rFonts w:ascii="Arial" w:cs="Arial" w:eastAsia="Arial" w:hAnsi="Arial"/>
          <w:color w:val="1A1A1A"/>
          <w:sz w:val="22"/>
          <w:szCs w:val="22"/>
        </w:rPr>
        <w:t xml:space="preserve">Test summary reports shall be produced at the end of each major test phase and include:</w:t>
      </w:r>
    </w:p>
    <w:p>
      <w:pPr>
        <w:pStyle w:val="ListParagraph"/>
        <w:numPr>
          <w:ilvl w:val="0"/>
          <w:numId w:val="2"/>
        </w:numPr>
        <w:spacing w:after="40" w:before="40"/>
      </w:pPr>
      <w:r>
        <w:rPr>
          <w:rFonts w:ascii="Arial" w:cs="Arial" w:eastAsia="Arial" w:hAnsi="Arial"/>
          <w:color w:val="1A1A1A"/>
          <w:sz w:val="22"/>
          <w:szCs w:val="22"/>
        </w:rPr>
        <w:t xml:space="preserve">Total test cases planned, executed, passed, failed, and blocked.</w:t>
      </w:r>
    </w:p>
    <w:p>
      <w:pPr>
        <w:pStyle w:val="ListParagraph"/>
        <w:numPr>
          <w:ilvl w:val="0"/>
          <w:numId w:val="2"/>
        </w:numPr>
        <w:spacing w:after="40" w:before="40"/>
      </w:pPr>
      <w:r>
        <w:rPr>
          <w:rFonts w:ascii="Arial" w:cs="Arial" w:eastAsia="Arial" w:hAnsi="Arial"/>
          <w:color w:val="1A1A1A"/>
          <w:sz w:val="22"/>
          <w:szCs w:val="22"/>
        </w:rPr>
        <w:t xml:space="preserve">Defect summary by severity and status.</w:t>
      </w:r>
    </w:p>
    <w:p>
      <w:pPr>
        <w:pStyle w:val="ListParagraph"/>
        <w:numPr>
          <w:ilvl w:val="0"/>
          <w:numId w:val="2"/>
        </w:numPr>
        <w:spacing w:after="40" w:before="40"/>
      </w:pPr>
      <w:r>
        <w:rPr>
          <w:rFonts w:ascii="Arial" w:cs="Arial" w:eastAsia="Arial" w:hAnsi="Arial"/>
          <w:color w:val="1A1A1A"/>
          <w:sz w:val="22"/>
          <w:szCs w:val="22"/>
        </w:rPr>
        <w:t xml:space="preserve">Test coverage against requirements.</w:t>
      </w:r>
    </w:p>
    <w:p>
      <w:pPr>
        <w:pStyle w:val="ListParagraph"/>
        <w:numPr>
          <w:ilvl w:val="0"/>
          <w:numId w:val="2"/>
        </w:numPr>
        <w:spacing w:after="40" w:before="40"/>
      </w:pPr>
      <w:r>
        <w:rPr>
          <w:rFonts w:ascii="Arial" w:cs="Arial" w:eastAsia="Arial" w:hAnsi="Arial"/>
          <w:color w:val="1A1A1A"/>
          <w:sz w:val="22"/>
          <w:szCs w:val="22"/>
        </w:rPr>
        <w:t xml:space="preserve">Pass/Fail rate trend across test cycles.</w:t>
      </w:r>
    </w:p>
    <w:p>
      <w:pPr>
        <w:pStyle w:val="ListParagraph"/>
        <w:numPr>
          <w:ilvl w:val="0"/>
          <w:numId w:val="2"/>
        </w:numPr>
        <w:spacing w:after="40" w:before="40"/>
      </w:pPr>
      <w:r>
        <w:rPr>
          <w:rFonts w:ascii="Arial" w:cs="Arial" w:eastAsia="Arial" w:hAnsi="Arial"/>
          <w:color w:val="1A1A1A"/>
          <w:sz w:val="22"/>
          <w:szCs w:val="22"/>
        </w:rPr>
        <w:t xml:space="preserve">Risk assessment and go/no-go recommendation.</w:t>
      </w:r>
    </w:p>
    <w:p>
      <w:pPr>
        <w:pBdr>
          <w:bottom w:val="single" w:color="2E75B6" w:sz="4" w:space="1"/>
        </w:pBdr>
        <w:spacing w:after="160" w:before="160"/>
      </w:pPr>
    </w:p>
    <w:p>
      <w:pPr>
        <w:pStyle w:val="Heading1"/>
        <w:spacing w:after="120" w:before="360"/>
      </w:pPr>
      <w:r>
        <w:rPr>
          <w:rFonts w:ascii="Arial" w:cs="Arial" w:eastAsia="Arial" w:hAnsi="Arial"/>
          <w:b/>
          <w:bCs/>
          <w:color w:val="1F3864"/>
          <w:sz w:val="32"/>
          <w:szCs w:val="32"/>
        </w:rPr>
        <w:t xml:space="preserve">5. Entry and Exit Criteria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Phase</w:t>
            </w:r>
          </w:p>
        </w:tc>
        <w:tc>
          <w:tcPr>
            <w:tcW w:type="dxa" w:w="3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Entry Criteria</w:t>
            </w:r>
          </w:p>
        </w:tc>
        <w:tc>
          <w:tcPr>
            <w:tcW w:type="dxa" w:w="3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Exit Criteria</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A1A1A"/>
                <w:sz w:val="20"/>
                <w:szCs w:val="20"/>
              </w:rPr>
              <w:t xml:space="preserve">Unit Testing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Code complete and peer-reviewed; dev environment stable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&gt;=80% code coverage; zero failing unit tests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1A"/>
                <w:sz w:val="20"/>
                <w:szCs w:val="20"/>
              </w:rPr>
              <w:t xml:space="preserve">Integration Testing</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Unit tests passing; component interfaces defined and stable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All API contracts validated; no P1/P2 integration defects open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A1A1A"/>
                <w:sz w:val="20"/>
                <w:szCs w:val="20"/>
              </w:rPr>
              <w:t xml:space="preserve">System Testing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Integration tests passing; QA environment deployed and verified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&gt;=95% of test cases executed; no open Critical defects; &lt;3 open High defects with mitigation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1A"/>
                <w:sz w:val="20"/>
                <w:szCs w:val="20"/>
              </w:rPr>
              <w:t xml:space="preserve">UAT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System test exit criteria met; UAT environment stable; test data ready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100% of critical scenarios pass; business sign-off obtained in writing</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A1A1A"/>
                <w:sz w:val="20"/>
                <w:szCs w:val="20"/>
              </w:rPr>
              <w:t xml:space="preserve">Production Release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UAT sign-off received; release notes approved; rollback plan in place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Post-release smoke tests pass within 30 minutes of deployment; no P1 issues in first 2 hours</w:t>
            </w:r>
          </w:p>
        </w:tc>
      </w:tr>
    </w:tbl>
    <w:p>
      <w:pPr>
        <w:pBdr>
          <w:bottom w:val="single" w:color="2E75B6" w:sz="4" w:space="1"/>
        </w:pBdr>
        <w:spacing w:after="160" w:before="160"/>
      </w:pPr>
    </w:p>
    <w:p>
      <w:pPr>
        <w:pStyle w:val="Heading1"/>
        <w:spacing w:after="120" w:before="360"/>
      </w:pPr>
      <w:r>
        <w:rPr>
          <w:rFonts w:ascii="Arial" w:cs="Arial" w:eastAsia="Arial" w:hAnsi="Arial"/>
          <w:b/>
          <w:bCs/>
          <w:color w:val="1F3864"/>
          <w:sz w:val="32"/>
          <w:szCs w:val="32"/>
        </w:rPr>
        <w:t xml:space="preserve">6. Defect Management</w:t>
      </w:r>
    </w:p>
    <w:p>
      <w:pPr>
        <w:spacing w:after="80" w:before="80"/>
      </w:pPr>
    </w:p>
    <w:p>
      <w:pPr>
        <w:pStyle w:val="Heading2"/>
        <w:spacing w:after="100" w:before="240"/>
      </w:pPr>
      <w:r>
        <w:rPr>
          <w:rFonts w:ascii="Arial" w:cs="Arial" w:eastAsia="Arial" w:hAnsi="Arial"/>
          <w:b/>
          <w:bCs/>
          <w:color w:val="2E75B6"/>
          <w:sz w:val="26"/>
          <w:szCs w:val="26"/>
        </w:rPr>
        <w:t xml:space="preserve">6.1 Defect Severity Classification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80"/>
        <w:gridCol w:w="288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Severity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Definition</w:t>
            </w:r>
          </w:p>
        </w:tc>
        <w:tc>
          <w:tcPr>
            <w:tcW w:type="dxa" w:w="28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Resolution SLA (Dev)</w:t>
            </w:r>
          </w:p>
        </w:tc>
        <w:tc>
          <w:tcPr>
            <w:tcW w:type="dxa" w:w="28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Release Impact</w:t>
            </w:r>
          </w:p>
        </w:tc>
      </w:tr>
      <w:tr>
        <w:tc>
          <w:tcPr>
            <w:tcW w:type="dxa" w:w="1400"/>
            <w:tcBorders>
              <w:top w:val="single" w:color="CCCCCC" w:sz="1"/>
              <w:left w:val="single" w:color="CCCCCC" w:sz="1"/>
              <w:bottom w:val="single" w:color="CCCCCC" w:sz="1"/>
              <w:right w:val="single" w:color="CCCCCC" w:sz="1"/>
            </w:tcBorders>
            <w:shd w:fill="FDEDED" w:val="clear"/>
            <w:tcMar>
              <w:top w:type="dxa" w:w="80"/>
              <w:left w:type="dxa" w:w="140"/>
              <w:bottom w:type="dxa" w:w="80"/>
              <w:right w:type="dxa" w:w="140"/>
            </w:tcMar>
            <w:vAlign w:val="center"/>
          </w:tcPr>
          <w:p>
            <w:r>
              <w:rPr>
                <w:rFonts w:ascii="Arial" w:cs="Arial" w:eastAsia="Arial" w:hAnsi="Arial"/>
                <w:b/>
                <w:bCs/>
                <w:color w:val="1A1A1A"/>
                <w:sz w:val="20"/>
                <w:szCs w:val="20"/>
              </w:rPr>
              <w:t xml:space="preserve">P1 — Critical</w:t>
            </w:r>
          </w:p>
        </w:tc>
        <w:tc>
          <w:tcPr>
            <w:tcW w:type="dxa" w:w="2200"/>
            <w:tcBorders>
              <w:top w:val="single" w:color="CCCCCC" w:sz="1"/>
              <w:left w:val="single" w:color="CCCCCC" w:sz="1"/>
              <w:bottom w:val="single" w:color="CCCCCC" w:sz="1"/>
              <w:right w:val="single" w:color="CCCCCC" w:sz="1"/>
            </w:tcBorders>
            <w:shd w:fill="FDEDED"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System crash, data loss, security breach; no workaround</w:t>
            </w:r>
          </w:p>
        </w:tc>
        <w:tc>
          <w:tcPr>
            <w:tcW w:type="dxa" w:w="2880"/>
            <w:tcBorders>
              <w:top w:val="single" w:color="CCCCCC" w:sz="1"/>
              <w:left w:val="single" w:color="CCCCCC" w:sz="1"/>
              <w:bottom w:val="single" w:color="CCCCCC" w:sz="1"/>
              <w:right w:val="single" w:color="CCCCCC" w:sz="1"/>
            </w:tcBorders>
            <w:shd w:fill="FDEDED"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Same business day</w:t>
            </w:r>
          </w:p>
        </w:tc>
        <w:tc>
          <w:tcPr>
            <w:tcW w:type="dxa" w:w="2880"/>
            <w:tcBorders>
              <w:top w:val="single" w:color="CCCCCC" w:sz="1"/>
              <w:left w:val="single" w:color="CCCCCC" w:sz="1"/>
              <w:bottom w:val="single" w:color="CCCCCC" w:sz="1"/>
              <w:right w:val="single" w:color="CCCCCC" w:sz="1"/>
            </w:tcBorders>
            <w:shd w:fill="FDEDED"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Blocker — release must not proceed</w:t>
            </w:r>
          </w:p>
        </w:tc>
      </w:tr>
      <w:tr>
        <w:tc>
          <w:tcPr>
            <w:tcW w:type="dxa" w:w="14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r>
              <w:rPr>
                <w:rFonts w:ascii="Arial" w:cs="Arial" w:eastAsia="Arial" w:hAnsi="Arial"/>
                <w:b/>
                <w:bCs/>
                <w:color w:val="1A1A1A"/>
                <w:sz w:val="20"/>
                <w:szCs w:val="20"/>
              </w:rPr>
              <w:t xml:space="preserve">P2 — High</w:t>
            </w:r>
          </w:p>
        </w:tc>
        <w:tc>
          <w:tcPr>
            <w:tcW w:type="dxa" w:w="22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Major feature broken; no acceptable workaround available</w:t>
            </w:r>
          </w:p>
        </w:tc>
        <w:tc>
          <w:tcPr>
            <w:tcW w:type="dxa" w:w="288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Within 2 business days</w:t>
            </w:r>
          </w:p>
        </w:tc>
        <w:tc>
          <w:tcPr>
            <w:tcW w:type="dxa" w:w="288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Blocker unless documented exception approved by QA Lead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1A"/>
                <w:sz w:val="20"/>
                <w:szCs w:val="20"/>
              </w:rPr>
              <w:t xml:space="preserve">P3 — Medium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Feature degraded; workaround exists and is acceptable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Within 5 business days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Non-blocker; tracked in release 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1A"/>
                <w:sz w:val="20"/>
                <w:szCs w:val="20"/>
              </w:rPr>
              <w:t xml:space="preserve">P4 — 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Cosmetic or minor UX issue; no functional impact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Scheduled in next sprint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Non-blocker; logged for next release cycle</w:t>
            </w:r>
          </w:p>
        </w:tc>
      </w:tr>
    </w:tbl>
    <w:p>
      <w:pPr>
        <w:spacing w:after="80" w:before="80"/>
      </w:pPr>
    </w:p>
    <w:p>
      <w:pPr>
        <w:pStyle w:val="Heading2"/>
        <w:spacing w:after="100" w:before="240"/>
      </w:pPr>
      <w:r>
        <w:rPr>
          <w:rFonts w:ascii="Arial" w:cs="Arial" w:eastAsia="Arial" w:hAnsi="Arial"/>
          <w:b/>
          <w:bCs/>
          <w:color w:val="2E75B6"/>
          <w:sz w:val="26"/>
          <w:szCs w:val="26"/>
        </w:rPr>
        <w:t xml:space="preserve">6.2 Defect Lifecycle</w:t>
      </w:r>
    </w:p>
    <w:p>
      <w:pPr>
        <w:spacing w:after="80" w:before="60"/>
      </w:pPr>
      <w:r>
        <w:rPr>
          <w:rFonts w:ascii="Arial" w:cs="Arial" w:eastAsia="Arial" w:hAnsi="Arial"/>
          <w:color w:val="1A1A1A"/>
          <w:sz w:val="22"/>
          <w:szCs w:val="22"/>
        </w:rPr>
        <w:t xml:space="preserve">All defects shall follow this lifecycle in the organization-approved defect tracking tool:</w:t>
      </w:r>
    </w:p>
    <w:p>
      <w:pPr>
        <w:pStyle w:val="ListParagraph"/>
        <w:numPr>
          <w:ilvl w:val="0"/>
          <w:numId w:val="2"/>
        </w:numPr>
        <w:spacing w:after="40" w:before="40"/>
      </w:pPr>
      <w:r>
        <w:rPr>
          <w:rFonts w:ascii="Arial" w:cs="Arial" w:eastAsia="Arial" w:hAnsi="Arial"/>
          <w:color w:val="1A1A1A"/>
          <w:sz w:val="22"/>
          <w:szCs w:val="22"/>
        </w:rPr>
        <w:t xml:space="preserve">New → In Triage → Open → In Development → In Review → Resolved → Verified → Closed.</w:t>
      </w:r>
    </w:p>
    <w:p>
      <w:pPr>
        <w:pStyle w:val="ListParagraph"/>
        <w:numPr>
          <w:ilvl w:val="0"/>
          <w:numId w:val="2"/>
        </w:numPr>
        <w:spacing w:after="40" w:before="40"/>
      </w:pPr>
      <w:r>
        <w:rPr>
          <w:rFonts w:ascii="Arial" w:cs="Arial" w:eastAsia="Arial" w:hAnsi="Arial"/>
          <w:color w:val="1A1A1A"/>
          <w:sz w:val="22"/>
          <w:szCs w:val="22"/>
        </w:rPr>
        <w:t xml:space="preserve">Defects not reproducible after two attempts by the QA team shall be moved to 'Cannot Reproduce' status.</w:t>
      </w:r>
    </w:p>
    <w:p>
      <w:pPr>
        <w:pStyle w:val="ListParagraph"/>
        <w:numPr>
          <w:ilvl w:val="0"/>
          <w:numId w:val="2"/>
        </w:numPr>
        <w:spacing w:after="40" w:before="40"/>
      </w:pPr>
      <w:r>
        <w:rPr>
          <w:rFonts w:ascii="Arial" w:cs="Arial" w:eastAsia="Arial" w:hAnsi="Arial"/>
          <w:color w:val="1A1A1A"/>
          <w:sz w:val="22"/>
          <w:szCs w:val="22"/>
        </w:rPr>
        <w:t xml:space="preserve">All P1 and P2 defects must be assigned an owner within 2 hours of being raised.</w:t>
      </w:r>
    </w:p>
    <w:p>
      <w:pPr>
        <w:pBdr>
          <w:bottom w:val="single" w:color="2E75B6" w:sz="4" w:space="1"/>
        </w:pBdr>
        <w:spacing w:after="160" w:before="160"/>
      </w:pPr>
    </w:p>
    <w:p>
      <w:pPr>
        <w:pStyle w:val="Heading1"/>
        <w:spacing w:after="120" w:before="360"/>
      </w:pPr>
      <w:r>
        <w:rPr>
          <w:rFonts w:ascii="Arial" w:cs="Arial" w:eastAsia="Arial" w:hAnsi="Arial"/>
          <w:b/>
          <w:bCs/>
          <w:color w:val="1F3864"/>
          <w:sz w:val="32"/>
          <w:szCs w:val="32"/>
        </w:rPr>
        <w:t xml:space="preserve">7. Test Environments and Data</w:t>
      </w:r>
    </w:p>
    <w:p>
      <w:pPr>
        <w:spacing w:after="80" w:before="80"/>
      </w:pPr>
    </w:p>
    <w:p>
      <w:pPr>
        <w:pStyle w:val="Heading2"/>
        <w:spacing w:after="100" w:before="240"/>
      </w:pPr>
      <w:r>
        <w:rPr>
          <w:rFonts w:ascii="Arial" w:cs="Arial" w:eastAsia="Arial" w:hAnsi="Arial"/>
          <w:b/>
          <w:bCs/>
          <w:color w:val="2E75B6"/>
          <w:sz w:val="26"/>
          <w:szCs w:val="26"/>
        </w:rPr>
        <w:t xml:space="preserve">7.1 Environment Requirements</w:t>
      </w:r>
    </w:p>
    <w:p>
      <w:pPr>
        <w:spacing w:after="80" w:before="60"/>
      </w:pPr>
      <w:r>
        <w:rPr>
          <w:rFonts w:ascii="Arial" w:cs="Arial" w:eastAsia="Arial" w:hAnsi="Arial"/>
          <w:color w:val="1A1A1A"/>
          <w:sz w:val="22"/>
          <w:szCs w:val="22"/>
        </w:rPr>
        <w:t xml:space="preserve">Dedicated, isolated environments are mandatory for each test phase. Environment provisioning is the joint responsibility of the DevOps and QA teams.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Environment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Owner</w:t>
            </w:r>
          </w:p>
        </w:tc>
        <w:tc>
          <w:tcPr>
            <w:tcW w:type="dxa" w:w="4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Purpose &amp; 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Development (DEV)</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Development Team</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Unit and integration testing; may be unstable; refreshed per sprint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QA / Staging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QA Team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System testing and regression; must mirror production configuration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UAT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Business / Product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Business acceptance testing; production-equivalent; refreshed per UAT cycle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Performance (PERF)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QA + DevOps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Load and performance testing; isolated from other test traffic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Production (PROD)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Operations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Post-release smoke testing only; no functional testing in PROD</w:t>
            </w:r>
          </w:p>
        </w:tc>
      </w:tr>
    </w:tbl>
    <w:p>
      <w:pPr>
        <w:spacing w:after="80" w:before="80"/>
      </w:pPr>
    </w:p>
    <w:p>
      <w:pPr>
        <w:pStyle w:val="Heading2"/>
        <w:spacing w:after="100" w:before="240"/>
      </w:pPr>
      <w:r>
        <w:rPr>
          <w:rFonts w:ascii="Arial" w:cs="Arial" w:eastAsia="Arial" w:hAnsi="Arial"/>
          <w:b/>
          <w:bCs/>
          <w:color w:val="2E75B6"/>
          <w:sz w:val="26"/>
          <w:szCs w:val="26"/>
        </w:rPr>
        <w:t xml:space="preserve">7.2 Test Data Management</w:t>
      </w:r>
    </w:p>
    <w:p>
      <w:pPr>
        <w:pStyle w:val="ListParagraph"/>
        <w:numPr>
          <w:ilvl w:val="0"/>
          <w:numId w:val="2"/>
        </w:numPr>
        <w:spacing w:after="40" w:before="40"/>
      </w:pPr>
      <w:r>
        <w:rPr>
          <w:rFonts w:ascii="Arial" w:cs="Arial" w:eastAsia="Arial" w:hAnsi="Arial"/>
          <w:color w:val="1A1A1A"/>
          <w:sz w:val="22"/>
          <w:szCs w:val="22"/>
        </w:rPr>
        <w:t xml:space="preserve">Production data must never be used in non-production environments without explicit anonymization and compliance approval.</w:t>
      </w:r>
    </w:p>
    <w:p>
      <w:pPr>
        <w:pStyle w:val="ListParagraph"/>
        <w:numPr>
          <w:ilvl w:val="0"/>
          <w:numId w:val="2"/>
        </w:numPr>
        <w:spacing w:after="40" w:before="40"/>
      </w:pPr>
      <w:r>
        <w:rPr>
          <w:rFonts w:ascii="Arial" w:cs="Arial" w:eastAsia="Arial" w:hAnsi="Arial"/>
          <w:color w:val="1A1A1A"/>
          <w:sz w:val="22"/>
          <w:szCs w:val="22"/>
        </w:rPr>
        <w:t xml:space="preserve">Synthetic test data shall be generated to represent realistic edge cases and volume.</w:t>
      </w:r>
    </w:p>
    <w:p>
      <w:pPr>
        <w:pStyle w:val="ListParagraph"/>
        <w:numPr>
          <w:ilvl w:val="0"/>
          <w:numId w:val="2"/>
        </w:numPr>
        <w:spacing w:after="40" w:before="40"/>
      </w:pPr>
      <w:r>
        <w:rPr>
          <w:rFonts w:ascii="Arial" w:cs="Arial" w:eastAsia="Arial" w:hAnsi="Arial"/>
          <w:color w:val="1A1A1A"/>
          <w:sz w:val="22"/>
          <w:szCs w:val="22"/>
        </w:rPr>
        <w:t xml:space="preserve">Sensitive data fields (PII, financial) must be masked or tokenized.</w:t>
      </w:r>
    </w:p>
    <w:p>
      <w:pPr>
        <w:pStyle w:val="ListParagraph"/>
        <w:numPr>
          <w:ilvl w:val="0"/>
          <w:numId w:val="2"/>
        </w:numPr>
        <w:spacing w:after="40" w:before="40"/>
      </w:pPr>
      <w:r>
        <w:rPr>
          <w:rFonts w:ascii="Arial" w:cs="Arial" w:eastAsia="Arial" w:hAnsi="Arial"/>
          <w:color w:val="1A1A1A"/>
          <w:sz w:val="22"/>
          <w:szCs w:val="22"/>
        </w:rPr>
        <w:t xml:space="preserve">Test data sets shall be version-controlled and refreshed at the start of each major test cycle.</w:t>
      </w:r>
    </w:p>
    <w:p>
      <w:pPr>
        <w:pBdr>
          <w:bottom w:val="single" w:color="2E75B6" w:sz="4" w:space="1"/>
        </w:pBdr>
        <w:spacing w:after="160" w:before="160"/>
      </w:pPr>
    </w:p>
    <w:p>
      <w:pPr>
        <w:pStyle w:val="Heading1"/>
        <w:spacing w:after="120" w:before="360"/>
      </w:pPr>
      <w:r>
        <w:rPr>
          <w:rFonts w:ascii="Arial" w:cs="Arial" w:eastAsia="Arial" w:hAnsi="Arial"/>
          <w:b/>
          <w:bCs/>
          <w:color w:val="1F3864"/>
          <w:sz w:val="32"/>
          <w:szCs w:val="32"/>
        </w:rPr>
        <w:t xml:space="preserve">8. Test Automation Strategy</w:t>
      </w:r>
    </w:p>
    <w:p>
      <w:pPr>
        <w:spacing w:after="80" w:before="80"/>
      </w:pPr>
    </w:p>
    <w:p>
      <w:pPr>
        <w:pStyle w:val="Heading2"/>
        <w:spacing w:after="100" w:before="240"/>
      </w:pPr>
      <w:r>
        <w:rPr>
          <w:rFonts w:ascii="Arial" w:cs="Arial" w:eastAsia="Arial" w:hAnsi="Arial"/>
          <w:b/>
          <w:bCs/>
          <w:color w:val="2E75B6"/>
          <w:sz w:val="26"/>
          <w:szCs w:val="26"/>
        </w:rPr>
        <w:t xml:space="preserve">8.1 Automation Scope</w:t>
      </w:r>
    </w:p>
    <w:p>
      <w:pPr>
        <w:spacing w:after="80" w:before="60"/>
      </w:pPr>
      <w:r>
        <w:rPr>
          <w:rFonts w:ascii="Arial" w:cs="Arial" w:eastAsia="Arial" w:hAnsi="Arial"/>
          <w:color w:val="1A1A1A"/>
          <w:sz w:val="22"/>
          <w:szCs w:val="22"/>
        </w:rPr>
        <w:t xml:space="preserve">Test automation shall follow the Test Pyramid model as the guiding framework for investment:</w:t>
      </w:r>
    </w:p>
    <w:p>
      <w:pPr>
        <w:pStyle w:val="ListParagraph"/>
        <w:numPr>
          <w:ilvl w:val="0"/>
          <w:numId w:val="2"/>
        </w:numPr>
        <w:spacing w:after="40" w:before="40"/>
      </w:pPr>
      <w:r>
        <w:rPr>
          <w:rFonts w:ascii="Arial" w:cs="Arial" w:eastAsia="Arial" w:hAnsi="Arial"/>
          <w:color w:val="1A1A1A"/>
          <w:sz w:val="22"/>
          <w:szCs w:val="22"/>
        </w:rPr>
        <w:t xml:space="preserve">70% Unit tests (fast, isolated, developer-owned).</w:t>
      </w:r>
    </w:p>
    <w:p>
      <w:pPr>
        <w:pStyle w:val="ListParagraph"/>
        <w:numPr>
          <w:ilvl w:val="0"/>
          <w:numId w:val="2"/>
        </w:numPr>
        <w:spacing w:after="40" w:before="40"/>
      </w:pPr>
      <w:r>
        <w:rPr>
          <w:rFonts w:ascii="Arial" w:cs="Arial" w:eastAsia="Arial" w:hAnsi="Arial"/>
          <w:color w:val="1A1A1A"/>
          <w:sz w:val="22"/>
          <w:szCs w:val="22"/>
        </w:rPr>
        <w:t xml:space="preserve">20% Integration/API tests (service-level contracts and interactions).</w:t>
      </w:r>
    </w:p>
    <w:p>
      <w:pPr>
        <w:pStyle w:val="ListParagraph"/>
        <w:numPr>
          <w:ilvl w:val="0"/>
          <w:numId w:val="2"/>
        </w:numPr>
        <w:spacing w:after="40" w:before="40"/>
      </w:pPr>
      <w:r>
        <w:rPr>
          <w:rFonts w:ascii="Arial" w:cs="Arial" w:eastAsia="Arial" w:hAnsi="Arial"/>
          <w:color w:val="1A1A1A"/>
          <w:sz w:val="22"/>
          <w:szCs w:val="22"/>
        </w:rPr>
        <w:t xml:space="preserve">10% End-to-End (E2E) UI tests (critical business journeys only).</w:t>
      </w:r>
    </w:p>
    <w:p>
      <w:pPr>
        <w:spacing w:after="80" w:before="80"/>
      </w:pPr>
    </w:p>
    <w:p>
      <w:pPr>
        <w:pStyle w:val="Heading2"/>
        <w:spacing w:after="100" w:before="240"/>
      </w:pPr>
      <w:r>
        <w:rPr>
          <w:rFonts w:ascii="Arial" w:cs="Arial" w:eastAsia="Arial" w:hAnsi="Arial"/>
          <w:b/>
          <w:bCs/>
          <w:color w:val="2E75B6"/>
          <w:sz w:val="26"/>
          <w:szCs w:val="26"/>
        </w:rPr>
        <w:t xml:space="preserve">8.2 Automation Standards</w:t>
      </w:r>
    </w:p>
    <w:p>
      <w:pPr>
        <w:pStyle w:val="ListParagraph"/>
        <w:numPr>
          <w:ilvl w:val="0"/>
          <w:numId w:val="2"/>
        </w:numPr>
        <w:spacing w:after="40" w:before="40"/>
      </w:pPr>
      <w:r>
        <w:rPr>
          <w:rFonts w:ascii="Arial" w:cs="Arial" w:eastAsia="Arial" w:hAnsi="Arial"/>
          <w:color w:val="1A1A1A"/>
          <w:sz w:val="22"/>
          <w:szCs w:val="22"/>
        </w:rPr>
        <w:t xml:space="preserve">All automated tests must be integrated into the CI/CD pipeline and run on every build.</w:t>
      </w:r>
    </w:p>
    <w:p>
      <w:pPr>
        <w:pStyle w:val="ListParagraph"/>
        <w:numPr>
          <w:ilvl w:val="0"/>
          <w:numId w:val="2"/>
        </w:numPr>
        <w:spacing w:after="40" w:before="40"/>
      </w:pPr>
      <w:r>
        <w:rPr>
          <w:rFonts w:ascii="Arial" w:cs="Arial" w:eastAsia="Arial" w:hAnsi="Arial"/>
          <w:color w:val="1A1A1A"/>
          <w:sz w:val="22"/>
          <w:szCs w:val="22"/>
        </w:rPr>
        <w:t xml:space="preserve">Flaky tests must be quarantined and fixed within 5 business days of identification.</w:t>
      </w:r>
    </w:p>
    <w:p>
      <w:pPr>
        <w:pStyle w:val="ListParagraph"/>
        <w:numPr>
          <w:ilvl w:val="0"/>
          <w:numId w:val="2"/>
        </w:numPr>
        <w:spacing w:after="40" w:before="40"/>
      </w:pPr>
      <w:r>
        <w:rPr>
          <w:rFonts w:ascii="Arial" w:cs="Arial" w:eastAsia="Arial" w:hAnsi="Arial"/>
          <w:color w:val="1A1A1A"/>
          <w:sz w:val="22"/>
          <w:szCs w:val="22"/>
        </w:rPr>
        <w:t xml:space="preserve">Test scripts must be version-controlled in the same repository as the application code.</w:t>
      </w:r>
    </w:p>
    <w:p>
      <w:pPr>
        <w:pStyle w:val="ListParagraph"/>
        <w:numPr>
          <w:ilvl w:val="0"/>
          <w:numId w:val="2"/>
        </w:numPr>
        <w:spacing w:after="40" w:before="40"/>
      </w:pPr>
      <w:r>
        <w:rPr>
          <w:rFonts w:ascii="Arial" w:cs="Arial" w:eastAsia="Arial" w:hAnsi="Arial"/>
          <w:color w:val="1A1A1A"/>
          <w:sz w:val="22"/>
          <w:szCs w:val="22"/>
        </w:rPr>
        <w:t xml:space="preserve">Automation code is subject to the same code review and quality standards as production code.</w:t>
      </w:r>
    </w:p>
    <w:p>
      <w:pPr>
        <w:pStyle w:val="ListParagraph"/>
        <w:numPr>
          <w:ilvl w:val="0"/>
          <w:numId w:val="2"/>
        </w:numPr>
        <w:spacing w:after="40" w:before="40"/>
      </w:pPr>
      <w:r>
        <w:rPr>
          <w:rFonts w:ascii="Arial" w:cs="Arial" w:eastAsia="Arial" w:hAnsi="Arial"/>
          <w:color w:val="1A1A1A"/>
          <w:sz w:val="22"/>
          <w:szCs w:val="22"/>
        </w:rPr>
        <w:t xml:space="preserve">Test execution time for the full regression suite must not exceed 30 minutes in the CI pipeline.</w:t>
      </w:r>
    </w:p>
    <w:p>
      <w:pPr>
        <w:spacing w:after="80" w:before="80"/>
      </w:pPr>
    </w:p>
    <w:p>
      <w:pPr>
        <w:pStyle w:val="Heading2"/>
        <w:spacing w:after="100" w:before="240"/>
      </w:pPr>
      <w:r>
        <w:rPr>
          <w:rFonts w:ascii="Arial" w:cs="Arial" w:eastAsia="Arial" w:hAnsi="Arial"/>
          <w:b/>
          <w:bCs/>
          <w:color w:val="2E75B6"/>
          <w:sz w:val="26"/>
          <w:szCs w:val="26"/>
        </w:rPr>
        <w:t xml:space="preserve">8.3 Approved Automation Toolchain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Category</w:t>
            </w:r>
          </w:p>
        </w:tc>
        <w:tc>
          <w:tcPr>
            <w:tcW w:type="dxa" w:w="30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Approved Tools</w:t>
            </w:r>
          </w:p>
        </w:tc>
        <w:tc>
          <w:tcPr>
            <w:tcW w:type="dxa" w:w="34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UI / E2E Automation</w:t>
            </w:r>
          </w:p>
        </w:tc>
        <w:tc>
          <w:tcPr>
            <w:tcW w:type="dxa" w:w="3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Playwright, Cypress, Selenium WebDriver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Playwright preferred for new projects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API Testing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Postman/Newman, RestAssured, Karate DSL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Postman collections must be exported to Newman for CI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Unit Testing</w:t>
            </w:r>
          </w:p>
        </w:tc>
        <w:tc>
          <w:tcPr>
            <w:tcW w:type="dxa" w:w="3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Jest, JUnit 5, PyTest, NUnit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Per language/framework; team to confirm with QA Lead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Performance Testing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k6, Apache JMeter, Gatling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k6 preferred for cloud-native applications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Test Management</w:t>
            </w:r>
          </w:p>
        </w:tc>
        <w:tc>
          <w:tcPr>
            <w:tcW w:type="dxa" w:w="3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Jira + Zephyr Scale / Xray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All test cases must be maintained in the approved TMS</w:t>
            </w:r>
          </w:p>
        </w:tc>
      </w:tr>
    </w:tbl>
    <w:p>
      <w:pPr>
        <w:pBdr>
          <w:bottom w:val="single" w:color="2E75B6" w:sz="4" w:space="1"/>
        </w:pBdr>
        <w:spacing w:after="160" w:before="160"/>
      </w:pPr>
    </w:p>
    <w:p>
      <w:pPr>
        <w:pStyle w:val="Heading1"/>
        <w:spacing w:after="120" w:before="360"/>
      </w:pPr>
      <w:r>
        <w:rPr>
          <w:rFonts w:ascii="Arial" w:cs="Arial" w:eastAsia="Arial" w:hAnsi="Arial"/>
          <w:b/>
          <w:bCs/>
          <w:color w:val="1F3864"/>
          <w:sz w:val="32"/>
          <w:szCs w:val="32"/>
        </w:rPr>
        <w:t xml:space="preserve">9. Roles and Responsibilities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Role</w:t>
            </w:r>
          </w:p>
        </w:tc>
        <w:tc>
          <w:tcPr>
            <w:tcW w:type="dxa" w:w="6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Key QA Responsibilities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A1A1A"/>
                <w:sz w:val="20"/>
                <w:szCs w:val="20"/>
              </w:rPr>
              <w:t xml:space="preserve">QA Governance Committee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Own and maintain this policy; approve exceptions; review QA metrics quarterly; define organizational quality standards.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1A"/>
                <w:sz w:val="20"/>
                <w:szCs w:val="20"/>
              </w:rPr>
              <w:t xml:space="preserve">QA Lead / Manager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Author and maintain Test Plans; define test strategy per project; ensure team adherence to policy; escalate critical defects; approve release go/no-go.</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A1A1A"/>
                <w:sz w:val="20"/>
                <w:szCs w:val="20"/>
              </w:rPr>
              <w:t xml:space="preserve">QA Engineers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Design, execute, and automate test cases; log and manage defects; produce test execution reports; participate in sprint ceremonies.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1A"/>
                <w:sz w:val="20"/>
                <w:szCs w:val="20"/>
              </w:rPr>
              <w:t xml:space="preserve">Developers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Author and maintain unit and integration tests; resolve defects within SLA; participate in root-cause analysis for escaped defects.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A1A1A"/>
                <w:sz w:val="20"/>
                <w:szCs w:val="20"/>
              </w:rPr>
              <w:t xml:space="preserve">Product Owner / BA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Define acceptance criteria; provide UAT test scenarios; sign off on UAT; participate in defect prioritization.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1A"/>
                <w:sz w:val="20"/>
                <w:szCs w:val="20"/>
              </w:rPr>
              <w:t xml:space="preserve">DevOps / Platform</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Provision and maintain test environments; integrate test pipelines into CI/CD; support performance test infrastructure.</w:t>
            </w:r>
          </w:p>
        </w:tc>
      </w:tr>
    </w:tbl>
    <w:p>
      <w:pPr>
        <w:pBdr>
          <w:bottom w:val="single" w:color="2E75B6" w:sz="4" w:space="1"/>
        </w:pBdr>
        <w:spacing w:after="160" w:before="160"/>
      </w:pPr>
    </w:p>
    <w:p>
      <w:pPr>
        <w:pStyle w:val="Heading1"/>
        <w:spacing w:after="120" w:before="360"/>
      </w:pPr>
      <w:r>
        <w:rPr>
          <w:rFonts w:ascii="Arial" w:cs="Arial" w:eastAsia="Arial" w:hAnsi="Arial"/>
          <w:b/>
          <w:bCs/>
          <w:color w:val="1F3864"/>
          <w:sz w:val="32"/>
          <w:szCs w:val="32"/>
        </w:rPr>
        <w:t xml:space="preserve">10. Quality Metrics and KPIs</w:t>
      </w:r>
    </w:p>
    <w:p>
      <w:pPr>
        <w:spacing w:after="80" w:before="60"/>
      </w:pPr>
      <w:r>
        <w:rPr>
          <w:rFonts w:ascii="Arial" w:cs="Arial" w:eastAsia="Arial" w:hAnsi="Arial"/>
          <w:color w:val="1A1A1A"/>
          <w:sz w:val="22"/>
          <w:szCs w:val="22"/>
        </w:rPr>
        <w:t xml:space="preserve">The following metrics shall be tracked and reported at a minimum on a per-release basis. Trend data shall be reviewed quarterly by the QA Governance Committee.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Metric</w:t>
            </w:r>
          </w:p>
        </w:tc>
        <w:tc>
          <w:tcPr>
            <w:tcW w:type="dxa" w:w="3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Target Threshold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Reporting Frequency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Defect Escape Rate (to Production)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&lt;2% of total defects raised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Per release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Unit Test Code Coverage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&gt;=80% for all new/modified 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Per build / sprint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Test Case Execution Rate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&gt;=95% executed at release gate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Per test cycle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Test Case Pass Rate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&gt;=98% pass rate at go/no-go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Per test cycle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Defect Resolution SLA Compliance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&gt;=90% resolved within SLA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Monthly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Automation Coverage (Regression)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&gt;=70% of regression suite automated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Quarterly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Mean Time to Detect (MTTD)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Trend downward cycle-over-cycle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Per release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CI Pipeline Test Execution Time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&lt;30 minutes for full regression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Per sprint</w:t>
            </w:r>
          </w:p>
        </w:tc>
      </w:tr>
    </w:tbl>
    <w:p>
      <w:pPr>
        <w:pBdr>
          <w:bottom w:val="single" w:color="2E75B6" w:sz="4" w:space="1"/>
        </w:pBdr>
        <w:spacing w:after="160" w:before="160"/>
      </w:pPr>
    </w:p>
    <w:p>
      <w:pPr>
        <w:pStyle w:val="Heading1"/>
        <w:spacing w:after="120" w:before="360"/>
      </w:pPr>
      <w:r>
        <w:rPr>
          <w:rFonts w:ascii="Arial" w:cs="Arial" w:eastAsia="Arial" w:hAnsi="Arial"/>
          <w:b/>
          <w:bCs/>
          <w:color w:val="1F3864"/>
          <w:sz w:val="32"/>
          <w:szCs w:val="32"/>
        </w:rPr>
        <w:t xml:space="preserve">11. Compliance, Risk, and Exceptions</w:t>
      </w:r>
    </w:p>
    <w:p>
      <w:pPr>
        <w:spacing w:after="80" w:before="80"/>
      </w:pPr>
    </w:p>
    <w:p>
      <w:pPr>
        <w:pStyle w:val="Heading2"/>
        <w:spacing w:after="100" w:before="240"/>
      </w:pPr>
      <w:r>
        <w:rPr>
          <w:rFonts w:ascii="Arial" w:cs="Arial" w:eastAsia="Arial" w:hAnsi="Arial"/>
          <w:b/>
          <w:bCs/>
          <w:color w:val="2E75B6"/>
          <w:sz w:val="26"/>
          <w:szCs w:val="26"/>
        </w:rPr>
        <w:t xml:space="preserve">11.1 Policy Compliance</w:t>
      </w:r>
    </w:p>
    <w:p>
      <w:pPr>
        <w:spacing w:after="80" w:before="60"/>
      </w:pPr>
      <w:r>
        <w:rPr>
          <w:rFonts w:ascii="Arial" w:cs="Arial" w:eastAsia="Arial" w:hAnsi="Arial"/>
          <w:color w:val="1A1A1A"/>
          <w:sz w:val="22"/>
          <w:szCs w:val="22"/>
        </w:rPr>
        <w:t xml:space="preserve">All development teams are required to comply with this policy. Evidence of compliance (test reports, coverage data, sign-off documentation) must be archived and available for audit for a minimum of 3 years.</w:t>
      </w:r>
    </w:p>
    <w:p>
      <w:pPr>
        <w:spacing w:after="80" w:before="80"/>
      </w:pPr>
    </w:p>
    <w:p>
      <w:pPr>
        <w:pStyle w:val="Heading2"/>
        <w:spacing w:after="100" w:before="240"/>
      </w:pPr>
      <w:r>
        <w:rPr>
          <w:rFonts w:ascii="Arial" w:cs="Arial" w:eastAsia="Arial" w:hAnsi="Arial"/>
          <w:b/>
          <w:bCs/>
          <w:color w:val="2E75B6"/>
          <w:sz w:val="26"/>
          <w:szCs w:val="26"/>
        </w:rPr>
        <w:t xml:space="preserve">11.2 Exception Process</w:t>
      </w:r>
    </w:p>
    <w:p>
      <w:pPr>
        <w:spacing w:after="80" w:before="60"/>
      </w:pPr>
      <w:r>
        <w:rPr>
          <w:rFonts w:ascii="Arial" w:cs="Arial" w:eastAsia="Arial" w:hAnsi="Arial"/>
          <w:color w:val="1A1A1A"/>
          <w:sz w:val="22"/>
          <w:szCs w:val="22"/>
        </w:rPr>
        <w:t xml:space="preserve">Any deviation from this policy requires a formal exception request, approved by the QA Lead and documented in the project's risk register. Exceptions are valid for a maximum of one release cycle and must include:</w:t>
      </w:r>
    </w:p>
    <w:p>
      <w:pPr>
        <w:pStyle w:val="ListParagraph"/>
        <w:numPr>
          <w:ilvl w:val="0"/>
          <w:numId w:val="2"/>
        </w:numPr>
        <w:spacing w:after="40" w:before="40"/>
      </w:pPr>
      <w:r>
        <w:rPr>
          <w:rFonts w:ascii="Arial" w:cs="Arial" w:eastAsia="Arial" w:hAnsi="Arial"/>
          <w:color w:val="1A1A1A"/>
          <w:sz w:val="22"/>
          <w:szCs w:val="22"/>
        </w:rPr>
        <w:t xml:space="preserve">Description of the specific policy requirement being waived.</w:t>
      </w:r>
    </w:p>
    <w:p>
      <w:pPr>
        <w:pStyle w:val="ListParagraph"/>
        <w:numPr>
          <w:ilvl w:val="0"/>
          <w:numId w:val="2"/>
        </w:numPr>
        <w:spacing w:after="40" w:before="40"/>
      </w:pPr>
      <w:r>
        <w:rPr>
          <w:rFonts w:ascii="Arial" w:cs="Arial" w:eastAsia="Arial" w:hAnsi="Arial"/>
          <w:color w:val="1A1A1A"/>
          <w:sz w:val="22"/>
          <w:szCs w:val="22"/>
        </w:rPr>
        <w:t xml:space="preserve">Business or technical justification for the exception.</w:t>
      </w:r>
    </w:p>
    <w:p>
      <w:pPr>
        <w:pStyle w:val="ListParagraph"/>
        <w:numPr>
          <w:ilvl w:val="0"/>
          <w:numId w:val="2"/>
        </w:numPr>
        <w:spacing w:after="40" w:before="40"/>
      </w:pPr>
      <w:r>
        <w:rPr>
          <w:rFonts w:ascii="Arial" w:cs="Arial" w:eastAsia="Arial" w:hAnsi="Arial"/>
          <w:color w:val="1A1A1A"/>
          <w:sz w:val="22"/>
          <w:szCs w:val="22"/>
        </w:rPr>
        <w:t xml:space="preserve">Compensating controls or risk mitigation measures in place.</w:t>
      </w:r>
    </w:p>
    <w:p>
      <w:pPr>
        <w:pStyle w:val="ListParagraph"/>
        <w:numPr>
          <w:ilvl w:val="0"/>
          <w:numId w:val="2"/>
        </w:numPr>
        <w:spacing w:after="40" w:before="40"/>
      </w:pPr>
      <w:r>
        <w:rPr>
          <w:rFonts w:ascii="Arial" w:cs="Arial" w:eastAsia="Arial" w:hAnsi="Arial"/>
          <w:color w:val="1A1A1A"/>
          <w:sz w:val="22"/>
          <w:szCs w:val="22"/>
        </w:rPr>
        <w:t xml:space="preserve">Named approver and expiry date.</w:t>
      </w:r>
    </w:p>
    <w:p>
      <w:pPr>
        <w:spacing w:after="80" w:before="80"/>
      </w:pPr>
    </w:p>
    <w:p>
      <w:pPr>
        <w:pStyle w:val="Heading2"/>
        <w:spacing w:after="100" w:before="240"/>
      </w:pPr>
      <w:r>
        <w:rPr>
          <w:rFonts w:ascii="Arial" w:cs="Arial" w:eastAsia="Arial" w:hAnsi="Arial"/>
          <w:b/>
          <w:bCs/>
          <w:color w:val="2E75B6"/>
          <w:sz w:val="26"/>
          <w:szCs w:val="26"/>
        </w:rPr>
        <w:t xml:space="preserve">11.3 Non-Compliance Consequences</w:t>
      </w:r>
    </w:p>
    <w:p>
      <w:pPr>
        <w:spacing w:after="80" w:before="60"/>
      </w:pPr>
      <w:r>
        <w:rPr>
          <w:rFonts w:ascii="Arial" w:cs="Arial" w:eastAsia="Arial" w:hAnsi="Arial"/>
          <w:color w:val="1A1A1A"/>
          <w:sz w:val="22"/>
          <w:szCs w:val="22"/>
        </w:rPr>
        <w:t xml:space="preserve">Projects found to be non-compliant at release gate review will be held from release until compliance is demonstrated or a formal exception is approved. Repeated non-compliance by a team will be escalated to the relevant Engineering Director and QA Governance Committee for remediation planning.</w:t>
      </w:r>
    </w:p>
    <w:p>
      <w:pPr>
        <w:pBdr>
          <w:bottom w:val="single" w:color="2E75B6" w:sz="4" w:space="1"/>
        </w:pBdr>
        <w:spacing w:after="160" w:before="160"/>
      </w:pPr>
    </w:p>
    <w:p>
      <w:pPr>
        <w:pStyle w:val="Heading1"/>
        <w:spacing w:after="120" w:before="360"/>
      </w:pPr>
      <w:r>
        <w:rPr>
          <w:rFonts w:ascii="Arial" w:cs="Arial" w:eastAsia="Arial" w:hAnsi="Arial"/>
          <w:b/>
          <w:bCs/>
          <w:color w:val="1F3864"/>
          <w:sz w:val="32"/>
          <w:szCs w:val="32"/>
        </w:rPr>
        <w:t xml:space="preserve">12. Document Control and Review</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5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Author</w:t>
            </w:r>
          </w:p>
        </w:tc>
        <w:tc>
          <w:tcPr>
            <w:tcW w:type="dxa" w:w="3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Change Summary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April 2026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QA Governance Committee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Initial release of organization-level QA test strategy policy.</w:t>
            </w:r>
          </w:p>
        </w:tc>
      </w:tr>
    </w:tbl>
    <w:p>
      <w:pPr>
        <w:spacing w:after="80" w:before="80"/>
      </w:pPr>
    </w:p>
    <w:p>
      <w:pPr>
        <w:spacing w:after="80" w:before="60"/>
      </w:pPr>
      <w:r>
        <w:rPr>
          <w:rFonts w:ascii="Arial" w:cs="Arial" w:eastAsia="Arial" w:hAnsi="Arial"/>
          <w:color w:val="1A1A1A"/>
          <w:sz w:val="22"/>
          <w:szCs w:val="22"/>
        </w:rPr>
        <w:t xml:space="preserve">This document shall be reviewed and updated at minimum annually, or following any significant change to the organization's technology stack, SDLC, or regulatory environment. Review is the responsibility of the QA Governance Committee.</w:t>
      </w:r>
    </w:p>
    <w:p>
      <w:pPr>
        <w:spacing w:after="80" w:before="80"/>
      </w:pPr>
    </w:p>
    <w:p>
      <w:pPr>
        <w:spacing w:after="80" w:before="60"/>
      </w:pPr>
      <w:r>
        <w:rPr>
          <w:rFonts w:ascii="Arial" w:cs="Arial" w:eastAsia="Arial" w:hAnsi="Arial"/>
          <w:i/>
          <w:iCs/>
          <w:color w:val="555555"/>
          <w:sz w:val="22"/>
          <w:szCs w:val="22"/>
        </w:rPr>
        <w:t xml:space="preserve">For questions or to submit an exception request, contact: qa-governance@organization.com</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888888"/>
        <w:sz w:val="18"/>
        <w:szCs w:val="18"/>
      </w:rPr>
      <w:t xml:space="preserve">Internal Use Only | QA Governance Committee</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2E75B6"/>
        <w:sz w:val="18"/>
        <w:szCs w:val="18"/>
      </w:rPr>
      <w:t xml:space="preserve">Test Strategy Document — Organization-Level QA Policy</w:t>
    </w:r>
    <w:r>
      <w:rPr>
        <w:rFonts w:ascii="Arial" w:cs="Arial" w:eastAsia="Arial" w:hAnsi="Arial"/>
        <w:sz w:val="18"/>
        <w:szCs w:val="18"/>
      </w:rPr>
      <w:t xml:space="preserve">	</w:t>
    </w:r>
    <w:r>
      <w:rPr>
        <w:rFonts w:ascii="Arial" w:cs="Arial" w:eastAsia="Arial" w:hAnsi="Arial"/>
        <w:color w:val="888888"/>
        <w:sz w:val="18"/>
        <w:szCs w:val="18"/>
      </w:rPr>
      <w:t xml:space="preserve">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2026-04-17T16:54:38.403Z</dcterms:created>
  <dcterms:modified xsi:type="dcterms:W3CDTF">2026-04-17T16:54:38.404Z</dcterms:modified>
</cp:coreProperties>
</file>

<file path=docProps/custom.xml><?xml version="1.0" encoding="utf-8"?>
<Properties xmlns="http://schemas.openxmlformats.org/officeDocument/2006/custom-properties" xmlns:vt="http://schemas.openxmlformats.org/officeDocument/2006/docPropsVTypes"/>
</file>