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600" w:before="0"/>
      </w:pPr>
      <w:r>
        <w:t xml:space="preserve"/>
      </w:r>
    </w:p>
    <w:p>
      <w:pPr>
        <w:spacing w:after="100" w:before="0"/>
        <w:jc w:val="center"/>
      </w:pPr>
      <w:r>
        <w:rPr>
          <w:rFonts w:ascii="Arial" w:cs="Arial" w:eastAsia="Arial" w:hAnsi="Arial"/>
          <w:b/>
          <w:bCs/>
          <w:caps/>
          <w:color w:val="64748B"/>
          <w:sz w:val="26"/>
          <w:szCs w:val="26"/>
        </w:rPr>
        <w:t xml:space="preserve">STANDARD OPERATING PROCEDURE</w:t>
      </w:r>
    </w:p>
    <w:p>
      <w:pPr>
        <w:spacing w:after="0" w:before="0"/>
        <w:jc w:val="center"/>
      </w:pPr>
      <w:r>
        <w:rPr>
          <w:rFonts w:ascii="Arial" w:cs="Arial" w:eastAsia="Arial" w:hAnsi="Arial"/>
          <w:b/>
          <w:bCs/>
          <w:color w:val="0A1628"/>
          <w:sz w:val="58"/>
          <w:szCs w:val="58"/>
        </w:rPr>
        <w:t xml:space="preserve">Software Quality &amp;</w:t>
      </w:r>
    </w:p>
    <w:p>
      <w:pPr>
        <w:spacing w:after="80" w:before="0"/>
        <w:jc w:val="center"/>
      </w:pPr>
      <w:r>
        <w:rPr>
          <w:rFonts w:ascii="Arial" w:cs="Arial" w:eastAsia="Arial" w:hAnsi="Arial"/>
          <w:b/>
          <w:bCs/>
          <w:color w:val="0A1628"/>
          <w:sz w:val="58"/>
          <w:szCs w:val="58"/>
        </w:rPr>
        <w:t xml:space="preserve">Testing Engineering</w:t>
      </w:r>
    </w:p>
    <w:p>
      <w:pPr>
        <w:spacing w:after="320" w:before="0"/>
        <w:jc w:val="center"/>
      </w:pPr>
      <w:r>
        <w:rPr>
          <w:rFonts w:ascii="Arial" w:cs="Arial" w:eastAsia="Arial" w:hAnsi="Arial"/>
          <w:color w:val="1B4FBF"/>
          <w:sz w:val="26"/>
          <w:szCs w:val="26"/>
        </w:rPr>
        <w:t xml:space="preserve">ISTQB-Aligned · Agile SDLC/STLC · Automation-First · CI-Enforced</w:t>
      </w:r>
    </w:p>
    <w:p>
      <w:pPr>
        <w:pBdr>
          <w:top w:val="single" w:color="CBD5E1" w:sz="2"/>
        </w:pBdr>
        <w:spacing w:after="140" w:before="0"/>
        <w:jc w:val="center"/>
      </w:pPr>
    </w:p>
    <w:p>
      <w:pPr>
        <w:spacing w:after="100" w:before="0"/>
        <w:jc w:val="center"/>
      </w:pPr>
      <w:r>
        <w:rPr>
          <w:rFonts w:ascii="Arial" w:cs="Arial" w:eastAsia="Arial" w:hAnsi="Arial"/>
          <w:i/>
          <w:iCs/>
          <w:color w:val="64748B"/>
          <w:sz w:val="22"/>
          <w:szCs w:val="22"/>
        </w:rPr>
        <w:t xml:space="preserve">Unit · Integration · API · E2E · Performance · Security · Observability</w:t>
      </w:r>
    </w:p>
    <w:p>
      <w:pPr>
        <w:spacing w:after="0" w:before="0"/>
        <w:jc w:val="center"/>
      </w:pPr>
      <w:r>
        <w:rPr>
          <w:rFonts w:ascii="Arial" w:cs="Arial" w:eastAsia="Arial" w:hAnsi="Arial"/>
          <w:color w:val="64748B"/>
          <w:sz w:val="22"/>
          <w:szCs w:val="22"/>
        </w:rPr>
        <w:t xml:space="preserve">Version 2.0  ·  April 2026</w:t>
      </w:r>
    </w:p>
    <w:p>
      <w:pPr>
        <w:sectPr>
          <w:pgSz w:w="12240" w:h="15840" w:orient="portrait"/>
          <w:pgMar w:top="1440" w:right="1440" w:bottom="1440" w:left="1440" w:header="708" w:footer="708" w:gutter="0"/>
          <w:pgNumType/>
          <w:docGrid w:linePitch="360"/>
        </w:sectPr>
      </w:pPr>
    </w:p>
    <w:p>
      <w:pPr>
        <w:pStyle w:val="Heading1"/>
        <w:pBdr>
          <w:bottom w:val="single" w:color="1B4FBF" w:sz="6"/>
        </w:pBdr>
        <w:shd w:fill="0A1628" w:val="clear"/>
        <w:spacing w:after="160" w:before="400"/>
        <w:ind w:left="220"/>
      </w:pPr>
      <w:r>
        <w:rPr>
          <w:rFonts w:ascii="Arial" w:cs="Arial" w:eastAsia="Arial" w:hAnsi="Arial"/>
          <w:b/>
          <w:bCs/>
          <w:color w:val="FFFFFF"/>
          <w:sz w:val="36"/>
          <w:szCs w:val="36"/>
        </w:rPr>
        <w:t xml:space="preserve">What Changed — v1.0 → v2.0</w:t>
      </w:r>
    </w:p>
    <w:p>
      <w:pPr>
        <w:spacing w:after="80" w:before="80"/>
      </w:pPr>
      <w:r>
        <w:rPr>
          <w:rFonts w:ascii="Arial" w:cs="Arial" w:eastAsia="Arial" w:hAnsi="Arial"/>
          <w:b w:val="false"/>
          <w:bCs w:val="false"/>
          <w:i w:val="false"/>
          <w:iCs w:val="false"/>
          <w:color w:val="0F172A"/>
          <w:sz w:val="22"/>
          <w:szCs w:val="22"/>
        </w:rPr>
        <w:t xml:space="preserve">This version upgrades the SOP from a strong foundational document into a mature, ISTQB-aligned engineering system. It incorporates Agile SDLC/STLC integration, relaxes overly rigid thresholds to reflect real-world team constraints, and adds the missing meta-layers: observability testing, PR review standards, exception handling, and SOP governance.</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FFFFFF" w:sz="1"/>
              <w:left w:val="single" w:color="FFFFFF" w:sz="1"/>
              <w:bottom w:val="single" w:color="FFFFFF" w:sz="1"/>
              <w:right w:val="single" w:color="FFFFFF" w:sz="1"/>
            </w:tcBorders>
            <w:shd w:fill="0A1628" w:val="clear"/>
            <w:tcMar>
              <w:top w:type="dxa" w:w="110"/>
              <w:left w:type="dxa" w:w="160"/>
              <w:bottom w:type="dxa" w:w="110"/>
              <w:right w:type="dxa" w:w="160"/>
            </w:tcMar>
          </w:tcPr>
          <w:p>
            <w:pPr>
              <w:spacing/>
            </w:pPr>
            <w:r>
              <w:rPr>
                <w:rFonts w:ascii="Arial" w:cs="Arial" w:eastAsia="Arial" w:hAnsi="Arial"/>
                <w:b/>
                <w:bCs/>
                <w:color w:val="FFFFFF"/>
                <w:sz w:val="21"/>
                <w:szCs w:val="21"/>
              </w:rPr>
              <w:t xml:space="preserve">Area</w:t>
            </w:r>
          </w:p>
        </w:tc>
        <w:tc>
          <w:tcPr>
            <w:tcW w:type="dxa" w:w="6360"/>
            <w:tcBorders>
              <w:top w:val="single" w:color="FFFFFF" w:sz="1"/>
              <w:left w:val="single" w:color="FFFFFF" w:sz="1"/>
              <w:bottom w:val="single" w:color="FFFFFF" w:sz="1"/>
              <w:right w:val="single" w:color="FFFFFF" w:sz="1"/>
            </w:tcBorders>
            <w:shd w:fill="0A1628" w:val="clear"/>
            <w:tcMar>
              <w:top w:type="dxa" w:w="110"/>
              <w:left w:type="dxa" w:w="160"/>
              <w:bottom w:type="dxa" w:w="110"/>
              <w:right w:type="dxa" w:w="160"/>
            </w:tcMar>
          </w:tcPr>
          <w:p>
            <w:pPr>
              <w:spacing/>
            </w:pPr>
            <w:r>
              <w:rPr>
                <w:rFonts w:ascii="Arial" w:cs="Arial" w:eastAsia="Arial" w:hAnsi="Arial"/>
                <w:b/>
                <w:bCs/>
                <w:color w:val="FFFFFF"/>
                <w:sz w:val="21"/>
                <w:szCs w:val="21"/>
              </w:rPr>
              <w:t xml:space="preserve">What Changed in v2.0</w:t>
            </w:r>
          </w:p>
        </w:tc>
      </w:tr>
      <w:tr>
        <w:tc>
          <w:tcPr>
            <w:tcW w:type="dxa" w:w="300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ISTQB + Agile Alignment</w:t>
            </w:r>
          </w:p>
        </w:tc>
        <w:tc>
          <w:tcPr>
            <w:tcW w:type="dxa" w:w="636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STLC phases, sprint ceremonies, shift-left, and Agile test strategy integrated throughout</w:t>
            </w:r>
          </w:p>
        </w:tc>
      </w:tr>
      <w:tr>
        <w:tc>
          <w:tcPr>
            <w:tcW w:type="dxa" w:w="300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Service Tier Strategy</w:t>
            </w:r>
          </w:p>
        </w:tc>
        <w:tc>
          <w:tcPr>
            <w:tcW w:type="dxa" w:w="636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Tier 0/1/2 system — coverage targets and E2E caps vary by service criticality</w:t>
            </w:r>
          </w:p>
        </w:tc>
      </w:tr>
      <w:tr>
        <w:tc>
          <w:tcPr>
            <w:tcW w:type="dxa" w:w="300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Coverage Thresholds</w:t>
            </w:r>
          </w:p>
        </w:tc>
        <w:tc>
          <w:tcPr>
            <w:tcW w:type="dxa" w:w="636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Relaxed from rigid 95% to 90–95% for critical domains; 80–85% for standard services</w:t>
            </w:r>
          </w:p>
        </w:tc>
      </w:tr>
      <w:tr>
        <w:tc>
          <w:tcPr>
            <w:tcW w:type="dxa" w:w="300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Flaky Test Policy</w:t>
            </w:r>
          </w:p>
        </w:tc>
        <w:tc>
          <w:tcPr>
            <w:tcW w:type="dxa" w:w="636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Quarantine within 24h; fix SLA now severity-based (not flat 24h for root cause)</w:t>
            </w:r>
          </w:p>
        </w:tc>
      </w:tr>
      <w:tr>
        <w:tc>
          <w:tcPr>
            <w:tcW w:type="dxa" w:w="300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E2E Ratio</w:t>
            </w:r>
          </w:p>
        </w:tc>
        <w:tc>
          <w:tcPr>
            <w:tcW w:type="dxa" w:w="636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2% is target, not a hard cap; 5–10% allowed for frontend-heavy products</w:t>
            </w:r>
          </w:p>
        </w:tc>
      </w:tr>
      <w:tr>
        <w:tc>
          <w:tcPr>
            <w:tcW w:type="dxa" w:w="300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Snapshot Testing</w:t>
            </w:r>
          </w:p>
        </w:tc>
        <w:tc>
          <w:tcPr>
            <w:tcW w:type="dxa" w:w="636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Nuanced: still blocked for public APIs; allowed for internal with justification</w:t>
            </w:r>
          </w:p>
        </w:tc>
      </w:tr>
      <w:tr>
        <w:tc>
          <w:tcPr>
            <w:tcW w:type="dxa" w:w="300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Test Data Strategy</w:t>
            </w:r>
          </w:p>
        </w:tc>
        <w:tc>
          <w:tcPr>
            <w:tcW w:type="dxa" w:w="636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Data Builders vs Object Mothers distinction added; scenario-level fixtures for E2E reuse</w:t>
            </w:r>
          </w:p>
        </w:tc>
      </w:tr>
      <w:tr>
        <w:tc>
          <w:tcPr>
            <w:tcW w:type="dxa" w:w="300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Observability Testing</w:t>
            </w:r>
          </w:p>
        </w:tc>
        <w:tc>
          <w:tcPr>
            <w:tcW w:type="dxa" w:w="636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Full new section: assert traceId, userId, error.code in logs; metrics emission validation</w:t>
            </w:r>
          </w:p>
        </w:tc>
      </w:tr>
      <w:tr>
        <w:tc>
          <w:tcPr>
            <w:tcW w:type="dxa" w:w="300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Performance Enforcement</w:t>
            </w:r>
          </w:p>
        </w:tc>
        <w:tc>
          <w:tcPr>
            <w:tcW w:type="dxa" w:w="636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performanceBudget now enforced with concrete integration test assertion pattern</w:t>
            </w:r>
          </w:p>
        </w:tc>
      </w:tr>
      <w:tr>
        <w:tc>
          <w:tcPr>
            <w:tcW w:type="dxa" w:w="300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PR Review Standards</w:t>
            </w:r>
          </w:p>
        </w:tc>
        <w:tc>
          <w:tcPr>
            <w:tcW w:type="dxa" w:w="636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New section: how reviewers evaluate test quality — not just presence</w:t>
            </w:r>
          </w:p>
        </w:tc>
      </w:tr>
      <w:tr>
        <w:tc>
          <w:tcPr>
            <w:tcW w:type="dxa" w:w="300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Test Smell Detection</w:t>
            </w:r>
          </w:p>
        </w:tc>
        <w:tc>
          <w:tcPr>
            <w:tcW w:type="dxa" w:w="636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Named smells with detection strategy and remediation guidance</w:t>
            </w:r>
          </w:p>
        </w:tc>
      </w:tr>
      <w:tr>
        <w:tc>
          <w:tcPr>
            <w:tcW w:type="dxa" w:w="300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Exception Framework</w:t>
            </w:r>
          </w:p>
        </w:tc>
        <w:tc>
          <w:tcPr>
            <w:tcW w:type="dxa" w:w="636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Formal process for time-bound rule exceptions with tech lead approval</w:t>
            </w:r>
          </w:p>
        </w:tc>
      </w:tr>
      <w:tr>
        <w:tc>
          <w:tcPr>
            <w:tcW w:type="dxa" w:w="300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Mutation Testing</w:t>
            </w:r>
          </w:p>
        </w:tc>
        <w:tc>
          <w:tcPr>
            <w:tcW w:type="dxa" w:w="636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Stryker integration guidance for validating assertion quality</w:t>
            </w:r>
          </w:p>
        </w:tc>
      </w:tr>
      <w:tr>
        <w:tc>
          <w:tcPr>
            <w:tcW w:type="dxa" w:w="300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SOP Governance</w:t>
            </w:r>
          </w:p>
        </w:tc>
        <w:tc>
          <w:tcPr>
            <w:tcW w:type="dxa" w:w="636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Versioning, ownership, quarterly review cadence, and change log added</w:t>
            </w:r>
          </w:p>
        </w:tc>
      </w:tr>
      <w:tr>
        <w:tc>
          <w:tcPr>
            <w:tcW w:type="dxa" w:w="300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Golden Path Coverage</w:t>
            </w:r>
          </w:p>
        </w:tc>
        <w:tc>
          <w:tcPr>
            <w:tcW w:type="dxa" w:w="636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Critical user flows that MUST always pass mapped to E2E test IDs</w:t>
            </w:r>
          </w:p>
        </w:tc>
      </w:tr>
    </w:tbl>
    <w:p>
      <w:pPr>
        <w:pBdr>
          <w:bottom w:val="single" w:color="CBD5E1" w:sz="2" w:space="4"/>
        </w:pBdr>
        <w:spacing w:after="160" w:before="160"/>
      </w:pPr>
      <w:r>
        <w:t xml:space="preserve"/>
      </w:r>
    </w:p>
    <w:p>
      <w:pPr>
        <w:pStyle w:val="Heading1"/>
        <w:pBdr>
          <w:bottom w:val="single" w:color="1B4FBF" w:sz="6"/>
        </w:pBdr>
        <w:shd w:fill="0A1628" w:val="clear"/>
        <w:spacing w:after="160" w:before="400"/>
        <w:ind w:left="220"/>
      </w:pPr>
      <w:r>
        <w:rPr>
          <w:rFonts w:ascii="Arial" w:cs="Arial" w:eastAsia="Arial" w:hAnsi="Arial"/>
          <w:b/>
          <w:bCs/>
          <w:color w:val="FFFFFF"/>
          <w:sz w:val="36"/>
          <w:szCs w:val="36"/>
        </w:rPr>
        <w:t xml:space="preserve">0 · Purpose &amp; Scope</w:t>
      </w:r>
    </w:p>
    <w:p>
      <w:pPr>
        <w:spacing w:after="80" w:before="80"/>
      </w:pPr>
      <w:r>
        <w:rPr>
          <w:rFonts w:ascii="Arial" w:cs="Arial" w:eastAsia="Arial" w:hAnsi="Arial"/>
          <w:b w:val="false"/>
          <w:bCs w:val="false"/>
          <w:i w:val="false"/>
          <w:iCs w:val="false"/>
          <w:color w:val="0F172A"/>
          <w:sz w:val="22"/>
          <w:szCs w:val="22"/>
        </w:rPr>
        <w:t xml:space="preserve">This SOP defines how engineering teams design, write, execute, and automate tests across the full software stack. It is aligned with ISTQB Foundation Level principles and Agile testing practices from the Agile Testing Quadrants model.</w:t>
      </w:r>
    </w:p>
    <w:p>
      <w:pPr>
        <w:spacing w:after="80" w:before="80"/>
      </w:pPr>
      <w:r>
        <w:rPr>
          <w:rFonts w:ascii="Arial" w:cs="Arial" w:eastAsia="Arial" w:hAnsi="Arial"/>
          <w:b w:val="false"/>
          <w:bCs w:val="false"/>
          <w:i w:val="false"/>
          <w:iCs w:val="false"/>
          <w:color w:val="0F172A"/>
          <w:sz w:val="22"/>
          <w:szCs w:val="22"/>
        </w:rPr>
        <w:t xml:space="preserve">It applies to all six testing disciplines — Unit, Integration, API, E2E, Performance, and Security — plus Observability and Accessibility testing. Every section has defined ownership, tooling standards, CI enforcement gates, and Agile ceremony integration points.</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4FBF" w:sz="1"/>
              <w:left w:val="single" w:color="1B4FBF" w:sz="12"/>
              <w:bottom w:val="single" w:color="1B4FBF" w:sz="1"/>
              <w:right w:val="single" w:color="1B4FBF" w:sz="1"/>
            </w:tcBorders>
            <w:shd w:fill="DBEAFE" w:val="clear"/>
            <w:tcMar>
              <w:top w:type="dxa" w:w="110"/>
              <w:left w:type="dxa" w:w="240"/>
              <w:bottom w:type="dxa" w:w="110"/>
              <w:right w:type="dxa" w:w="240"/>
            </w:tcMar>
          </w:tcPr>
          <w:p>
            <w:pPr>
              <w:spacing/>
            </w:pPr>
            <w:r>
              <w:rPr>
                <w:rFonts w:ascii="Arial" w:cs="Arial" w:eastAsia="Arial" w:hAnsi="Arial"/>
                <w:b/>
                <w:bCs/>
                <w:color w:val="1B4FBF"/>
                <w:sz w:val="21"/>
                <w:szCs w:val="21"/>
              </w:rPr>
              <w:t xml:space="preserve">GOAL:  </w:t>
            </w:r>
            <w:r>
              <w:rPr>
                <w:rFonts w:ascii="Arial" w:cs="Arial" w:eastAsia="Arial" w:hAnsi="Arial"/>
                <w:color w:val="0F172A"/>
                <w:sz w:val="21"/>
                <w:szCs w:val="21"/>
              </w:rPr>
              <w:t xml:space="preserve">Tests are not a phase. They are a continuous, first-class engineering activity embedded at every stage of the SDLC. Every team member owns quality — not just QA.</w:t>
            </w:r>
          </w:p>
        </w:tc>
      </w:tr>
    </w:tbl>
    <w:p>
      <w:pPr>
        <w:spacing w:after="80" w:before="0"/>
      </w:pPr>
      <w:r>
        <w:t xml:space="preserve"/>
      </w:r>
    </w:p>
    <w:p>
      <w:pPr>
        <w:pStyle w:val="Heading3"/>
        <w:pBdr>
          <w:bottom w:val="single" w:color="1B4FBF" w:sz="3" w:space="3"/>
        </w:pBdr>
        <w:spacing w:after="80" w:before="220"/>
      </w:pPr>
      <w:r>
        <w:rPr>
          <w:rFonts w:ascii="Arial" w:cs="Arial" w:eastAsia="Arial" w:hAnsi="Arial"/>
          <w:b/>
          <w:bCs/>
          <w:color w:val="0A1628"/>
          <w:sz w:val="24"/>
          <w:szCs w:val="24"/>
        </w:rPr>
        <w:t xml:space="preserve">Who This Applies To</w:t>
      </w:r>
    </w:p>
    <w:p>
      <w:pPr>
        <w:pStyle w:val="ListParagraph"/>
        <w:numPr>
          <w:ilvl w:val="0"/>
          <w:numId w:val="2"/>
        </w:numPr>
        <w:spacing w:after="55" w:before="55"/>
      </w:pPr>
      <w:r>
        <w:rPr>
          <w:rFonts w:ascii="Arial" w:cs="Arial" w:eastAsia="Arial" w:hAnsi="Arial"/>
          <w:b w:val="false"/>
          <w:bCs w:val="false"/>
          <w:color w:val="0F172A"/>
          <w:sz w:val="22"/>
          <w:szCs w:val="22"/>
        </w:rPr>
        <w:t xml:space="preserve">Developers writing features (frontend, backend, full-stack)</w:t>
      </w:r>
    </w:p>
    <w:p>
      <w:pPr>
        <w:pStyle w:val="ListParagraph"/>
        <w:numPr>
          <w:ilvl w:val="0"/>
          <w:numId w:val="2"/>
        </w:numPr>
        <w:spacing w:after="55" w:before="55"/>
      </w:pPr>
      <w:r>
        <w:rPr>
          <w:rFonts w:ascii="Arial" w:cs="Arial" w:eastAsia="Arial" w:hAnsi="Arial"/>
          <w:b w:val="false"/>
          <w:bCs w:val="false"/>
          <w:color w:val="0F172A"/>
          <w:sz w:val="22"/>
          <w:szCs w:val="22"/>
        </w:rPr>
        <w:t xml:space="preserve">QA engineers building and maintaining automated test suites</w:t>
      </w:r>
    </w:p>
    <w:p>
      <w:pPr>
        <w:pStyle w:val="ListParagraph"/>
        <w:numPr>
          <w:ilvl w:val="0"/>
          <w:numId w:val="2"/>
        </w:numPr>
        <w:spacing w:after="55" w:before="55"/>
      </w:pPr>
      <w:r>
        <w:rPr>
          <w:rFonts w:ascii="Arial" w:cs="Arial" w:eastAsia="Arial" w:hAnsi="Arial"/>
          <w:b w:val="false"/>
          <w:bCs w:val="false"/>
          <w:color w:val="0F172A"/>
          <w:sz w:val="22"/>
          <w:szCs w:val="22"/>
        </w:rPr>
        <w:t xml:space="preserve">DevOps / platform engineers maintaining CI/CD pipelines</w:t>
      </w:r>
    </w:p>
    <w:p>
      <w:pPr>
        <w:pStyle w:val="ListParagraph"/>
        <w:numPr>
          <w:ilvl w:val="0"/>
          <w:numId w:val="2"/>
        </w:numPr>
        <w:spacing w:after="55" w:before="55"/>
      </w:pPr>
      <w:r>
        <w:rPr>
          <w:rFonts w:ascii="Arial" w:cs="Arial" w:eastAsia="Arial" w:hAnsi="Arial"/>
          <w:b w:val="false"/>
          <w:bCs w:val="false"/>
          <w:color w:val="0F172A"/>
          <w:sz w:val="22"/>
          <w:szCs w:val="22"/>
        </w:rPr>
        <w:t xml:space="preserve">Tech leads and architects reviewing test strategy and coverage decisions</w:t>
      </w:r>
    </w:p>
    <w:p>
      <w:pPr>
        <w:pStyle w:val="ListParagraph"/>
        <w:numPr>
          <w:ilvl w:val="0"/>
          <w:numId w:val="2"/>
        </w:numPr>
        <w:spacing w:after="55" w:before="55"/>
      </w:pPr>
      <w:r>
        <w:rPr>
          <w:rFonts w:ascii="Arial" w:cs="Arial" w:eastAsia="Arial" w:hAnsi="Arial"/>
          <w:b w:val="false"/>
          <w:bCs w:val="false"/>
          <w:color w:val="0F172A"/>
          <w:sz w:val="22"/>
          <w:szCs w:val="22"/>
        </w:rPr>
        <w:t xml:space="preserve">Scrum Masters and Engineering Managers embedding quality into sprint ceremonies</w:t>
      </w:r>
    </w:p>
    <w:p>
      <w:pPr>
        <w:pBdr>
          <w:bottom w:val="single" w:color="CBD5E1" w:sz="2" w:space="4"/>
        </w:pBdr>
        <w:spacing w:after="160" w:before="160"/>
      </w:pPr>
      <w:r>
        <w:t xml:space="preserve"/>
      </w:r>
    </w:p>
    <w:p>
      <w:pPr>
        <w:pStyle w:val="Heading1"/>
        <w:pBdr>
          <w:bottom w:val="single" w:color="1B4FBF" w:sz="6"/>
        </w:pBdr>
        <w:shd w:fill="0A1628" w:val="clear"/>
        <w:spacing w:after="160" w:before="400"/>
        <w:ind w:left="220"/>
      </w:pPr>
      <w:r>
        <w:rPr>
          <w:rFonts w:ascii="Arial" w:cs="Arial" w:eastAsia="Arial" w:hAnsi="Arial"/>
          <w:b/>
          <w:bCs/>
          <w:color w:val="FFFFFF"/>
          <w:sz w:val="36"/>
          <w:szCs w:val="36"/>
        </w:rPr>
        <w:t xml:space="preserve">1 · Testing Philosophy &amp; ISTQB Principles</w:t>
      </w:r>
    </w:p>
    <w:p>
      <w:pPr>
        <w:spacing w:after="80" w:before="80"/>
      </w:pPr>
      <w:r>
        <w:rPr>
          <w:rFonts w:ascii="Arial" w:cs="Arial" w:eastAsia="Arial" w:hAnsi="Arial"/>
          <w:b w:val="false"/>
          <w:bCs w:val="false"/>
          <w:i w:val="false"/>
          <w:iCs w:val="false"/>
          <w:color w:val="0F172A"/>
          <w:sz w:val="22"/>
          <w:szCs w:val="22"/>
        </w:rPr>
        <w:t xml:space="preserve">This SOP is grounded in the seven ISTQB testing principles. Each principle is mapped to a concrete practice enforced in this document.</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FFFFFF" w:sz="1"/>
              <w:left w:val="single" w:color="FFFFFF" w:sz="1"/>
              <w:bottom w:val="single" w:color="FFFFFF" w:sz="1"/>
              <w:right w:val="single" w:color="FFFFFF" w:sz="1"/>
            </w:tcBorders>
            <w:shd w:fill="0A1628" w:val="clear"/>
            <w:tcMar>
              <w:top w:type="dxa" w:w="110"/>
              <w:left w:type="dxa" w:w="160"/>
              <w:bottom w:type="dxa" w:w="110"/>
              <w:right w:type="dxa" w:w="160"/>
            </w:tcMar>
          </w:tcPr>
          <w:p>
            <w:pPr>
              <w:spacing/>
            </w:pPr>
            <w:r>
              <w:rPr>
                <w:rFonts w:ascii="Arial" w:cs="Arial" w:eastAsia="Arial" w:hAnsi="Arial"/>
                <w:b/>
                <w:bCs/>
                <w:color w:val="FFFFFF"/>
                <w:sz w:val="21"/>
                <w:szCs w:val="21"/>
              </w:rPr>
              <w:t xml:space="preserve">ISTQB Principle</w:t>
            </w:r>
          </w:p>
        </w:tc>
        <w:tc>
          <w:tcPr>
            <w:tcW w:type="dxa" w:w="6160"/>
            <w:tcBorders>
              <w:top w:val="single" w:color="FFFFFF" w:sz="1"/>
              <w:left w:val="single" w:color="FFFFFF" w:sz="1"/>
              <w:bottom w:val="single" w:color="FFFFFF" w:sz="1"/>
              <w:right w:val="single" w:color="FFFFFF" w:sz="1"/>
            </w:tcBorders>
            <w:shd w:fill="0A1628" w:val="clear"/>
            <w:tcMar>
              <w:top w:type="dxa" w:w="110"/>
              <w:left w:type="dxa" w:w="160"/>
              <w:bottom w:type="dxa" w:w="110"/>
              <w:right w:type="dxa" w:w="160"/>
            </w:tcMar>
          </w:tcPr>
          <w:p>
            <w:pPr>
              <w:spacing/>
            </w:pPr>
            <w:r>
              <w:rPr>
                <w:rFonts w:ascii="Arial" w:cs="Arial" w:eastAsia="Arial" w:hAnsi="Arial"/>
                <w:b/>
                <w:bCs/>
                <w:color w:val="FFFFFF"/>
                <w:sz w:val="21"/>
                <w:szCs w:val="21"/>
              </w:rPr>
              <w:t xml:space="preserve">Practical Enforcement in This SOP</w:t>
            </w:r>
          </w:p>
        </w:tc>
      </w:tr>
      <w:tr>
        <w:tc>
          <w:tcPr>
            <w:tcW w:type="dxa" w:w="320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1. Testing shows presence of defects, not their absence</w:t>
            </w:r>
          </w:p>
        </w:tc>
        <w:tc>
          <w:tcPr>
            <w:tcW w:type="dxa" w:w="616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Coverage thresholds are floors; assertion quality is equally enforced via mutation testing and PR review</w:t>
            </w:r>
          </w:p>
        </w:tc>
      </w:tr>
      <w:tr>
        <w:tc>
          <w:tcPr>
            <w:tcW w:type="dxa" w:w="320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2. Exhaustive testing is impossible</w:t>
            </w:r>
          </w:p>
        </w:tc>
        <w:tc>
          <w:tcPr>
            <w:tcW w:type="dxa" w:w="616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Risk-based approach via Service Tier classification (Section 3) determines test depth per feature</w:t>
            </w:r>
          </w:p>
        </w:tc>
      </w:tr>
      <w:tr>
        <w:tc>
          <w:tcPr>
            <w:tcW w:type="dxa" w:w="320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3. Early testing saves time and money (Shift Left)</w:t>
            </w:r>
          </w:p>
        </w:tc>
        <w:tc>
          <w:tcPr>
            <w:tcW w:type="dxa" w:w="616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Tests planned in sprint refinement; acceptance criteria linked to test cases before coding begins</w:t>
            </w:r>
          </w:p>
        </w:tc>
      </w:tr>
      <w:tr>
        <w:tc>
          <w:tcPr>
            <w:tcW w:type="dxa" w:w="320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4. Defects cluster (Pareto principle)</w:t>
            </w:r>
          </w:p>
        </w:tc>
        <w:tc>
          <w:tcPr>
            <w:tcW w:type="dxa" w:w="616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Critical paths — payments, auth, checkout — get Tier 0 treatment with deeper coverage and more E2E journeys</w:t>
            </w:r>
          </w:p>
        </w:tc>
      </w:tr>
      <w:tr>
        <w:tc>
          <w:tcPr>
            <w:tcW w:type="dxa" w:w="320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5. Beware of the pesticide paradox</w:t>
            </w:r>
          </w:p>
        </w:tc>
        <w:tc>
          <w:tcPr>
            <w:tcW w:type="dxa" w:w="616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Test suites reviewed quarterly; mutation testing (Stryker) validates that tests actually detect changes</w:t>
            </w:r>
          </w:p>
        </w:tc>
      </w:tr>
      <w:tr>
        <w:tc>
          <w:tcPr>
            <w:tcW w:type="dxa" w:w="320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6. Testing is context dependent</w:t>
            </w:r>
          </w:p>
        </w:tc>
        <w:tc>
          <w:tcPr>
            <w:tcW w:type="dxa" w:w="616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Service Tier system (Tier 0/1/2) applies different standards — no one-size-fits-all rule set</w:t>
            </w:r>
          </w:p>
        </w:tc>
      </w:tr>
      <w:tr>
        <w:tc>
          <w:tcPr>
            <w:tcW w:type="dxa" w:w="320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7. Absence-of-errors fallacy</w:t>
            </w:r>
          </w:p>
        </w:tc>
        <w:tc>
          <w:tcPr>
            <w:tcW w:type="dxa" w:w="616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100% coverage with weak assertions fails users. Test quality is audited in PR review (Section 16)</w:t>
            </w:r>
          </w:p>
        </w:tc>
      </w:tr>
    </w:tbl>
    <w:p>
      <w:pPr>
        <w:spacing w:after="80" w:before="0"/>
      </w:pPr>
      <w:r>
        <w:t xml:space="preserve"/>
      </w:r>
    </w:p>
    <w:p>
      <w:pPr>
        <w:pStyle w:val="Heading3"/>
        <w:pBdr>
          <w:bottom w:val="single" w:color="1B4FBF" w:sz="3" w:space="3"/>
        </w:pBdr>
        <w:spacing w:after="80" w:before="220"/>
      </w:pPr>
      <w:r>
        <w:rPr>
          <w:rFonts w:ascii="Arial" w:cs="Arial" w:eastAsia="Arial" w:hAnsi="Arial"/>
          <w:b/>
          <w:bCs/>
          <w:color w:val="0A1628"/>
          <w:sz w:val="24"/>
          <w:szCs w:val="24"/>
        </w:rPr>
        <w:t xml:space="preserve">Agile Testing Quadrants (Brian Marick)</w:t>
      </w:r>
    </w:p>
    <w:p>
      <w:pPr>
        <w:spacing w:after="80" w:before="80"/>
      </w:pPr>
      <w:r>
        <w:rPr>
          <w:rFonts w:ascii="Arial" w:cs="Arial" w:eastAsia="Arial" w:hAnsi="Arial"/>
          <w:b w:val="false"/>
          <w:bCs w:val="false"/>
          <w:i w:val="false"/>
          <w:iCs w:val="false"/>
          <w:color w:val="0F172A"/>
          <w:sz w:val="22"/>
          <w:szCs w:val="22"/>
        </w:rPr>
        <w:t xml:space="preserve">Tests in this SOP map to Marick's four quadrants. Understanding which quadrant a test belongs to guides the right tool, timing, and owner.</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960"/>
        <w:gridCol w:w="1800"/>
      </w:tblGrid>
      <w:tr>
        <w:trPr>
          <w:tblHeader/>
        </w:trPr>
        <w:tc>
          <w:tcPr>
            <w:tcW w:type="dxa" w:w="2000"/>
            <w:tcBorders>
              <w:top w:val="single" w:color="FFFFFF" w:sz="1"/>
              <w:left w:val="single" w:color="FFFFFF" w:sz="1"/>
              <w:bottom w:val="single" w:color="FFFFFF" w:sz="1"/>
              <w:right w:val="single" w:color="FFFFFF" w:sz="1"/>
            </w:tcBorders>
            <w:shd w:fill="0A1628" w:val="clear"/>
            <w:tcMar>
              <w:top w:type="dxa" w:w="110"/>
              <w:left w:type="dxa" w:w="160"/>
              <w:bottom w:type="dxa" w:w="110"/>
              <w:right w:type="dxa" w:w="160"/>
            </w:tcMar>
          </w:tcPr>
          <w:p>
            <w:pPr>
              <w:spacing/>
            </w:pPr>
            <w:r>
              <w:rPr>
                <w:rFonts w:ascii="Arial" w:cs="Arial" w:eastAsia="Arial" w:hAnsi="Arial"/>
                <w:b/>
                <w:bCs/>
                <w:color w:val="FFFFFF"/>
                <w:sz w:val="21"/>
                <w:szCs w:val="21"/>
              </w:rPr>
              <w:t xml:space="preserve">Quadrant</w:t>
            </w:r>
          </w:p>
        </w:tc>
        <w:tc>
          <w:tcPr>
            <w:tcW w:type="dxa" w:w="2600"/>
            <w:tcBorders>
              <w:top w:val="single" w:color="FFFFFF" w:sz="1"/>
              <w:left w:val="single" w:color="FFFFFF" w:sz="1"/>
              <w:bottom w:val="single" w:color="FFFFFF" w:sz="1"/>
              <w:right w:val="single" w:color="FFFFFF" w:sz="1"/>
            </w:tcBorders>
            <w:shd w:fill="0A1628" w:val="clear"/>
            <w:tcMar>
              <w:top w:type="dxa" w:w="110"/>
              <w:left w:type="dxa" w:w="160"/>
              <w:bottom w:type="dxa" w:w="110"/>
              <w:right w:type="dxa" w:w="160"/>
            </w:tcMar>
          </w:tcPr>
          <w:p>
            <w:pPr>
              <w:spacing/>
            </w:pPr>
            <w:r>
              <w:rPr>
                <w:rFonts w:ascii="Arial" w:cs="Arial" w:eastAsia="Arial" w:hAnsi="Arial"/>
                <w:b/>
                <w:bCs/>
                <w:color w:val="FFFFFF"/>
                <w:sz w:val="21"/>
                <w:szCs w:val="21"/>
              </w:rPr>
              <w:t xml:space="preserve">Tests</w:t>
            </w:r>
          </w:p>
        </w:tc>
        <w:tc>
          <w:tcPr>
            <w:tcW w:type="dxa" w:w="2960"/>
            <w:tcBorders>
              <w:top w:val="single" w:color="FFFFFF" w:sz="1"/>
              <w:left w:val="single" w:color="FFFFFF" w:sz="1"/>
              <w:bottom w:val="single" w:color="FFFFFF" w:sz="1"/>
              <w:right w:val="single" w:color="FFFFFF" w:sz="1"/>
            </w:tcBorders>
            <w:shd w:fill="0A1628" w:val="clear"/>
            <w:tcMar>
              <w:top w:type="dxa" w:w="110"/>
              <w:left w:type="dxa" w:w="160"/>
              <w:bottom w:type="dxa" w:w="110"/>
              <w:right w:type="dxa" w:w="160"/>
            </w:tcMar>
          </w:tcPr>
          <w:p>
            <w:pPr>
              <w:spacing/>
            </w:pPr>
            <w:r>
              <w:rPr>
                <w:rFonts w:ascii="Arial" w:cs="Arial" w:eastAsia="Arial" w:hAnsi="Arial"/>
                <w:b/>
                <w:bCs/>
                <w:color w:val="FFFFFF"/>
                <w:sz w:val="21"/>
                <w:szCs w:val="21"/>
              </w:rPr>
              <w:t xml:space="preserve">Purpose</w:t>
            </w:r>
          </w:p>
        </w:tc>
        <w:tc>
          <w:tcPr>
            <w:tcW w:type="dxa" w:w="1800"/>
            <w:tcBorders>
              <w:top w:val="single" w:color="FFFFFF" w:sz="1"/>
              <w:left w:val="single" w:color="FFFFFF" w:sz="1"/>
              <w:bottom w:val="single" w:color="FFFFFF" w:sz="1"/>
              <w:right w:val="single" w:color="FFFFFF" w:sz="1"/>
            </w:tcBorders>
            <w:shd w:fill="0A1628" w:val="clear"/>
            <w:tcMar>
              <w:top w:type="dxa" w:w="110"/>
              <w:left w:type="dxa" w:w="160"/>
              <w:bottom w:type="dxa" w:w="110"/>
              <w:right w:type="dxa" w:w="160"/>
            </w:tcMar>
          </w:tcPr>
          <w:p>
            <w:pPr>
              <w:spacing/>
            </w:pPr>
            <w:r>
              <w:rPr>
                <w:rFonts w:ascii="Arial" w:cs="Arial" w:eastAsia="Arial" w:hAnsi="Arial"/>
                <w:b/>
                <w:bCs/>
                <w:color w:val="FFFFFF"/>
                <w:sz w:val="21"/>
                <w:szCs w:val="21"/>
              </w:rPr>
              <w:t xml:space="preserve">Owner</w:t>
            </w:r>
          </w:p>
        </w:tc>
      </w:tr>
      <w:tr>
        <w:tc>
          <w:tcPr>
            <w:tcW w:type="dxa" w:w="200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Q1 — Technology-facing, support team</w:t>
            </w:r>
          </w:p>
        </w:tc>
        <w:tc>
          <w:tcPr>
            <w:tcW w:type="dxa" w:w="260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Unit, Integration</w:t>
            </w:r>
          </w:p>
        </w:tc>
        <w:tc>
          <w:tcPr>
            <w:tcW w:type="dxa" w:w="296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Guide development; fast feedback</w:t>
            </w:r>
          </w:p>
        </w:tc>
        <w:tc>
          <w:tcPr>
            <w:tcW w:type="dxa" w:w="180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Developer</w:t>
            </w:r>
          </w:p>
        </w:tc>
      </w:tr>
      <w:tr>
        <w:tc>
          <w:tcPr>
            <w:tcW w:type="dxa" w:w="200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Q2 — Business-facing, support team</w:t>
            </w:r>
          </w:p>
        </w:tc>
        <w:tc>
          <w:tcPr>
            <w:tcW w:type="dxa" w:w="260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API contract, Functional</w:t>
            </w:r>
          </w:p>
        </w:tc>
        <w:tc>
          <w:tcPr>
            <w:tcW w:type="dxa" w:w="296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Validate acceptance criteria</w:t>
            </w:r>
          </w:p>
        </w:tc>
        <w:tc>
          <w:tcPr>
            <w:tcW w:type="dxa" w:w="180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Dev + QA</w:t>
            </w:r>
          </w:p>
        </w:tc>
      </w:tr>
      <w:tr>
        <w:tc>
          <w:tcPr>
            <w:tcW w:type="dxa" w:w="200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Q3 — Business-facing, critique product</w:t>
            </w:r>
          </w:p>
        </w:tc>
        <w:tc>
          <w:tcPr>
            <w:tcW w:type="dxa" w:w="260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Exploratory, Usability, E2E</w:t>
            </w:r>
          </w:p>
        </w:tc>
        <w:tc>
          <w:tcPr>
            <w:tcW w:type="dxa" w:w="296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Find defects humans notice</w:t>
            </w:r>
          </w:p>
        </w:tc>
        <w:tc>
          <w:tcPr>
            <w:tcW w:type="dxa" w:w="180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QA + PO</w:t>
            </w:r>
          </w:p>
        </w:tc>
      </w:tr>
      <w:tr>
        <w:tc>
          <w:tcPr>
            <w:tcW w:type="dxa" w:w="200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Q4 — Technology-facing, critique product</w:t>
            </w:r>
          </w:p>
        </w:tc>
        <w:tc>
          <w:tcPr>
            <w:tcW w:type="dxa" w:w="260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Performance, Security, Load</w:t>
            </w:r>
          </w:p>
        </w:tc>
        <w:tc>
          <w:tcPr>
            <w:tcW w:type="dxa" w:w="296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Non-functional validation</w:t>
            </w:r>
          </w:p>
        </w:tc>
        <w:tc>
          <w:tcPr>
            <w:tcW w:type="dxa" w:w="180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Dev + DevOps</w:t>
            </w:r>
          </w:p>
        </w:tc>
      </w:tr>
    </w:tbl>
    <w:p>
      <w:pPr>
        <w:pBdr>
          <w:bottom w:val="single" w:color="CBD5E1" w:sz="2" w:space="4"/>
        </w:pBdr>
        <w:spacing w:after="160" w:before="160"/>
      </w:pPr>
      <w:r>
        <w:t xml:space="preserve"/>
      </w:r>
    </w:p>
    <w:p>
      <w:pPr>
        <w:pStyle w:val="Heading1"/>
        <w:pBdr>
          <w:bottom w:val="single" w:color="1B4FBF" w:sz="6"/>
        </w:pBdr>
        <w:shd w:fill="0A1628" w:val="clear"/>
        <w:spacing w:after="160" w:before="400"/>
        <w:ind w:left="220"/>
      </w:pPr>
      <w:r>
        <w:rPr>
          <w:rFonts w:ascii="Arial" w:cs="Arial" w:eastAsia="Arial" w:hAnsi="Arial"/>
          <w:b/>
          <w:bCs/>
          <w:color w:val="FFFFFF"/>
          <w:sz w:val="36"/>
          <w:szCs w:val="36"/>
        </w:rPr>
        <w:t xml:space="preserve">2 · Agile SDLC &amp; STLC Integration</w:t>
      </w:r>
    </w:p>
    <w:p>
      <w:pPr>
        <w:spacing w:after="80" w:before="80"/>
      </w:pPr>
      <w:r>
        <w:rPr>
          <w:rFonts w:ascii="Arial" w:cs="Arial" w:eastAsia="Arial" w:hAnsi="Arial"/>
          <w:b w:val="false"/>
          <w:bCs w:val="false"/>
          <w:i w:val="false"/>
          <w:iCs w:val="false"/>
          <w:color w:val="0F172A"/>
          <w:sz w:val="22"/>
          <w:szCs w:val="22"/>
        </w:rPr>
        <w:t xml:space="preserve">Testing in Agile is not a phase after development — it is woven into every sprint ceremony and every development activity. This section defines exactly when each test activity occurs in the sprint lifecycle.</w:t>
      </w:r>
    </w:p>
    <w:p>
      <w:pPr>
        <w:spacing w:after="60" w:before="0"/>
      </w:pPr>
      <w:r>
        <w:t xml:space="preserve"/>
      </w:r>
    </w:p>
    <w:p>
      <w:pPr>
        <w:pStyle w:val="Heading2"/>
        <w:shd w:fill="1B4FBF" w:val="clear"/>
        <w:spacing w:after="100" w:before="280"/>
        <w:ind w:left="160"/>
      </w:pPr>
      <w:r>
        <w:rPr>
          <w:rFonts w:ascii="Arial" w:cs="Arial" w:eastAsia="Arial" w:hAnsi="Arial"/>
          <w:b/>
          <w:bCs/>
          <w:color w:val="FFFFFF"/>
          <w:sz w:val="27"/>
          <w:szCs w:val="27"/>
        </w:rPr>
        <w:t xml:space="preserve">2.1  Agile STLC — Testing Activities per Sprint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FFFFFF" w:sz="1"/>
              <w:left w:val="single" w:color="FFFFFF" w:sz="1"/>
              <w:bottom w:val="single" w:color="FFFFFF" w:sz="1"/>
              <w:right w:val="single" w:color="FFFFFF" w:sz="1"/>
            </w:tcBorders>
            <w:shd w:fill="0A1628" w:val="clear"/>
            <w:tcMar>
              <w:top w:type="dxa" w:w="110"/>
              <w:left w:type="dxa" w:w="160"/>
              <w:bottom w:type="dxa" w:w="110"/>
              <w:right w:type="dxa" w:w="160"/>
            </w:tcMar>
          </w:tcPr>
          <w:p>
            <w:pPr>
              <w:spacing/>
            </w:pPr>
            <w:r>
              <w:rPr>
                <w:rFonts w:ascii="Arial" w:cs="Arial" w:eastAsia="Arial" w:hAnsi="Arial"/>
                <w:b/>
                <w:bCs/>
                <w:color w:val="FFFFFF"/>
                <w:sz w:val="21"/>
                <w:szCs w:val="21"/>
              </w:rPr>
              <w:t xml:space="preserve">Sprint Phase</w:t>
            </w:r>
          </w:p>
        </w:tc>
        <w:tc>
          <w:tcPr>
            <w:tcW w:type="dxa" w:w="6360"/>
            <w:tcBorders>
              <w:top w:val="single" w:color="FFFFFF" w:sz="1"/>
              <w:left w:val="single" w:color="FFFFFF" w:sz="1"/>
              <w:bottom w:val="single" w:color="FFFFFF" w:sz="1"/>
              <w:right w:val="single" w:color="FFFFFF" w:sz="1"/>
            </w:tcBorders>
            <w:shd w:fill="0A1628" w:val="clear"/>
            <w:tcMar>
              <w:top w:type="dxa" w:w="110"/>
              <w:left w:type="dxa" w:w="160"/>
              <w:bottom w:type="dxa" w:w="110"/>
              <w:right w:type="dxa" w:w="160"/>
            </w:tcMar>
          </w:tcPr>
          <w:p>
            <w:pPr>
              <w:spacing/>
            </w:pPr>
            <w:r>
              <w:rPr>
                <w:rFonts w:ascii="Arial" w:cs="Arial" w:eastAsia="Arial" w:hAnsi="Arial"/>
                <w:b/>
                <w:bCs/>
                <w:color w:val="FFFFFF"/>
                <w:sz w:val="21"/>
                <w:szCs w:val="21"/>
              </w:rPr>
              <w:t xml:space="preserve">Testing Activities (STLC touchpoints)</w:t>
            </w:r>
          </w:p>
        </w:tc>
      </w:tr>
      <w:tr>
        <w:tc>
          <w:tcPr>
            <w:tcW w:type="dxa" w:w="300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Product Backlog Refinement</w:t>
            </w:r>
          </w:p>
        </w:tc>
        <w:tc>
          <w:tcPr>
            <w:tcW w:type="dxa" w:w="636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QA reviews stories for testability. Acceptance criteria defined in Given–When–Then format. Test conditions identified. Non-testable stories are rejected and returned.</w:t>
            </w:r>
          </w:p>
        </w:tc>
      </w:tr>
      <w:tr>
        <w:tc>
          <w:tcPr>
            <w:tcW w:type="dxa" w:w="300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Sprint Planning</w:t>
            </w:r>
          </w:p>
        </w:tc>
        <w:tc>
          <w:tcPr>
            <w:tcW w:type="dxa" w:w="636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QA estimates test effort. Test cases linked to story acceptance criteria. Non-functional requirements (perf, security) identified for relevant stories.</w:t>
            </w:r>
          </w:p>
        </w:tc>
      </w:tr>
      <w:tr>
        <w:tc>
          <w:tcPr>
            <w:tcW w:type="dxa" w:w="300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Sprint Execution (Daily)</w:t>
            </w:r>
          </w:p>
        </w:tc>
        <w:tc>
          <w:tcPr>
            <w:tcW w:type="dxa" w:w="636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TDD/BDD red-green-refactor cycle. Unit and integration tests written alongside code. QA reviews test coverage in daily standup. CI gates block merges on failure.</w:t>
            </w:r>
          </w:p>
        </w:tc>
      </w:tr>
      <w:tr>
        <w:tc>
          <w:tcPr>
            <w:tcW w:type="dxa" w:w="300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Code Review / PR</w:t>
            </w:r>
          </w:p>
        </w:tc>
        <w:tc>
          <w:tcPr>
            <w:tcW w:type="dxa" w:w="636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Dev reviews code logic. QA (or dev) reviews test quality using Section 16 checklist. Meaningful assertions, edge cases, and boundary values verified.</w:t>
            </w:r>
          </w:p>
        </w:tc>
      </w:tr>
      <w:tr>
        <w:tc>
          <w:tcPr>
            <w:tcW w:type="dxa" w:w="300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Definition of Done (DoD) Check</w:t>
            </w:r>
          </w:p>
        </w:tc>
        <w:tc>
          <w:tcPr>
            <w:tcW w:type="dxa" w:w="636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All DoD criteria verified before sprint closes. Coverage thresholds met. Contract tests passing. Acceptance criteria validated.</w:t>
            </w:r>
          </w:p>
        </w:tc>
      </w:tr>
      <w:tr>
        <w:tc>
          <w:tcPr>
            <w:tcW w:type="dxa" w:w="300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Sprint Review</w:t>
            </w:r>
          </w:p>
        </w:tc>
        <w:tc>
          <w:tcPr>
            <w:tcW w:type="dxa" w:w="636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Exploratory testing session. QA executes session-based testing against new features in staging. Findings logged as bugs or backlog items.</w:t>
            </w:r>
          </w:p>
        </w:tc>
      </w:tr>
      <w:tr>
        <w:tc>
          <w:tcPr>
            <w:tcW w:type="dxa" w:w="300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Sprint Retrospective</w:t>
            </w:r>
          </w:p>
        </w:tc>
        <w:tc>
          <w:tcPr>
            <w:tcW w:type="dxa" w:w="636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Test health metrics reviewed: coverage delta, flaky test count, defect escape rate. Improvements to test process added to next sprint backlog.</w:t>
            </w:r>
          </w:p>
        </w:tc>
      </w:tr>
    </w:tbl>
    <w:p>
      <w:pPr>
        <w:spacing w:after="80" w:before="0"/>
      </w:pPr>
      <w:r>
        <w:t xml:space="preserve"/>
      </w:r>
    </w:p>
    <w:p>
      <w:pPr>
        <w:pStyle w:val="Heading2"/>
        <w:shd w:fill="1B4FBF" w:val="clear"/>
        <w:spacing w:after="100" w:before="280"/>
        <w:ind w:left="160"/>
      </w:pPr>
      <w:r>
        <w:rPr>
          <w:rFonts w:ascii="Arial" w:cs="Arial" w:eastAsia="Arial" w:hAnsi="Arial"/>
          <w:b/>
          <w:bCs/>
          <w:color w:val="FFFFFF"/>
          <w:sz w:val="27"/>
          <w:szCs w:val="27"/>
        </w:rPr>
        <w:t xml:space="preserve">2.2  Acceptance Criteria Standards (Given–When–Then)</w:t>
      </w:r>
    </w:p>
    <w:p>
      <w:pPr>
        <w:spacing w:after="80" w:before="80"/>
      </w:pPr>
      <w:r>
        <w:rPr>
          <w:rFonts w:ascii="Arial" w:cs="Arial" w:eastAsia="Arial" w:hAnsi="Arial"/>
          <w:b w:val="false"/>
          <w:bCs w:val="false"/>
          <w:i w:val="false"/>
          <w:iCs w:val="false"/>
          <w:color w:val="0F172A"/>
          <w:sz w:val="22"/>
          <w:szCs w:val="22"/>
        </w:rPr>
        <w:t xml:space="preserve">All user stories must have acceptance criteria written in GWT format before development begins. These map directly to automated test cases.</w:t>
      </w:r>
    </w:p>
    <w:p>
      <w:pPr>
        <w:spacing w:after="60" w:before="0"/>
      </w:pPr>
      <w:r>
        <w:t xml:space="preserve"/>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 ✅ Story: User applies a discount coupon at checkout</w:t>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Given: the user has items in their cart totalling £100</w:t>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  And: a valid 10% discount coupon exists with code SAVE10</w:t>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When:  the user applies coupon code SAVE10</w:t>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Then:  the cart total is updated to £90</w:t>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  And: the applied coupon is displayed with expiry date</w:t>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  And: the order summary reflects the £10 discount</w:t>
      </w:r>
    </w:p>
    <w:p>
      <w:pPr>
        <w:spacing w:after="40" w:before="0"/>
      </w:pPr>
      <w:r>
        <w:t xml:space="preserve"/>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 Automated test maps directly:</w:t>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it('reduces cart total by 10% when valid PERCENT coupon is applied', ...)</w:t>
      </w:r>
    </w:p>
    <w:p>
      <w:pPr>
        <w:spacing w:after="80" w:before="0"/>
      </w:pPr>
      <w:r>
        <w:t xml:space="preserve"/>
      </w:r>
    </w:p>
    <w:p>
      <w:pPr>
        <w:pStyle w:val="Heading2"/>
        <w:shd w:fill="1B4FBF" w:val="clear"/>
        <w:spacing w:after="100" w:before="280"/>
        <w:ind w:left="160"/>
      </w:pPr>
      <w:r>
        <w:rPr>
          <w:rFonts w:ascii="Arial" w:cs="Arial" w:eastAsia="Arial" w:hAnsi="Arial"/>
          <w:b/>
          <w:bCs/>
          <w:color w:val="FFFFFF"/>
          <w:sz w:val="27"/>
          <w:szCs w:val="27"/>
        </w:rPr>
        <w:t xml:space="preserve">2.3  Definition of Done — Test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FFFFFF" w:sz="1"/>
              <w:left w:val="single" w:color="FFFFFF" w:sz="1"/>
              <w:bottom w:val="single" w:color="FFFFFF" w:sz="1"/>
              <w:right w:val="single" w:color="FFFFFF" w:sz="1"/>
            </w:tcBorders>
            <w:shd w:fill="1D4ED8" w:val="clear"/>
            <w:tcMar>
              <w:top w:type="dxa" w:w="110"/>
              <w:left w:type="dxa" w:w="160"/>
              <w:bottom w:type="dxa" w:w="110"/>
              <w:right w:type="dxa" w:w="160"/>
            </w:tcMar>
          </w:tcPr>
          <w:p>
            <w:pPr>
              <w:spacing/>
            </w:pPr>
            <w:r>
              <w:rPr>
                <w:rFonts w:ascii="Arial" w:cs="Arial" w:eastAsia="Arial" w:hAnsi="Arial"/>
                <w:b/>
                <w:bCs/>
                <w:color w:val="FFFFFF"/>
                <w:sz w:val="22"/>
                <w:szCs w:val="22"/>
              </w:rPr>
              <w:t xml:space="preserve">⚡  LEAN  —  Fast &amp; Pragmatic</w:t>
            </w:r>
          </w:p>
        </w:tc>
        <w:tc>
          <w:tcPr>
            <w:tcW w:type="dxa" w:w="4680"/>
            <w:tcBorders>
              <w:top w:val="single" w:color="FFFFFF" w:sz="1"/>
              <w:left w:val="single" w:color="FFFFFF" w:sz="1"/>
              <w:bottom w:val="single" w:color="FFFFFF" w:sz="1"/>
              <w:right w:val="single" w:color="FFFFFF" w:sz="1"/>
            </w:tcBorders>
            <w:shd w:fill="14532D" w:val="clear"/>
            <w:tcMar>
              <w:top w:type="dxa" w:w="110"/>
              <w:left w:type="dxa" w:w="160"/>
              <w:bottom w:type="dxa" w:w="110"/>
              <w:right w:type="dxa" w:w="160"/>
            </w:tcMar>
          </w:tcPr>
          <w:p>
            <w:pPr>
              <w:spacing/>
            </w:pPr>
            <w:r>
              <w:rPr>
                <w:rFonts w:ascii="Arial" w:cs="Arial" w:eastAsia="Arial" w:hAnsi="Arial"/>
                <w:b/>
                <w:bCs/>
                <w:color w:val="FFFFFF"/>
                <w:sz w:val="22"/>
                <w:szCs w:val="22"/>
              </w:rPr>
              <w:t xml:space="preserve">🏗️  STRICT  —  Robust &amp; Validated</w:t>
            </w:r>
          </w:p>
        </w:tc>
      </w:tr>
      <w:tr>
        <w:tc>
          <w:tcPr>
            <w:tcW w:type="dxa" w:w="4680"/>
            <w:tcBorders>
              <w:top w:val="single" w:color="CBD5E1" w:sz="1"/>
              <w:left w:val="single" w:color="CBD5E1" w:sz="1"/>
              <w:bottom w:val="single" w:color="CBD5E1" w:sz="1"/>
              <w:right w:val="single" w:color="CBD5E1" w:sz="1"/>
            </w:tcBorders>
            <w:shd w:fill="EFF6FF" w:val="clear"/>
            <w:tcMar>
              <w:top w:type="dxa" w:w="85"/>
              <w:left w:type="dxa" w:w="160"/>
              <w:bottom w:type="dxa" w:w="85"/>
              <w:right w:type="dxa" w:w="160"/>
            </w:tcMar>
          </w:tcPr>
          <w:p>
            <w:pPr>
              <w:spacing w:after="44" w:before="0"/>
            </w:pPr>
            <w:r>
              <w:rPr>
                <w:rFonts w:ascii="Arial" w:cs="Arial" w:eastAsia="Arial" w:hAnsi="Arial"/>
                <w:b/>
                <w:bCs/>
                <w:color w:val="0F172A"/>
                <w:sz w:val="21"/>
                <w:szCs w:val="21"/>
              </w:rPr>
              <w:t xml:space="preserve">Unit tests: core logic paths covered</w:t>
            </w:r>
          </w:p>
          <w:p>
            <w:pPr>
              <w:spacing w:after="44" w:before="0"/>
            </w:pPr>
            <w:r>
              <w:rPr>
                <w:rFonts w:ascii="Arial" w:cs="Arial" w:eastAsia="Arial" w:hAnsi="Arial"/>
                <w:b w:val="false"/>
                <w:bCs w:val="false"/>
                <w:color w:val="0F172A"/>
                <w:sz w:val="21"/>
                <w:szCs w:val="21"/>
              </w:rPr>
              <w:t xml:space="preserve">At least one API test (happy path)</w:t>
            </w:r>
          </w:p>
          <w:p>
            <w:pPr>
              <w:spacing w:after="44" w:before="0"/>
            </w:pPr>
            <w:r>
              <w:rPr>
                <w:rFonts w:ascii="Arial" w:cs="Arial" w:eastAsia="Arial" w:hAnsi="Arial"/>
                <w:b w:val="false"/>
                <w:bCs w:val="false"/>
                <w:color w:val="0F172A"/>
                <w:sz w:val="21"/>
                <w:szCs w:val="21"/>
              </w:rPr>
              <w:t xml:space="preserve">Error handling present — no unhandled rejections</w:t>
            </w:r>
          </w:p>
          <w:p>
            <w:pPr>
              <w:spacing w:after="44" w:before="0"/>
            </w:pPr>
            <w:r>
              <w:rPr>
                <w:rFonts w:ascii="Arial" w:cs="Arial" w:eastAsia="Arial" w:hAnsi="Arial"/>
                <w:b w:val="false"/>
                <w:bCs w:val="false"/>
                <w:color w:val="0F172A"/>
                <w:sz w:val="21"/>
                <w:szCs w:val="21"/>
              </w:rPr>
              <w:t xml:space="preserve">Basic request logging with traceId</w:t>
            </w:r>
          </w:p>
          <w:p>
            <w:pPr>
              <w:spacing w:after="44" w:before="0"/>
            </w:pPr>
            <w:r>
              <w:rPr>
                <w:rFonts w:ascii="Arial" w:cs="Arial" w:eastAsia="Arial" w:hAnsi="Arial"/>
                <w:b w:val="false"/>
                <w:bCs w:val="false"/>
                <w:color w:val="0F172A"/>
                <w:sz w:val="21"/>
                <w:szCs w:val="21"/>
              </w:rPr>
              <w:t xml:space="preserve">Mode declaration in PR comment</w:t>
            </w:r>
          </w:p>
        </w:tc>
        <w:tc>
          <w:tcPr>
            <w:tcW w:type="dxa" w:w="4680"/>
            <w:tcBorders>
              <w:top w:val="single" w:color="CBD5E1" w:sz="1"/>
              <w:left w:val="single" w:color="CBD5E1" w:sz="1"/>
              <w:bottom w:val="single" w:color="CBD5E1" w:sz="1"/>
              <w:right w:val="single" w:color="CBD5E1" w:sz="1"/>
            </w:tcBorders>
            <w:shd w:fill="F0FDF4" w:val="clear"/>
            <w:tcMar>
              <w:top w:type="dxa" w:w="85"/>
              <w:left w:type="dxa" w:w="160"/>
              <w:bottom w:type="dxa" w:w="85"/>
              <w:right w:type="dxa" w:w="160"/>
            </w:tcMar>
          </w:tcPr>
          <w:p>
            <w:pPr>
              <w:spacing w:after="44" w:before="0"/>
            </w:pPr>
            <w:r>
              <w:rPr>
                <w:rFonts w:ascii="Arial" w:cs="Arial" w:eastAsia="Arial" w:hAnsi="Arial"/>
                <w:b/>
                <w:bCs/>
                <w:color w:val="0F172A"/>
                <w:sz w:val="21"/>
                <w:szCs w:val="21"/>
              </w:rPr>
              <w:t xml:space="preserve">All test layers: unit, integration, API</w:t>
            </w:r>
          </w:p>
          <w:p>
            <w:pPr>
              <w:spacing w:after="44" w:before="0"/>
            </w:pPr>
            <w:r>
              <w:rPr>
                <w:rFonts w:ascii="Arial" w:cs="Arial" w:eastAsia="Arial" w:hAnsi="Arial"/>
                <w:b w:val="false"/>
                <w:bCs w:val="false"/>
                <w:color w:val="0F172A"/>
                <w:sz w:val="21"/>
                <w:szCs w:val="21"/>
              </w:rPr>
              <w:t xml:space="preserve">Coverage thresholds met per service tier</w:t>
            </w:r>
          </w:p>
          <w:p>
            <w:pPr>
              <w:spacing w:after="44" w:before="0"/>
            </w:pPr>
            <w:r>
              <w:rPr>
                <w:rFonts w:ascii="Arial" w:cs="Arial" w:eastAsia="Arial" w:hAnsi="Arial"/>
                <w:b w:val="false"/>
                <w:bCs w:val="false"/>
                <w:color w:val="0F172A"/>
                <w:sz w:val="21"/>
                <w:szCs w:val="21"/>
              </w:rPr>
              <w:t xml:space="preserve">OpenAPI contract updated and schema-drift validated</w:t>
            </w:r>
          </w:p>
          <w:p>
            <w:pPr>
              <w:spacing w:after="44" w:before="0"/>
            </w:pPr>
            <w:r>
              <w:rPr>
                <w:rFonts w:ascii="Arial" w:cs="Arial" w:eastAsia="Arial" w:hAnsi="Arial"/>
                <w:b w:val="false"/>
                <w:bCs w:val="false"/>
                <w:color w:val="0F172A"/>
                <w:sz w:val="21"/>
                <w:szCs w:val="21"/>
              </w:rPr>
              <w:t xml:space="preserve">All 6 auth states tested</w:t>
            </w:r>
          </w:p>
          <w:p>
            <w:pPr>
              <w:spacing w:after="44" w:before="0"/>
            </w:pPr>
            <w:r>
              <w:rPr>
                <w:rFonts w:ascii="Arial" w:cs="Arial" w:eastAsia="Arial" w:hAnsi="Arial"/>
                <w:b w:val="false"/>
                <w:bCs w:val="false"/>
                <w:color w:val="0F172A"/>
                <w:sz w:val="21"/>
                <w:szCs w:val="21"/>
              </w:rPr>
              <w:t xml:space="preserve">Observability assertions verified (traceId, error.code in logs)</w:t>
            </w:r>
          </w:p>
          <w:p>
            <w:pPr>
              <w:spacing w:after="44" w:before="0"/>
            </w:pPr>
            <w:r>
              <w:rPr>
                <w:rFonts w:ascii="Arial" w:cs="Arial" w:eastAsia="Arial" w:hAnsi="Arial"/>
                <w:b w:val="false"/>
                <w:bCs w:val="false"/>
                <w:color w:val="0F172A"/>
                <w:sz w:val="21"/>
                <w:szCs w:val="21"/>
              </w:rPr>
              <w:t xml:space="preserve">Acceptance criteria mapped to passing test cases</w:t>
            </w:r>
          </w:p>
          <w:p>
            <w:pPr>
              <w:spacing w:after="44" w:before="0"/>
            </w:pPr>
            <w:r>
              <w:rPr>
                <w:rFonts w:ascii="Arial" w:cs="Arial" w:eastAsia="Arial" w:hAnsi="Arial"/>
                <w:b w:val="false"/>
                <w:bCs w:val="false"/>
                <w:color w:val="0F172A"/>
                <w:sz w:val="21"/>
                <w:szCs w:val="21"/>
              </w:rPr>
              <w:t xml:space="preserve">Security baseline passing</w:t>
            </w:r>
          </w:p>
        </w:tc>
      </w:tr>
    </w:tbl>
    <w:p>
      <w:pPr>
        <w:spacing w:after="80" w:before="0"/>
      </w:pPr>
      <w:r>
        <w:t xml:space="preserve"/>
      </w:r>
    </w:p>
    <w:p>
      <w:pPr>
        <w:pStyle w:val="Heading2"/>
        <w:shd w:fill="1B4FBF" w:val="clear"/>
        <w:spacing w:after="100" w:before="280"/>
        <w:ind w:left="160"/>
      </w:pPr>
      <w:r>
        <w:rPr>
          <w:rFonts w:ascii="Arial" w:cs="Arial" w:eastAsia="Arial" w:hAnsi="Arial"/>
          <w:b/>
          <w:bCs/>
          <w:color w:val="FFFFFF"/>
          <w:sz w:val="27"/>
          <w:szCs w:val="27"/>
        </w:rPr>
        <w:t xml:space="preserve">2.4  Shift-Left in Practice</w:t>
      </w:r>
    </w:p>
    <w:p>
      <w:pPr>
        <w:pStyle w:val="ListParagraph"/>
        <w:numPr>
          <w:ilvl w:val="0"/>
          <w:numId w:val="2"/>
        </w:numPr>
        <w:spacing w:after="55" w:before="55"/>
      </w:pPr>
      <w:r>
        <w:rPr>
          <w:rFonts w:ascii="Arial" w:cs="Arial" w:eastAsia="Arial" w:hAnsi="Arial"/>
          <w:b w:val="false"/>
          <w:bCs w:val="false"/>
          <w:color w:val="0F172A"/>
          <w:sz w:val="22"/>
          <w:szCs w:val="22"/>
        </w:rPr>
        <w:t xml:space="preserve">Test planning starts at story refinement — not after code is written</w:t>
      </w:r>
    </w:p>
    <w:p>
      <w:pPr>
        <w:pStyle w:val="ListParagraph"/>
        <w:numPr>
          <w:ilvl w:val="0"/>
          <w:numId w:val="2"/>
        </w:numPr>
        <w:spacing w:after="55" w:before="55"/>
      </w:pPr>
      <w:r>
        <w:rPr>
          <w:rFonts w:ascii="Arial" w:cs="Arial" w:eastAsia="Arial" w:hAnsi="Arial"/>
          <w:b w:val="false"/>
          <w:bCs w:val="false"/>
          <w:color w:val="0F172A"/>
          <w:sz w:val="22"/>
          <w:szCs w:val="22"/>
        </w:rPr>
        <w:t xml:space="preserve">Unit tests written before or alongside implementation (TDD encouraged, not mandated)</w:t>
      </w:r>
    </w:p>
    <w:p>
      <w:pPr>
        <w:pStyle w:val="ListParagraph"/>
        <w:numPr>
          <w:ilvl w:val="0"/>
          <w:numId w:val="2"/>
        </w:numPr>
        <w:spacing w:after="55" w:before="55"/>
      </w:pPr>
      <w:r>
        <w:rPr>
          <w:rFonts w:ascii="Arial" w:cs="Arial" w:eastAsia="Arial" w:hAnsi="Arial"/>
          <w:b w:val="false"/>
          <w:bCs w:val="false"/>
          <w:color w:val="0F172A"/>
          <w:sz w:val="22"/>
          <w:szCs w:val="22"/>
        </w:rPr>
        <w:t xml:space="preserve">BDD acceptance tests co-authored by QA + developer + Product Owner</w:t>
      </w:r>
    </w:p>
    <w:p>
      <w:pPr>
        <w:pStyle w:val="ListParagraph"/>
        <w:numPr>
          <w:ilvl w:val="0"/>
          <w:numId w:val="2"/>
        </w:numPr>
        <w:spacing w:after="55" w:before="55"/>
      </w:pPr>
      <w:r>
        <w:rPr>
          <w:rFonts w:ascii="Arial" w:cs="Arial" w:eastAsia="Arial" w:hAnsi="Arial"/>
          <w:b w:val="false"/>
          <w:bCs w:val="false"/>
          <w:color w:val="0F172A"/>
          <w:sz w:val="22"/>
          <w:szCs w:val="22"/>
        </w:rPr>
        <w:t xml:space="preserve">Static analysis and SAST run on every commit — not just before release</w:t>
      </w:r>
    </w:p>
    <w:p>
      <w:pPr>
        <w:pStyle w:val="ListParagraph"/>
        <w:numPr>
          <w:ilvl w:val="0"/>
          <w:numId w:val="2"/>
        </w:numPr>
        <w:spacing w:after="55" w:before="55"/>
      </w:pPr>
      <w:r>
        <w:rPr>
          <w:rFonts w:ascii="Arial" w:cs="Arial" w:eastAsia="Arial" w:hAnsi="Arial"/>
          <w:b w:val="false"/>
          <w:bCs w:val="false"/>
          <w:color w:val="0F172A"/>
          <w:sz w:val="22"/>
          <w:szCs w:val="22"/>
        </w:rPr>
        <w:t xml:space="preserve">Performance budgets declared at design time — not measured for the first time in production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766E" w:sz="1"/>
              <w:left w:val="single" w:color="0F766E" w:sz="12"/>
              <w:bottom w:val="single" w:color="0F766E" w:sz="1"/>
              <w:right w:val="single" w:color="0F766E" w:sz="1"/>
            </w:tcBorders>
            <w:shd w:fill="CCFBF1" w:val="clear"/>
            <w:tcMar>
              <w:top w:type="dxa" w:w="110"/>
              <w:left w:type="dxa" w:w="240"/>
              <w:bottom w:type="dxa" w:w="110"/>
              <w:right w:type="dxa" w:w="240"/>
            </w:tcMar>
          </w:tcPr>
          <w:p>
            <w:pPr>
              <w:spacing/>
            </w:pPr>
            <w:r>
              <w:rPr>
                <w:rFonts w:ascii="Arial" w:cs="Arial" w:eastAsia="Arial" w:hAnsi="Arial"/>
                <w:b/>
                <w:bCs/>
                <w:color w:val="0F766E"/>
                <w:sz w:val="21"/>
                <w:szCs w:val="21"/>
              </w:rPr>
              <w:t xml:space="preserve">SHIFT-LEFT RULE:  </w:t>
            </w:r>
            <w:r>
              <w:rPr>
                <w:rFonts w:ascii="Arial" w:cs="Arial" w:eastAsia="Arial" w:hAnsi="Arial"/>
                <w:color w:val="0F172A"/>
                <w:sz w:val="21"/>
                <w:szCs w:val="21"/>
              </w:rPr>
              <w:t xml:space="preserve">A story with no testable acceptance criteria is not ready for sprint. QA has veto power on story readiness in refinement.</w:t>
            </w:r>
          </w:p>
        </w:tc>
      </w:tr>
    </w:tbl>
    <w:p>
      <w:pPr>
        <w:pBdr>
          <w:bottom w:val="single" w:color="CBD5E1" w:sz="2" w:space="4"/>
        </w:pBdr>
        <w:spacing w:after="160" w:before="160"/>
      </w:pPr>
      <w:r>
        <w:t xml:space="preserve"/>
      </w:r>
    </w:p>
    <w:p>
      <w:pPr>
        <w:pStyle w:val="Heading1"/>
        <w:pBdr>
          <w:bottom w:val="single" w:color="1B4FBF" w:sz="6"/>
        </w:pBdr>
        <w:shd w:fill="0A1628" w:val="clear"/>
        <w:spacing w:after="160" w:before="400"/>
        <w:ind w:left="220"/>
      </w:pPr>
      <w:r>
        <w:rPr>
          <w:rFonts w:ascii="Arial" w:cs="Arial" w:eastAsia="Arial" w:hAnsi="Arial"/>
          <w:b/>
          <w:bCs/>
          <w:color w:val="FFFFFF"/>
          <w:sz w:val="36"/>
          <w:szCs w:val="36"/>
        </w:rPr>
        <w:t xml:space="preserve">3 · Service Tier Strategy</w:t>
      </w:r>
    </w:p>
    <w:p>
      <w:pPr>
        <w:spacing w:after="80" w:before="80"/>
      </w:pPr>
      <w:r>
        <w:rPr>
          <w:rFonts w:ascii="Arial" w:cs="Arial" w:eastAsia="Arial" w:hAnsi="Arial"/>
          <w:b w:val="false"/>
          <w:bCs w:val="false"/>
          <w:i w:val="false"/>
          <w:iCs w:val="false"/>
          <w:color w:val="0F172A"/>
          <w:sz w:val="22"/>
          <w:szCs w:val="22"/>
        </w:rPr>
        <w:t xml:space="preserve">Coverage targets, E2E ratios, and security requirements scale with service criticality. This replaces the rigid one-size-fits-all STRICT/LEAN model with a three-tier risk-based system. LEAN and STRICT still apply within each tier but with calibrated thresholds.</w:t>
      </w:r>
    </w:p>
    <w:p>
      <w:pPr>
        <w:spacing w:after="60" w:before="0"/>
      </w:pPr>
      <w:r>
        <w:t xml:space="preserve"/>
      </w:r>
    </w:p>
    <w:p>
      <w:pPr>
        <w:pStyle w:val="Heading2"/>
        <w:shd w:fill="1B4FBF" w:val="clear"/>
        <w:spacing w:after="100" w:before="280"/>
        <w:ind w:left="160"/>
      </w:pPr>
      <w:r>
        <w:rPr>
          <w:rFonts w:ascii="Arial" w:cs="Arial" w:eastAsia="Arial" w:hAnsi="Arial"/>
          <w:b/>
          <w:bCs/>
          <w:color w:val="FFFFFF"/>
          <w:sz w:val="27"/>
          <w:szCs w:val="27"/>
        </w:rPr>
        <w:t xml:space="preserve">3.1  Tier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200"/>
        <w:gridCol w:w="1760"/>
        <w:gridCol w:w="1800"/>
      </w:tblGrid>
      <w:tr>
        <w:trPr>
          <w:tblHeader/>
        </w:trPr>
        <w:tc>
          <w:tcPr>
            <w:tcW w:type="dxa" w:w="1400"/>
            <w:tcBorders>
              <w:top w:val="single" w:color="FFFFFF" w:sz="1"/>
              <w:left w:val="single" w:color="FFFFFF" w:sz="1"/>
              <w:bottom w:val="single" w:color="FFFFFF" w:sz="1"/>
              <w:right w:val="single" w:color="FFFFFF" w:sz="1"/>
            </w:tcBorders>
            <w:shd w:fill="0A1628" w:val="clear"/>
            <w:tcMar>
              <w:top w:type="dxa" w:w="110"/>
              <w:left w:type="dxa" w:w="160"/>
              <w:bottom w:type="dxa" w:w="110"/>
              <w:right w:type="dxa" w:w="160"/>
            </w:tcMar>
          </w:tcPr>
          <w:p>
            <w:pPr>
              <w:spacing/>
            </w:pPr>
            <w:r>
              <w:rPr>
                <w:rFonts w:ascii="Arial" w:cs="Arial" w:eastAsia="Arial" w:hAnsi="Arial"/>
                <w:b/>
                <w:bCs/>
                <w:color w:val="FFFFFF"/>
                <w:sz w:val="21"/>
                <w:szCs w:val="21"/>
              </w:rPr>
              <w:t xml:space="preserve">Tier</w:t>
            </w:r>
          </w:p>
        </w:tc>
        <w:tc>
          <w:tcPr>
            <w:tcW w:type="dxa" w:w="2200"/>
            <w:tcBorders>
              <w:top w:val="single" w:color="FFFFFF" w:sz="1"/>
              <w:left w:val="single" w:color="FFFFFF" w:sz="1"/>
              <w:bottom w:val="single" w:color="FFFFFF" w:sz="1"/>
              <w:right w:val="single" w:color="FFFFFF" w:sz="1"/>
            </w:tcBorders>
            <w:shd w:fill="0A1628" w:val="clear"/>
            <w:tcMar>
              <w:top w:type="dxa" w:w="110"/>
              <w:left w:type="dxa" w:w="160"/>
              <w:bottom w:type="dxa" w:w="110"/>
              <w:right w:type="dxa" w:w="160"/>
            </w:tcMar>
          </w:tcPr>
          <w:p>
            <w:pPr>
              <w:spacing/>
            </w:pPr>
            <w:r>
              <w:rPr>
                <w:rFonts w:ascii="Arial" w:cs="Arial" w:eastAsia="Arial" w:hAnsi="Arial"/>
                <w:b/>
                <w:bCs/>
                <w:color w:val="FFFFFF"/>
                <w:sz w:val="21"/>
                <w:szCs w:val="21"/>
              </w:rPr>
              <w:t xml:space="preserve">Services</w:t>
            </w:r>
          </w:p>
        </w:tc>
        <w:tc>
          <w:tcPr>
            <w:tcW w:type="dxa" w:w="2200"/>
            <w:tcBorders>
              <w:top w:val="single" w:color="FFFFFF" w:sz="1"/>
              <w:left w:val="single" w:color="FFFFFF" w:sz="1"/>
              <w:bottom w:val="single" w:color="FFFFFF" w:sz="1"/>
              <w:right w:val="single" w:color="FFFFFF" w:sz="1"/>
            </w:tcBorders>
            <w:shd w:fill="0A1628" w:val="clear"/>
            <w:tcMar>
              <w:top w:type="dxa" w:w="110"/>
              <w:left w:type="dxa" w:w="160"/>
              <w:bottom w:type="dxa" w:w="110"/>
              <w:right w:type="dxa" w:w="160"/>
            </w:tcMar>
          </w:tcPr>
          <w:p>
            <w:pPr>
              <w:spacing/>
            </w:pPr>
            <w:r>
              <w:rPr>
                <w:rFonts w:ascii="Arial" w:cs="Arial" w:eastAsia="Arial" w:hAnsi="Arial"/>
                <w:b/>
                <w:bCs/>
                <w:color w:val="FFFFFF"/>
                <w:sz w:val="21"/>
                <w:szCs w:val="21"/>
              </w:rPr>
              <w:t xml:space="preserve">Coverage</w:t>
            </w:r>
          </w:p>
        </w:tc>
        <w:tc>
          <w:tcPr>
            <w:tcW w:type="dxa" w:w="1760"/>
            <w:tcBorders>
              <w:top w:val="single" w:color="FFFFFF" w:sz="1"/>
              <w:left w:val="single" w:color="FFFFFF" w:sz="1"/>
              <w:bottom w:val="single" w:color="FFFFFF" w:sz="1"/>
              <w:right w:val="single" w:color="FFFFFF" w:sz="1"/>
            </w:tcBorders>
            <w:shd w:fill="0A1628" w:val="clear"/>
            <w:tcMar>
              <w:top w:type="dxa" w:w="110"/>
              <w:left w:type="dxa" w:w="160"/>
              <w:bottom w:type="dxa" w:w="110"/>
              <w:right w:type="dxa" w:w="160"/>
            </w:tcMar>
          </w:tcPr>
          <w:p>
            <w:pPr>
              <w:spacing/>
            </w:pPr>
            <w:r>
              <w:rPr>
                <w:rFonts w:ascii="Arial" w:cs="Arial" w:eastAsia="Arial" w:hAnsi="Arial"/>
                <w:b/>
                <w:bCs/>
                <w:color w:val="FFFFFF"/>
                <w:sz w:val="21"/>
                <w:szCs w:val="21"/>
              </w:rPr>
              <w:t xml:space="preserve">E2E Cap</w:t>
            </w:r>
          </w:p>
        </w:tc>
        <w:tc>
          <w:tcPr>
            <w:tcW w:type="dxa" w:w="1800"/>
            <w:tcBorders>
              <w:top w:val="single" w:color="FFFFFF" w:sz="1"/>
              <w:left w:val="single" w:color="FFFFFF" w:sz="1"/>
              <w:bottom w:val="single" w:color="FFFFFF" w:sz="1"/>
              <w:right w:val="single" w:color="FFFFFF" w:sz="1"/>
            </w:tcBorders>
            <w:shd w:fill="0A1628" w:val="clear"/>
            <w:tcMar>
              <w:top w:type="dxa" w:w="110"/>
              <w:left w:type="dxa" w:w="160"/>
              <w:bottom w:type="dxa" w:w="110"/>
              <w:right w:type="dxa" w:w="160"/>
            </w:tcMar>
          </w:tcPr>
          <w:p>
            <w:pPr>
              <w:spacing/>
            </w:pPr>
            <w:r>
              <w:rPr>
                <w:rFonts w:ascii="Arial" w:cs="Arial" w:eastAsia="Arial" w:hAnsi="Arial"/>
                <w:b/>
                <w:bCs/>
                <w:color w:val="FFFFFF"/>
                <w:sz w:val="21"/>
                <w:szCs w:val="21"/>
              </w:rPr>
              <w:t xml:space="preserve">Mode</w:t>
            </w:r>
          </w:p>
        </w:tc>
      </w:tr>
      <w:tr>
        <w:tc>
          <w:tcPr>
            <w:tcW w:type="dxa" w:w="1400"/>
            <w:tcBorders>
              <w:top w:val="single" w:color="CBD5E1" w:sz="1"/>
              <w:left w:val="single" w:color="CBD5E1" w:sz="1"/>
              <w:bottom w:val="single" w:color="CBD5E1" w:sz="1"/>
              <w:right w:val="single" w:color="CBD5E1" w:sz="1"/>
            </w:tcBorders>
            <w:shd w:fill="DBEAFE" w:val="clear"/>
            <w:tcMar>
              <w:top w:type="dxa" w:w="85"/>
              <w:left w:type="dxa" w:w="160"/>
              <w:bottom w:type="dxa" w:w="85"/>
              <w:right w:type="dxa" w:w="160"/>
            </w:tcMar>
          </w:tcPr>
          <w:p>
            <w:pPr>
              <w:spacing/>
            </w:pPr>
            <w:r>
              <w:rPr>
                <w:rFonts w:ascii="Arial" w:cs="Arial" w:eastAsia="Arial" w:hAnsi="Arial"/>
                <w:color w:val="0F172A"/>
                <w:sz w:val="21"/>
                <w:szCs w:val="21"/>
              </w:rPr>
              <w:t xml:space="preserve">Tier 0 ★</w:t>
            </w:r>
          </w:p>
        </w:tc>
        <w:tc>
          <w:tcPr>
            <w:tcW w:type="dxa" w:w="2200"/>
            <w:tcBorders>
              <w:top w:val="single" w:color="CBD5E1" w:sz="1"/>
              <w:left w:val="single" w:color="CBD5E1" w:sz="1"/>
              <w:bottom w:val="single" w:color="CBD5E1" w:sz="1"/>
              <w:right w:val="single" w:color="CBD5E1" w:sz="1"/>
            </w:tcBorders>
            <w:shd w:fill="DBEAFE" w:val="clear"/>
            <w:tcMar>
              <w:top w:type="dxa" w:w="85"/>
              <w:left w:type="dxa" w:w="160"/>
              <w:bottom w:type="dxa" w:w="85"/>
              <w:right w:type="dxa" w:w="160"/>
            </w:tcMar>
          </w:tcPr>
          <w:p>
            <w:pPr>
              <w:spacing/>
            </w:pPr>
            <w:r>
              <w:rPr>
                <w:rFonts w:ascii="Arial" w:cs="Arial" w:eastAsia="Arial" w:hAnsi="Arial"/>
                <w:color w:val="0F172A"/>
                <w:sz w:val="21"/>
                <w:szCs w:val="21"/>
              </w:rPr>
              <w:t xml:space="preserve">Payments, Auth, Billing, Compliance, User Data (PII)</w:t>
            </w:r>
          </w:p>
        </w:tc>
        <w:tc>
          <w:tcPr>
            <w:tcW w:type="dxa" w:w="2200"/>
            <w:tcBorders>
              <w:top w:val="single" w:color="CBD5E1" w:sz="1"/>
              <w:left w:val="single" w:color="CBD5E1" w:sz="1"/>
              <w:bottom w:val="single" w:color="CBD5E1" w:sz="1"/>
              <w:right w:val="single" w:color="CBD5E1" w:sz="1"/>
            </w:tcBorders>
            <w:shd w:fill="DBEAFE" w:val="clear"/>
            <w:tcMar>
              <w:top w:type="dxa" w:w="85"/>
              <w:left w:type="dxa" w:w="160"/>
              <w:bottom w:type="dxa" w:w="85"/>
              <w:right w:type="dxa" w:w="160"/>
            </w:tcMar>
          </w:tcPr>
          <w:p>
            <w:pPr>
              <w:spacing/>
            </w:pPr>
            <w:r>
              <w:rPr>
                <w:rFonts w:ascii="Arial" w:cs="Arial" w:eastAsia="Arial" w:hAnsi="Arial"/>
                <w:color w:val="0F172A"/>
                <w:sz w:val="21"/>
                <w:szCs w:val="21"/>
              </w:rPr>
              <w:t xml:space="preserve">90–95% branch (service layer)</w:t>
            </w:r>
          </w:p>
        </w:tc>
        <w:tc>
          <w:tcPr>
            <w:tcW w:type="dxa" w:w="1760"/>
            <w:tcBorders>
              <w:top w:val="single" w:color="CBD5E1" w:sz="1"/>
              <w:left w:val="single" w:color="CBD5E1" w:sz="1"/>
              <w:bottom w:val="single" w:color="CBD5E1" w:sz="1"/>
              <w:right w:val="single" w:color="CBD5E1" w:sz="1"/>
            </w:tcBorders>
            <w:shd w:fill="DBEAFE" w:val="clear"/>
            <w:tcMar>
              <w:top w:type="dxa" w:w="85"/>
              <w:left w:type="dxa" w:w="160"/>
              <w:bottom w:type="dxa" w:w="85"/>
              <w:right w:type="dxa" w:w="160"/>
            </w:tcMar>
          </w:tcPr>
          <w:p>
            <w:pPr>
              <w:spacing/>
            </w:pPr>
            <w:r>
              <w:rPr>
                <w:rFonts w:ascii="Arial" w:cs="Arial" w:eastAsia="Arial" w:hAnsi="Arial"/>
                <w:color w:val="0F172A"/>
                <w:sz w:val="21"/>
                <w:szCs w:val="21"/>
              </w:rPr>
              <w:t xml:space="preserve">5–10% journey tests</w:t>
            </w:r>
          </w:p>
        </w:tc>
        <w:tc>
          <w:tcPr>
            <w:tcW w:type="dxa" w:w="1800"/>
            <w:tcBorders>
              <w:top w:val="single" w:color="CBD5E1" w:sz="1"/>
              <w:left w:val="single" w:color="CBD5E1" w:sz="1"/>
              <w:bottom w:val="single" w:color="CBD5E1" w:sz="1"/>
              <w:right w:val="single" w:color="CBD5E1" w:sz="1"/>
            </w:tcBorders>
            <w:shd w:fill="DBEAFE" w:val="clear"/>
            <w:tcMar>
              <w:top w:type="dxa" w:w="85"/>
              <w:left w:type="dxa" w:w="160"/>
              <w:bottom w:type="dxa" w:w="85"/>
              <w:right w:type="dxa" w:w="160"/>
            </w:tcMar>
          </w:tcPr>
          <w:p>
            <w:pPr>
              <w:spacing/>
            </w:pPr>
            <w:r>
              <w:rPr>
                <w:rFonts w:ascii="Arial" w:cs="Arial" w:eastAsia="Arial" w:hAnsi="Arial"/>
                <w:color w:val="0F172A"/>
                <w:sz w:val="21"/>
                <w:szCs w:val="21"/>
              </w:rPr>
              <w:t xml:space="preserve">STRICT</w:t>
            </w:r>
          </w:p>
        </w:tc>
      </w:tr>
      <w:tr>
        <w:tc>
          <w:tcPr>
            <w:tcW w:type="dxa" w:w="1400"/>
            <w:tcBorders>
              <w:top w:val="single" w:color="CBD5E1" w:sz="1"/>
              <w:left w:val="single" w:color="CBD5E1" w:sz="1"/>
              <w:bottom w:val="single" w:color="CBD5E1" w:sz="1"/>
              <w:right w:val="single" w:color="CBD5E1" w:sz="1"/>
            </w:tcBorders>
            <w:shd w:fill="DCFCE7" w:val="clear"/>
            <w:tcMar>
              <w:top w:type="dxa" w:w="85"/>
              <w:left w:type="dxa" w:w="160"/>
              <w:bottom w:type="dxa" w:w="85"/>
              <w:right w:type="dxa" w:w="160"/>
            </w:tcMar>
          </w:tcPr>
          <w:p>
            <w:pPr>
              <w:spacing/>
            </w:pPr>
            <w:r>
              <w:rPr>
                <w:rFonts w:ascii="Arial" w:cs="Arial" w:eastAsia="Arial" w:hAnsi="Arial"/>
                <w:color w:val="0F172A"/>
                <w:sz w:val="21"/>
                <w:szCs w:val="21"/>
              </w:rPr>
              <w:t xml:space="preserve">Tier 1</w:t>
            </w:r>
          </w:p>
        </w:tc>
        <w:tc>
          <w:tcPr>
            <w:tcW w:type="dxa" w:w="2200"/>
            <w:tcBorders>
              <w:top w:val="single" w:color="CBD5E1" w:sz="1"/>
              <w:left w:val="single" w:color="CBD5E1" w:sz="1"/>
              <w:bottom w:val="single" w:color="CBD5E1" w:sz="1"/>
              <w:right w:val="single" w:color="CBD5E1" w:sz="1"/>
            </w:tcBorders>
            <w:shd w:fill="DCFCE7" w:val="clear"/>
            <w:tcMar>
              <w:top w:type="dxa" w:w="85"/>
              <w:left w:type="dxa" w:w="160"/>
              <w:bottom w:type="dxa" w:w="85"/>
              <w:right w:type="dxa" w:w="160"/>
            </w:tcMar>
          </w:tcPr>
          <w:p>
            <w:pPr>
              <w:spacing/>
            </w:pPr>
            <w:r>
              <w:rPr>
                <w:rFonts w:ascii="Arial" w:cs="Arial" w:eastAsia="Arial" w:hAnsi="Arial"/>
                <w:color w:val="0F172A"/>
                <w:sz w:val="21"/>
                <w:szCs w:val="21"/>
              </w:rPr>
              <w:t xml:space="preserve">Core product features: checkout, onboarding, search, notifications</w:t>
            </w:r>
          </w:p>
        </w:tc>
        <w:tc>
          <w:tcPr>
            <w:tcW w:type="dxa" w:w="2200"/>
            <w:tcBorders>
              <w:top w:val="single" w:color="CBD5E1" w:sz="1"/>
              <w:left w:val="single" w:color="CBD5E1" w:sz="1"/>
              <w:bottom w:val="single" w:color="CBD5E1" w:sz="1"/>
              <w:right w:val="single" w:color="CBD5E1" w:sz="1"/>
            </w:tcBorders>
            <w:shd w:fill="DCFCE7" w:val="clear"/>
            <w:tcMar>
              <w:top w:type="dxa" w:w="85"/>
              <w:left w:type="dxa" w:w="160"/>
              <w:bottom w:type="dxa" w:w="85"/>
              <w:right w:type="dxa" w:w="160"/>
            </w:tcMar>
          </w:tcPr>
          <w:p>
            <w:pPr>
              <w:spacing/>
            </w:pPr>
            <w:r>
              <w:rPr>
                <w:rFonts w:ascii="Arial" w:cs="Arial" w:eastAsia="Arial" w:hAnsi="Arial"/>
                <w:color w:val="0F172A"/>
                <w:sz w:val="21"/>
                <w:szCs w:val="21"/>
              </w:rPr>
              <w:t xml:space="preserve">80–85% branch (service layer)</w:t>
            </w:r>
          </w:p>
        </w:tc>
        <w:tc>
          <w:tcPr>
            <w:tcW w:type="dxa" w:w="1760"/>
            <w:tcBorders>
              <w:top w:val="single" w:color="CBD5E1" w:sz="1"/>
              <w:left w:val="single" w:color="CBD5E1" w:sz="1"/>
              <w:bottom w:val="single" w:color="CBD5E1" w:sz="1"/>
              <w:right w:val="single" w:color="CBD5E1" w:sz="1"/>
            </w:tcBorders>
            <w:shd w:fill="DCFCE7" w:val="clear"/>
            <w:tcMar>
              <w:top w:type="dxa" w:w="85"/>
              <w:left w:type="dxa" w:w="160"/>
              <w:bottom w:type="dxa" w:w="85"/>
              <w:right w:type="dxa" w:w="160"/>
            </w:tcMar>
          </w:tcPr>
          <w:p>
            <w:pPr>
              <w:spacing/>
            </w:pPr>
            <w:r>
              <w:rPr>
                <w:rFonts w:ascii="Arial" w:cs="Arial" w:eastAsia="Arial" w:hAnsi="Arial"/>
                <w:color w:val="0F172A"/>
                <w:sz w:val="21"/>
                <w:szCs w:val="21"/>
              </w:rPr>
              <w:t xml:space="preserve">2–5% journey tests</w:t>
            </w:r>
          </w:p>
        </w:tc>
        <w:tc>
          <w:tcPr>
            <w:tcW w:type="dxa" w:w="1800"/>
            <w:tcBorders>
              <w:top w:val="single" w:color="CBD5E1" w:sz="1"/>
              <w:left w:val="single" w:color="CBD5E1" w:sz="1"/>
              <w:bottom w:val="single" w:color="CBD5E1" w:sz="1"/>
              <w:right w:val="single" w:color="CBD5E1" w:sz="1"/>
            </w:tcBorders>
            <w:shd w:fill="DCFCE7" w:val="clear"/>
            <w:tcMar>
              <w:top w:type="dxa" w:w="85"/>
              <w:left w:type="dxa" w:w="160"/>
              <w:bottom w:type="dxa" w:w="85"/>
              <w:right w:type="dxa" w:w="160"/>
            </w:tcMar>
          </w:tcPr>
          <w:p>
            <w:pPr>
              <w:spacing/>
            </w:pPr>
            <w:r>
              <w:rPr>
                <w:rFonts w:ascii="Arial" w:cs="Arial" w:eastAsia="Arial" w:hAnsi="Arial"/>
                <w:color w:val="0F172A"/>
                <w:sz w:val="21"/>
                <w:szCs w:val="21"/>
              </w:rPr>
              <w:t xml:space="preserve">STRICT</w:t>
            </w:r>
          </w:p>
        </w:tc>
      </w:tr>
      <w:tr>
        <w:tc>
          <w:tcPr>
            <w:tcW w:type="dxa" w:w="1400"/>
            <w:tcBorders>
              <w:top w:val="single" w:color="CBD5E1" w:sz="1"/>
              <w:left w:val="single" w:color="CBD5E1" w:sz="1"/>
              <w:bottom w:val="single" w:color="CBD5E1" w:sz="1"/>
              <w:right w:val="single" w:color="CBD5E1" w:sz="1"/>
            </w:tcBorders>
            <w:shd w:fill="FEF3C7" w:val="clear"/>
            <w:tcMar>
              <w:top w:type="dxa" w:w="85"/>
              <w:left w:type="dxa" w:w="160"/>
              <w:bottom w:type="dxa" w:w="85"/>
              <w:right w:type="dxa" w:w="160"/>
            </w:tcMar>
          </w:tcPr>
          <w:p>
            <w:pPr>
              <w:spacing/>
            </w:pPr>
            <w:r>
              <w:rPr>
                <w:rFonts w:ascii="Arial" w:cs="Arial" w:eastAsia="Arial" w:hAnsi="Arial"/>
                <w:color w:val="0F172A"/>
                <w:sz w:val="21"/>
                <w:szCs w:val="21"/>
              </w:rPr>
              <w:t xml:space="preserve">Tier 2</w:t>
            </w:r>
          </w:p>
        </w:tc>
        <w:tc>
          <w:tcPr>
            <w:tcW w:type="dxa" w:w="2200"/>
            <w:tcBorders>
              <w:top w:val="single" w:color="CBD5E1" w:sz="1"/>
              <w:left w:val="single" w:color="CBD5E1" w:sz="1"/>
              <w:bottom w:val="single" w:color="CBD5E1" w:sz="1"/>
              <w:right w:val="single" w:color="CBD5E1" w:sz="1"/>
            </w:tcBorders>
            <w:shd w:fill="FEF3C7" w:val="clear"/>
            <w:tcMar>
              <w:top w:type="dxa" w:w="85"/>
              <w:left w:type="dxa" w:w="160"/>
              <w:bottom w:type="dxa" w:w="85"/>
              <w:right w:type="dxa" w:w="160"/>
            </w:tcMar>
          </w:tcPr>
          <w:p>
            <w:pPr>
              <w:spacing/>
            </w:pPr>
            <w:r>
              <w:rPr>
                <w:rFonts w:ascii="Arial" w:cs="Arial" w:eastAsia="Arial" w:hAnsi="Arial"/>
                <w:color w:val="0F172A"/>
                <w:sz w:val="21"/>
                <w:szCs w:val="21"/>
              </w:rPr>
              <w:t xml:space="preserve">Internal tools, admin dashboards, low-risk CRUD, reporting</w:t>
            </w:r>
          </w:p>
        </w:tc>
        <w:tc>
          <w:tcPr>
            <w:tcW w:type="dxa" w:w="2200"/>
            <w:tcBorders>
              <w:top w:val="single" w:color="CBD5E1" w:sz="1"/>
              <w:left w:val="single" w:color="CBD5E1" w:sz="1"/>
              <w:bottom w:val="single" w:color="CBD5E1" w:sz="1"/>
              <w:right w:val="single" w:color="CBD5E1" w:sz="1"/>
            </w:tcBorders>
            <w:shd w:fill="FEF3C7" w:val="clear"/>
            <w:tcMar>
              <w:top w:type="dxa" w:w="85"/>
              <w:left w:type="dxa" w:w="160"/>
              <w:bottom w:type="dxa" w:w="85"/>
              <w:right w:type="dxa" w:w="160"/>
            </w:tcMar>
          </w:tcPr>
          <w:p>
            <w:pPr>
              <w:spacing/>
            </w:pPr>
            <w:r>
              <w:rPr>
                <w:rFonts w:ascii="Arial" w:cs="Arial" w:eastAsia="Arial" w:hAnsi="Arial"/>
                <w:color w:val="0F172A"/>
                <w:sz w:val="21"/>
                <w:szCs w:val="21"/>
              </w:rPr>
              <w:t xml:space="preserve">60–80% statement</w:t>
            </w:r>
          </w:p>
        </w:tc>
        <w:tc>
          <w:tcPr>
            <w:tcW w:type="dxa" w:w="1760"/>
            <w:tcBorders>
              <w:top w:val="single" w:color="CBD5E1" w:sz="1"/>
              <w:left w:val="single" w:color="CBD5E1" w:sz="1"/>
              <w:bottom w:val="single" w:color="CBD5E1" w:sz="1"/>
              <w:right w:val="single" w:color="CBD5E1" w:sz="1"/>
            </w:tcBorders>
            <w:shd w:fill="FEF3C7" w:val="clear"/>
            <w:tcMar>
              <w:top w:type="dxa" w:w="85"/>
              <w:left w:type="dxa" w:w="160"/>
              <w:bottom w:type="dxa" w:w="85"/>
              <w:right w:type="dxa" w:w="160"/>
            </w:tcMar>
          </w:tcPr>
          <w:p>
            <w:pPr>
              <w:spacing/>
            </w:pPr>
            <w:r>
              <w:rPr>
                <w:rFonts w:ascii="Arial" w:cs="Arial" w:eastAsia="Arial" w:hAnsi="Arial"/>
                <w:color w:val="0F172A"/>
                <w:sz w:val="21"/>
                <w:szCs w:val="21"/>
              </w:rPr>
              <w:t xml:space="preserve">0–2% journey tests</w:t>
            </w:r>
          </w:p>
        </w:tc>
        <w:tc>
          <w:tcPr>
            <w:tcW w:type="dxa" w:w="1800"/>
            <w:tcBorders>
              <w:top w:val="single" w:color="CBD5E1" w:sz="1"/>
              <w:left w:val="single" w:color="CBD5E1" w:sz="1"/>
              <w:bottom w:val="single" w:color="CBD5E1" w:sz="1"/>
              <w:right w:val="single" w:color="CBD5E1" w:sz="1"/>
            </w:tcBorders>
            <w:shd w:fill="FEF3C7" w:val="clear"/>
            <w:tcMar>
              <w:top w:type="dxa" w:w="85"/>
              <w:left w:type="dxa" w:w="160"/>
              <w:bottom w:type="dxa" w:w="85"/>
              <w:right w:type="dxa" w:w="160"/>
            </w:tcMar>
          </w:tcPr>
          <w:p>
            <w:pPr>
              <w:spacing/>
            </w:pPr>
            <w:r>
              <w:rPr>
                <w:rFonts w:ascii="Arial" w:cs="Arial" w:eastAsia="Arial" w:hAnsi="Arial"/>
                <w:color w:val="0F172A"/>
                <w:sz w:val="21"/>
                <w:szCs w:val="21"/>
              </w:rPr>
              <w:t xml:space="preserve">LEAN</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91B1B" w:sz="1"/>
              <w:left w:val="single" w:color="991B1B" w:sz="12"/>
              <w:bottom w:val="single" w:color="991B1B" w:sz="1"/>
              <w:right w:val="single" w:color="991B1B" w:sz="1"/>
            </w:tcBorders>
            <w:shd w:fill="FEE2E2" w:val="clear"/>
            <w:tcMar>
              <w:top w:type="dxa" w:w="110"/>
              <w:left w:type="dxa" w:w="240"/>
              <w:bottom w:type="dxa" w:w="110"/>
              <w:right w:type="dxa" w:w="240"/>
            </w:tcMar>
          </w:tcPr>
          <w:p>
            <w:pPr>
              <w:spacing/>
            </w:pPr>
            <w:r>
              <w:rPr>
                <w:rFonts w:ascii="Arial" w:cs="Arial" w:eastAsia="Arial" w:hAnsi="Arial"/>
                <w:b/>
                <w:bCs/>
                <w:color w:val="991B1B"/>
                <w:sz w:val="21"/>
                <w:szCs w:val="21"/>
              </w:rPr>
              <w:t xml:space="preserve">TIER 0 RULE:  </w:t>
            </w:r>
            <w:r>
              <w:rPr>
                <w:rFonts w:ascii="Arial" w:cs="Arial" w:eastAsia="Arial" w:hAnsi="Arial"/>
                <w:color w:val="0F172A"/>
                <w:sz w:val="21"/>
                <w:szCs w:val="21"/>
              </w:rPr>
              <w:t xml:space="preserve">Any service touching money, authentication, PII, or a regulatory requirement is automatically Tier 0. This classification cannot be overridden without CTO approval.</w:t>
            </w:r>
          </w:p>
        </w:tc>
      </w:tr>
    </w:tbl>
    <w:p>
      <w:pPr>
        <w:spacing w:after="80" w:before="0"/>
      </w:pPr>
      <w:r>
        <w:t xml:space="preserve"/>
      </w:r>
    </w:p>
    <w:p>
      <w:pPr>
        <w:pStyle w:val="Heading2"/>
        <w:shd w:fill="1B4FBF" w:val="clear"/>
        <w:spacing w:after="100" w:before="280"/>
        <w:ind w:left="160"/>
      </w:pPr>
      <w:r>
        <w:rPr>
          <w:rFonts w:ascii="Arial" w:cs="Arial" w:eastAsia="Arial" w:hAnsi="Arial"/>
          <w:b/>
          <w:bCs/>
          <w:color w:val="FFFFFF"/>
          <w:sz w:val="27"/>
          <w:szCs w:val="27"/>
        </w:rPr>
        <w:t xml:space="preserve">3.2  Coverage Thresholds per Tier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FFFFFF" w:sz="1"/>
              <w:left w:val="single" w:color="FFFFFF" w:sz="1"/>
              <w:bottom w:val="single" w:color="FFFFFF" w:sz="1"/>
              <w:right w:val="single" w:color="FFFFFF" w:sz="1"/>
            </w:tcBorders>
            <w:shd w:fill="0A1628" w:val="clear"/>
            <w:tcMar>
              <w:top w:type="dxa" w:w="110"/>
              <w:left w:type="dxa" w:w="160"/>
              <w:bottom w:type="dxa" w:w="110"/>
              <w:right w:type="dxa" w:w="160"/>
            </w:tcMar>
          </w:tcPr>
          <w:p>
            <w:pPr>
              <w:spacing/>
            </w:pPr>
            <w:r>
              <w:rPr>
                <w:rFonts w:ascii="Arial" w:cs="Arial" w:eastAsia="Arial" w:hAnsi="Arial"/>
                <w:b/>
                <w:bCs/>
                <w:color w:val="FFFFFF"/>
                <w:sz w:val="21"/>
                <w:szCs w:val="21"/>
              </w:rPr>
              <w:t xml:space="preserve">Layer &amp; Tier</w:t>
            </w:r>
          </w:p>
        </w:tc>
        <w:tc>
          <w:tcPr>
            <w:tcW w:type="dxa" w:w="5160"/>
            <w:tcBorders>
              <w:top w:val="single" w:color="FFFFFF" w:sz="1"/>
              <w:left w:val="single" w:color="FFFFFF" w:sz="1"/>
              <w:bottom w:val="single" w:color="FFFFFF" w:sz="1"/>
              <w:right w:val="single" w:color="FFFFFF" w:sz="1"/>
            </w:tcBorders>
            <w:shd w:fill="0A1628" w:val="clear"/>
            <w:tcMar>
              <w:top w:type="dxa" w:w="110"/>
              <w:left w:type="dxa" w:w="160"/>
              <w:bottom w:type="dxa" w:w="110"/>
              <w:right w:type="dxa" w:w="160"/>
            </w:tcMar>
          </w:tcPr>
          <w:p>
            <w:pPr>
              <w:spacing/>
            </w:pPr>
            <w:r>
              <w:rPr>
                <w:rFonts w:ascii="Arial" w:cs="Arial" w:eastAsia="Arial" w:hAnsi="Arial"/>
                <w:b/>
                <w:bCs/>
                <w:color w:val="FFFFFF"/>
                <w:sz w:val="21"/>
                <w:szCs w:val="21"/>
              </w:rPr>
              <w:t xml:space="preserve">Minimum Coverage Requirement</w:t>
            </w:r>
          </w:p>
        </w:tc>
      </w:tr>
      <w:tr>
        <w:tc>
          <w:tcPr>
            <w:tcW w:type="dxa" w:w="420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Tier 0 — service / business logic</w:t>
            </w:r>
          </w:p>
        </w:tc>
        <w:tc>
          <w:tcPr>
            <w:tcW w:type="dxa" w:w="516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90–95% branch coverage — calibrated per critical domain</w:t>
            </w:r>
          </w:p>
        </w:tc>
      </w:tr>
      <w:tr>
        <w:tc>
          <w:tcPr>
            <w:tcW w:type="dxa" w:w="420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Tier 0 — domain error paths</w:t>
            </w:r>
          </w:p>
        </w:tc>
        <w:tc>
          <w:tcPr>
            <w:tcW w:type="dxa" w:w="516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100% — every typed error must have a corresponding test</w:t>
            </w:r>
          </w:p>
        </w:tc>
      </w:tr>
      <w:tr>
        <w:tc>
          <w:tcPr>
            <w:tcW w:type="dxa" w:w="420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Tier 0 — auth and permission paths</w:t>
            </w:r>
          </w:p>
        </w:tc>
        <w:tc>
          <w:tcPr>
            <w:tcW w:type="dxa" w:w="516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100% — every auth state tested without exception</w:t>
            </w:r>
          </w:p>
        </w:tc>
      </w:tr>
      <w:tr>
        <w:tc>
          <w:tcPr>
            <w:tcW w:type="dxa" w:w="420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Tier 1 — service / business logic</w:t>
            </w:r>
          </w:p>
        </w:tc>
        <w:tc>
          <w:tcPr>
            <w:tcW w:type="dxa" w:w="516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80–85% branch coverage</w:t>
            </w:r>
          </w:p>
        </w:tc>
      </w:tr>
      <w:tr>
        <w:tc>
          <w:tcPr>
            <w:tcW w:type="dxa" w:w="420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Tier 1 — overall (statement)</w:t>
            </w:r>
          </w:p>
        </w:tc>
        <w:tc>
          <w:tcPr>
            <w:tcW w:type="dxa" w:w="516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75% minimum</w:t>
            </w:r>
          </w:p>
        </w:tc>
      </w:tr>
      <w:tr>
        <w:tc>
          <w:tcPr>
            <w:tcW w:type="dxa" w:w="420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Tier 2 / LEAN — overall</w:t>
            </w:r>
          </w:p>
        </w:tc>
        <w:tc>
          <w:tcPr>
            <w:tcW w:type="dxa" w:w="516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60% statement coverage</w:t>
            </w:r>
          </w:p>
        </w:tc>
      </w:tr>
      <w:tr>
        <w:tc>
          <w:tcPr>
            <w:tcW w:type="dxa" w:w="420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Pure utility functions (any tier)</w:t>
            </w:r>
          </w:p>
        </w:tc>
        <w:tc>
          <w:tcPr>
            <w:tcW w:type="dxa" w:w="516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100% branch coverage</w:t>
            </w:r>
          </w:p>
        </w:tc>
      </w:tr>
      <w:tr>
        <w:tc>
          <w:tcPr>
            <w:tcW w:type="dxa" w:w="420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Idempotency paths (Tier 0/1)</w:t>
            </w:r>
          </w:p>
        </w:tc>
        <w:tc>
          <w:tcPr>
            <w:tcW w:type="dxa" w:w="516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100% — single and concurrent duplicate scenarios</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8350F" w:sz="1"/>
              <w:left w:val="single" w:color="78350F" w:sz="12"/>
              <w:bottom w:val="single" w:color="78350F" w:sz="1"/>
              <w:right w:val="single" w:color="78350F" w:sz="1"/>
            </w:tcBorders>
            <w:shd w:fill="FEF3C7" w:val="clear"/>
            <w:tcMar>
              <w:top w:type="dxa" w:w="110"/>
              <w:left w:type="dxa" w:w="240"/>
              <w:bottom w:type="dxa" w:w="110"/>
              <w:right w:type="dxa" w:w="240"/>
            </w:tcMar>
          </w:tcPr>
          <w:p>
            <w:pPr>
              <w:spacing/>
            </w:pPr>
            <w:r>
              <w:rPr>
                <w:rFonts w:ascii="Arial" w:cs="Arial" w:eastAsia="Arial" w:hAnsi="Arial"/>
                <w:b/>
                <w:bCs/>
                <w:color w:val="78350F"/>
                <w:sz w:val="21"/>
                <w:szCs w:val="21"/>
              </w:rPr>
              <w:t xml:space="preserve">NUANCE:  </w:t>
            </w:r>
            <w:r>
              <w:rPr>
                <w:rFonts w:ascii="Arial" w:cs="Arial" w:eastAsia="Arial" w:hAnsi="Arial"/>
                <w:color w:val="0F172A"/>
                <w:sz w:val="21"/>
                <w:szCs w:val="21"/>
              </w:rPr>
              <w:t xml:space="preserve">The 95% hard gate from v1.0 caused teams to write superficial tests to hit the number. The correct approach is: high coverage AND high assertion quality. Mutation testing (Section 14) validates both.</w:t>
            </w:r>
          </w:p>
        </w:tc>
      </w:tr>
    </w:tbl>
    <w:p>
      <w:pPr>
        <w:pBdr>
          <w:bottom w:val="single" w:color="CBD5E1" w:sz="2" w:space="4"/>
        </w:pBdr>
        <w:spacing w:after="160" w:before="160"/>
      </w:pPr>
      <w:r>
        <w:t xml:space="preserve"/>
      </w:r>
    </w:p>
    <w:p>
      <w:pPr>
        <w:pStyle w:val="Heading1"/>
        <w:pBdr>
          <w:bottom w:val="single" w:color="1B4FBF" w:sz="6"/>
        </w:pBdr>
        <w:shd w:fill="0A1628" w:val="clear"/>
        <w:spacing w:after="160" w:before="400"/>
        <w:ind w:left="220"/>
      </w:pPr>
      <w:r>
        <w:rPr>
          <w:rFonts w:ascii="Arial" w:cs="Arial" w:eastAsia="Arial" w:hAnsi="Arial"/>
          <w:b/>
          <w:bCs/>
          <w:color w:val="FFFFFF"/>
          <w:sz w:val="36"/>
          <w:szCs w:val="36"/>
        </w:rPr>
        <w:t xml:space="preserve">4 · Test Types, Tools &amp; Pyramid</w:t>
      </w:r>
    </w:p>
    <w:p>
      <w:pPr>
        <w:spacing w:after="40" w:before="0"/>
      </w:pPr>
      <w:r>
        <w:t xml:space="preserve"/>
      </w:r>
    </w:p>
    <w:p>
      <w:pPr>
        <w:pStyle w:val="Heading2"/>
        <w:shd w:fill="1B4FBF" w:val="clear"/>
        <w:spacing w:after="100" w:before="280"/>
        <w:ind w:left="160"/>
      </w:pPr>
      <w:r>
        <w:rPr>
          <w:rFonts w:ascii="Arial" w:cs="Arial" w:eastAsia="Arial" w:hAnsi="Arial"/>
          <w:b/>
          <w:bCs/>
          <w:color w:val="FFFFFF"/>
          <w:sz w:val="27"/>
          <w:szCs w:val="27"/>
        </w:rPr>
        <w:t xml:space="preserve">4.1  The Testing Pyramid</w:t>
      </w:r>
    </w:p>
    <w:p>
      <w:pPr>
        <w:spacing w:after="80" w:before="80"/>
      </w:pPr>
      <w:r>
        <w:rPr>
          <w:rFonts w:ascii="Arial" w:cs="Arial" w:eastAsia="Arial" w:hAnsi="Arial"/>
          <w:b w:val="false"/>
          <w:bCs w:val="false"/>
          <w:i w:val="false"/>
          <w:iCs w:val="false"/>
          <w:color w:val="0F172A"/>
          <w:sz w:val="22"/>
          <w:szCs w:val="22"/>
        </w:rPr>
        <w:t xml:space="preserve">The pyramid defines the ideal ratio of test types. The ratios below are targets, not hard caps. Frontend-heavy products may carry 5–10% at the E2E layer. The key constraint is: never substitute a higher-layer test for a lower-layer test.</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FFFF" w:sz="1"/>
              <w:left w:val="single" w:color="FFFFFF" w:sz="1"/>
              <w:bottom w:val="single" w:color="FFFFFF" w:sz="1"/>
              <w:right w:val="single" w:color="FFFFFF" w:sz="1"/>
            </w:tcBorders>
            <w:shd w:fill="5B21B6" w:val="clear"/>
            <w:tcMar>
              <w:top w:type="dxa" w:w="100"/>
              <w:left w:type="dxa" w:w="2800"/>
              <w:bottom w:type="dxa" w:w="100"/>
              <w:right w:type="dxa" w:w="2800"/>
            </w:tcMar>
          </w:tcPr>
          <w:p>
            <w:pPr>
              <w:spacing/>
              <w:jc w:val="center"/>
            </w:pPr>
            <w:r>
              <w:rPr>
                <w:rFonts w:ascii="Arial" w:cs="Arial" w:eastAsia="Arial" w:hAnsi="Arial"/>
                <w:b/>
                <w:bCs/>
                <w:color w:val="FFFFFF"/>
                <w:sz w:val="21"/>
                <w:szCs w:val="21"/>
              </w:rPr>
              <w:t xml:space="preserve">E2E / Journey Tests  ·  ~2–5%  (up to 10% for UI-heavy products)</w:t>
            </w:r>
          </w:p>
        </w:tc>
      </w:tr>
      <w:tr>
        <w:tc>
          <w:tcPr>
            <w:tcW w:type="dxa" w:w="9360"/>
            <w:tcBorders>
              <w:top w:val="single" w:color="FFFFFF" w:sz="1"/>
              <w:left w:val="single" w:color="FFFFFF" w:sz="1"/>
              <w:bottom w:val="single" w:color="FFFFFF" w:sz="1"/>
              <w:right w:val="single" w:color="FFFFFF" w:sz="1"/>
            </w:tcBorders>
            <w:shd w:fill="9A3412" w:val="clear"/>
            <w:tcMar>
              <w:top w:type="dxa" w:w="100"/>
              <w:left w:type="dxa" w:w="2000"/>
              <w:bottom w:type="dxa" w:w="100"/>
              <w:right w:type="dxa" w:w="2000"/>
            </w:tcMar>
          </w:tcPr>
          <w:p>
            <w:pPr>
              <w:spacing/>
              <w:jc w:val="center"/>
            </w:pPr>
            <w:r>
              <w:rPr>
                <w:rFonts w:ascii="Arial" w:cs="Arial" w:eastAsia="Arial" w:hAnsi="Arial"/>
                <w:b/>
                <w:bCs/>
                <w:color w:val="FFFFFF"/>
                <w:sz w:val="21"/>
                <w:szCs w:val="21"/>
              </w:rPr>
              <w:t xml:space="preserve">Performance &amp; Security Tests  ·  ~5%</w:t>
            </w:r>
          </w:p>
        </w:tc>
      </w:tr>
      <w:tr>
        <w:tc>
          <w:tcPr>
            <w:tcW w:type="dxa" w:w="9360"/>
            <w:tcBorders>
              <w:top w:val="single" w:color="FFFFFF" w:sz="1"/>
              <w:left w:val="single" w:color="FFFFFF" w:sz="1"/>
              <w:bottom w:val="single" w:color="FFFFFF" w:sz="1"/>
              <w:right w:val="single" w:color="FFFFFF" w:sz="1"/>
            </w:tcBorders>
            <w:shd w:fill="0F766E" w:val="clear"/>
            <w:tcMar>
              <w:top w:type="dxa" w:w="100"/>
              <w:left w:type="dxa" w:w="1200"/>
              <w:bottom w:type="dxa" w:w="100"/>
              <w:right w:type="dxa" w:w="1200"/>
            </w:tcMar>
          </w:tcPr>
          <w:p>
            <w:pPr>
              <w:spacing/>
              <w:jc w:val="center"/>
            </w:pPr>
            <w:r>
              <w:rPr>
                <w:rFonts w:ascii="Arial" w:cs="Arial" w:eastAsia="Arial" w:hAnsi="Arial"/>
                <w:b/>
                <w:bCs/>
                <w:color w:val="FFFFFF"/>
                <w:sz w:val="21"/>
                <w:szCs w:val="21"/>
              </w:rPr>
              <w:t xml:space="preserve">API / Contract Tests  ·  ~8%</w:t>
            </w:r>
          </w:p>
        </w:tc>
      </w:tr>
      <w:tr>
        <w:tc>
          <w:tcPr>
            <w:tcW w:type="dxa" w:w="9360"/>
            <w:tcBorders>
              <w:top w:val="single" w:color="FFFFFF" w:sz="1"/>
              <w:left w:val="single" w:color="FFFFFF" w:sz="1"/>
              <w:bottom w:val="single" w:color="FFFFFF" w:sz="1"/>
              <w:right w:val="single" w:color="FFFFFF" w:sz="1"/>
            </w:tcBorders>
            <w:shd w:fill="065F46" w:val="clear"/>
            <w:tcMar>
              <w:top w:type="dxa" w:w="100"/>
              <w:left w:type="dxa" w:w="600"/>
              <w:bottom w:type="dxa" w:w="100"/>
              <w:right w:type="dxa" w:w="600"/>
            </w:tcMar>
          </w:tcPr>
          <w:p>
            <w:pPr>
              <w:spacing/>
              <w:jc w:val="center"/>
            </w:pPr>
            <w:r>
              <w:rPr>
                <w:rFonts w:ascii="Arial" w:cs="Arial" w:eastAsia="Arial" w:hAnsi="Arial"/>
                <w:b/>
                <w:bCs/>
                <w:color w:val="FFFFFF"/>
                <w:sz w:val="21"/>
                <w:szCs w:val="21"/>
              </w:rPr>
              <w:t xml:space="preserve">Integration Tests  ·  ~20%</w:t>
            </w:r>
          </w:p>
        </w:tc>
      </w:tr>
      <w:tr>
        <w:tc>
          <w:tcPr>
            <w:tcW w:type="dxa" w:w="9360"/>
            <w:tcBorders>
              <w:top w:val="single" w:color="FFFFFF" w:sz="1"/>
              <w:left w:val="single" w:color="FFFFFF" w:sz="1"/>
              <w:bottom w:val="single" w:color="FFFFFF" w:sz="1"/>
              <w:right w:val="single" w:color="FFFFFF" w:sz="1"/>
            </w:tcBorders>
            <w:shd w:fill="1B4FBF" w:val="clear"/>
            <w:tcMar>
              <w:top w:type="dxa" w:w="100"/>
              <w:left w:type="dxa" w:w="120"/>
              <w:bottom w:type="dxa" w:w="100"/>
              <w:right w:type="dxa" w:w="120"/>
            </w:tcMar>
          </w:tcPr>
          <w:p>
            <w:pPr>
              <w:spacing/>
              <w:jc w:val="center"/>
            </w:pPr>
            <w:r>
              <w:rPr>
                <w:rFonts w:ascii="Arial" w:cs="Arial" w:eastAsia="Arial" w:hAnsi="Arial"/>
                <w:b/>
                <w:bCs/>
                <w:color w:val="FFFFFF"/>
                <w:sz w:val="22"/>
                <w:szCs w:val="22"/>
              </w:rPr>
              <w:t xml:space="preserve">Unit Tests  ·  ~65%</w:t>
            </w:r>
          </w:p>
        </w:tc>
      </w:tr>
    </w:tbl>
    <w:p>
      <w:pPr>
        <w:spacing w:after="80" w:before="0"/>
      </w:pPr>
      <w:r>
        <w:t xml:space="preserve"/>
      </w:r>
    </w:p>
    <w:p>
      <w:pPr>
        <w:pStyle w:val="Heading2"/>
        <w:shd w:fill="1B4FBF" w:val="clear"/>
        <w:spacing w:after="100" w:before="280"/>
        <w:ind w:left="160"/>
      </w:pPr>
      <w:r>
        <w:rPr>
          <w:rFonts w:ascii="Arial" w:cs="Arial" w:eastAsia="Arial" w:hAnsi="Arial"/>
          <w:b/>
          <w:bCs/>
          <w:color w:val="FFFFFF"/>
          <w:sz w:val="27"/>
          <w:szCs w:val="27"/>
        </w:rPr>
        <w:t xml:space="preserve">4.2  Test Type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40"/>
        <w:gridCol w:w="3000"/>
        <w:gridCol w:w="2040"/>
        <w:gridCol w:w="2280"/>
      </w:tblGrid>
      <w:tr>
        <w:trPr>
          <w:tblHeader/>
        </w:trPr>
        <w:tc>
          <w:tcPr>
            <w:tcW w:type="dxa" w:w="2040"/>
            <w:tcBorders>
              <w:top w:val="single" w:color="FFFFFF" w:sz="1"/>
              <w:left w:val="single" w:color="FFFFFF" w:sz="1"/>
              <w:bottom w:val="single" w:color="FFFFFF" w:sz="1"/>
              <w:right w:val="single" w:color="FFFFFF" w:sz="1"/>
            </w:tcBorders>
            <w:shd w:fill="0A1628" w:val="clear"/>
            <w:tcMar>
              <w:top w:type="dxa" w:w="110"/>
              <w:left w:type="dxa" w:w="160"/>
              <w:bottom w:type="dxa" w:w="110"/>
              <w:right w:type="dxa" w:w="160"/>
            </w:tcMar>
          </w:tcPr>
          <w:p>
            <w:pPr>
              <w:spacing/>
            </w:pPr>
            <w:r>
              <w:rPr>
                <w:rFonts w:ascii="Arial" w:cs="Arial" w:eastAsia="Arial" w:hAnsi="Arial"/>
                <w:b/>
                <w:bCs/>
                <w:color w:val="FFFFFF"/>
                <w:sz w:val="21"/>
                <w:szCs w:val="21"/>
              </w:rPr>
              <w:t xml:space="preserve">Type</w:t>
            </w:r>
          </w:p>
        </w:tc>
        <w:tc>
          <w:tcPr>
            <w:tcW w:type="dxa" w:w="3000"/>
            <w:tcBorders>
              <w:top w:val="single" w:color="FFFFFF" w:sz="1"/>
              <w:left w:val="single" w:color="FFFFFF" w:sz="1"/>
              <w:bottom w:val="single" w:color="FFFFFF" w:sz="1"/>
              <w:right w:val="single" w:color="FFFFFF" w:sz="1"/>
            </w:tcBorders>
            <w:shd w:fill="0A1628" w:val="clear"/>
            <w:tcMar>
              <w:top w:type="dxa" w:w="110"/>
              <w:left w:type="dxa" w:w="160"/>
              <w:bottom w:type="dxa" w:w="110"/>
              <w:right w:type="dxa" w:w="160"/>
            </w:tcMar>
          </w:tcPr>
          <w:p>
            <w:pPr>
              <w:spacing/>
            </w:pPr>
            <w:r>
              <w:rPr>
                <w:rFonts w:ascii="Arial" w:cs="Arial" w:eastAsia="Arial" w:hAnsi="Arial"/>
                <w:b/>
                <w:bCs/>
                <w:color w:val="FFFFFF"/>
                <w:sz w:val="21"/>
                <w:szCs w:val="21"/>
              </w:rPr>
              <w:t xml:space="preserve">Scope</w:t>
            </w:r>
          </w:p>
        </w:tc>
        <w:tc>
          <w:tcPr>
            <w:tcW w:type="dxa" w:w="2040"/>
            <w:tcBorders>
              <w:top w:val="single" w:color="FFFFFF" w:sz="1"/>
              <w:left w:val="single" w:color="FFFFFF" w:sz="1"/>
              <w:bottom w:val="single" w:color="FFFFFF" w:sz="1"/>
              <w:right w:val="single" w:color="FFFFFF" w:sz="1"/>
            </w:tcBorders>
            <w:shd w:fill="0A1628" w:val="clear"/>
            <w:tcMar>
              <w:top w:type="dxa" w:w="110"/>
              <w:left w:type="dxa" w:w="160"/>
              <w:bottom w:type="dxa" w:w="110"/>
              <w:right w:type="dxa" w:w="160"/>
            </w:tcMar>
          </w:tcPr>
          <w:p>
            <w:pPr>
              <w:spacing/>
            </w:pPr>
            <w:r>
              <w:rPr>
                <w:rFonts w:ascii="Arial" w:cs="Arial" w:eastAsia="Arial" w:hAnsi="Arial"/>
                <w:b/>
                <w:bCs/>
                <w:color w:val="FFFFFF"/>
                <w:sz w:val="21"/>
                <w:szCs w:val="21"/>
              </w:rPr>
              <w:t xml:space="preserve">Speed</w:t>
            </w:r>
          </w:p>
        </w:tc>
        <w:tc>
          <w:tcPr>
            <w:tcW w:type="dxa" w:w="2280"/>
            <w:tcBorders>
              <w:top w:val="single" w:color="FFFFFF" w:sz="1"/>
              <w:left w:val="single" w:color="FFFFFF" w:sz="1"/>
              <w:bottom w:val="single" w:color="FFFFFF" w:sz="1"/>
              <w:right w:val="single" w:color="FFFFFF" w:sz="1"/>
            </w:tcBorders>
            <w:shd w:fill="0A1628" w:val="clear"/>
            <w:tcMar>
              <w:top w:type="dxa" w:w="110"/>
              <w:left w:type="dxa" w:w="160"/>
              <w:bottom w:type="dxa" w:w="110"/>
              <w:right w:type="dxa" w:w="160"/>
            </w:tcMar>
          </w:tcPr>
          <w:p>
            <w:pPr>
              <w:spacing/>
            </w:pPr>
            <w:r>
              <w:rPr>
                <w:rFonts w:ascii="Arial" w:cs="Arial" w:eastAsia="Arial" w:hAnsi="Arial"/>
                <w:b/>
                <w:bCs/>
                <w:color w:val="FFFFFF"/>
                <w:sz w:val="21"/>
                <w:szCs w:val="21"/>
              </w:rPr>
              <w:t xml:space="preserve">Owner</w:t>
            </w:r>
          </w:p>
        </w:tc>
      </w:tr>
      <w:tr>
        <w:tc>
          <w:tcPr>
            <w:tcW w:type="dxa" w:w="204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Unit</w:t>
            </w:r>
          </w:p>
        </w:tc>
        <w:tc>
          <w:tcPr>
            <w:tcW w:type="dxa" w:w="300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Single function / class in isolation</w:t>
            </w:r>
          </w:p>
        </w:tc>
        <w:tc>
          <w:tcPr>
            <w:tcW w:type="dxa" w:w="204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&lt; 5ms</w:t>
            </w:r>
          </w:p>
        </w:tc>
        <w:tc>
          <w:tcPr>
            <w:tcW w:type="dxa" w:w="228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Developer (mandatory)</w:t>
            </w:r>
          </w:p>
        </w:tc>
      </w:tr>
      <w:tr>
        <w:tc>
          <w:tcPr>
            <w:tcW w:type="dxa" w:w="204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Integration</w:t>
            </w:r>
          </w:p>
        </w:tc>
        <w:tc>
          <w:tcPr>
            <w:tcW w:type="dxa" w:w="300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2+ layers — service + DB, component + store</w:t>
            </w:r>
          </w:p>
        </w:tc>
        <w:tc>
          <w:tcPr>
            <w:tcW w:type="dxa" w:w="204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50–500ms</w:t>
            </w:r>
          </w:p>
        </w:tc>
        <w:tc>
          <w:tcPr>
            <w:tcW w:type="dxa" w:w="228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Developer (STRICT)</w:t>
            </w:r>
          </w:p>
        </w:tc>
      </w:tr>
      <w:tr>
        <w:tc>
          <w:tcPr>
            <w:tcW w:type="dxa" w:w="204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API</w:t>
            </w:r>
          </w:p>
        </w:tc>
        <w:tc>
          <w:tcPr>
            <w:tcW w:type="dxa" w:w="300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Full HTTP request → response with test DB</w:t>
            </w:r>
          </w:p>
        </w:tc>
        <w:tc>
          <w:tcPr>
            <w:tcW w:type="dxa" w:w="204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200ms–2s</w:t>
            </w:r>
          </w:p>
        </w:tc>
        <w:tc>
          <w:tcPr>
            <w:tcW w:type="dxa" w:w="228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Developer + QA</w:t>
            </w:r>
          </w:p>
        </w:tc>
      </w:tr>
      <w:tr>
        <w:tc>
          <w:tcPr>
            <w:tcW w:type="dxa" w:w="204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E2E</w:t>
            </w:r>
          </w:p>
        </w:tc>
        <w:tc>
          <w:tcPr>
            <w:tcW w:type="dxa" w:w="300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Full user journey across real UI + backend</w:t>
            </w:r>
          </w:p>
        </w:tc>
        <w:tc>
          <w:tcPr>
            <w:tcW w:type="dxa" w:w="204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5–30s</w:t>
            </w:r>
          </w:p>
        </w:tc>
        <w:tc>
          <w:tcPr>
            <w:tcW w:type="dxa" w:w="228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QA + Developer</w:t>
            </w:r>
          </w:p>
        </w:tc>
      </w:tr>
      <w:tr>
        <w:tc>
          <w:tcPr>
            <w:tcW w:type="dxa" w:w="204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Performance</w:t>
            </w:r>
          </w:p>
        </w:tc>
        <w:tc>
          <w:tcPr>
            <w:tcW w:type="dxa" w:w="300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Load, stress, spike against staging</w:t>
            </w:r>
          </w:p>
        </w:tc>
        <w:tc>
          <w:tcPr>
            <w:tcW w:type="dxa" w:w="204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Minutes</w:t>
            </w:r>
          </w:p>
        </w:tc>
        <w:tc>
          <w:tcPr>
            <w:tcW w:type="dxa" w:w="228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Developer + DevOps</w:t>
            </w:r>
          </w:p>
        </w:tc>
      </w:tr>
      <w:tr>
        <w:tc>
          <w:tcPr>
            <w:tcW w:type="dxa" w:w="204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Security</w:t>
            </w:r>
          </w:p>
        </w:tc>
        <w:tc>
          <w:tcPr>
            <w:tcW w:type="dxa" w:w="300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Vuln scanning, auth bypass, injection</w:t>
            </w:r>
          </w:p>
        </w:tc>
        <w:tc>
          <w:tcPr>
            <w:tcW w:type="dxa" w:w="204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Minutes</w:t>
            </w:r>
          </w:p>
        </w:tc>
        <w:tc>
          <w:tcPr>
            <w:tcW w:type="dxa" w:w="228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Security + Developer</w:t>
            </w:r>
          </w:p>
        </w:tc>
      </w:tr>
    </w:tbl>
    <w:p>
      <w:pPr>
        <w:spacing w:after="80" w:before="0"/>
      </w:pPr>
      <w:r>
        <w:t xml:space="preserve"/>
      </w:r>
    </w:p>
    <w:p>
      <w:pPr>
        <w:pStyle w:val="Heading2"/>
        <w:shd w:fill="1B4FBF" w:val="clear"/>
        <w:spacing w:after="100" w:before="280"/>
        <w:ind w:left="160"/>
      </w:pPr>
      <w:r>
        <w:rPr>
          <w:rFonts w:ascii="Arial" w:cs="Arial" w:eastAsia="Arial" w:hAnsi="Arial"/>
          <w:b/>
          <w:bCs/>
          <w:color w:val="FFFFFF"/>
          <w:sz w:val="27"/>
          <w:szCs w:val="27"/>
        </w:rPr>
        <w:t xml:space="preserve">4.3  Tool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FFFFFF" w:sz="1"/>
              <w:left w:val="single" w:color="FFFFFF" w:sz="1"/>
              <w:bottom w:val="single" w:color="FFFFFF" w:sz="1"/>
              <w:right w:val="single" w:color="FFFFFF" w:sz="1"/>
            </w:tcBorders>
            <w:shd w:fill="0A1628" w:val="clear"/>
            <w:tcMar>
              <w:top w:type="dxa" w:w="110"/>
              <w:left w:type="dxa" w:w="160"/>
              <w:bottom w:type="dxa" w:w="110"/>
              <w:right w:type="dxa" w:w="160"/>
            </w:tcMar>
          </w:tcPr>
          <w:p>
            <w:pPr>
              <w:spacing/>
            </w:pPr>
            <w:r>
              <w:rPr>
                <w:rFonts w:ascii="Arial" w:cs="Arial" w:eastAsia="Arial" w:hAnsi="Arial"/>
                <w:b/>
                <w:bCs/>
                <w:color w:val="FFFFFF"/>
                <w:sz w:val="21"/>
                <w:szCs w:val="21"/>
              </w:rPr>
              <w:t xml:space="preserve">Test Type</w:t>
            </w:r>
          </w:p>
        </w:tc>
        <w:tc>
          <w:tcPr>
            <w:tcW w:type="dxa" w:w="6160"/>
            <w:tcBorders>
              <w:top w:val="single" w:color="FFFFFF" w:sz="1"/>
              <w:left w:val="single" w:color="FFFFFF" w:sz="1"/>
              <w:bottom w:val="single" w:color="FFFFFF" w:sz="1"/>
              <w:right w:val="single" w:color="FFFFFF" w:sz="1"/>
            </w:tcBorders>
            <w:shd w:fill="0A1628" w:val="clear"/>
            <w:tcMar>
              <w:top w:type="dxa" w:w="110"/>
              <w:left w:type="dxa" w:w="160"/>
              <w:bottom w:type="dxa" w:w="110"/>
              <w:right w:type="dxa" w:w="160"/>
            </w:tcMar>
          </w:tcPr>
          <w:p>
            <w:pPr>
              <w:spacing/>
            </w:pPr>
            <w:r>
              <w:rPr>
                <w:rFonts w:ascii="Arial" w:cs="Arial" w:eastAsia="Arial" w:hAnsi="Arial"/>
                <w:b/>
                <w:bCs/>
                <w:color w:val="FFFFFF"/>
                <w:sz w:val="21"/>
                <w:szCs w:val="21"/>
              </w:rPr>
              <w:t xml:space="preserve">Recommended Tools</w:t>
            </w:r>
          </w:p>
        </w:tc>
      </w:tr>
      <w:tr>
        <w:tc>
          <w:tcPr>
            <w:tcW w:type="dxa" w:w="320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Unit (Frontend)</w:t>
            </w:r>
          </w:p>
        </w:tc>
        <w:tc>
          <w:tcPr>
            <w:tcW w:type="dxa" w:w="616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Jest / Vitest · React Testing Library · jest-axe</w:t>
            </w:r>
          </w:p>
        </w:tc>
      </w:tr>
      <w:tr>
        <w:tc>
          <w:tcPr>
            <w:tcW w:type="dxa" w:w="320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Unit (Backend)</w:t>
            </w:r>
          </w:p>
        </w:tc>
        <w:tc>
          <w:tcPr>
            <w:tcW w:type="dxa" w:w="616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Jest / Vitest · ts-jest</w:t>
            </w:r>
          </w:p>
        </w:tc>
      </w:tr>
      <w:tr>
        <w:tc>
          <w:tcPr>
            <w:tcW w:type="dxa" w:w="320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Integration (Frontend)</w:t>
            </w:r>
          </w:p>
        </w:tc>
        <w:tc>
          <w:tcPr>
            <w:tcW w:type="dxa" w:w="616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Vitest + jsdom · MSW (network mocking)</w:t>
            </w:r>
          </w:p>
        </w:tc>
      </w:tr>
      <w:tr>
        <w:tc>
          <w:tcPr>
            <w:tcW w:type="dxa" w:w="320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Integration (Backend)</w:t>
            </w:r>
          </w:p>
        </w:tc>
        <w:tc>
          <w:tcPr>
            <w:tcW w:type="dxa" w:w="616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Jest + Testcontainers (Postgres, Redis) · Supertest</w:t>
            </w:r>
          </w:p>
        </w:tc>
      </w:tr>
      <w:tr>
        <w:tc>
          <w:tcPr>
            <w:tcW w:type="dxa" w:w="320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API / Contract</w:t>
            </w:r>
          </w:p>
        </w:tc>
        <w:tc>
          <w:tcPr>
            <w:tcW w:type="dxa" w:w="616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Supertest · jest-openapi · Schemathesis · Pact (consumer-driven)</w:t>
            </w:r>
          </w:p>
        </w:tc>
      </w:tr>
      <w:tr>
        <w:tc>
          <w:tcPr>
            <w:tcW w:type="dxa" w:w="320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E2E</w:t>
            </w:r>
          </w:p>
        </w:tc>
        <w:tc>
          <w:tcPr>
            <w:tcW w:type="dxa" w:w="616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Playwright (preferred) · Cypress (acceptable for legacy projects)</w:t>
            </w:r>
          </w:p>
        </w:tc>
      </w:tr>
      <w:tr>
        <w:tc>
          <w:tcPr>
            <w:tcW w:type="dxa" w:w="320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Performance / Load</w:t>
            </w:r>
          </w:p>
        </w:tc>
        <w:tc>
          <w:tcPr>
            <w:tcW w:type="dxa" w:w="616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k6 (preferred) · Artillery · Locust</w:t>
            </w:r>
          </w:p>
        </w:tc>
      </w:tr>
      <w:tr>
        <w:tc>
          <w:tcPr>
            <w:tcW w:type="dxa" w:w="320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Security (DAST/SAST)</w:t>
            </w:r>
          </w:p>
        </w:tc>
        <w:tc>
          <w:tcPr>
            <w:tcW w:type="dxa" w:w="616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OWASP ZAP · Semgrep · Burp Suite (manual, quarterly)</w:t>
            </w:r>
          </w:p>
        </w:tc>
      </w:tr>
      <w:tr>
        <w:tc>
          <w:tcPr>
            <w:tcW w:type="dxa" w:w="320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Accessibility</w:t>
            </w:r>
          </w:p>
        </w:tc>
        <w:tc>
          <w:tcPr>
            <w:tcW w:type="dxa" w:w="616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jest-axe · axe-core · Playwright axe plugin · Lighthouse CI</w:t>
            </w:r>
          </w:p>
        </w:tc>
      </w:tr>
      <w:tr>
        <w:tc>
          <w:tcPr>
            <w:tcW w:type="dxa" w:w="320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Visual Regression</w:t>
            </w:r>
          </w:p>
        </w:tc>
        <w:tc>
          <w:tcPr>
            <w:tcW w:type="dxa" w:w="616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Playwright screenshots + pixelmatch · Chromatic (Storybook)</w:t>
            </w:r>
          </w:p>
        </w:tc>
      </w:tr>
      <w:tr>
        <w:tc>
          <w:tcPr>
            <w:tcW w:type="dxa" w:w="320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Mutation Testing</w:t>
            </w:r>
          </w:p>
        </w:tc>
        <w:tc>
          <w:tcPr>
            <w:tcW w:type="dxa" w:w="616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Stryker (JS/TS) — validates assertion quality, not just coverage</w:t>
            </w:r>
          </w:p>
        </w:tc>
      </w:tr>
      <w:tr>
        <w:tc>
          <w:tcPr>
            <w:tcW w:type="dxa" w:w="320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Dependency Audit</w:t>
            </w:r>
          </w:p>
        </w:tc>
        <w:tc>
          <w:tcPr>
            <w:tcW w:type="dxa" w:w="616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npm audit · Snyk · Dependabot (automated PRs for CVE patches)</w:t>
            </w:r>
          </w:p>
        </w:tc>
      </w:tr>
      <w:tr>
        <w:tc>
          <w:tcPr>
            <w:tcW w:type="dxa" w:w="320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Mock / Stub</w:t>
            </w:r>
          </w:p>
        </w:tc>
        <w:tc>
          <w:tcPr>
            <w:tcW w:type="dxa" w:w="616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MSW (network) · nock (HTTP) · jest.fn() / vi.fn() · Sinon</w:t>
            </w:r>
          </w:p>
        </w:tc>
      </w:tr>
    </w:tbl>
    <w:p>
      <w:pPr>
        <w:pBdr>
          <w:bottom w:val="single" w:color="CBD5E1" w:sz="2" w:space="4"/>
        </w:pBdr>
        <w:spacing w:after="160" w:before="160"/>
      </w:pPr>
      <w:r>
        <w:t xml:space="preserve"/>
      </w:r>
    </w:p>
    <w:p>
      <w:pPr>
        <w:pStyle w:val="Heading1"/>
        <w:pBdr>
          <w:bottom w:val="single" w:color="1B4FBF" w:sz="6"/>
        </w:pBdr>
        <w:shd w:fill="0A1628" w:val="clear"/>
        <w:spacing w:after="160" w:before="400"/>
        <w:ind w:left="220"/>
      </w:pPr>
      <w:r>
        <w:rPr>
          <w:rFonts w:ascii="Arial" w:cs="Arial" w:eastAsia="Arial" w:hAnsi="Arial"/>
          <w:b/>
          <w:bCs/>
          <w:color w:val="FFFFFF"/>
          <w:sz w:val="36"/>
          <w:szCs w:val="36"/>
        </w:rPr>
        <w:t xml:space="preserve">5 · Unit Testing Standards</w:t>
      </w:r>
    </w:p>
    <w:p>
      <w:pPr>
        <w:pStyle w:val="Heading2"/>
        <w:shd w:fill="1B4FBF" w:val="clear"/>
        <w:spacing w:after="100" w:before="280"/>
        <w:ind w:left="160"/>
      </w:pPr>
      <w:r>
        <w:rPr>
          <w:rFonts w:ascii="Arial" w:cs="Arial" w:eastAsia="Arial" w:hAnsi="Arial"/>
          <w:b/>
          <w:bCs/>
          <w:color w:val="FFFFFF"/>
          <w:sz w:val="27"/>
          <w:szCs w:val="27"/>
        </w:rPr>
        <w:t xml:space="preserve">5.1  What to Unit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FFFFFF" w:sz="1"/>
              <w:left w:val="single" w:color="FFFFFF" w:sz="1"/>
              <w:bottom w:val="single" w:color="FFFFFF" w:sz="1"/>
              <w:right w:val="single" w:color="FFFFFF" w:sz="1"/>
            </w:tcBorders>
            <w:shd w:fill="0A1628" w:val="clear"/>
            <w:tcMar>
              <w:top w:type="dxa" w:w="110"/>
              <w:left w:type="dxa" w:w="160"/>
              <w:bottom w:type="dxa" w:w="110"/>
              <w:right w:type="dxa" w:w="160"/>
            </w:tcMar>
          </w:tcPr>
          <w:p>
            <w:pPr>
              <w:spacing/>
            </w:pPr>
            <w:r>
              <w:rPr>
                <w:rFonts w:ascii="Arial" w:cs="Arial" w:eastAsia="Arial" w:hAnsi="Arial"/>
                <w:b/>
                <w:bCs/>
                <w:color w:val="FFFFFF"/>
                <w:sz w:val="21"/>
                <w:szCs w:val="21"/>
              </w:rPr>
              <w:t xml:space="preserve">Test This</w:t>
            </w:r>
          </w:p>
        </w:tc>
        <w:tc>
          <w:tcPr>
            <w:tcW w:type="dxa" w:w="4680"/>
            <w:tcBorders>
              <w:top w:val="single" w:color="FFFFFF" w:sz="1"/>
              <w:left w:val="single" w:color="FFFFFF" w:sz="1"/>
              <w:bottom w:val="single" w:color="FFFFFF" w:sz="1"/>
              <w:right w:val="single" w:color="FFFFFF" w:sz="1"/>
            </w:tcBorders>
            <w:shd w:fill="0A1628" w:val="clear"/>
            <w:tcMar>
              <w:top w:type="dxa" w:w="110"/>
              <w:left w:type="dxa" w:w="160"/>
              <w:bottom w:type="dxa" w:w="110"/>
              <w:right w:type="dxa" w:w="160"/>
            </w:tcMar>
          </w:tcPr>
          <w:p>
            <w:pPr>
              <w:spacing/>
            </w:pPr>
            <w:r>
              <w:rPr>
                <w:rFonts w:ascii="Arial" w:cs="Arial" w:eastAsia="Arial" w:hAnsi="Arial"/>
                <w:b/>
                <w:bCs/>
                <w:color w:val="FFFFFF"/>
                <w:sz w:val="21"/>
                <w:szCs w:val="21"/>
              </w:rPr>
              <w:t xml:space="preserve">Do NOT Test This</w:t>
            </w:r>
          </w:p>
        </w:tc>
      </w:tr>
      <w:tr>
        <w:tc>
          <w:tcPr>
            <w:tcW w:type="dxa" w:w="468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Business logic: calculations, validations, transformations</w:t>
            </w:r>
          </w:p>
        </w:tc>
        <w:tc>
          <w:tcPr>
            <w:tcW w:type="dxa" w:w="468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Framework internals (Express routing, React reconciliation)</w:t>
            </w:r>
          </w:p>
        </w:tc>
      </w:tr>
      <w:tr>
        <w:tc>
          <w:tcPr>
            <w:tcW w:type="dxa" w:w="468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Every code path through a conditional branch</w:t>
            </w:r>
          </w:p>
        </w:tc>
        <w:tc>
          <w:tcPr>
            <w:tcW w:type="dxa" w:w="468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Third-party library implementations</w:t>
            </w:r>
          </w:p>
        </w:tc>
      </w:tr>
      <w:tr>
        <w:tc>
          <w:tcPr>
            <w:tcW w:type="dxa" w:w="468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Every domain error / exception condition</w:t>
            </w:r>
          </w:p>
        </w:tc>
        <w:tc>
          <w:tcPr>
            <w:tcW w:type="dxa" w:w="468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Simple pass-through getters with no logic</w:t>
            </w:r>
          </w:p>
        </w:tc>
      </w:tr>
      <w:tr>
        <w:tc>
          <w:tcPr>
            <w:tcW w:type="dxa" w:w="468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Edge cases: nulls, empty arrays, max/min, type coercions</w:t>
            </w:r>
          </w:p>
        </w:tc>
        <w:tc>
          <w:tcPr>
            <w:tcW w:type="dxa" w:w="468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Constants or pure configuration objects</w:t>
            </w:r>
          </w:p>
        </w:tc>
      </w:tr>
      <w:tr>
        <w:tc>
          <w:tcPr>
            <w:tcW w:type="dxa" w:w="468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Custom hooks (frontend), service methods (backend)</w:t>
            </w:r>
          </w:p>
        </w:tc>
        <w:tc>
          <w:tcPr>
            <w:tcW w:type="dxa" w:w="468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Auto-generated code (ORM migrations, GraphQL resolvers from schema)</w:t>
            </w:r>
          </w:p>
        </w:tc>
      </w:tr>
      <w:tr>
        <w:tc>
          <w:tcPr>
            <w:tcW w:type="dxa" w:w="468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Pure utility functions — 100% branch coverage required</w:t>
            </w:r>
          </w:p>
        </w:tc>
        <w:tc>
          <w:tcPr>
            <w:tcW w:type="dxa" w:w="468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Private methods — test through the public interface only</w:t>
            </w:r>
          </w:p>
        </w:tc>
      </w:tr>
    </w:tbl>
    <w:p>
      <w:pPr>
        <w:spacing w:after="80" w:before="0"/>
      </w:pPr>
      <w:r>
        <w:t xml:space="preserve"/>
      </w:r>
    </w:p>
    <w:p>
      <w:pPr>
        <w:pStyle w:val="Heading2"/>
        <w:shd w:fill="1B4FBF" w:val="clear"/>
        <w:spacing w:after="100" w:before="280"/>
        <w:ind w:left="160"/>
      </w:pPr>
      <w:r>
        <w:rPr>
          <w:rFonts w:ascii="Arial" w:cs="Arial" w:eastAsia="Arial" w:hAnsi="Arial"/>
          <w:b/>
          <w:bCs/>
          <w:color w:val="FFFFFF"/>
          <w:sz w:val="27"/>
          <w:szCs w:val="27"/>
        </w:rPr>
        <w:t xml:space="preserve">5.2  Arrange–Act–Assert (AAA) Structure</w:t>
      </w:r>
    </w:p>
    <w:p>
      <w:pPr>
        <w:spacing w:after="80" w:before="80"/>
      </w:pPr>
      <w:r>
        <w:rPr>
          <w:rFonts w:ascii="Arial" w:cs="Arial" w:eastAsia="Arial" w:hAnsi="Arial"/>
          <w:b w:val="false"/>
          <w:bCs w:val="false"/>
          <w:i w:val="false"/>
          <w:iCs w:val="false"/>
          <w:color w:val="0F172A"/>
          <w:sz w:val="22"/>
          <w:szCs w:val="22"/>
        </w:rPr>
        <w:t xml:space="preserve">Every unit test must follow AAA with explicit visual separation. One behaviour per test. No exceptions.</w:t>
      </w:r>
    </w:p>
    <w:p>
      <w:pPr>
        <w:spacing w:after="60" w:before="0"/>
      </w:pPr>
      <w:r>
        <w:t xml:space="preserve"/>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describe('calculateDiscount', () =&gt; {</w:t>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  it('should apply percentage discount to subtotal', () =&gt; {</w:t>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    // ── Arrange ──────────────────────────────────────────</w:t>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    const subtotal = 10000; // pence — avoids float errors</w:t>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    const coupon   = { type: 'PERCENT', value: 10 };</w:t>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    // ── Act ─────────────────────────────────────────────</w:t>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    const result = calculateDiscount(subtotal, coupon);</w:t>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    // ── Assert ──────────────────────────────────────────</w:t>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    expect(result.discountAmount).toBe(1000);</w:t>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    expect(result.finalTotal).toBe(9000);</w:t>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  });</w:t>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w:t>
      </w:r>
    </w:p>
    <w:p>
      <w:pPr>
        <w:spacing w:after="80" w:before="0"/>
      </w:pPr>
      <w:r>
        <w:t xml:space="preserve"/>
      </w:r>
    </w:p>
    <w:p>
      <w:pPr>
        <w:pStyle w:val="Heading2"/>
        <w:shd w:fill="1B4FBF" w:val="clear"/>
        <w:spacing w:after="100" w:before="280"/>
        <w:ind w:left="160"/>
      </w:pPr>
      <w:r>
        <w:rPr>
          <w:rFonts w:ascii="Arial" w:cs="Arial" w:eastAsia="Arial" w:hAnsi="Arial"/>
          <w:b/>
          <w:bCs/>
          <w:color w:val="FFFFFF"/>
          <w:sz w:val="27"/>
          <w:szCs w:val="27"/>
        </w:rPr>
        <w:t xml:space="preserve">5.3  Naming Convention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FFFFFF" w:sz="1"/>
              <w:left w:val="single" w:color="FFFFFF" w:sz="1"/>
              <w:bottom w:val="single" w:color="FFFFFF" w:sz="1"/>
              <w:right w:val="single" w:color="FFFFFF" w:sz="1"/>
            </w:tcBorders>
            <w:shd w:fill="0A1628" w:val="clear"/>
            <w:tcMar>
              <w:top w:type="dxa" w:w="110"/>
              <w:left w:type="dxa" w:w="160"/>
              <w:bottom w:type="dxa" w:w="110"/>
              <w:right w:type="dxa" w:w="160"/>
            </w:tcMar>
          </w:tcPr>
          <w:p>
            <w:pPr>
              <w:spacing/>
            </w:pPr>
            <w:r>
              <w:rPr>
                <w:rFonts w:ascii="Arial" w:cs="Arial" w:eastAsia="Arial" w:hAnsi="Arial"/>
                <w:b/>
                <w:bCs/>
                <w:color w:val="FFFFFF"/>
                <w:sz w:val="21"/>
                <w:szCs w:val="21"/>
              </w:rPr>
              <w:t xml:space="preserve">Pattern</w:t>
            </w:r>
          </w:p>
        </w:tc>
        <w:tc>
          <w:tcPr>
            <w:tcW w:type="dxa" w:w="5760"/>
            <w:tcBorders>
              <w:top w:val="single" w:color="FFFFFF" w:sz="1"/>
              <w:left w:val="single" w:color="FFFFFF" w:sz="1"/>
              <w:bottom w:val="single" w:color="FFFFFF" w:sz="1"/>
              <w:right w:val="single" w:color="FFFFFF" w:sz="1"/>
            </w:tcBorders>
            <w:shd w:fill="0A1628" w:val="clear"/>
            <w:tcMar>
              <w:top w:type="dxa" w:w="110"/>
              <w:left w:type="dxa" w:w="160"/>
              <w:bottom w:type="dxa" w:w="110"/>
              <w:right w:type="dxa" w:w="160"/>
            </w:tcMar>
          </w:tcPr>
          <w:p>
            <w:pPr>
              <w:spacing/>
            </w:pPr>
            <w:r>
              <w:rPr>
                <w:rFonts w:ascii="Arial" w:cs="Arial" w:eastAsia="Arial" w:hAnsi="Arial"/>
                <w:b/>
                <w:bCs/>
                <w:color w:val="FFFFFF"/>
                <w:sz w:val="21"/>
                <w:szCs w:val="21"/>
              </w:rPr>
              <w:t xml:space="preserve">Example</w:t>
            </w:r>
          </w:p>
        </w:tc>
      </w:tr>
      <w:tr>
        <w:tc>
          <w:tcPr>
            <w:tcW w:type="dxa" w:w="360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should [behaviour] when [condition]</w:t>
            </w:r>
          </w:p>
        </w:tc>
        <w:tc>
          <w:tcPr>
            <w:tcW w:type="dxa" w:w="576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should return 0 discount when coupon is expired</w:t>
            </w:r>
          </w:p>
        </w:tc>
      </w:tr>
      <w:tr>
        <w:tc>
          <w:tcPr>
            <w:tcW w:type="dxa" w:w="360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[fn] [condition] → [result]</w:t>
            </w:r>
          </w:p>
        </w:tc>
        <w:tc>
          <w:tcPr>
            <w:tcW w:type="dxa" w:w="576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calculateDiscount with FIXED coupon → deducts flat amount from total</w:t>
            </w:r>
          </w:p>
        </w:tc>
      </w:tr>
      <w:tr>
        <w:tc>
          <w:tcPr>
            <w:tcW w:type="dxa" w:w="360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[component] renders [element] when [state]</w:t>
            </w:r>
          </w:p>
        </w:tc>
        <w:tc>
          <w:tcPr>
            <w:tcW w:type="dxa" w:w="576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UserCard renders Suspended badge when status is suspended</w:t>
            </w:r>
          </w:p>
        </w:tc>
      </w:tr>
    </w:tbl>
    <w:p>
      <w:pPr>
        <w:spacing w:after="80" w:before="0"/>
      </w:pPr>
      <w:r>
        <w:t xml:space="preserve"/>
      </w:r>
    </w:p>
    <w:p>
      <w:pPr>
        <w:pStyle w:val="Heading2"/>
        <w:shd w:fill="1B4FBF" w:val="clear"/>
        <w:spacing w:after="100" w:before="280"/>
        <w:ind w:left="160"/>
      </w:pPr>
      <w:r>
        <w:rPr>
          <w:rFonts w:ascii="Arial" w:cs="Arial" w:eastAsia="Arial" w:hAnsi="Arial"/>
          <w:b/>
          <w:bCs/>
          <w:color w:val="FFFFFF"/>
          <w:sz w:val="27"/>
          <w:szCs w:val="27"/>
        </w:rPr>
        <w:t xml:space="preserve">5.4  Unit Test Anti-Patterns (CI-Blocked)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FFFFFF" w:sz="1"/>
              <w:left w:val="single" w:color="FFFFFF" w:sz="1"/>
              <w:bottom w:val="single" w:color="FFFFFF" w:sz="1"/>
              <w:right w:val="single" w:color="FFFFFF" w:sz="1"/>
            </w:tcBorders>
            <w:shd w:fill="0A1628" w:val="clear"/>
            <w:tcMar>
              <w:top w:type="dxa" w:w="110"/>
              <w:left w:type="dxa" w:w="160"/>
              <w:bottom w:type="dxa" w:w="110"/>
              <w:right w:type="dxa" w:w="160"/>
            </w:tcMar>
          </w:tcPr>
          <w:p>
            <w:pPr>
              <w:spacing/>
            </w:pPr>
            <w:r>
              <w:rPr>
                <w:rFonts w:ascii="Arial" w:cs="Arial" w:eastAsia="Arial" w:hAnsi="Arial"/>
                <w:b/>
                <w:bCs/>
                <w:color w:val="FFFFFF"/>
                <w:sz w:val="21"/>
                <w:szCs w:val="21"/>
              </w:rPr>
              <w:t xml:space="preserve">Anti-Pattern</w:t>
            </w:r>
          </w:p>
        </w:tc>
        <w:tc>
          <w:tcPr>
            <w:tcW w:type="dxa" w:w="5760"/>
            <w:tcBorders>
              <w:top w:val="single" w:color="FFFFFF" w:sz="1"/>
              <w:left w:val="single" w:color="FFFFFF" w:sz="1"/>
              <w:bottom w:val="single" w:color="FFFFFF" w:sz="1"/>
              <w:right w:val="single" w:color="FFFFFF" w:sz="1"/>
            </w:tcBorders>
            <w:shd w:fill="0A1628" w:val="clear"/>
            <w:tcMar>
              <w:top w:type="dxa" w:w="110"/>
              <w:left w:type="dxa" w:w="160"/>
              <w:bottom w:type="dxa" w:w="110"/>
              <w:right w:type="dxa" w:w="160"/>
            </w:tcMar>
          </w:tcPr>
          <w:p>
            <w:pPr>
              <w:spacing/>
            </w:pPr>
            <w:r>
              <w:rPr>
                <w:rFonts w:ascii="Arial" w:cs="Arial" w:eastAsia="Arial" w:hAnsi="Arial"/>
                <w:b/>
                <w:bCs/>
                <w:color w:val="FFFFFF"/>
                <w:sz w:val="21"/>
                <w:szCs w:val="21"/>
              </w:rPr>
              <w:t xml:space="preserve">Correct Approach</w:t>
            </w:r>
          </w:p>
        </w:tc>
      </w:tr>
      <w:tr>
        <w:tc>
          <w:tcPr>
            <w:tcW w:type="dxa" w:w="360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Testing implementation details (private var values)</w:t>
            </w:r>
          </w:p>
        </w:tc>
        <w:tc>
          <w:tcPr>
            <w:tcW w:type="dxa" w:w="576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Test observable output — what the fn returns or throws</w:t>
            </w:r>
          </w:p>
        </w:tc>
      </w:tr>
      <w:tr>
        <w:tc>
          <w:tcPr>
            <w:tcW w:type="dxa" w:w="360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One giant test asserting 10+ unrelated things</w:t>
            </w:r>
          </w:p>
        </w:tc>
        <w:tc>
          <w:tcPr>
            <w:tcW w:type="dxa" w:w="576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Split into individual it() blocks — one behaviour per test</w:t>
            </w:r>
          </w:p>
        </w:tc>
      </w:tr>
      <w:tr>
        <w:tc>
          <w:tcPr>
            <w:tcW w:type="dxa" w:w="360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Mocking your own module under test</w:t>
            </w:r>
          </w:p>
        </w:tc>
        <w:tc>
          <w:tcPr>
            <w:tcW w:type="dxa" w:w="576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Mock only external deps. Mock your own code = test nothing.</w:t>
            </w:r>
          </w:p>
        </w:tc>
      </w:tr>
      <w:tr>
        <w:tc>
          <w:tcPr>
            <w:tcW w:type="dxa" w:w="360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Real timers (Date.now, setTimeout) in unit tests</w:t>
            </w:r>
          </w:p>
        </w:tc>
        <w:tc>
          <w:tcPr>
            <w:tcW w:type="dxa" w:w="576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jest.useFakeTimers() for all time-sensitive logic</w:t>
            </w:r>
          </w:p>
        </w:tc>
      </w:tr>
      <w:tr>
        <w:tc>
          <w:tcPr>
            <w:tcW w:type="dxa" w:w="360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Assertions that always pass (expect(true))</w:t>
            </w:r>
          </w:p>
        </w:tc>
        <w:tc>
          <w:tcPr>
            <w:tcW w:type="dxa" w:w="576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Every assertion must be falsifiable and specific</w:t>
            </w:r>
          </w:p>
        </w:tc>
      </w:tr>
      <w:tr>
        <w:tc>
          <w:tcPr>
            <w:tcW w:type="dxa" w:w="360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Skipped tests without ticket justification</w:t>
            </w:r>
          </w:p>
        </w:tc>
        <w:tc>
          <w:tcPr>
            <w:tcW w:type="dxa" w:w="576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Add ticket ref: it.skip('JIRA-1234: …') or remove the test</w:t>
            </w:r>
          </w:p>
        </w:tc>
      </w:tr>
    </w:tbl>
    <w:p>
      <w:pPr>
        <w:pBdr>
          <w:bottom w:val="single" w:color="CBD5E1" w:sz="2" w:space="4"/>
        </w:pBdr>
        <w:spacing w:after="160" w:before="160"/>
      </w:pPr>
      <w:r>
        <w:t xml:space="preserve"/>
      </w:r>
    </w:p>
    <w:p>
      <w:pPr>
        <w:pStyle w:val="Heading1"/>
        <w:pBdr>
          <w:bottom w:val="single" w:color="1B4FBF" w:sz="6"/>
        </w:pBdr>
        <w:shd w:fill="0A1628" w:val="clear"/>
        <w:spacing w:after="160" w:before="400"/>
        <w:ind w:left="220"/>
      </w:pPr>
      <w:r>
        <w:rPr>
          <w:rFonts w:ascii="Arial" w:cs="Arial" w:eastAsia="Arial" w:hAnsi="Arial"/>
          <w:b/>
          <w:bCs/>
          <w:color w:val="FFFFFF"/>
          <w:sz w:val="36"/>
          <w:szCs w:val="36"/>
        </w:rPr>
        <w:t xml:space="preserve">6 · Integration Testing Standards</w:t>
      </w:r>
    </w:p>
    <w:p>
      <w:pPr>
        <w:pStyle w:val="Heading2"/>
        <w:shd w:fill="1B4FBF" w:val="clear"/>
        <w:spacing w:after="100" w:before="280"/>
        <w:ind w:left="160"/>
      </w:pPr>
      <w:r>
        <w:rPr>
          <w:rFonts w:ascii="Arial" w:cs="Arial" w:eastAsia="Arial" w:hAnsi="Arial"/>
          <w:b/>
          <w:bCs/>
          <w:color w:val="FFFFFF"/>
          <w:sz w:val="27"/>
          <w:szCs w:val="27"/>
        </w:rPr>
        <w:t xml:space="preserve">6.1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FFFFFF" w:sz="1"/>
              <w:left w:val="single" w:color="FFFFFF" w:sz="1"/>
              <w:bottom w:val="single" w:color="FFFFFF" w:sz="1"/>
              <w:right w:val="single" w:color="FFFFFF" w:sz="1"/>
            </w:tcBorders>
            <w:shd w:fill="0A1628" w:val="clear"/>
            <w:tcMar>
              <w:top w:type="dxa" w:w="110"/>
              <w:left w:type="dxa" w:w="160"/>
              <w:bottom w:type="dxa" w:w="110"/>
              <w:right w:type="dxa" w:w="160"/>
            </w:tcMar>
          </w:tcPr>
          <w:p>
            <w:pPr>
              <w:spacing/>
            </w:pPr>
            <w:r>
              <w:rPr>
                <w:rFonts w:ascii="Arial" w:cs="Arial" w:eastAsia="Arial" w:hAnsi="Arial"/>
                <w:b/>
                <w:bCs/>
                <w:color w:val="FFFFFF"/>
                <w:sz w:val="21"/>
                <w:szCs w:val="21"/>
              </w:rPr>
              <w:t xml:space="preserve">What Integration Tests Cover</w:t>
            </w:r>
          </w:p>
        </w:tc>
        <w:tc>
          <w:tcPr>
            <w:tcW w:type="dxa" w:w="4680"/>
            <w:tcBorders>
              <w:top w:val="single" w:color="FFFFFF" w:sz="1"/>
              <w:left w:val="single" w:color="FFFFFF" w:sz="1"/>
              <w:bottom w:val="single" w:color="FFFFFF" w:sz="1"/>
              <w:right w:val="single" w:color="FFFFFF" w:sz="1"/>
            </w:tcBorders>
            <w:shd w:fill="0A1628" w:val="clear"/>
            <w:tcMar>
              <w:top w:type="dxa" w:w="110"/>
              <w:left w:type="dxa" w:w="160"/>
              <w:bottom w:type="dxa" w:w="110"/>
              <w:right w:type="dxa" w:w="160"/>
            </w:tcMar>
          </w:tcPr>
          <w:p>
            <w:pPr>
              <w:spacing/>
            </w:pPr>
            <w:r>
              <w:rPr>
                <w:rFonts w:ascii="Arial" w:cs="Arial" w:eastAsia="Arial" w:hAnsi="Arial"/>
                <w:b/>
                <w:bCs/>
                <w:color w:val="FFFFFF"/>
                <w:sz w:val="21"/>
                <w:szCs w:val="21"/>
              </w:rPr>
              <w:t xml:space="preserve">What They Do NOT Cover</w:t>
            </w:r>
          </w:p>
        </w:tc>
      </w:tr>
      <w:tr>
        <w:tc>
          <w:tcPr>
            <w:tcW w:type="dxa" w:w="468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Service + Repository + real database</w:t>
            </w:r>
          </w:p>
        </w:tc>
        <w:tc>
          <w:tcPr>
            <w:tcW w:type="dxa" w:w="468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HTTP layer (status codes, headers) — that is API testing</w:t>
            </w:r>
          </w:p>
        </w:tc>
      </w:tr>
      <w:tr>
        <w:tc>
          <w:tcPr>
            <w:tcW w:type="dxa" w:w="468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React component + real Redux store / Context</w:t>
            </w:r>
          </w:p>
        </w:tc>
        <w:tc>
          <w:tcPr>
            <w:tcW w:type="dxa" w:w="468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Business logic edge cases — that is unit testing</w:t>
            </w:r>
          </w:p>
        </w:tc>
      </w:tr>
      <w:tr>
        <w:tc>
          <w:tcPr>
            <w:tcW w:type="dxa" w:w="468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DB query correctness and index usage</w:t>
            </w:r>
          </w:p>
        </w:tc>
        <w:tc>
          <w:tcPr>
            <w:tcW w:type="dxa" w:w="468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Third-party SaaS behaviour (payment gateway, email)</w:t>
            </w:r>
          </w:p>
        </w:tc>
      </w:tr>
      <w:tr>
        <w:tc>
          <w:tcPr>
            <w:tcW w:type="dxa" w:w="468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Transaction rollback on failure</w:t>
            </w:r>
          </w:p>
        </w:tc>
        <w:tc>
          <w:tcPr>
            <w:tcW w:type="dxa" w:w="468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User journey flows — that is E2E testing</w:t>
            </w:r>
          </w:p>
        </w:tc>
      </w:tr>
      <w:tr>
        <w:tc>
          <w:tcPr>
            <w:tcW w:type="dxa" w:w="468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Event emission after persistence succeeds</w:t>
            </w:r>
          </w:p>
        </w:tc>
        <w:tc>
          <w:tcPr>
            <w:tcW w:type="dxa" w:w="468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Performance under load — that is performance testing</w:t>
            </w:r>
          </w:p>
        </w:tc>
      </w:tr>
      <w:tr>
        <w:tc>
          <w:tcPr>
            <w:tcW w:type="dxa" w:w="468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Migration: apply, rollback, and idempotency</w:t>
            </w:r>
          </w:p>
        </w:tc>
        <w:tc>
          <w:tcPr>
            <w:tcW w:type="dxa" w:w="468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Security probing — that is security testing</w:t>
            </w:r>
          </w:p>
        </w:tc>
      </w:tr>
    </w:tbl>
    <w:p>
      <w:pPr>
        <w:spacing w:after="80" w:before="0"/>
      </w:pPr>
      <w:r>
        <w:t xml:space="preserve"/>
      </w:r>
    </w:p>
    <w:p>
      <w:pPr>
        <w:pStyle w:val="Heading2"/>
        <w:shd w:fill="1B4FBF" w:val="clear"/>
        <w:spacing w:after="100" w:before="280"/>
        <w:ind w:left="160"/>
      </w:pPr>
      <w:r>
        <w:rPr>
          <w:rFonts w:ascii="Arial" w:cs="Arial" w:eastAsia="Arial" w:hAnsi="Arial"/>
          <w:b/>
          <w:bCs/>
          <w:color w:val="FFFFFF"/>
          <w:sz w:val="27"/>
          <w:szCs w:val="27"/>
        </w:rPr>
        <w:t xml:space="preserve">6.2  Database Isolation</w:t>
      </w:r>
    </w:p>
    <w:p>
      <w:pPr>
        <w:pStyle w:val="ListParagraph"/>
        <w:numPr>
          <w:ilvl w:val="0"/>
          <w:numId w:val="2"/>
        </w:numPr>
        <w:spacing w:after="55" w:before="55"/>
      </w:pPr>
      <w:r>
        <w:rPr>
          <w:rFonts w:ascii="Arial" w:cs="Arial" w:eastAsia="Arial" w:hAnsi="Arial"/>
          <w:b w:val="false"/>
          <w:bCs w:val="false"/>
          <w:color w:val="0F172A"/>
          <w:sz w:val="22"/>
          <w:szCs w:val="22"/>
        </w:rPr>
        <w:t xml:space="preserve">Each suite uses an isolated DB instance — Testcontainers or Docker Compose with unique DB name per CI worker</w:t>
      </w:r>
    </w:p>
    <w:p>
      <w:pPr>
        <w:pStyle w:val="ListParagraph"/>
        <w:numPr>
          <w:ilvl w:val="0"/>
          <w:numId w:val="2"/>
        </w:numPr>
        <w:spacing w:after="55" w:before="55"/>
      </w:pPr>
      <w:r>
        <w:rPr>
          <w:rFonts w:ascii="Arial" w:cs="Arial" w:eastAsia="Arial" w:hAnsi="Arial"/>
          <w:b w:val="false"/>
          <w:bCs w:val="false"/>
          <w:color w:val="0F172A"/>
          <w:sz w:val="22"/>
          <w:szCs w:val="22"/>
        </w:rPr>
        <w:t xml:space="preserve">Seed data in beforeEach with factory builders — never assume pre-existing rows</w:t>
      </w:r>
    </w:p>
    <w:p>
      <w:pPr>
        <w:pStyle w:val="ListParagraph"/>
        <w:numPr>
          <w:ilvl w:val="0"/>
          <w:numId w:val="2"/>
        </w:numPr>
        <w:spacing w:after="55" w:before="55"/>
      </w:pPr>
      <w:r>
        <w:rPr>
          <w:rFonts w:ascii="Arial" w:cs="Arial" w:eastAsia="Arial" w:hAnsi="Arial"/>
          <w:b w:val="false"/>
          <w:bCs w:val="false"/>
          <w:color w:val="0F172A"/>
          <w:sz w:val="22"/>
          <w:szCs w:val="22"/>
        </w:rPr>
        <w:t xml:space="preserve">Clean up via transaction rollback (fastest) or explicit table truncation after each test</w:t>
      </w:r>
    </w:p>
    <w:p>
      <w:pPr>
        <w:pStyle w:val="ListParagraph"/>
        <w:numPr>
          <w:ilvl w:val="0"/>
          <w:numId w:val="2"/>
        </w:numPr>
        <w:spacing w:after="55" w:before="55"/>
      </w:pPr>
      <w:r>
        <w:rPr>
          <w:rFonts w:ascii="Arial" w:cs="Arial" w:eastAsia="Arial" w:hAnsi="Arial"/>
          <w:b w:val="false"/>
          <w:bCs w:val="false"/>
          <w:color w:val="0F172A"/>
          <w:sz w:val="22"/>
          <w:szCs w:val="22"/>
        </w:rPr>
        <w:t xml:space="preserve">Run migrations fresh before each test run — never mock or stub migrations</w:t>
      </w:r>
    </w:p>
    <w:p>
      <w:pPr>
        <w:spacing w:after="60" w:before="0"/>
      </w:pPr>
      <w:r>
        <w:t xml:space="preserve"/>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 ✅ Testcontainers — isolated real DB per suite</w:t>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let pg: StartedPostgreSqlContainer;</w:t>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beforeAll(async () =&gt; {</w:t>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  pg = await new PostgreSqlContainer('postgres:16').start();</w:t>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  await runMigrations(pg.getConnectionUri());</w:t>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w:t>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afterAll(async  () =&gt; { await pg.stop(); });</w:t>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beforeEach(async () =&gt; { await db.truncateAllTables(); });</w:t>
      </w:r>
    </w:p>
    <w:p>
      <w:pPr>
        <w:spacing w:after="80" w:before="0"/>
      </w:pPr>
      <w:r>
        <w:t xml:space="preserve"/>
      </w:r>
    </w:p>
    <w:p>
      <w:pPr>
        <w:pStyle w:val="Heading2"/>
        <w:shd w:fill="1B4FBF" w:val="clear"/>
        <w:spacing w:after="100" w:before="280"/>
        <w:ind w:left="160"/>
      </w:pPr>
      <w:r>
        <w:rPr>
          <w:rFonts w:ascii="Arial" w:cs="Arial" w:eastAsia="Arial" w:hAnsi="Arial"/>
          <w:b/>
          <w:bCs/>
          <w:color w:val="FFFFFF"/>
          <w:sz w:val="27"/>
          <w:szCs w:val="27"/>
        </w:rPr>
        <w:t xml:space="preserve">6.3  Frontend Integration Rules</w:t>
      </w:r>
    </w:p>
    <w:p>
      <w:pPr>
        <w:pStyle w:val="ListParagraph"/>
        <w:numPr>
          <w:ilvl w:val="0"/>
          <w:numId w:val="2"/>
        </w:numPr>
        <w:spacing w:after="55" w:before="55"/>
      </w:pPr>
      <w:r>
        <w:rPr>
          <w:rFonts w:ascii="Arial" w:cs="Arial" w:eastAsia="Arial" w:hAnsi="Arial"/>
          <w:b w:val="false"/>
          <w:bCs w:val="false"/>
          <w:color w:val="0F172A"/>
          <w:sz w:val="22"/>
          <w:szCs w:val="22"/>
        </w:rPr>
        <w:t xml:space="preserve">Use the real store / context — never mock Redux or React Context in integration tests</w:t>
      </w:r>
    </w:p>
    <w:p>
      <w:pPr>
        <w:pStyle w:val="ListParagraph"/>
        <w:numPr>
          <w:ilvl w:val="0"/>
          <w:numId w:val="2"/>
        </w:numPr>
        <w:spacing w:after="55" w:before="55"/>
      </w:pPr>
      <w:r>
        <w:rPr>
          <w:rFonts w:ascii="Arial" w:cs="Arial" w:eastAsia="Arial" w:hAnsi="Arial"/>
          <w:b w:val="false"/>
          <w:bCs w:val="false"/>
          <w:color w:val="0F172A"/>
          <w:sz w:val="22"/>
          <w:szCs w:val="22"/>
        </w:rPr>
        <w:t xml:space="preserve">Use MSW to intercept network requests — never mock the fetch module directly</w:t>
      </w:r>
    </w:p>
    <w:p>
      <w:pPr>
        <w:pStyle w:val="ListParagraph"/>
        <w:numPr>
          <w:ilvl w:val="0"/>
          <w:numId w:val="2"/>
        </w:numPr>
        <w:spacing w:after="55" w:before="55"/>
      </w:pPr>
      <w:r>
        <w:rPr>
          <w:rFonts w:ascii="Arial" w:cs="Arial" w:eastAsia="Arial" w:hAnsi="Arial"/>
          <w:b w:val="false"/>
          <w:bCs w:val="false"/>
          <w:color w:val="0F172A"/>
          <w:sz w:val="22"/>
          <w:szCs w:val="22"/>
        </w:rPr>
        <w:t xml:space="preserve">Assert on rendered output only — never assert on state variables or store internals</w:t>
      </w:r>
    </w:p>
    <w:p>
      <w:pPr>
        <w:pStyle w:val="ListParagraph"/>
        <w:numPr>
          <w:ilvl w:val="0"/>
          <w:numId w:val="2"/>
        </w:numPr>
        <w:spacing w:after="55" w:before="55"/>
      </w:pPr>
      <w:r>
        <w:rPr>
          <w:rFonts w:ascii="Arial" w:cs="Arial" w:eastAsia="Arial" w:hAnsi="Arial"/>
          <w:b w:val="false"/>
          <w:bCs w:val="false"/>
          <w:color w:val="0F172A"/>
          <w:sz w:val="22"/>
          <w:szCs w:val="22"/>
        </w:rPr>
        <w:t xml:space="preserve">Use userEvent (not fireEvent) to simulate realistic user interactions</w:t>
      </w:r>
    </w:p>
    <w:p>
      <w:pPr>
        <w:pBdr>
          <w:bottom w:val="single" w:color="CBD5E1" w:sz="2" w:space="4"/>
        </w:pBdr>
        <w:spacing w:after="160" w:before="160"/>
      </w:pPr>
      <w:r>
        <w:t xml:space="preserve"/>
      </w:r>
    </w:p>
    <w:p>
      <w:pPr>
        <w:pStyle w:val="Heading1"/>
        <w:pBdr>
          <w:bottom w:val="single" w:color="1B4FBF" w:sz="6"/>
        </w:pBdr>
        <w:shd w:fill="0A1628" w:val="clear"/>
        <w:spacing w:after="160" w:before="400"/>
        <w:ind w:left="220"/>
      </w:pPr>
      <w:r>
        <w:rPr>
          <w:rFonts w:ascii="Arial" w:cs="Arial" w:eastAsia="Arial" w:hAnsi="Arial"/>
          <w:b/>
          <w:bCs/>
          <w:color w:val="FFFFFF"/>
          <w:sz w:val="36"/>
          <w:szCs w:val="36"/>
        </w:rPr>
        <w:t xml:space="preserve">7 · API Testing Standards</w:t>
      </w:r>
    </w:p>
    <w:p>
      <w:pPr>
        <w:pStyle w:val="Heading2"/>
        <w:shd w:fill="1B4FBF" w:val="clear"/>
        <w:spacing w:after="100" w:before="280"/>
        <w:ind w:left="160"/>
      </w:pPr>
      <w:r>
        <w:rPr>
          <w:rFonts w:ascii="Arial" w:cs="Arial" w:eastAsia="Arial" w:hAnsi="Arial"/>
          <w:b/>
          <w:bCs/>
          <w:color w:val="FFFFFF"/>
          <w:sz w:val="27"/>
          <w:szCs w:val="27"/>
        </w:rPr>
        <w:t xml:space="preserve">7.1  Automation-First Design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FFFFFF" w:sz="1"/>
              <w:left w:val="single" w:color="FFFFFF" w:sz="1"/>
              <w:bottom w:val="single" w:color="FFFFFF" w:sz="1"/>
              <w:right w:val="single" w:color="FFFFFF" w:sz="1"/>
            </w:tcBorders>
            <w:shd w:fill="0A1628" w:val="clear"/>
            <w:tcMar>
              <w:top w:type="dxa" w:w="110"/>
              <w:left w:type="dxa" w:w="160"/>
              <w:bottom w:type="dxa" w:w="110"/>
              <w:right w:type="dxa" w:w="160"/>
            </w:tcMar>
          </w:tcPr>
          <w:p>
            <w:pPr>
              <w:spacing/>
            </w:pPr>
            <w:r>
              <w:rPr>
                <w:rFonts w:ascii="Arial" w:cs="Arial" w:eastAsia="Arial" w:hAnsi="Arial"/>
                <w:b/>
                <w:bCs/>
                <w:color w:val="FFFFFF"/>
                <w:sz w:val="21"/>
                <w:szCs w:val="21"/>
              </w:rPr>
              <w:t xml:space="preserve">Design Rule</w:t>
            </w:r>
          </w:p>
        </w:tc>
        <w:tc>
          <w:tcPr>
            <w:tcW w:type="dxa" w:w="5560"/>
            <w:tcBorders>
              <w:top w:val="single" w:color="FFFFFF" w:sz="1"/>
              <w:left w:val="single" w:color="FFFFFF" w:sz="1"/>
              <w:bottom w:val="single" w:color="FFFFFF" w:sz="1"/>
              <w:right w:val="single" w:color="FFFFFF" w:sz="1"/>
            </w:tcBorders>
            <w:shd w:fill="0A1628" w:val="clear"/>
            <w:tcMar>
              <w:top w:type="dxa" w:w="110"/>
              <w:left w:type="dxa" w:w="160"/>
              <w:bottom w:type="dxa" w:w="110"/>
              <w:right w:type="dxa" w:w="160"/>
            </w:tcMar>
          </w:tcPr>
          <w:p>
            <w:pPr>
              <w:spacing/>
            </w:pPr>
            <w:r>
              <w:rPr>
                <w:rFonts w:ascii="Arial" w:cs="Arial" w:eastAsia="Arial" w:hAnsi="Arial"/>
                <w:b/>
                <w:bCs/>
                <w:color w:val="FFFFFF"/>
                <w:sz w:val="21"/>
                <w:szCs w:val="21"/>
              </w:rPr>
              <w:t xml:space="preserve">Why It Enables Automation</w:t>
            </w:r>
          </w:p>
        </w:tc>
      </w:tr>
      <w:tr>
        <w:tc>
          <w:tcPr>
            <w:tcW w:type="dxa" w:w="380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operationId on every OpenAPI path</w:t>
            </w:r>
          </w:p>
        </w:tc>
        <w:tc>
          <w:tcPr>
            <w:tcW w:type="dxa" w:w="556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Test runners reference by operationId — stable across path renames</w:t>
            </w:r>
          </w:p>
        </w:tc>
      </w:tr>
      <w:tr>
        <w:tc>
          <w:tcPr>
            <w:tcW w:type="dxa" w:w="380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Machine-readable error.code in every error</w:t>
            </w:r>
          </w:p>
        </w:tc>
        <w:tc>
          <w:tcPr>
            <w:tcW w:type="dxa" w:w="556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Assertions use code, not message — messages can change freely</w:t>
            </w:r>
          </w:p>
        </w:tc>
      </w:tr>
      <w:tr>
        <w:tc>
          <w:tcPr>
            <w:tcW w:type="dxa" w:w="380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traceId in every response (success + error)</w:t>
            </w:r>
          </w:p>
        </w:tc>
        <w:tc>
          <w:tcPr>
            <w:tcW w:type="dxa" w:w="556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Correlates test failures to server logs during investigation</w:t>
            </w:r>
          </w:p>
        </w:tc>
      </w:tr>
      <w:tr>
        <w:tc>
          <w:tcPr>
            <w:tcW w:type="dxa" w:w="380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Deterministic sort order on list endpoints</w:t>
            </w:r>
          </w:p>
        </w:tc>
        <w:tc>
          <w:tcPr>
            <w:tcW w:type="dxa" w:w="556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Index assertions stable when seed data volume changes</w:t>
            </w:r>
          </w:p>
        </w:tc>
      </w:tr>
      <w:tr>
        <w:tc>
          <w:tcPr>
            <w:tcW w:type="dxa" w:w="380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Idempotency-Key on mutation endpoints</w:t>
            </w:r>
          </w:p>
        </w:tc>
        <w:tc>
          <w:tcPr>
            <w:tcW w:type="dxa" w:w="556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Test setup reruns safely without duplicate data creation</w:t>
            </w:r>
          </w:p>
        </w:tc>
      </w:tr>
      <w:tr>
        <w:tc>
          <w:tcPr>
            <w:tcW w:type="dxa" w:w="380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ISO 8601 UTC for all timestamps</w:t>
            </w:r>
          </w:p>
        </w:tc>
        <w:tc>
          <w:tcPr>
            <w:tcW w:type="dxa" w:w="556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Prevents locale-dependent failures across CI environments</w:t>
            </w:r>
          </w:p>
        </w:tc>
      </w:tr>
    </w:tbl>
    <w:p>
      <w:pPr>
        <w:spacing w:after="80" w:before="0"/>
      </w:pPr>
      <w:r>
        <w:t xml:space="preserve"/>
      </w:r>
    </w:p>
    <w:p>
      <w:pPr>
        <w:pStyle w:val="Heading2"/>
        <w:shd w:fill="1B4FBF" w:val="clear"/>
        <w:spacing w:after="100" w:before="280"/>
        <w:ind w:left="160"/>
      </w:pPr>
      <w:r>
        <w:rPr>
          <w:rFonts w:ascii="Arial" w:cs="Arial" w:eastAsia="Arial" w:hAnsi="Arial"/>
          <w:b/>
          <w:bCs/>
          <w:color w:val="FFFFFF"/>
          <w:sz w:val="27"/>
          <w:szCs w:val="27"/>
        </w:rPr>
        <w:t xml:space="preserve">7.2  Status Code Coverage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60"/>
        <w:gridCol w:w="3840"/>
        <w:gridCol w:w="3560"/>
      </w:tblGrid>
      <w:tr>
        <w:trPr>
          <w:tblHeader/>
        </w:trPr>
        <w:tc>
          <w:tcPr>
            <w:tcW w:type="dxa" w:w="1960"/>
            <w:tcBorders>
              <w:top w:val="single" w:color="FFFFFF" w:sz="1"/>
              <w:left w:val="single" w:color="FFFFFF" w:sz="1"/>
              <w:bottom w:val="single" w:color="FFFFFF" w:sz="1"/>
              <w:right w:val="single" w:color="FFFFFF" w:sz="1"/>
            </w:tcBorders>
            <w:shd w:fill="0A1628" w:val="clear"/>
            <w:tcMar>
              <w:top w:type="dxa" w:w="110"/>
              <w:left w:type="dxa" w:w="160"/>
              <w:bottom w:type="dxa" w:w="110"/>
              <w:right w:type="dxa" w:w="160"/>
            </w:tcMar>
          </w:tcPr>
          <w:p>
            <w:pPr>
              <w:spacing/>
            </w:pPr>
            <w:r>
              <w:rPr>
                <w:rFonts w:ascii="Arial" w:cs="Arial" w:eastAsia="Arial" w:hAnsi="Arial"/>
                <w:b/>
                <w:bCs/>
                <w:color w:val="FFFFFF"/>
                <w:sz w:val="21"/>
                <w:szCs w:val="21"/>
              </w:rPr>
              <w:t xml:space="preserve">Status Code</w:t>
            </w:r>
          </w:p>
        </w:tc>
        <w:tc>
          <w:tcPr>
            <w:tcW w:type="dxa" w:w="3840"/>
            <w:tcBorders>
              <w:top w:val="single" w:color="FFFFFF" w:sz="1"/>
              <w:left w:val="single" w:color="FFFFFF" w:sz="1"/>
              <w:bottom w:val="single" w:color="FFFFFF" w:sz="1"/>
              <w:right w:val="single" w:color="FFFFFF" w:sz="1"/>
            </w:tcBorders>
            <w:shd w:fill="0A1628" w:val="clear"/>
            <w:tcMar>
              <w:top w:type="dxa" w:w="110"/>
              <w:left w:type="dxa" w:w="160"/>
              <w:bottom w:type="dxa" w:w="110"/>
              <w:right w:type="dxa" w:w="160"/>
            </w:tcMar>
          </w:tcPr>
          <w:p>
            <w:pPr>
              <w:spacing/>
            </w:pPr>
            <w:r>
              <w:rPr>
                <w:rFonts w:ascii="Arial" w:cs="Arial" w:eastAsia="Arial" w:hAnsi="Arial"/>
                <w:b/>
                <w:bCs/>
                <w:color w:val="FFFFFF"/>
                <w:sz w:val="21"/>
                <w:szCs w:val="21"/>
              </w:rPr>
              <w:t xml:space="preserve">Trigger in Test</w:t>
            </w:r>
          </w:p>
        </w:tc>
        <w:tc>
          <w:tcPr>
            <w:tcW w:type="dxa" w:w="3560"/>
            <w:tcBorders>
              <w:top w:val="single" w:color="FFFFFF" w:sz="1"/>
              <w:left w:val="single" w:color="FFFFFF" w:sz="1"/>
              <w:bottom w:val="single" w:color="FFFFFF" w:sz="1"/>
              <w:right w:val="single" w:color="FFFFFF" w:sz="1"/>
            </w:tcBorders>
            <w:shd w:fill="0A1628" w:val="clear"/>
            <w:tcMar>
              <w:top w:type="dxa" w:w="110"/>
              <w:left w:type="dxa" w:w="160"/>
              <w:bottom w:type="dxa" w:w="110"/>
              <w:right w:type="dxa" w:w="160"/>
            </w:tcMar>
          </w:tcPr>
          <w:p>
            <w:pPr>
              <w:spacing/>
            </w:pPr>
            <w:r>
              <w:rPr>
                <w:rFonts w:ascii="Arial" w:cs="Arial" w:eastAsia="Arial" w:hAnsi="Arial"/>
                <w:b/>
                <w:bCs/>
                <w:color w:val="FFFFFF"/>
                <w:sz w:val="21"/>
                <w:szCs w:val="21"/>
              </w:rPr>
              <w:t xml:space="preserve">Assert On</w:t>
            </w:r>
          </w:p>
        </w:tc>
      </w:tr>
      <w:tr>
        <w:tc>
          <w:tcPr>
            <w:tcW w:type="dxa" w:w="196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200 OK</w:t>
            </w:r>
          </w:p>
        </w:tc>
        <w:tc>
          <w:tcPr>
            <w:tcW w:type="dxa" w:w="384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Valid request, resource exists</w:t>
            </w:r>
          </w:p>
        </w:tc>
        <w:tc>
          <w:tcPr>
            <w:tcW w:type="dxa" w:w="356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Schema match (jest-openapi) + traceId present</w:t>
            </w:r>
          </w:p>
        </w:tc>
      </w:tr>
      <w:tr>
        <w:tc>
          <w:tcPr>
            <w:tcW w:type="dxa" w:w="196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201 Created</w:t>
            </w:r>
          </w:p>
        </w:tc>
        <w:tc>
          <w:tcPr>
            <w:tcW w:type="dxa" w:w="384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Valid POST creates new resource</w:t>
            </w:r>
          </w:p>
        </w:tc>
        <w:tc>
          <w:tcPr>
            <w:tcW w:type="dxa" w:w="356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Location header + schema + DB row exists</w:t>
            </w:r>
          </w:p>
        </w:tc>
      </w:tr>
      <w:tr>
        <w:tc>
          <w:tcPr>
            <w:tcW w:type="dxa" w:w="196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204 No Content</w:t>
            </w:r>
          </w:p>
        </w:tc>
        <w:tc>
          <w:tcPr>
            <w:tcW w:type="dxa" w:w="384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Valid DELETE</w:t>
            </w:r>
          </w:p>
        </w:tc>
        <w:tc>
          <w:tcPr>
            <w:tcW w:type="dxa" w:w="356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Empty body + DB row deleted</w:t>
            </w:r>
          </w:p>
        </w:tc>
      </w:tr>
      <w:tr>
        <w:tc>
          <w:tcPr>
            <w:tcW w:type="dxa" w:w="196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400 Bad Request</w:t>
            </w:r>
          </w:p>
        </w:tc>
        <w:tc>
          <w:tcPr>
            <w:tcW w:type="dxa" w:w="384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Missing required field / wrong type</w:t>
            </w:r>
          </w:p>
        </w:tc>
        <w:tc>
          <w:tcPr>
            <w:tcW w:type="dxa" w:w="356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error.code = VALIDATION_ERROR + field name</w:t>
            </w:r>
          </w:p>
        </w:tc>
      </w:tr>
      <w:tr>
        <w:tc>
          <w:tcPr>
            <w:tcW w:type="dxa" w:w="196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401 Unauthorized</w:t>
            </w:r>
          </w:p>
        </w:tc>
        <w:tc>
          <w:tcPr>
            <w:tcW w:type="dxa" w:w="384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Missing / invalid / expired token</w:t>
            </w:r>
          </w:p>
        </w:tc>
        <w:tc>
          <w:tcPr>
            <w:tcW w:type="dxa" w:w="356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error.code = MISSING_TOKEN / INVALID_TOKEN / TOKEN_EXPIRED</w:t>
            </w:r>
          </w:p>
        </w:tc>
      </w:tr>
      <w:tr>
        <w:tc>
          <w:tcPr>
            <w:tcW w:type="dxa" w:w="196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403 Forbidden</w:t>
            </w:r>
          </w:p>
        </w:tc>
        <w:tc>
          <w:tcPr>
            <w:tcW w:type="dxa" w:w="384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Valid token, wrong role or non-owner</w:t>
            </w:r>
          </w:p>
        </w:tc>
        <w:tc>
          <w:tcPr>
            <w:tcW w:type="dxa" w:w="356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error.code = INSUFFICIENT_PERMISSIONS</w:t>
            </w:r>
          </w:p>
        </w:tc>
      </w:tr>
      <w:tr>
        <w:tc>
          <w:tcPr>
            <w:tcW w:type="dxa" w:w="196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404 Not Found</w:t>
            </w:r>
          </w:p>
        </w:tc>
        <w:tc>
          <w:tcPr>
            <w:tcW w:type="dxa" w:w="384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Resource does not exist</w:t>
            </w:r>
          </w:p>
        </w:tc>
        <w:tc>
          <w:tcPr>
            <w:tcW w:type="dxa" w:w="356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error.code = [RESOURCE]_NOT_FOUND</w:t>
            </w:r>
          </w:p>
        </w:tc>
      </w:tr>
      <w:tr>
        <w:tc>
          <w:tcPr>
            <w:tcW w:type="dxa" w:w="196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409 Conflict</w:t>
            </w:r>
          </w:p>
        </w:tc>
        <w:tc>
          <w:tcPr>
            <w:tcW w:type="dxa" w:w="384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Duplicate key / idempotency collision</w:t>
            </w:r>
          </w:p>
        </w:tc>
        <w:tc>
          <w:tcPr>
            <w:tcW w:type="dxa" w:w="356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error.code = DUPLICATE_[RESOURCE]</w:t>
            </w:r>
          </w:p>
        </w:tc>
      </w:tr>
      <w:tr>
        <w:tc>
          <w:tcPr>
            <w:tcW w:type="dxa" w:w="196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422 Unprocessable</w:t>
            </w:r>
          </w:p>
        </w:tc>
        <w:tc>
          <w:tcPr>
            <w:tcW w:type="dxa" w:w="384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Schema valid but business rule violated</w:t>
            </w:r>
          </w:p>
        </w:tc>
        <w:tc>
          <w:tcPr>
            <w:tcW w:type="dxa" w:w="356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error.code matches domain error constant</w:t>
            </w:r>
          </w:p>
        </w:tc>
      </w:tr>
      <w:tr>
        <w:tc>
          <w:tcPr>
            <w:tcW w:type="dxa" w:w="196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429 Too Many Req.</w:t>
            </w:r>
          </w:p>
        </w:tc>
        <w:tc>
          <w:tcPr>
            <w:tcW w:type="dxa" w:w="384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Rate limit exceeded</w:t>
            </w:r>
          </w:p>
        </w:tc>
        <w:tc>
          <w:tcPr>
            <w:tcW w:type="dxa" w:w="356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Retry-After header present</w:t>
            </w:r>
          </w:p>
        </w:tc>
      </w:tr>
      <w:tr>
        <w:tc>
          <w:tcPr>
            <w:tcW w:type="dxa" w:w="196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500 Internal</w:t>
            </w:r>
          </w:p>
        </w:tc>
        <w:tc>
          <w:tcPr>
            <w:tcW w:type="dxa" w:w="384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Forced throw (test-env only)</w:t>
            </w:r>
          </w:p>
        </w:tc>
        <w:tc>
          <w:tcPr>
            <w:tcW w:type="dxa" w:w="356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No stack trace / internal path in response</w:t>
            </w:r>
          </w:p>
        </w:tc>
      </w:tr>
    </w:tbl>
    <w:p>
      <w:pPr>
        <w:spacing w:after="80" w:before="0"/>
      </w:pPr>
      <w:r>
        <w:t xml:space="preserve"/>
      </w:r>
    </w:p>
    <w:p>
      <w:pPr>
        <w:pStyle w:val="Heading2"/>
        <w:shd w:fill="1B4FBF" w:val="clear"/>
        <w:spacing w:after="100" w:before="280"/>
        <w:ind w:left="160"/>
      </w:pPr>
      <w:r>
        <w:rPr>
          <w:rFonts w:ascii="Arial" w:cs="Arial" w:eastAsia="Arial" w:hAnsi="Arial"/>
          <w:b/>
          <w:bCs/>
          <w:color w:val="FFFFFF"/>
          <w:sz w:val="27"/>
          <w:szCs w:val="27"/>
        </w:rPr>
        <w:t xml:space="preserve">7.3  Contract Testing</w:t>
      </w:r>
    </w:p>
    <w:p>
      <w:pPr>
        <w:pStyle w:val="ListParagraph"/>
        <w:numPr>
          <w:ilvl w:val="0"/>
          <w:numId w:val="2"/>
        </w:numPr>
        <w:spacing w:after="55" w:before="55"/>
      </w:pPr>
      <w:r>
        <w:rPr>
          <w:rFonts w:ascii="Arial" w:cs="Arial" w:eastAsia="Arial" w:hAnsi="Arial"/>
          <w:b w:val="false"/>
          <w:bCs w:val="false"/>
          <w:color w:val="0F172A"/>
          <w:sz w:val="22"/>
          <w:szCs w:val="22"/>
        </w:rPr>
        <w:t xml:space="preserve">Commit openapi.yaml before implementation — contract is source of truth</w:t>
      </w:r>
    </w:p>
    <w:p>
      <w:pPr>
        <w:pStyle w:val="ListParagraph"/>
        <w:numPr>
          <w:ilvl w:val="0"/>
          <w:numId w:val="2"/>
        </w:numPr>
        <w:spacing w:after="55" w:before="55"/>
      </w:pPr>
      <w:r>
        <w:rPr>
          <w:rFonts w:ascii="Arial" w:cs="Arial" w:eastAsia="Arial" w:hAnsi="Arial"/>
          <w:b w:val="false"/>
          <w:bCs w:val="false"/>
          <w:color w:val="0F172A"/>
          <w:sz w:val="22"/>
          <w:szCs w:val="22"/>
        </w:rPr>
        <w:t xml:space="preserve">jest-openapi: expect(res).toSatisfyApiSpec() on every happy-path test</w:t>
      </w:r>
    </w:p>
    <w:p>
      <w:pPr>
        <w:pStyle w:val="ListParagraph"/>
        <w:numPr>
          <w:ilvl w:val="0"/>
          <w:numId w:val="2"/>
        </w:numPr>
        <w:spacing w:after="55" w:before="55"/>
      </w:pPr>
      <w:r>
        <w:rPr>
          <w:rFonts w:ascii="Arial" w:cs="Arial" w:eastAsia="Arial" w:hAnsi="Arial"/>
          <w:b w:val="false"/>
          <w:bCs w:val="false"/>
          <w:color w:val="0F172A"/>
          <w:sz w:val="22"/>
          <w:szCs w:val="22"/>
        </w:rPr>
        <w:t xml:space="preserve">Schemathesis in CI: auto-generates fuzz inputs from spec — free edge case coverage</w:t>
      </w:r>
    </w:p>
    <w:p>
      <w:pPr>
        <w:pStyle w:val="ListParagraph"/>
        <w:numPr>
          <w:ilvl w:val="0"/>
          <w:numId w:val="2"/>
        </w:numPr>
        <w:spacing w:after="55" w:before="55"/>
      </w:pPr>
      <w:r>
        <w:rPr>
          <w:rFonts w:ascii="Arial" w:cs="Arial" w:eastAsia="Arial" w:hAnsi="Arial"/>
          <w:b w:val="false"/>
          <w:bCs w:val="false"/>
          <w:color w:val="0F172A"/>
          <w:sz w:val="22"/>
          <w:szCs w:val="22"/>
        </w:rPr>
        <w:t xml:space="preserve">Pact for consumer-driven contracts when multiple teams share an API</w:t>
      </w:r>
    </w:p>
    <w:p>
      <w:pPr>
        <w:pStyle w:val="ListParagraph"/>
        <w:numPr>
          <w:ilvl w:val="0"/>
          <w:numId w:val="2"/>
        </w:numPr>
        <w:spacing w:after="55" w:before="55"/>
      </w:pPr>
      <w:r>
        <w:rPr>
          <w:rFonts w:ascii="Arial" w:cs="Arial" w:eastAsia="Arial" w:hAnsi="Arial"/>
          <w:b w:val="false"/>
          <w:bCs w:val="false"/>
          <w:color w:val="0F172A"/>
          <w:sz w:val="22"/>
          <w:szCs w:val="22"/>
        </w:rPr>
        <w:t xml:space="preserve">Schema validation failure = breaking change = pipeline blocked immediately</w:t>
      </w:r>
    </w:p>
    <w:p>
      <w:pPr>
        <w:spacing w:after="80" w:before="0"/>
      </w:pPr>
      <w:r>
        <w:t xml:space="preserve"/>
      </w:r>
    </w:p>
    <w:p>
      <w:pPr>
        <w:pStyle w:val="Heading2"/>
        <w:shd w:fill="1B4FBF" w:val="clear"/>
        <w:spacing w:after="100" w:before="280"/>
        <w:ind w:left="160"/>
      </w:pPr>
      <w:r>
        <w:rPr>
          <w:rFonts w:ascii="Arial" w:cs="Arial" w:eastAsia="Arial" w:hAnsi="Arial"/>
          <w:b/>
          <w:bCs/>
          <w:color w:val="FFFFFF"/>
          <w:sz w:val="27"/>
          <w:szCs w:val="27"/>
        </w:rPr>
        <w:t xml:space="preserve">7.4  Snapshot Testing — Nuanced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8350F" w:sz="1"/>
              <w:left w:val="single" w:color="78350F" w:sz="12"/>
              <w:bottom w:val="single" w:color="78350F" w:sz="1"/>
              <w:right w:val="single" w:color="78350F" w:sz="1"/>
            </w:tcBorders>
            <w:shd w:fill="FEF3C7" w:val="clear"/>
            <w:tcMar>
              <w:top w:type="dxa" w:w="110"/>
              <w:left w:type="dxa" w:w="240"/>
              <w:bottom w:type="dxa" w:w="110"/>
              <w:right w:type="dxa" w:w="240"/>
            </w:tcMar>
          </w:tcPr>
          <w:p>
            <w:pPr>
              <w:spacing/>
            </w:pPr>
            <w:r>
              <w:rPr>
                <w:rFonts w:ascii="Arial" w:cs="Arial" w:eastAsia="Arial" w:hAnsi="Arial"/>
                <w:b/>
                <w:bCs/>
                <w:color w:val="78350F"/>
                <w:sz w:val="21"/>
                <w:szCs w:val="21"/>
              </w:rPr>
              <w:t xml:space="preserve">POLICY:  </w:t>
            </w:r>
            <w:r>
              <w:rPr>
                <w:rFonts w:ascii="Arial" w:cs="Arial" w:eastAsia="Arial" w:hAnsi="Arial"/>
                <w:color w:val="0F172A"/>
                <w:sz w:val="21"/>
                <w:szCs w:val="21"/>
              </w:rPr>
              <w:t xml:space="preserve">Snapshot tests for API response bodies are BLOCKED for public or external APIs. They are ALLOWED for internal or test-only endpoints with explicit written justification in the test file. A snapshot test must include a comment explaining why schema assertion via jest-openapi is insufficient.</w:t>
            </w:r>
          </w:p>
        </w:tc>
      </w:tr>
    </w:tbl>
    <w:p>
      <w:pPr>
        <w:spacing w:after="60" w:before="0"/>
      </w:pPr>
      <w:r>
        <w:t xml:space="preserve"/>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 ✅ Allowed — internal admin endpoint, large stable payload</w:t>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 JUSTIFICATION: This endpoint is internal-only, the payload has 40+ fields,</w:t>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 and it is not part of any public OpenAPI contract.</w:t>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 Reviewer approved: @techLead — 2026-03-01</w:t>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expect(res.body).toMatchSnapshot();</w:t>
      </w:r>
    </w:p>
    <w:p>
      <w:pPr>
        <w:pBdr>
          <w:bottom w:val="single" w:color="CBD5E1" w:sz="2" w:space="4"/>
        </w:pBdr>
        <w:spacing w:after="160" w:before="160"/>
      </w:pPr>
      <w:r>
        <w:t xml:space="preserve"/>
      </w:r>
    </w:p>
    <w:p>
      <w:pPr>
        <w:pStyle w:val="Heading1"/>
        <w:pBdr>
          <w:bottom w:val="single" w:color="1B4FBF" w:sz="6"/>
        </w:pBdr>
        <w:shd w:fill="0A1628" w:val="clear"/>
        <w:spacing w:after="160" w:before="400"/>
        <w:ind w:left="220"/>
      </w:pPr>
      <w:r>
        <w:rPr>
          <w:rFonts w:ascii="Arial" w:cs="Arial" w:eastAsia="Arial" w:hAnsi="Arial"/>
          <w:b/>
          <w:bCs/>
          <w:color w:val="FFFFFF"/>
          <w:sz w:val="36"/>
          <w:szCs w:val="36"/>
        </w:rPr>
        <w:t xml:space="preserve">8 · End-to-End Testing Standards</w:t>
      </w:r>
    </w:p>
    <w:p>
      <w:pPr>
        <w:pStyle w:val="Heading2"/>
        <w:shd w:fill="1B4FBF" w:val="clear"/>
        <w:spacing w:after="100" w:before="280"/>
        <w:ind w:left="160"/>
      </w:pPr>
      <w:r>
        <w:rPr>
          <w:rFonts w:ascii="Arial" w:cs="Arial" w:eastAsia="Arial" w:hAnsi="Arial"/>
          <w:b/>
          <w:bCs/>
          <w:color w:val="FFFFFF"/>
          <w:sz w:val="27"/>
          <w:szCs w:val="27"/>
        </w:rPr>
        <w:t xml:space="preserve">8.1  When to Write E2E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8350F" w:sz="1"/>
              <w:left w:val="single" w:color="78350F" w:sz="12"/>
              <w:bottom w:val="single" w:color="78350F" w:sz="1"/>
              <w:right w:val="single" w:color="78350F" w:sz="1"/>
            </w:tcBorders>
            <w:shd w:fill="FEF3C7" w:val="clear"/>
            <w:tcMar>
              <w:top w:type="dxa" w:w="110"/>
              <w:left w:type="dxa" w:w="240"/>
              <w:bottom w:type="dxa" w:w="110"/>
              <w:right w:type="dxa" w:w="240"/>
            </w:tcMar>
          </w:tcPr>
          <w:p>
            <w:pPr>
              <w:spacing/>
            </w:pPr>
            <w:r>
              <w:rPr>
                <w:rFonts w:ascii="Arial" w:cs="Arial" w:eastAsia="Arial" w:hAnsi="Arial"/>
                <w:b/>
                <w:bCs/>
                <w:color w:val="78350F"/>
                <w:sz w:val="21"/>
                <w:szCs w:val="21"/>
              </w:rPr>
              <w:t xml:space="preserve">RULE:  </w:t>
            </w:r>
            <w:r>
              <w:rPr>
                <w:rFonts w:ascii="Arial" w:cs="Arial" w:eastAsia="Arial" w:hAnsi="Arial"/>
                <w:color w:val="0F172A"/>
                <w:sz w:val="21"/>
                <w:szCs w:val="21"/>
              </w:rPr>
              <w:t xml:space="preserve">E2E tests cover user journeys — sequences of actions a real user takes. They do NOT validate business logic, API contracts, or component behaviour. Those belong in lower-layer tests.</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FFFFFF" w:sz="1"/>
              <w:left w:val="single" w:color="FFFFFF" w:sz="1"/>
              <w:bottom w:val="single" w:color="FFFFFF" w:sz="1"/>
              <w:right w:val="single" w:color="FFFFFF" w:sz="1"/>
            </w:tcBorders>
            <w:shd w:fill="0A1628" w:val="clear"/>
            <w:tcMar>
              <w:top w:type="dxa" w:w="110"/>
              <w:left w:type="dxa" w:w="160"/>
              <w:bottom w:type="dxa" w:w="110"/>
              <w:right w:type="dxa" w:w="160"/>
            </w:tcMar>
          </w:tcPr>
          <w:p>
            <w:pPr>
              <w:spacing/>
            </w:pPr>
            <w:r>
              <w:rPr>
                <w:rFonts w:ascii="Arial" w:cs="Arial" w:eastAsia="Arial" w:hAnsi="Arial"/>
                <w:b/>
                <w:bCs/>
                <w:color w:val="FFFFFF"/>
                <w:sz w:val="21"/>
                <w:szCs w:val="21"/>
              </w:rPr>
              <w:t xml:space="preserve">Suitable for E2E</w:t>
            </w:r>
          </w:p>
        </w:tc>
        <w:tc>
          <w:tcPr>
            <w:tcW w:type="dxa" w:w="4680"/>
            <w:tcBorders>
              <w:top w:val="single" w:color="FFFFFF" w:sz="1"/>
              <w:left w:val="single" w:color="FFFFFF" w:sz="1"/>
              <w:bottom w:val="single" w:color="FFFFFF" w:sz="1"/>
              <w:right w:val="single" w:color="FFFFFF" w:sz="1"/>
            </w:tcBorders>
            <w:shd w:fill="0A1628" w:val="clear"/>
            <w:tcMar>
              <w:top w:type="dxa" w:w="110"/>
              <w:left w:type="dxa" w:w="160"/>
              <w:bottom w:type="dxa" w:w="110"/>
              <w:right w:type="dxa" w:w="160"/>
            </w:tcMar>
          </w:tcPr>
          <w:p>
            <w:pPr>
              <w:spacing/>
            </w:pPr>
            <w:r>
              <w:rPr>
                <w:rFonts w:ascii="Arial" w:cs="Arial" w:eastAsia="Arial" w:hAnsi="Arial"/>
                <w:b/>
                <w:bCs/>
                <w:color w:val="FFFFFF"/>
                <w:sz w:val="21"/>
                <w:szCs w:val="21"/>
              </w:rPr>
              <w:t xml:space="preserve">Use a Lower Layer Instead</w:t>
            </w:r>
          </w:p>
        </w:tc>
      </w:tr>
      <w:tr>
        <w:tc>
          <w:tcPr>
            <w:tcW w:type="dxa" w:w="468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User registration → email verify → login → dashboard</w:t>
            </w:r>
          </w:p>
        </w:tc>
        <w:tc>
          <w:tcPr>
            <w:tcW w:type="dxa" w:w="468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Single API endpoint returns 422 for invalid input</w:t>
            </w:r>
          </w:p>
        </w:tc>
      </w:tr>
      <w:tr>
        <w:tc>
          <w:tcPr>
            <w:tcW w:type="dxa" w:w="468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Product search → add to cart → checkout → confirmation</w:t>
            </w:r>
          </w:p>
        </w:tc>
        <w:tc>
          <w:tcPr>
            <w:tcW w:type="dxa" w:w="468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React component renders the correct state</w:t>
            </w:r>
          </w:p>
        </w:tc>
      </w:tr>
      <w:tr>
        <w:tc>
          <w:tcPr>
            <w:tcW w:type="dxa" w:w="468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Password reset: request → email link → new password</w:t>
            </w:r>
          </w:p>
        </w:tc>
        <w:tc>
          <w:tcPr>
            <w:tcW w:type="dxa" w:w="468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Business rule edge case (discount expiry, stock limit)</w:t>
            </w:r>
          </w:p>
        </w:tc>
      </w:tr>
      <w:tr>
        <w:tc>
          <w:tcPr>
            <w:tcW w:type="dxa" w:w="468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Admin creates user → user logs in → sees account</w:t>
            </w:r>
          </w:p>
        </w:tc>
        <w:tc>
          <w:tcPr>
            <w:tcW w:type="dxa" w:w="468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Auth middleware token validation</w:t>
            </w:r>
          </w:p>
        </w:tc>
      </w:tr>
    </w:tbl>
    <w:p>
      <w:pPr>
        <w:spacing w:after="80" w:before="0"/>
      </w:pPr>
      <w:r>
        <w:t xml:space="preserve"/>
      </w:r>
    </w:p>
    <w:p>
      <w:pPr>
        <w:pStyle w:val="Heading2"/>
        <w:shd w:fill="1B4FBF" w:val="clear"/>
        <w:spacing w:after="100" w:before="280"/>
        <w:ind w:left="160"/>
      </w:pPr>
      <w:r>
        <w:rPr>
          <w:rFonts w:ascii="Arial" w:cs="Arial" w:eastAsia="Arial" w:hAnsi="Arial"/>
          <w:b/>
          <w:bCs/>
          <w:color w:val="FFFFFF"/>
          <w:sz w:val="27"/>
          <w:szCs w:val="27"/>
        </w:rPr>
        <w:t xml:space="preserve">8.2  Golden Path Coverage</w:t>
      </w:r>
    </w:p>
    <w:p>
      <w:pPr>
        <w:spacing w:after="80" w:before="80"/>
      </w:pPr>
      <w:r>
        <w:rPr>
          <w:rFonts w:ascii="Arial" w:cs="Arial" w:eastAsia="Arial" w:hAnsi="Arial"/>
          <w:b w:val="false"/>
          <w:bCs w:val="false"/>
          <w:i w:val="false"/>
          <w:iCs w:val="false"/>
          <w:color w:val="0F172A"/>
          <w:sz w:val="22"/>
          <w:szCs w:val="22"/>
        </w:rPr>
        <w:t xml:space="preserve">Golden paths are the critical user journeys that MUST always pass. They are the last line of defence before a release. A broken golden path blocks deployment regardless of unit/integration test status.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FFFFFF" w:sz="1"/>
              <w:left w:val="single" w:color="FFFFFF" w:sz="1"/>
              <w:bottom w:val="single" w:color="FFFFFF" w:sz="1"/>
              <w:right w:val="single" w:color="FFFFFF" w:sz="1"/>
            </w:tcBorders>
            <w:shd w:fill="0A1628" w:val="clear"/>
            <w:tcMar>
              <w:top w:type="dxa" w:w="110"/>
              <w:left w:type="dxa" w:w="160"/>
              <w:bottom w:type="dxa" w:w="110"/>
              <w:right w:type="dxa" w:w="160"/>
            </w:tcMar>
          </w:tcPr>
          <w:p>
            <w:pPr>
              <w:spacing/>
            </w:pPr>
            <w:r>
              <w:rPr>
                <w:rFonts w:ascii="Arial" w:cs="Arial" w:eastAsia="Arial" w:hAnsi="Arial"/>
                <w:b/>
                <w:bCs/>
                <w:color w:val="FFFFFF"/>
                <w:sz w:val="21"/>
                <w:szCs w:val="21"/>
              </w:rPr>
              <w:t xml:space="preserve">Golden Path ID</w:t>
            </w:r>
          </w:p>
        </w:tc>
        <w:tc>
          <w:tcPr>
            <w:tcW w:type="dxa" w:w="6960"/>
            <w:tcBorders>
              <w:top w:val="single" w:color="FFFFFF" w:sz="1"/>
              <w:left w:val="single" w:color="FFFFFF" w:sz="1"/>
              <w:bottom w:val="single" w:color="FFFFFF" w:sz="1"/>
              <w:right w:val="single" w:color="FFFFFF" w:sz="1"/>
            </w:tcBorders>
            <w:shd w:fill="0A1628" w:val="clear"/>
            <w:tcMar>
              <w:top w:type="dxa" w:w="110"/>
              <w:left w:type="dxa" w:w="160"/>
              <w:bottom w:type="dxa" w:w="110"/>
              <w:right w:type="dxa" w:w="160"/>
            </w:tcMar>
          </w:tcPr>
          <w:p>
            <w:pPr>
              <w:spacing/>
            </w:pPr>
            <w:r>
              <w:rPr>
                <w:rFonts w:ascii="Arial" w:cs="Arial" w:eastAsia="Arial" w:hAnsi="Arial"/>
                <w:b/>
                <w:bCs/>
                <w:color w:val="FFFFFF"/>
                <w:sz w:val="21"/>
                <w:szCs w:val="21"/>
              </w:rPr>
              <w:t xml:space="preserve">Journey Description</w:t>
            </w:r>
          </w:p>
        </w:tc>
      </w:tr>
      <w:tr>
        <w:tc>
          <w:tcPr>
            <w:tcW w:type="dxa" w:w="240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GP-01</w:t>
            </w:r>
          </w:p>
        </w:tc>
        <w:tc>
          <w:tcPr>
            <w:tcW w:type="dxa" w:w="696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User registration → email verification → first login</w:t>
            </w:r>
          </w:p>
        </w:tc>
      </w:tr>
      <w:tr>
        <w:tc>
          <w:tcPr>
            <w:tcW w:type="dxa" w:w="240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GP-02</w:t>
            </w:r>
          </w:p>
        </w:tc>
        <w:tc>
          <w:tcPr>
            <w:tcW w:type="dxa" w:w="696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Product browse → add to cart → guest checkout → order confirmation</w:t>
            </w:r>
          </w:p>
        </w:tc>
      </w:tr>
      <w:tr>
        <w:tc>
          <w:tcPr>
            <w:tcW w:type="dxa" w:w="240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GP-03</w:t>
            </w:r>
          </w:p>
        </w:tc>
        <w:tc>
          <w:tcPr>
            <w:tcW w:type="dxa" w:w="696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Registered user login → checkout with saved card → order confirmation</w:t>
            </w:r>
          </w:p>
        </w:tc>
      </w:tr>
      <w:tr>
        <w:tc>
          <w:tcPr>
            <w:tcW w:type="dxa" w:w="240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GP-04</w:t>
            </w:r>
          </w:p>
        </w:tc>
        <w:tc>
          <w:tcPr>
            <w:tcW w:type="dxa" w:w="696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Admin login → create product → publish → visible on storefront</w:t>
            </w:r>
          </w:p>
        </w:tc>
      </w:tr>
      <w:tr>
        <w:tc>
          <w:tcPr>
            <w:tcW w:type="dxa" w:w="240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GP-05</w:t>
            </w:r>
          </w:p>
        </w:tc>
        <w:tc>
          <w:tcPr>
            <w:tcW w:type="dxa" w:w="696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User requests password reset → receives email → sets new password → logs in</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91B1B" w:sz="1"/>
              <w:left w:val="single" w:color="991B1B" w:sz="12"/>
              <w:bottom w:val="single" w:color="991B1B" w:sz="1"/>
              <w:right w:val="single" w:color="991B1B" w:sz="1"/>
            </w:tcBorders>
            <w:shd w:fill="FEE2E2" w:val="clear"/>
            <w:tcMar>
              <w:top w:type="dxa" w:w="110"/>
              <w:left w:type="dxa" w:w="240"/>
              <w:bottom w:type="dxa" w:w="110"/>
              <w:right w:type="dxa" w:w="240"/>
            </w:tcMar>
          </w:tcPr>
          <w:p>
            <w:pPr>
              <w:spacing/>
            </w:pPr>
            <w:r>
              <w:rPr>
                <w:rFonts w:ascii="Arial" w:cs="Arial" w:eastAsia="Arial" w:hAnsi="Arial"/>
                <w:b/>
                <w:bCs/>
                <w:color w:val="991B1B"/>
                <w:sz w:val="21"/>
                <w:szCs w:val="21"/>
              </w:rPr>
              <w:t xml:space="preserve">DEPLOYMENT RULE:  </w:t>
            </w:r>
            <w:r>
              <w:rPr>
                <w:rFonts w:ascii="Arial" w:cs="Arial" w:eastAsia="Arial" w:hAnsi="Arial"/>
                <w:color w:val="0F172A"/>
                <w:sz w:val="21"/>
                <w:szCs w:val="21"/>
              </w:rPr>
              <w:t xml:space="preserve">If any Golden Path test fails in staging, the deployment is blocked — regardless of all other tests passing. Golden paths are the non-negotiable minimum user experience guarantee.</w:t>
            </w:r>
          </w:p>
        </w:tc>
      </w:tr>
    </w:tbl>
    <w:p>
      <w:pPr>
        <w:spacing w:after="80" w:before="0"/>
      </w:pPr>
      <w:r>
        <w:t xml:space="preserve"/>
      </w:r>
    </w:p>
    <w:p>
      <w:pPr>
        <w:pStyle w:val="Heading2"/>
        <w:shd w:fill="1B4FBF" w:val="clear"/>
        <w:spacing w:after="100" w:before="280"/>
        <w:ind w:left="160"/>
      </w:pPr>
      <w:r>
        <w:rPr>
          <w:rFonts w:ascii="Arial" w:cs="Arial" w:eastAsia="Arial" w:hAnsi="Arial"/>
          <w:b/>
          <w:bCs/>
          <w:color w:val="FFFFFF"/>
          <w:sz w:val="27"/>
          <w:szCs w:val="27"/>
        </w:rPr>
        <w:t xml:space="preserve">8.3  Playwright Standards &amp; Selector Hierarchy</w:t>
      </w:r>
    </w:p>
    <w:p>
      <w:pPr>
        <w:pStyle w:val="ListParagraph"/>
        <w:numPr>
          <w:ilvl w:val="0"/>
          <w:numId w:val="2"/>
        </w:numPr>
        <w:spacing w:after="55" w:before="55"/>
      </w:pPr>
      <w:r>
        <w:rPr>
          <w:rFonts w:ascii="Arial" w:cs="Arial" w:eastAsia="Arial" w:hAnsi="Arial"/>
          <w:b w:val="false"/>
          <w:bCs w:val="false"/>
          <w:color w:val="0F172A"/>
          <w:sz w:val="22"/>
          <w:szCs w:val="22"/>
        </w:rPr>
        <w:t xml:space="preserve">data-testid for E2E selectors — format: kebab-case, feature-scoped: checkout-submit-button</w:t>
      </w:r>
    </w:p>
    <w:p>
      <w:pPr>
        <w:pStyle w:val="ListParagraph"/>
        <w:numPr>
          <w:ilvl w:val="0"/>
          <w:numId w:val="2"/>
        </w:numPr>
        <w:spacing w:after="55" w:before="55"/>
      </w:pPr>
      <w:r>
        <w:rPr>
          <w:rFonts w:ascii="Arial" w:cs="Arial" w:eastAsia="Arial" w:hAnsi="Arial"/>
          <w:b w:val="false"/>
          <w:bCs w:val="false"/>
          <w:color w:val="0F172A"/>
          <w:sz w:val="22"/>
          <w:szCs w:val="22"/>
        </w:rPr>
        <w:t xml:space="preserve">Selector priority: getByRole → getByLabel → getByTestId → NEVER CSS class or XPath</w:t>
      </w:r>
    </w:p>
    <w:p>
      <w:pPr>
        <w:pStyle w:val="ListParagraph"/>
        <w:numPr>
          <w:ilvl w:val="0"/>
          <w:numId w:val="2"/>
        </w:numPr>
        <w:spacing w:after="55" w:before="55"/>
      </w:pPr>
      <w:r>
        <w:rPr>
          <w:rFonts w:ascii="Arial" w:cs="Arial" w:eastAsia="Arial" w:hAnsi="Arial"/>
          <w:b w:val="false"/>
          <w:bCs w:val="false"/>
          <w:color w:val="0F172A"/>
          <w:sz w:val="22"/>
          <w:szCs w:val="22"/>
        </w:rPr>
        <w:t xml:space="preserve">All E2E runs against dedicated staging — never dev, never production</w:t>
      </w:r>
    </w:p>
    <w:p>
      <w:pPr>
        <w:pStyle w:val="ListParagraph"/>
        <w:numPr>
          <w:ilvl w:val="0"/>
          <w:numId w:val="2"/>
        </w:numPr>
        <w:spacing w:after="55" w:before="55"/>
      </w:pPr>
      <w:r>
        <w:rPr>
          <w:rFonts w:ascii="Arial" w:cs="Arial" w:eastAsia="Arial" w:hAnsi="Arial"/>
          <w:b w:val="false"/>
          <w:bCs w:val="false"/>
          <w:color w:val="0F172A"/>
          <w:sz w:val="22"/>
          <w:szCs w:val="22"/>
        </w:rPr>
        <w:t xml:space="preserve">Each test is independent — creates its own user and data via API setup calls</w:t>
      </w:r>
    </w:p>
    <w:p>
      <w:pPr>
        <w:pStyle w:val="ListParagraph"/>
        <w:numPr>
          <w:ilvl w:val="0"/>
          <w:numId w:val="2"/>
        </w:numPr>
        <w:spacing w:after="55" w:before="55"/>
      </w:pPr>
      <w:r>
        <w:rPr>
          <w:rFonts w:ascii="Arial" w:cs="Arial" w:eastAsia="Arial" w:hAnsi="Arial"/>
          <w:b w:val="false"/>
          <w:bCs w:val="false"/>
          <w:color w:val="0F172A"/>
          <w:sz w:val="22"/>
          <w:szCs w:val="22"/>
        </w:rPr>
        <w:t xml:space="preserve">Record Playwright trace on failure — attach to CI artifacts</w:t>
      </w:r>
    </w:p>
    <w:p>
      <w:pPr>
        <w:spacing w:after="60" w:before="0"/>
      </w:pPr>
      <w:r>
        <w:t xml:space="preserve"/>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 ✅ Playwright — GP-03: authenticated checkout</w:t>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test('GP-03: registered user completes checkout', async ({ page }) =&gt; {</w:t>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  const { user } = await api.createVerifiedUser();</w:t>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  await api.seedProduct({ id: 'P1', price: 2999, stock: 10 });</w:t>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  await page.goto('/login');</w:t>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  await page.getByLabel('Email').fill(user.email);</w:t>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  await page.getByLabel('Password').fill(user.password);</w:t>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  await page.getByRole('button', { name: /sign in/i }).click();</w:t>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  await page.getByTestId('product-card-P1').click();</w:t>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  await page.getByRole('button', { name: /add to cart/i }).click();</w:t>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  await page.getByTestId('checkout-submit-button').click();</w:t>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  await expect(page.getByTestId('order-confirmation-banner')).toBeVisible();</w:t>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w:t>
      </w:r>
    </w:p>
    <w:p>
      <w:pPr>
        <w:spacing w:after="80" w:before="0"/>
      </w:pPr>
      <w:r>
        <w:t xml:space="preserve"/>
      </w:r>
    </w:p>
    <w:p>
      <w:pPr>
        <w:pStyle w:val="Heading2"/>
        <w:shd w:fill="1B4FBF" w:val="clear"/>
        <w:spacing w:after="100" w:before="280"/>
        <w:ind w:left="160"/>
      </w:pPr>
      <w:r>
        <w:rPr>
          <w:rFonts w:ascii="Arial" w:cs="Arial" w:eastAsia="Arial" w:hAnsi="Arial"/>
          <w:b/>
          <w:bCs/>
          <w:color w:val="FFFFFF"/>
          <w:sz w:val="27"/>
          <w:szCs w:val="27"/>
        </w:rPr>
        <w:t xml:space="preserve">8.4  E2E Stability Rules</w:t>
      </w:r>
    </w:p>
    <w:p>
      <w:pPr>
        <w:pStyle w:val="ListParagraph"/>
        <w:numPr>
          <w:ilvl w:val="0"/>
          <w:numId w:val="2"/>
        </w:numPr>
        <w:spacing w:after="55" w:before="55"/>
      </w:pPr>
      <w:r>
        <w:rPr>
          <w:rFonts w:ascii="Arial" w:cs="Arial" w:eastAsia="Arial" w:hAnsi="Arial"/>
          <w:b w:val="false"/>
          <w:bCs w:val="false"/>
          <w:color w:val="0F172A"/>
          <w:sz w:val="22"/>
          <w:szCs w:val="22"/>
        </w:rPr>
        <w:t xml:space="preserve">Never use page.waitForTimeout() — use page.waitForSelector() or expect().toBeVisible()</w:t>
      </w:r>
    </w:p>
    <w:p>
      <w:pPr>
        <w:pStyle w:val="ListParagraph"/>
        <w:numPr>
          <w:ilvl w:val="0"/>
          <w:numId w:val="2"/>
        </w:numPr>
        <w:spacing w:after="55" w:before="55"/>
      </w:pPr>
      <w:r>
        <w:rPr>
          <w:rFonts w:ascii="Arial" w:cs="Arial" w:eastAsia="Arial" w:hAnsi="Arial"/>
          <w:b w:val="false"/>
          <w:bCs w:val="false"/>
          <w:color w:val="0F172A"/>
          <w:sz w:val="22"/>
          <w:szCs w:val="22"/>
        </w:rPr>
        <w:t xml:space="preserve">Disable CSS animations and transitions in E2E via a global body class injected in test setup</w:t>
      </w:r>
    </w:p>
    <w:p>
      <w:pPr>
        <w:pStyle w:val="ListParagraph"/>
        <w:numPr>
          <w:ilvl w:val="0"/>
          <w:numId w:val="2"/>
        </w:numPr>
        <w:spacing w:after="55" w:before="55"/>
      </w:pPr>
      <w:r>
        <w:rPr>
          <w:rFonts w:ascii="Arial" w:cs="Arial" w:eastAsia="Arial" w:hAnsi="Arial"/>
          <w:b w:val="false"/>
          <w:bCs w:val="false"/>
          <w:color w:val="0F172A"/>
          <w:sz w:val="22"/>
          <w:szCs w:val="22"/>
        </w:rPr>
        <w:t xml:space="preserve">Mock third-party providers (Stripe, SendGrid) at network level via page.route()</w:t>
      </w:r>
    </w:p>
    <w:p>
      <w:pPr>
        <w:pStyle w:val="ListParagraph"/>
        <w:numPr>
          <w:ilvl w:val="0"/>
          <w:numId w:val="2"/>
        </w:numPr>
        <w:spacing w:after="55" w:before="55"/>
      </w:pPr>
      <w:r>
        <w:rPr>
          <w:rFonts w:ascii="Arial" w:cs="Arial" w:eastAsia="Arial" w:hAnsi="Arial"/>
          <w:b w:val="false"/>
          <w:bCs w:val="false"/>
          <w:color w:val="0F172A"/>
          <w:sz w:val="22"/>
          <w:szCs w:val="22"/>
        </w:rPr>
        <w:t xml:space="preserve">Set fixed viewport per test — prevents responsive layout inconsistencies</w:t>
      </w:r>
    </w:p>
    <w:p>
      <w:pPr>
        <w:pStyle w:val="ListParagraph"/>
        <w:numPr>
          <w:ilvl w:val="0"/>
          <w:numId w:val="2"/>
        </w:numPr>
        <w:spacing w:after="55" w:before="55"/>
      </w:pPr>
      <w:r>
        <w:rPr>
          <w:rFonts w:ascii="Arial" w:cs="Arial" w:eastAsia="Arial" w:hAnsi="Arial"/>
          <w:b w:val="false"/>
          <w:bCs w:val="false"/>
          <w:color w:val="0F172A"/>
          <w:sz w:val="22"/>
          <w:szCs w:val="22"/>
        </w:rPr>
        <w:t xml:space="preserve">Parallelise test files — never parallelise test cases within the same file</w:t>
      </w:r>
    </w:p>
    <w:p>
      <w:pPr>
        <w:pStyle w:val="ListParagraph"/>
        <w:numPr>
          <w:ilvl w:val="0"/>
          <w:numId w:val="2"/>
        </w:numPr>
        <w:spacing w:after="55" w:before="55"/>
      </w:pPr>
      <w:r>
        <w:rPr>
          <w:rFonts w:ascii="Arial" w:cs="Arial" w:eastAsia="Arial" w:hAnsi="Arial"/>
          <w:b w:val="false"/>
          <w:bCs w:val="false"/>
          <w:color w:val="0F172A"/>
          <w:sz w:val="22"/>
          <w:szCs w:val="22"/>
        </w:rPr>
        <w:t xml:space="preserve">CI retry: max 2 retries in CI only — retries do not substitute for fixing root cause</w:t>
      </w:r>
    </w:p>
    <w:p>
      <w:pPr>
        <w:pBdr>
          <w:bottom w:val="single" w:color="CBD5E1" w:sz="2" w:space="4"/>
        </w:pBdr>
        <w:spacing w:after="160" w:before="160"/>
      </w:pPr>
      <w:r>
        <w:t xml:space="preserve"/>
      </w:r>
    </w:p>
    <w:p>
      <w:pPr>
        <w:pStyle w:val="Heading1"/>
        <w:pBdr>
          <w:bottom w:val="single" w:color="1B4FBF" w:sz="6"/>
        </w:pBdr>
        <w:shd w:fill="0A1628" w:val="clear"/>
        <w:spacing w:after="160" w:before="400"/>
        <w:ind w:left="220"/>
      </w:pPr>
      <w:r>
        <w:rPr>
          <w:rFonts w:ascii="Arial" w:cs="Arial" w:eastAsia="Arial" w:hAnsi="Arial"/>
          <w:b/>
          <w:bCs/>
          <w:color w:val="FFFFFF"/>
          <w:sz w:val="36"/>
          <w:szCs w:val="36"/>
        </w:rPr>
        <w:t xml:space="preserve">9 · Performance Testing Standards</w:t>
      </w:r>
    </w:p>
    <w:p>
      <w:pPr>
        <w:pStyle w:val="Heading2"/>
        <w:shd w:fill="1B4FBF" w:val="clear"/>
        <w:spacing w:after="100" w:before="280"/>
        <w:ind w:left="160"/>
      </w:pPr>
      <w:r>
        <w:rPr>
          <w:rFonts w:ascii="Arial" w:cs="Arial" w:eastAsia="Arial" w:hAnsi="Arial"/>
          <w:b/>
          <w:bCs/>
          <w:color w:val="FFFFFF"/>
          <w:sz w:val="27"/>
          <w:szCs w:val="27"/>
        </w:rPr>
        <w:t xml:space="preserve">9.1  Test Types &amp; When to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FFFFFF" w:sz="1"/>
              <w:left w:val="single" w:color="FFFFFF" w:sz="1"/>
              <w:bottom w:val="single" w:color="FFFFFF" w:sz="1"/>
              <w:right w:val="single" w:color="FFFFFF" w:sz="1"/>
            </w:tcBorders>
            <w:shd w:fill="0A1628" w:val="clear"/>
            <w:tcMar>
              <w:top w:type="dxa" w:w="110"/>
              <w:left w:type="dxa" w:w="160"/>
              <w:bottom w:type="dxa" w:w="110"/>
              <w:right w:type="dxa" w:w="160"/>
            </w:tcMar>
          </w:tcPr>
          <w:p>
            <w:pPr>
              <w:spacing/>
            </w:pPr>
            <w:r>
              <w:rPr>
                <w:rFonts w:ascii="Arial" w:cs="Arial" w:eastAsia="Arial" w:hAnsi="Arial"/>
                <w:b/>
                <w:bCs/>
                <w:color w:val="FFFFFF"/>
                <w:sz w:val="21"/>
                <w:szCs w:val="21"/>
              </w:rPr>
              <w:t xml:space="preserve">Type</w:t>
            </w:r>
          </w:p>
        </w:tc>
        <w:tc>
          <w:tcPr>
            <w:tcW w:type="dxa" w:w="6960"/>
            <w:tcBorders>
              <w:top w:val="single" w:color="FFFFFF" w:sz="1"/>
              <w:left w:val="single" w:color="FFFFFF" w:sz="1"/>
              <w:bottom w:val="single" w:color="FFFFFF" w:sz="1"/>
              <w:right w:val="single" w:color="FFFFFF" w:sz="1"/>
            </w:tcBorders>
            <w:shd w:fill="0A1628" w:val="clear"/>
            <w:tcMar>
              <w:top w:type="dxa" w:w="110"/>
              <w:left w:type="dxa" w:w="160"/>
              <w:bottom w:type="dxa" w:w="110"/>
              <w:right w:type="dxa" w:w="160"/>
            </w:tcMar>
          </w:tcPr>
          <w:p>
            <w:pPr>
              <w:spacing/>
            </w:pPr>
            <w:r>
              <w:rPr>
                <w:rFonts w:ascii="Arial" w:cs="Arial" w:eastAsia="Arial" w:hAnsi="Arial"/>
                <w:b/>
                <w:bCs/>
                <w:color w:val="FFFFFF"/>
                <w:sz w:val="21"/>
                <w:szCs w:val="21"/>
              </w:rPr>
              <w:t xml:space="preserve">Purpose &amp; Trigger</w:t>
            </w:r>
          </w:p>
        </w:tc>
      </w:tr>
      <w:tr>
        <w:tc>
          <w:tcPr>
            <w:tcW w:type="dxa" w:w="240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Smoke Test</w:t>
            </w:r>
          </w:p>
        </w:tc>
        <w:tc>
          <w:tcPr>
            <w:tcW w:type="dxa" w:w="696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1–5 VUs, 1 minute. Validates system works under minimal load. Run on every staging deploy.</w:t>
            </w:r>
          </w:p>
        </w:tc>
      </w:tr>
      <w:tr>
        <w:tc>
          <w:tcPr>
            <w:tcW w:type="dxa" w:w="240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Load Test</w:t>
            </w:r>
          </w:p>
        </w:tc>
        <w:tc>
          <w:tcPr>
            <w:tcW w:type="dxa" w:w="696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Ramp to production peak. Validates p95 SLAs. Run before every major release.</w:t>
            </w:r>
          </w:p>
        </w:tc>
      </w:tr>
      <w:tr>
        <w:tc>
          <w:tcPr>
            <w:tcW w:type="dxa" w:w="240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Stress Test</w:t>
            </w:r>
          </w:p>
        </w:tc>
        <w:tc>
          <w:tcPr>
            <w:tcW w:type="dxa" w:w="696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Beyond peak — find the breaking point. Run quarterly or after architecture changes.</w:t>
            </w:r>
          </w:p>
        </w:tc>
      </w:tr>
      <w:tr>
        <w:tc>
          <w:tcPr>
            <w:tcW w:type="dxa" w:w="240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Spike Test</w:t>
            </w:r>
          </w:p>
        </w:tc>
        <w:tc>
          <w:tcPr>
            <w:tcW w:type="dxa" w:w="696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Sudden 10× traffic. Validate auto-scaling and graceful degradation. Run before campaigns.</w:t>
            </w:r>
          </w:p>
        </w:tc>
      </w:tr>
      <w:tr>
        <w:tc>
          <w:tcPr>
            <w:tcW w:type="dxa" w:w="240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Soak / Endurance</w:t>
            </w:r>
          </w:p>
        </w:tc>
        <w:tc>
          <w:tcPr>
            <w:tcW w:type="dxa" w:w="696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Sustained load 1–4 hours. Detects memory leaks and connection pool exhaustion. Monthly.</w:t>
            </w:r>
          </w:p>
        </w:tc>
      </w:tr>
      <w:tr>
        <w:tc>
          <w:tcPr>
            <w:tcW w:type="dxa" w:w="240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Volume Test</w:t>
            </w:r>
          </w:p>
        </w:tc>
        <w:tc>
          <w:tcPr>
            <w:tcW w:type="dxa" w:w="696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Large data sets (1M+ rows). Validates query performance at scale. Quarterly.</w:t>
            </w:r>
          </w:p>
        </w:tc>
      </w:tr>
    </w:tbl>
    <w:p>
      <w:pPr>
        <w:spacing w:after="80" w:before="0"/>
      </w:pPr>
      <w:r>
        <w:t xml:space="preserve"/>
      </w:r>
    </w:p>
    <w:p>
      <w:pPr>
        <w:pStyle w:val="Heading2"/>
        <w:shd w:fill="1B4FBF" w:val="clear"/>
        <w:spacing w:after="100" w:before="280"/>
        <w:ind w:left="160"/>
      </w:pPr>
      <w:r>
        <w:rPr>
          <w:rFonts w:ascii="Arial" w:cs="Arial" w:eastAsia="Arial" w:hAnsi="Arial"/>
          <w:b/>
          <w:bCs/>
          <w:color w:val="FFFFFF"/>
          <w:sz w:val="27"/>
          <w:szCs w:val="27"/>
        </w:rPr>
        <w:t xml:space="preserve">9.2  SLA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FFFFFF" w:sz="1"/>
              <w:left w:val="single" w:color="FFFFFF" w:sz="1"/>
              <w:bottom w:val="single" w:color="FFFFFF" w:sz="1"/>
              <w:right w:val="single" w:color="FFFFFF" w:sz="1"/>
            </w:tcBorders>
            <w:shd w:fill="0A1628" w:val="clear"/>
            <w:tcMar>
              <w:top w:type="dxa" w:w="110"/>
              <w:left w:type="dxa" w:w="160"/>
              <w:bottom w:type="dxa" w:w="110"/>
              <w:right w:type="dxa" w:w="160"/>
            </w:tcMar>
          </w:tcPr>
          <w:p>
            <w:pPr>
              <w:spacing/>
            </w:pPr>
            <w:r>
              <w:rPr>
                <w:rFonts w:ascii="Arial" w:cs="Arial" w:eastAsia="Arial" w:hAnsi="Arial"/>
                <w:b/>
                <w:bCs/>
                <w:color w:val="FFFFFF"/>
                <w:sz w:val="21"/>
                <w:szCs w:val="21"/>
              </w:rPr>
              <w:t xml:space="preserve">Endpoint Category</w:t>
            </w:r>
          </w:p>
        </w:tc>
        <w:tc>
          <w:tcPr>
            <w:tcW w:type="dxa" w:w="5160"/>
            <w:tcBorders>
              <w:top w:val="single" w:color="FFFFFF" w:sz="1"/>
              <w:left w:val="single" w:color="FFFFFF" w:sz="1"/>
              <w:bottom w:val="single" w:color="FFFFFF" w:sz="1"/>
              <w:right w:val="single" w:color="FFFFFF" w:sz="1"/>
            </w:tcBorders>
            <w:shd w:fill="0A1628" w:val="clear"/>
            <w:tcMar>
              <w:top w:type="dxa" w:w="110"/>
              <w:left w:type="dxa" w:w="160"/>
              <w:bottom w:type="dxa" w:w="110"/>
              <w:right w:type="dxa" w:w="160"/>
            </w:tcMar>
          </w:tcPr>
          <w:p>
            <w:pPr>
              <w:spacing/>
            </w:pPr>
            <w:r>
              <w:rPr>
                <w:rFonts w:ascii="Arial" w:cs="Arial" w:eastAsia="Arial" w:hAnsi="Arial"/>
                <w:b/>
                <w:bCs/>
                <w:color w:val="FFFFFF"/>
                <w:sz w:val="21"/>
                <w:szCs w:val="21"/>
              </w:rPr>
              <w:t xml:space="preserve">p95 Target</w:t>
            </w:r>
          </w:p>
        </w:tc>
      </w:tr>
      <w:tr>
        <w:tc>
          <w:tcPr>
            <w:tcW w:type="dxa" w:w="420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Read — simple lookup by ID</w:t>
            </w:r>
          </w:p>
        </w:tc>
        <w:tc>
          <w:tcPr>
            <w:tcW w:type="dxa" w:w="516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&lt; 100ms</w:t>
            </w:r>
          </w:p>
        </w:tc>
      </w:tr>
      <w:tr>
        <w:tc>
          <w:tcPr>
            <w:tcW w:type="dxa" w:w="420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Read — filtered list with pagination</w:t>
            </w:r>
          </w:p>
        </w:tc>
        <w:tc>
          <w:tcPr>
            <w:tcW w:type="dxa" w:w="516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&lt; 300ms</w:t>
            </w:r>
          </w:p>
        </w:tc>
      </w:tr>
      <w:tr>
        <w:tc>
          <w:tcPr>
            <w:tcW w:type="dxa" w:w="420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Write — simple create / update</w:t>
            </w:r>
          </w:p>
        </w:tc>
        <w:tc>
          <w:tcPr>
            <w:tcW w:type="dxa" w:w="516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&lt; 500ms</w:t>
            </w:r>
          </w:p>
        </w:tc>
      </w:tr>
      <w:tr>
        <w:tc>
          <w:tcPr>
            <w:tcW w:type="dxa" w:w="420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Write — multi-step transaction</w:t>
            </w:r>
          </w:p>
        </w:tc>
        <w:tc>
          <w:tcPr>
            <w:tcW w:type="dxa" w:w="516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&lt; 1,000ms</w:t>
            </w:r>
          </w:p>
        </w:tc>
      </w:tr>
      <w:tr>
        <w:tc>
          <w:tcPr>
            <w:tcW w:type="dxa" w:w="420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Authentication endpoint</w:t>
            </w:r>
          </w:p>
        </w:tc>
        <w:tc>
          <w:tcPr>
            <w:tcW w:type="dxa" w:w="516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&lt; 300ms</w:t>
            </w:r>
          </w:p>
        </w:tc>
      </w:tr>
      <w:tr>
        <w:tc>
          <w:tcPr>
            <w:tcW w:type="dxa" w:w="420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Search / full-text</w:t>
            </w:r>
          </w:p>
        </w:tc>
        <w:tc>
          <w:tcPr>
            <w:tcW w:type="dxa" w:w="516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&lt; 800ms</w:t>
            </w:r>
          </w:p>
        </w:tc>
      </w:tr>
      <w:tr>
        <w:tc>
          <w:tcPr>
            <w:tcW w:type="dxa" w:w="420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Report / aggregate query</w:t>
            </w:r>
          </w:p>
        </w:tc>
        <w:tc>
          <w:tcPr>
            <w:tcW w:type="dxa" w:w="516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&lt; 3,000ms (with loading state in UI)</w:t>
            </w:r>
          </w:p>
        </w:tc>
      </w:tr>
      <w:tr>
        <w:tc>
          <w:tcPr>
            <w:tcW w:type="dxa" w:w="420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Background job completion</w:t>
            </w:r>
          </w:p>
        </w:tc>
        <w:tc>
          <w:tcPr>
            <w:tcW w:type="dxa" w:w="516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&lt; 5s SLA on completion (not enqueue latency)</w:t>
            </w:r>
          </w:p>
        </w:tc>
      </w:tr>
    </w:tbl>
    <w:p>
      <w:pPr>
        <w:spacing w:after="80" w:before="0"/>
      </w:pPr>
      <w:r>
        <w:t xml:space="preserve"/>
      </w:r>
    </w:p>
    <w:p>
      <w:pPr>
        <w:pStyle w:val="Heading2"/>
        <w:shd w:fill="1B4FBF" w:val="clear"/>
        <w:spacing w:after="100" w:before="280"/>
        <w:ind w:left="160"/>
      </w:pPr>
      <w:r>
        <w:rPr>
          <w:rFonts w:ascii="Arial" w:cs="Arial" w:eastAsia="Arial" w:hAnsi="Arial"/>
          <w:b/>
          <w:bCs/>
          <w:color w:val="FFFFFF"/>
          <w:sz w:val="27"/>
          <w:szCs w:val="27"/>
        </w:rPr>
        <w:t xml:space="preserve">9.3  Per-Endpoint Performance Budget Enforcement</w:t>
      </w:r>
    </w:p>
    <w:p>
      <w:pPr>
        <w:spacing w:after="80" w:before="80"/>
      </w:pPr>
      <w:r>
        <w:rPr>
          <w:rFonts w:ascii="Arial" w:cs="Arial" w:eastAsia="Arial" w:hAnsi="Arial"/>
          <w:b w:val="false"/>
          <w:bCs w:val="false"/>
          <w:i w:val="false"/>
          <w:iCs w:val="false"/>
          <w:color w:val="0F172A"/>
          <w:sz w:val="22"/>
          <w:szCs w:val="22"/>
        </w:rPr>
        <w:t xml:space="preserve">Every Tier 0 and Tier 1 endpoint declares a performanceBudget. Both the k6 smoke test and the integration query-count assertion read from this declaration — single source of truth.</w:t>
      </w:r>
    </w:p>
    <w:p>
      <w:pPr>
        <w:spacing w:after="60" w:before="0"/>
      </w:pPr>
      <w:r>
        <w:t xml:space="preserve"/>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 features/orders/performance/order.budget.ts</w:t>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export const orderBudget = {</w:t>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  p95ResponseMs:    300,   // k6 threshold reads this</w:t>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  maxDbQueries:     3,     // Integration test asserts this</w:t>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  maxExternalCalls: 1,     // MSW call counter asserts this</w:t>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w:t>
      </w:r>
    </w:p>
    <w:p>
      <w:pPr>
        <w:spacing w:after="40" w:before="0"/>
      </w:pPr>
      <w:r>
        <w:t xml:space="preserve"/>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 Integration test — enforces DB query count from budget</w:t>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it('resolves within query budget', async () =&gt; {</w:t>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  await seedOrders(20);</w:t>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  const { queryCount } = await withQueryCounter(() =&gt;</w:t>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    orderService.listByUser(userId));</w:t>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  expect(queryCount).toBeLessThanOrEqual(orderBudget.maxDbQueries);</w:t>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w:t>
      </w:r>
    </w:p>
    <w:p>
      <w:pPr>
        <w:spacing w:after="40" w:before="0"/>
      </w:pPr>
      <w:r>
        <w:t xml:space="preserve"/>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 k6 — reads budget from shared config</w:t>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import { orderBudget } from './budgets/order.budget.js';</w:t>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export const options = {</w:t>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  thresholds: {</w:t>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    http_req_duration: [`p(95)&lt;${orderBudget.p95ResponseMs}`],</w:t>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    http_req_failed:   ['rate&lt;0.01'],</w:t>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  },</w:t>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w:t>
      </w:r>
    </w:p>
    <w:p>
      <w:pPr>
        <w:spacing w:after="80" w:before="0"/>
      </w:pPr>
      <w:r>
        <w:t xml:space="preserve"/>
      </w:r>
    </w:p>
    <w:p>
      <w:pPr>
        <w:pStyle w:val="Heading2"/>
        <w:shd w:fill="1B4FBF" w:val="clear"/>
        <w:spacing w:after="100" w:before="280"/>
        <w:ind w:left="160"/>
      </w:pPr>
      <w:r>
        <w:rPr>
          <w:rFonts w:ascii="Arial" w:cs="Arial" w:eastAsia="Arial" w:hAnsi="Arial"/>
          <w:b/>
          <w:bCs/>
          <w:color w:val="FFFFFF"/>
          <w:sz w:val="27"/>
          <w:szCs w:val="27"/>
        </w:rPr>
        <w:t xml:space="preserve">9.4  Test Runtime Budgets (CI-Enforced)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FFFFFF" w:sz="1"/>
              <w:left w:val="single" w:color="FFFFFF" w:sz="1"/>
              <w:bottom w:val="single" w:color="FFFFFF" w:sz="1"/>
              <w:right w:val="single" w:color="FFFFFF" w:sz="1"/>
            </w:tcBorders>
            <w:shd w:fill="0A1628" w:val="clear"/>
            <w:tcMar>
              <w:top w:type="dxa" w:w="110"/>
              <w:left w:type="dxa" w:w="160"/>
              <w:bottom w:type="dxa" w:w="110"/>
              <w:right w:type="dxa" w:w="160"/>
            </w:tcMar>
          </w:tcPr>
          <w:p>
            <w:pPr>
              <w:spacing/>
            </w:pPr>
            <w:r>
              <w:rPr>
                <w:rFonts w:ascii="Arial" w:cs="Arial" w:eastAsia="Arial" w:hAnsi="Arial"/>
                <w:b/>
                <w:bCs/>
                <w:color w:val="FFFFFF"/>
                <w:sz w:val="21"/>
                <w:szCs w:val="21"/>
              </w:rPr>
              <w:t xml:space="preserve">Suite</w:t>
            </w:r>
          </w:p>
        </w:tc>
        <w:tc>
          <w:tcPr>
            <w:tcW w:type="dxa" w:w="4680"/>
            <w:tcBorders>
              <w:top w:val="single" w:color="FFFFFF" w:sz="1"/>
              <w:left w:val="single" w:color="FFFFFF" w:sz="1"/>
              <w:bottom w:val="single" w:color="FFFFFF" w:sz="1"/>
              <w:right w:val="single" w:color="FFFFFF" w:sz="1"/>
            </w:tcBorders>
            <w:shd w:fill="0A1628" w:val="clear"/>
            <w:tcMar>
              <w:top w:type="dxa" w:w="110"/>
              <w:left w:type="dxa" w:w="160"/>
              <w:bottom w:type="dxa" w:w="110"/>
              <w:right w:type="dxa" w:w="160"/>
            </w:tcMar>
          </w:tcPr>
          <w:p>
            <w:pPr>
              <w:spacing/>
            </w:pPr>
            <w:r>
              <w:rPr>
                <w:rFonts w:ascii="Arial" w:cs="Arial" w:eastAsia="Arial" w:hAnsi="Arial"/>
                <w:b/>
                <w:bCs/>
                <w:color w:val="FFFFFF"/>
                <w:sz w:val="21"/>
                <w:szCs w:val="21"/>
              </w:rPr>
              <w:t xml:space="preserve">Max Runtime — CI Fails if Exceeded</w:t>
            </w:r>
          </w:p>
        </w:tc>
      </w:tr>
      <w:tr>
        <w:tc>
          <w:tcPr>
            <w:tcW w:type="dxa" w:w="468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Unit test suite</w:t>
            </w:r>
          </w:p>
        </w:tc>
        <w:tc>
          <w:tcPr>
            <w:tcW w:type="dxa" w:w="468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&lt; 30 seconds</w:t>
            </w:r>
          </w:p>
        </w:tc>
      </w:tr>
      <w:tr>
        <w:tc>
          <w:tcPr>
            <w:tcW w:type="dxa" w:w="468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Integration test suite</w:t>
            </w:r>
          </w:p>
        </w:tc>
        <w:tc>
          <w:tcPr>
            <w:tcW w:type="dxa" w:w="468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&lt; 3 minutes</w:t>
            </w:r>
          </w:p>
        </w:tc>
      </w:tr>
      <w:tr>
        <w:tc>
          <w:tcPr>
            <w:tcW w:type="dxa" w:w="468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API test suite (all endpoints)</w:t>
            </w:r>
          </w:p>
        </w:tc>
        <w:tc>
          <w:tcPr>
            <w:tcW w:type="dxa" w:w="468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&lt; 60 seconds</w:t>
            </w:r>
          </w:p>
        </w:tc>
      </w:tr>
      <w:tr>
        <w:tc>
          <w:tcPr>
            <w:tcW w:type="dxa" w:w="468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E2E (golden paths only in CI)</w:t>
            </w:r>
          </w:p>
        </w:tc>
        <w:tc>
          <w:tcPr>
            <w:tcW w:type="dxa" w:w="468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&lt; 10 minutes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8350F" w:sz="1"/>
              <w:left w:val="single" w:color="78350F" w:sz="12"/>
              <w:bottom w:val="single" w:color="78350F" w:sz="1"/>
              <w:right w:val="single" w:color="78350F" w:sz="1"/>
            </w:tcBorders>
            <w:shd w:fill="FEF3C7" w:val="clear"/>
            <w:tcMar>
              <w:top w:type="dxa" w:w="110"/>
              <w:left w:type="dxa" w:w="240"/>
              <w:bottom w:type="dxa" w:w="110"/>
              <w:right w:type="dxa" w:w="240"/>
            </w:tcMar>
          </w:tcPr>
          <w:p>
            <w:pPr>
              <w:spacing/>
            </w:pPr>
            <w:r>
              <w:rPr>
                <w:rFonts w:ascii="Arial" w:cs="Arial" w:eastAsia="Arial" w:hAnsi="Arial"/>
                <w:b/>
                <w:bCs/>
                <w:color w:val="78350F"/>
                <w:sz w:val="21"/>
                <w:szCs w:val="21"/>
              </w:rPr>
              <w:t xml:space="preserve">ENFORCEMENT:  </w:t>
            </w:r>
            <w:r>
              <w:rPr>
                <w:rFonts w:ascii="Arial" w:cs="Arial" w:eastAsia="Arial" w:hAnsi="Arial"/>
                <w:color w:val="0F172A"/>
                <w:sz w:val="21"/>
                <w:szCs w:val="21"/>
              </w:rPr>
              <w:t xml:space="preserve">If a test suite exceeds its runtime budget in CI, the build fails. Slow tests are a quality signal — they indicate either infrastructure problems or poorly isolated tests.</w:t>
            </w:r>
          </w:p>
        </w:tc>
      </w:tr>
    </w:tbl>
    <w:p>
      <w:pPr>
        <w:pBdr>
          <w:bottom w:val="single" w:color="CBD5E1" w:sz="2" w:space="4"/>
        </w:pBdr>
        <w:spacing w:after="160" w:before="160"/>
      </w:pPr>
      <w:r>
        <w:t xml:space="preserve"/>
      </w:r>
    </w:p>
    <w:p>
      <w:pPr>
        <w:pStyle w:val="Heading1"/>
        <w:pBdr>
          <w:bottom w:val="single" w:color="1B4FBF" w:sz="6"/>
        </w:pBdr>
        <w:shd w:fill="0A1628" w:val="clear"/>
        <w:spacing w:after="160" w:before="400"/>
        <w:ind w:left="220"/>
      </w:pPr>
      <w:r>
        <w:rPr>
          <w:rFonts w:ascii="Arial" w:cs="Arial" w:eastAsia="Arial" w:hAnsi="Arial"/>
          <w:b/>
          <w:bCs/>
          <w:color w:val="FFFFFF"/>
          <w:sz w:val="36"/>
          <w:szCs w:val="36"/>
        </w:rPr>
        <w:t xml:space="preserve">10 · Security Testing Standards</w:t>
      </w:r>
    </w:p>
    <w:p>
      <w:pPr>
        <w:pStyle w:val="Heading2"/>
        <w:shd w:fill="1B4FBF" w:val="clear"/>
        <w:spacing w:after="100" w:before="280"/>
        <w:ind w:left="160"/>
      </w:pPr>
      <w:r>
        <w:rPr>
          <w:rFonts w:ascii="Arial" w:cs="Arial" w:eastAsia="Arial" w:hAnsi="Arial"/>
          <w:b/>
          <w:bCs/>
          <w:color w:val="FFFFFF"/>
          <w:sz w:val="27"/>
          <w:szCs w:val="27"/>
        </w:rPr>
        <w:t xml:space="preserve">10.1  OWASP Top 10 — Minimum Test Coverage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FFFFFF" w:sz="1"/>
              <w:left w:val="single" w:color="FFFFFF" w:sz="1"/>
              <w:bottom w:val="single" w:color="FFFFFF" w:sz="1"/>
              <w:right w:val="single" w:color="FFFFFF" w:sz="1"/>
            </w:tcBorders>
            <w:shd w:fill="0A1628" w:val="clear"/>
            <w:tcMar>
              <w:top w:type="dxa" w:w="110"/>
              <w:left w:type="dxa" w:w="160"/>
              <w:bottom w:type="dxa" w:w="110"/>
              <w:right w:type="dxa" w:w="160"/>
            </w:tcMar>
          </w:tcPr>
          <w:p>
            <w:pPr>
              <w:spacing/>
            </w:pPr>
            <w:r>
              <w:rPr>
                <w:rFonts w:ascii="Arial" w:cs="Arial" w:eastAsia="Arial" w:hAnsi="Arial"/>
                <w:b/>
                <w:bCs/>
                <w:color w:val="FFFFFF"/>
                <w:sz w:val="21"/>
                <w:szCs w:val="21"/>
              </w:rPr>
              <w:t xml:space="preserve">Vulnerability</w:t>
            </w:r>
          </w:p>
        </w:tc>
        <w:tc>
          <w:tcPr>
            <w:tcW w:type="dxa" w:w="6160"/>
            <w:tcBorders>
              <w:top w:val="single" w:color="FFFFFF" w:sz="1"/>
              <w:left w:val="single" w:color="FFFFFF" w:sz="1"/>
              <w:bottom w:val="single" w:color="FFFFFF" w:sz="1"/>
              <w:right w:val="single" w:color="FFFFFF" w:sz="1"/>
            </w:tcBorders>
            <w:shd w:fill="0A1628" w:val="clear"/>
            <w:tcMar>
              <w:top w:type="dxa" w:w="110"/>
              <w:left w:type="dxa" w:w="160"/>
              <w:bottom w:type="dxa" w:w="110"/>
              <w:right w:type="dxa" w:w="160"/>
            </w:tcMar>
          </w:tcPr>
          <w:p>
            <w:pPr>
              <w:spacing/>
            </w:pPr>
            <w:r>
              <w:rPr>
                <w:rFonts w:ascii="Arial" w:cs="Arial" w:eastAsia="Arial" w:hAnsi="Arial"/>
                <w:b/>
                <w:bCs/>
                <w:color w:val="FFFFFF"/>
                <w:sz w:val="21"/>
                <w:szCs w:val="21"/>
              </w:rPr>
              <w:t xml:space="preserve">How to Test It</w:t>
            </w:r>
          </w:p>
        </w:tc>
      </w:tr>
      <w:tr>
        <w:tc>
          <w:tcPr>
            <w:tcW w:type="dxa" w:w="320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Injection (SQL, NoSQL, Command)</w:t>
            </w:r>
          </w:p>
        </w:tc>
        <w:tc>
          <w:tcPr>
            <w:tcW w:type="dxa" w:w="616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Send ', OR 1=1--, $where, ; DROP TABLE in all string params. Assert sanitised response.</w:t>
            </w:r>
          </w:p>
        </w:tc>
      </w:tr>
      <w:tr>
        <w:tc>
          <w:tcPr>
            <w:tcW w:type="dxa" w:w="320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Broken Authentication</w:t>
            </w:r>
          </w:p>
        </w:tc>
        <w:tc>
          <w:tcPr>
            <w:tcW w:type="dxa" w:w="616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Test all 6 auth states. Test token expiry, revocation, and replay attack.</w:t>
            </w:r>
          </w:p>
        </w:tc>
      </w:tr>
      <w:tr>
        <w:tc>
          <w:tcPr>
            <w:tcW w:type="dxa" w:w="320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Sensitive Data Exposure</w:t>
            </w:r>
          </w:p>
        </w:tc>
        <w:tc>
          <w:tcPr>
            <w:tcW w:type="dxa" w:w="616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Assert passwords, tokens, secrets never appear in response bodies or logs.</w:t>
            </w:r>
          </w:p>
        </w:tc>
      </w:tr>
      <w:tr>
        <w:tc>
          <w:tcPr>
            <w:tcW w:type="dxa" w:w="320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IDOR / Broken Access Control</w:t>
            </w:r>
          </w:p>
        </w:tc>
        <w:tc>
          <w:tcPr>
            <w:tcW w:type="dxa" w:w="616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Access resource IDs belonging to other users with a valid token. Assert 403/404.</w:t>
            </w:r>
          </w:p>
        </w:tc>
      </w:tr>
      <w:tr>
        <w:tc>
          <w:tcPr>
            <w:tcW w:type="dxa" w:w="320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Security Misconfiguration</w:t>
            </w:r>
          </w:p>
        </w:tc>
        <w:tc>
          <w:tcPr>
            <w:tcW w:type="dxa" w:w="616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Assert CORS, security headers (CSP, HSTS, X-Frame), and no debug endpoints in staging.</w:t>
            </w:r>
          </w:p>
        </w:tc>
      </w:tr>
      <w:tr>
        <w:tc>
          <w:tcPr>
            <w:tcW w:type="dxa" w:w="320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Mass Assignment</w:t>
            </w:r>
          </w:p>
        </w:tc>
        <w:tc>
          <w:tcPr>
            <w:tcW w:type="dxa" w:w="616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POST/PUT protected fields (role, id, balance). Assert they are ignored.</w:t>
            </w:r>
          </w:p>
        </w:tc>
      </w:tr>
      <w:tr>
        <w:tc>
          <w:tcPr>
            <w:tcW w:type="dxa" w:w="320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Known CVEs in Dependencies</w:t>
            </w:r>
          </w:p>
        </w:tc>
        <w:tc>
          <w:tcPr>
            <w:tcW w:type="dxa" w:w="616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npm audit / Snyk on every CI build. Block on high/critical CVEs.</w:t>
            </w:r>
          </w:p>
        </w:tc>
      </w:tr>
      <w:tr>
        <w:tc>
          <w:tcPr>
            <w:tcW w:type="dxa" w:w="320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Insufficient Logging</w:t>
            </w:r>
          </w:p>
        </w:tc>
        <w:tc>
          <w:tcPr>
            <w:tcW w:type="dxa" w:w="616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Assert every 4xx and 5xx emits structured log with traceId and userId.</w:t>
            </w:r>
          </w:p>
        </w:tc>
      </w:tr>
    </w:tbl>
    <w:p>
      <w:pPr>
        <w:spacing w:after="80" w:before="0"/>
      </w:pPr>
      <w:r>
        <w:t xml:space="preserve"/>
      </w:r>
    </w:p>
    <w:p>
      <w:pPr>
        <w:pStyle w:val="Heading2"/>
        <w:shd w:fill="1B4FBF" w:val="clear"/>
        <w:spacing w:after="100" w:before="280"/>
        <w:ind w:left="160"/>
      </w:pPr>
      <w:r>
        <w:rPr>
          <w:rFonts w:ascii="Arial" w:cs="Arial" w:eastAsia="Arial" w:hAnsi="Arial"/>
          <w:b/>
          <w:bCs/>
          <w:color w:val="FFFFFF"/>
          <w:sz w:val="27"/>
          <w:szCs w:val="27"/>
        </w:rPr>
        <w:t xml:space="preserve">10.2  Automated Security Gates</w:t>
      </w:r>
    </w:p>
    <w:p>
      <w:pPr>
        <w:pStyle w:val="ListParagraph"/>
        <w:numPr>
          <w:ilvl w:val="0"/>
          <w:numId w:val="2"/>
        </w:numPr>
        <w:spacing w:after="55" w:before="55"/>
      </w:pPr>
      <w:r>
        <w:rPr>
          <w:rFonts w:ascii="Arial" w:cs="Arial" w:eastAsia="Arial" w:hAnsi="Arial"/>
          <w:b w:val="false"/>
          <w:bCs w:val="false"/>
          <w:color w:val="0F172A"/>
          <w:sz w:val="22"/>
          <w:szCs w:val="22"/>
        </w:rPr>
        <w:t xml:space="preserve">Semgrep SAST: runs on every PR — blocks on high severity findings</w:t>
      </w:r>
    </w:p>
    <w:p>
      <w:pPr>
        <w:pStyle w:val="ListParagraph"/>
        <w:numPr>
          <w:ilvl w:val="0"/>
          <w:numId w:val="2"/>
        </w:numPr>
        <w:spacing w:after="55" w:before="55"/>
      </w:pPr>
      <w:r>
        <w:rPr>
          <w:rFonts w:ascii="Arial" w:cs="Arial" w:eastAsia="Arial" w:hAnsi="Arial"/>
          <w:b w:val="false"/>
          <w:bCs w:val="false"/>
          <w:color w:val="0F172A"/>
          <w:sz w:val="22"/>
          <w:szCs w:val="22"/>
        </w:rPr>
        <w:t xml:space="preserve">OWASP ZAP DAST baseline: runs on every staging deployment</w:t>
      </w:r>
    </w:p>
    <w:p>
      <w:pPr>
        <w:pStyle w:val="ListParagraph"/>
        <w:numPr>
          <w:ilvl w:val="0"/>
          <w:numId w:val="2"/>
        </w:numPr>
        <w:spacing w:after="55" w:before="55"/>
      </w:pPr>
      <w:r>
        <w:rPr>
          <w:rFonts w:ascii="Arial" w:cs="Arial" w:eastAsia="Arial" w:hAnsi="Arial"/>
          <w:b w:val="false"/>
          <w:bCs w:val="false"/>
          <w:color w:val="0F172A"/>
          <w:sz w:val="22"/>
          <w:szCs w:val="22"/>
        </w:rPr>
        <w:t xml:space="preserve">TruffleHog / GitLeaks: scans every commit — blocks on any secret found</w:t>
      </w:r>
    </w:p>
    <w:p>
      <w:pPr>
        <w:pStyle w:val="ListParagraph"/>
        <w:numPr>
          <w:ilvl w:val="0"/>
          <w:numId w:val="2"/>
        </w:numPr>
        <w:spacing w:after="55" w:before="55"/>
      </w:pPr>
      <w:r>
        <w:rPr>
          <w:rFonts w:ascii="Arial" w:cs="Arial" w:eastAsia="Arial" w:hAnsi="Arial"/>
          <w:b w:val="false"/>
          <w:bCs w:val="false"/>
          <w:color w:val="0F172A"/>
          <w:sz w:val="22"/>
          <w:szCs w:val="22"/>
        </w:rPr>
        <w:t xml:space="preserve">npm audit / Snyk: blocks on critical CVEs — 7-day SLA for high severity</w:t>
      </w:r>
    </w:p>
    <w:p>
      <w:pPr>
        <w:pStyle w:val="ListParagraph"/>
        <w:numPr>
          <w:ilvl w:val="0"/>
          <w:numId w:val="2"/>
        </w:numPr>
        <w:spacing w:after="55" w:before="55"/>
      </w:pPr>
      <w:r>
        <w:rPr>
          <w:rFonts w:ascii="Arial" w:cs="Arial" w:eastAsia="Arial" w:hAnsi="Arial"/>
          <w:b w:val="false"/>
          <w:bCs w:val="false"/>
          <w:color w:val="0F172A"/>
          <w:sz w:val="22"/>
          <w:szCs w:val="22"/>
        </w:rPr>
        <w:t xml:space="preserve">Quarterly manual penetration test for all Tier 0 services</w:t>
      </w:r>
    </w:p>
    <w:p>
      <w:pPr>
        <w:pBdr>
          <w:bottom w:val="single" w:color="CBD5E1" w:sz="2" w:space="4"/>
        </w:pBdr>
        <w:spacing w:after="160" w:before="160"/>
      </w:pPr>
      <w:r>
        <w:t xml:space="preserve"/>
      </w:r>
    </w:p>
    <w:p>
      <w:pPr>
        <w:pStyle w:val="Heading1"/>
        <w:pBdr>
          <w:bottom w:val="single" w:color="1B4FBF" w:sz="6"/>
        </w:pBdr>
        <w:shd w:fill="0A1628" w:val="clear"/>
        <w:spacing w:after="160" w:before="400"/>
        <w:ind w:left="220"/>
      </w:pPr>
      <w:r>
        <w:rPr>
          <w:rFonts w:ascii="Arial" w:cs="Arial" w:eastAsia="Arial" w:hAnsi="Arial"/>
          <w:b/>
          <w:bCs/>
          <w:color w:val="FFFFFF"/>
          <w:sz w:val="36"/>
          <w:szCs w:val="36"/>
        </w:rPr>
        <w:t xml:space="preserve">11 · Observability Testing (New in v2.0)</w:t>
      </w:r>
    </w:p>
    <w:p>
      <w:pPr>
        <w:spacing w:after="80" w:before="80"/>
      </w:pPr>
      <w:r>
        <w:rPr>
          <w:rFonts w:ascii="Arial" w:cs="Arial" w:eastAsia="Arial" w:hAnsi="Arial"/>
          <w:b w:val="false"/>
          <w:bCs w:val="false"/>
          <w:i w:val="false"/>
          <w:iCs w:val="false"/>
          <w:color w:val="0F172A"/>
          <w:sz w:val="22"/>
          <w:szCs w:val="22"/>
        </w:rPr>
        <w:t xml:space="preserve">Observability signals — logs, metrics, traces — are part of the production contract. They must be tested with the same rigour as functional behaviour. You cannot debug production incidents without reliable observability.</w:t>
      </w:r>
    </w:p>
    <w:p>
      <w:pPr>
        <w:spacing w:after="60" w:before="0"/>
      </w:pPr>
      <w:r>
        <w:t xml:space="preserve"/>
      </w:r>
    </w:p>
    <w:p>
      <w:pPr>
        <w:pStyle w:val="Heading2"/>
        <w:shd w:fill="1B4FBF" w:val="clear"/>
        <w:spacing w:after="100" w:before="280"/>
        <w:ind w:left="160"/>
      </w:pPr>
      <w:r>
        <w:rPr>
          <w:rFonts w:ascii="Arial" w:cs="Arial" w:eastAsia="Arial" w:hAnsi="Arial"/>
          <w:b/>
          <w:bCs/>
          <w:color w:val="FFFFFF"/>
          <w:sz w:val="27"/>
          <w:szCs w:val="27"/>
        </w:rPr>
        <w:t xml:space="preserve">11.1  What to Assert in Observability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FFFFFF" w:sz="1"/>
              <w:left w:val="single" w:color="FFFFFF" w:sz="1"/>
              <w:bottom w:val="single" w:color="FFFFFF" w:sz="1"/>
              <w:right w:val="single" w:color="FFFFFF" w:sz="1"/>
            </w:tcBorders>
            <w:shd w:fill="0A1628" w:val="clear"/>
            <w:tcMar>
              <w:top w:type="dxa" w:w="110"/>
              <w:left w:type="dxa" w:w="160"/>
              <w:bottom w:type="dxa" w:w="110"/>
              <w:right w:type="dxa" w:w="160"/>
            </w:tcMar>
          </w:tcPr>
          <w:p>
            <w:pPr>
              <w:spacing/>
            </w:pPr>
            <w:r>
              <w:rPr>
                <w:rFonts w:ascii="Arial" w:cs="Arial" w:eastAsia="Arial" w:hAnsi="Arial"/>
                <w:b/>
                <w:bCs/>
                <w:color w:val="FFFFFF"/>
                <w:sz w:val="21"/>
                <w:szCs w:val="21"/>
              </w:rPr>
              <w:t xml:space="preserve">Signal</w:t>
            </w:r>
          </w:p>
        </w:tc>
        <w:tc>
          <w:tcPr>
            <w:tcW w:type="dxa" w:w="6160"/>
            <w:tcBorders>
              <w:top w:val="single" w:color="FFFFFF" w:sz="1"/>
              <w:left w:val="single" w:color="FFFFFF" w:sz="1"/>
              <w:bottom w:val="single" w:color="FFFFFF" w:sz="1"/>
              <w:right w:val="single" w:color="FFFFFF" w:sz="1"/>
            </w:tcBorders>
            <w:shd w:fill="0A1628" w:val="clear"/>
            <w:tcMar>
              <w:top w:type="dxa" w:w="110"/>
              <w:left w:type="dxa" w:w="160"/>
              <w:bottom w:type="dxa" w:w="110"/>
              <w:right w:type="dxa" w:w="160"/>
            </w:tcMar>
          </w:tcPr>
          <w:p>
            <w:pPr>
              <w:spacing/>
            </w:pPr>
            <w:r>
              <w:rPr>
                <w:rFonts w:ascii="Arial" w:cs="Arial" w:eastAsia="Arial" w:hAnsi="Arial"/>
                <w:b/>
                <w:bCs/>
                <w:color w:val="FFFFFF"/>
                <w:sz w:val="21"/>
                <w:szCs w:val="21"/>
              </w:rPr>
              <w:t xml:space="preserve">Mandatory Assertion</w:t>
            </w:r>
          </w:p>
        </w:tc>
      </w:tr>
      <w:tr>
        <w:tc>
          <w:tcPr>
            <w:tcW w:type="dxa" w:w="320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Request log (every request)</w:t>
            </w:r>
          </w:p>
        </w:tc>
        <w:tc>
          <w:tcPr>
            <w:tcW w:type="dxa" w:w="616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Contains: traceId, userId (if authenticated), method, endpoint, statusCode, latencyMs</w:t>
            </w:r>
          </w:p>
        </w:tc>
      </w:tr>
      <w:tr>
        <w:tc>
          <w:tcPr>
            <w:tcW w:type="dxa" w:w="320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Error log (every 4xx / 5xx)</w:t>
            </w:r>
          </w:p>
        </w:tc>
        <w:tc>
          <w:tcPr>
            <w:tcW w:type="dxa" w:w="616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Contains: traceId, errorCode, errorMessage (not stack trace), userId</w:t>
            </w:r>
          </w:p>
        </w:tc>
      </w:tr>
      <w:tr>
        <w:tc>
          <w:tcPr>
            <w:tcW w:type="dxa" w:w="320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Business event log</w:t>
            </w:r>
          </w:p>
        </w:tc>
        <w:tc>
          <w:tcPr>
            <w:tcW w:type="dxa" w:w="616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Contains: eventType, entityId, actorId, timestamp — for domain events (order.created)</w:t>
            </w:r>
          </w:p>
        </w:tc>
      </w:tr>
      <w:tr>
        <w:tc>
          <w:tcPr>
            <w:tcW w:type="dxa" w:w="320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Metric: latency</w:t>
            </w:r>
          </w:p>
        </w:tc>
        <w:tc>
          <w:tcPr>
            <w:tcW w:type="dxa" w:w="616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p95 per endpoint emitted and within budget — alerting threshold verified</w:t>
            </w:r>
          </w:p>
        </w:tc>
      </w:tr>
      <w:tr>
        <w:tc>
          <w:tcPr>
            <w:tcW w:type="dxa" w:w="320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Metric: error rate</w:t>
            </w:r>
          </w:p>
        </w:tc>
        <w:tc>
          <w:tcPr>
            <w:tcW w:type="dxa" w:w="616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4xx/5xx rate emitted per endpoint — alert fires above threshold</w:t>
            </w:r>
          </w:p>
        </w:tc>
      </w:tr>
      <w:tr>
        <w:tc>
          <w:tcPr>
            <w:tcW w:type="dxa" w:w="320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Distributed trace</w:t>
            </w:r>
          </w:p>
        </w:tc>
        <w:tc>
          <w:tcPr>
            <w:tcW w:type="dxa" w:w="616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W3C TraceContext header propagated across service boundaries</w:t>
            </w:r>
          </w:p>
        </w:tc>
      </w:tr>
    </w:tbl>
    <w:p>
      <w:pPr>
        <w:spacing w:after="80" w:before="0"/>
      </w:pPr>
      <w:r>
        <w:t xml:space="preserve"/>
      </w:r>
    </w:p>
    <w:p>
      <w:pPr>
        <w:pStyle w:val="Heading2"/>
        <w:shd w:fill="1B4FBF" w:val="clear"/>
        <w:spacing w:after="100" w:before="280"/>
        <w:ind w:left="160"/>
      </w:pPr>
      <w:r>
        <w:rPr>
          <w:rFonts w:ascii="Arial" w:cs="Arial" w:eastAsia="Arial" w:hAnsi="Arial"/>
          <w:b/>
          <w:bCs/>
          <w:color w:val="FFFFFF"/>
          <w:sz w:val="27"/>
          <w:szCs w:val="27"/>
        </w:rPr>
        <w:t xml:space="preserve">11.2  Observability Test Patterns</w:t>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 ✅ Assert traceId present in error response</w:t>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it('includes traceId in every error response', async () =&gt; {</w:t>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  const res = await request(app)</w:t>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    .get('/v1/orders/nonexistent')</w:t>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    .set('Authorization', `Bearer ${token}`);</w:t>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  expect(res.status).toBe(404);</w:t>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  expect(res.body.error.traceId).toMatch(/^[0-9a-f-]{36}$/);</w:t>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w:t>
      </w:r>
    </w:p>
    <w:p>
      <w:pPr>
        <w:spacing w:after="40" w:before="0"/>
      </w:pPr>
      <w:r>
        <w:t xml:space="preserve"/>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 ✅ Assert structured error log contains required fields</w:t>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it('emits structured error log with errorCode and userId', async () =&gt; {</w:t>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  const logSpy = jest.spyOn(logger, 'error');</w:t>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  await request(app).get('/v1/orders/x').set('Authorization', bearer);</w:t>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  const logCall = logSpy.mock.calls[0][0];</w:t>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  expect(logCall).toMatchObject({</w:t>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    level:      'error',</w:t>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    errorCode:  'ORDER_NOT_FOUND',</w:t>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    traceId:    expect.stringMatching(/^[0-9a-f-]{36}$/),</w:t>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    userId:     expect.any(String),</w:t>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  });</w:t>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  expect(logCall).not.toHaveProperty('stackTrace'); // Never leak to logs readable by client</w:t>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w:t>
      </w:r>
    </w:p>
    <w:p>
      <w:pPr>
        <w:spacing w:after="80" w:before="0"/>
      </w:pPr>
      <w:r>
        <w:t xml:space="preserve"/>
      </w:r>
    </w:p>
    <w:p>
      <w:pPr>
        <w:pStyle w:val="Heading2"/>
        <w:shd w:fill="1B4FBF" w:val="clear"/>
        <w:spacing w:after="100" w:before="280"/>
        <w:ind w:left="160"/>
      </w:pPr>
      <w:r>
        <w:rPr>
          <w:rFonts w:ascii="Arial" w:cs="Arial" w:eastAsia="Arial" w:hAnsi="Arial"/>
          <w:b/>
          <w:bCs/>
          <w:color w:val="FFFFFF"/>
          <w:sz w:val="27"/>
          <w:szCs w:val="27"/>
        </w:rPr>
        <w:t xml:space="preserve">11.3  Metrics Emission Testing</w:t>
      </w:r>
    </w:p>
    <w:p>
      <w:pPr>
        <w:pStyle w:val="ListParagraph"/>
        <w:numPr>
          <w:ilvl w:val="0"/>
          <w:numId w:val="2"/>
        </w:numPr>
        <w:spacing w:after="55" w:before="55"/>
      </w:pPr>
      <w:r>
        <w:rPr>
          <w:rFonts w:ascii="Arial" w:cs="Arial" w:eastAsia="Arial" w:hAnsi="Arial"/>
          <w:b w:val="false"/>
          <w:bCs w:val="false"/>
          <w:color w:val="0F172A"/>
          <w:sz w:val="22"/>
          <w:szCs w:val="22"/>
        </w:rPr>
        <w:t xml:space="preserve">Use a metrics registry test client (prom-client test mode) to assert counters increment correctly</w:t>
      </w:r>
    </w:p>
    <w:p>
      <w:pPr>
        <w:pStyle w:val="ListParagraph"/>
        <w:numPr>
          <w:ilvl w:val="0"/>
          <w:numId w:val="2"/>
        </w:numPr>
        <w:spacing w:after="55" w:before="55"/>
      </w:pPr>
      <w:r>
        <w:rPr>
          <w:rFonts w:ascii="Arial" w:cs="Arial" w:eastAsia="Arial" w:hAnsi="Arial"/>
          <w:b w:val="false"/>
          <w:bCs w:val="false"/>
          <w:color w:val="0F172A"/>
          <w:sz w:val="22"/>
          <w:szCs w:val="22"/>
        </w:rPr>
        <w:t xml:space="preserve">Assert http_requests_total increments with correct endpoint, method, and status labels</w:t>
      </w:r>
    </w:p>
    <w:p>
      <w:pPr>
        <w:pStyle w:val="ListParagraph"/>
        <w:numPr>
          <w:ilvl w:val="0"/>
          <w:numId w:val="2"/>
        </w:numPr>
        <w:spacing w:after="55" w:before="55"/>
      </w:pPr>
      <w:r>
        <w:rPr>
          <w:rFonts w:ascii="Arial" w:cs="Arial" w:eastAsia="Arial" w:hAnsi="Arial"/>
          <w:b w:val="false"/>
          <w:bCs w:val="false"/>
          <w:color w:val="0F172A"/>
          <w:sz w:val="22"/>
          <w:szCs w:val="22"/>
        </w:rPr>
        <w:t xml:space="preserve">Assert http_request_duration_seconds records values within the expected range</w:t>
      </w:r>
    </w:p>
    <w:p>
      <w:pPr>
        <w:pStyle w:val="ListParagraph"/>
        <w:numPr>
          <w:ilvl w:val="0"/>
          <w:numId w:val="2"/>
        </w:numPr>
        <w:spacing w:after="55" w:before="55"/>
      </w:pPr>
      <w:r>
        <w:rPr>
          <w:rFonts w:ascii="Arial" w:cs="Arial" w:eastAsia="Arial" w:hAnsi="Arial"/>
          <w:b w:val="false"/>
          <w:bCs w:val="false"/>
          <w:color w:val="0F172A"/>
          <w:sz w:val="22"/>
          <w:szCs w:val="22"/>
        </w:rPr>
        <w:t xml:space="preserve">Do not test log volume or exact format — test field presence and value correctness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766E" w:sz="1"/>
              <w:left w:val="single" w:color="0F766E" w:sz="12"/>
              <w:bottom w:val="single" w:color="0F766E" w:sz="1"/>
              <w:right w:val="single" w:color="0F766E" w:sz="1"/>
            </w:tcBorders>
            <w:shd w:fill="CCFBF1" w:val="clear"/>
            <w:tcMar>
              <w:top w:type="dxa" w:w="110"/>
              <w:left w:type="dxa" w:w="240"/>
              <w:bottom w:type="dxa" w:w="110"/>
              <w:right w:type="dxa" w:w="240"/>
            </w:tcMar>
          </w:tcPr>
          <w:p>
            <w:pPr>
              <w:spacing/>
            </w:pPr>
            <w:r>
              <w:rPr>
                <w:rFonts w:ascii="Arial" w:cs="Arial" w:eastAsia="Arial" w:hAnsi="Arial"/>
                <w:b/>
                <w:bCs/>
                <w:color w:val="0F766E"/>
                <w:sz w:val="21"/>
                <w:szCs w:val="21"/>
              </w:rPr>
              <w:t xml:space="preserve">PRINCIPLE:  </w:t>
            </w:r>
            <w:r>
              <w:rPr>
                <w:rFonts w:ascii="Arial" w:cs="Arial" w:eastAsia="Arial" w:hAnsi="Arial"/>
                <w:color w:val="0F172A"/>
                <w:sz w:val="21"/>
                <w:szCs w:val="21"/>
              </w:rPr>
              <w:t xml:space="preserve">If your observability cannot be tested, it cannot be trusted. Untested observability silently breaks and leaves you blind in the next production incident.</w:t>
            </w:r>
          </w:p>
        </w:tc>
      </w:tr>
    </w:tbl>
    <w:p>
      <w:pPr>
        <w:pBdr>
          <w:bottom w:val="single" w:color="CBD5E1" w:sz="2" w:space="4"/>
        </w:pBdr>
        <w:spacing w:after="160" w:before="160"/>
      </w:pPr>
      <w:r>
        <w:t xml:space="preserve"/>
      </w:r>
    </w:p>
    <w:p>
      <w:pPr>
        <w:pStyle w:val="Heading1"/>
        <w:pBdr>
          <w:bottom w:val="single" w:color="1B4FBF" w:sz="6"/>
        </w:pBdr>
        <w:shd w:fill="0A1628" w:val="clear"/>
        <w:spacing w:after="160" w:before="400"/>
        <w:ind w:left="220"/>
      </w:pPr>
      <w:r>
        <w:rPr>
          <w:rFonts w:ascii="Arial" w:cs="Arial" w:eastAsia="Arial" w:hAnsi="Arial"/>
          <w:b/>
          <w:bCs/>
          <w:color w:val="FFFFFF"/>
          <w:sz w:val="36"/>
          <w:szCs w:val="36"/>
        </w:rPr>
        <w:t xml:space="preserve">12 · Test Data Management</w:t>
      </w:r>
    </w:p>
    <w:p>
      <w:pPr>
        <w:pStyle w:val="Heading2"/>
        <w:shd w:fill="1B4FBF" w:val="clear"/>
        <w:spacing w:after="100" w:before="280"/>
        <w:ind w:left="160"/>
      </w:pPr>
      <w:r>
        <w:rPr>
          <w:rFonts w:ascii="Arial" w:cs="Arial" w:eastAsia="Arial" w:hAnsi="Arial"/>
          <w:b/>
          <w:bCs/>
          <w:color w:val="FFFFFF"/>
          <w:sz w:val="27"/>
          <w:szCs w:val="27"/>
        </w:rPr>
        <w:t xml:space="preserve">12.1  Core Principles</w:t>
      </w:r>
    </w:p>
    <w:p>
      <w:pPr>
        <w:pStyle w:val="ListParagraph"/>
        <w:numPr>
          <w:ilvl w:val="0"/>
          <w:numId w:val="2"/>
        </w:numPr>
        <w:spacing w:after="55" w:before="55"/>
      </w:pPr>
      <w:r>
        <w:rPr>
          <w:rFonts w:ascii="Arial" w:cs="Arial" w:eastAsia="Arial" w:hAnsi="Arial"/>
          <w:b w:val="false"/>
          <w:bCs w:val="false"/>
          <w:color w:val="0F172A"/>
          <w:sz w:val="22"/>
          <w:szCs w:val="22"/>
        </w:rPr>
        <w:t xml:space="preserve">Tests own their data — never assume pre-existing DB rows</w:t>
      </w:r>
    </w:p>
    <w:p>
      <w:pPr>
        <w:pStyle w:val="ListParagraph"/>
        <w:numPr>
          <w:ilvl w:val="0"/>
          <w:numId w:val="2"/>
        </w:numPr>
        <w:spacing w:after="55" w:before="55"/>
      </w:pPr>
      <w:r>
        <w:rPr>
          <w:rFonts w:ascii="Arial" w:cs="Arial" w:eastAsia="Arial" w:hAnsi="Arial"/>
          <w:b w:val="false"/>
          <w:bCs w:val="false"/>
          <w:color w:val="0F172A"/>
          <w:sz w:val="22"/>
          <w:szCs w:val="22"/>
        </w:rPr>
        <w:t xml:space="preserve">Seed only the minimum fields relevant to the behaviour under test</w:t>
      </w:r>
    </w:p>
    <w:p>
      <w:pPr>
        <w:pStyle w:val="ListParagraph"/>
        <w:numPr>
          <w:ilvl w:val="0"/>
          <w:numId w:val="2"/>
        </w:numPr>
        <w:spacing w:after="55" w:before="55"/>
      </w:pPr>
      <w:r>
        <w:rPr>
          <w:rFonts w:ascii="Arial" w:cs="Arial" w:eastAsia="Arial" w:hAnsi="Arial"/>
          <w:b w:val="false"/>
          <w:bCs w:val="false"/>
          <w:color w:val="0F172A"/>
          <w:sz w:val="22"/>
          <w:szCs w:val="22"/>
        </w:rPr>
        <w:t xml:space="preserve">Use factory builders with safe defaults and per-test overrides</w:t>
      </w:r>
    </w:p>
    <w:p>
      <w:pPr>
        <w:pStyle w:val="ListParagraph"/>
        <w:numPr>
          <w:ilvl w:val="0"/>
          <w:numId w:val="2"/>
        </w:numPr>
        <w:spacing w:after="55" w:before="55"/>
      </w:pPr>
      <w:r>
        <w:rPr>
          <w:rFonts w:ascii="Arial" w:cs="Arial" w:eastAsia="Arial" w:hAnsi="Arial"/>
          <w:b w:val="false"/>
          <w:bCs w:val="false"/>
          <w:color w:val="0F172A"/>
          <w:sz w:val="22"/>
          <w:szCs w:val="22"/>
        </w:rPr>
        <w:t xml:space="preserve">Never use real PII, email addresses, or production data</w:t>
      </w:r>
    </w:p>
    <w:p>
      <w:pPr>
        <w:pStyle w:val="ListParagraph"/>
        <w:numPr>
          <w:ilvl w:val="0"/>
          <w:numId w:val="2"/>
        </w:numPr>
        <w:spacing w:after="55" w:before="55"/>
      </w:pPr>
      <w:r>
        <w:rPr>
          <w:rFonts w:ascii="Arial" w:cs="Arial" w:eastAsia="Arial" w:hAnsi="Arial"/>
          <w:b w:val="false"/>
          <w:bCs w:val="false"/>
          <w:color w:val="0F172A"/>
          <w:sz w:val="22"/>
          <w:szCs w:val="22"/>
        </w:rPr>
        <w:t xml:space="preserve">Dates in fixtures must be deterministic — use fixed ISO strings, not new Date()</w:t>
      </w:r>
    </w:p>
    <w:p>
      <w:pPr>
        <w:spacing w:after="80" w:before="0"/>
      </w:pPr>
      <w:r>
        <w:t xml:space="preserve"/>
      </w:r>
    </w:p>
    <w:p>
      <w:pPr>
        <w:pStyle w:val="Heading2"/>
        <w:shd w:fill="1B4FBF" w:val="clear"/>
        <w:spacing w:after="100" w:before="280"/>
        <w:ind w:left="160"/>
      </w:pPr>
      <w:r>
        <w:rPr>
          <w:rFonts w:ascii="Arial" w:cs="Arial" w:eastAsia="Arial" w:hAnsi="Arial"/>
          <w:b/>
          <w:bCs/>
          <w:color w:val="FFFFFF"/>
          <w:sz w:val="27"/>
          <w:szCs w:val="27"/>
        </w:rPr>
        <w:t xml:space="preserve">12.2  Data Builders vs Object Mothers</w:t>
      </w:r>
    </w:p>
    <w:p>
      <w:pPr>
        <w:spacing w:after="80" w:before="80"/>
      </w:pPr>
      <w:r>
        <w:rPr>
          <w:rFonts w:ascii="Arial" w:cs="Arial" w:eastAsia="Arial" w:hAnsi="Arial"/>
          <w:b w:val="false"/>
          <w:bCs w:val="false"/>
          <w:i w:val="false"/>
          <w:iCs w:val="false"/>
          <w:color w:val="0F172A"/>
          <w:sz w:val="22"/>
          <w:szCs w:val="22"/>
        </w:rPr>
        <w:t xml:space="preserve">Two complementary patterns serve different needs. Know which to use and when.</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FFFFFF" w:sz="1"/>
              <w:left w:val="single" w:color="FFFFFF" w:sz="1"/>
              <w:bottom w:val="single" w:color="FFFFFF" w:sz="1"/>
              <w:right w:val="single" w:color="FFFFFF" w:sz="1"/>
            </w:tcBorders>
            <w:shd w:fill="0A1628" w:val="clear"/>
            <w:tcMar>
              <w:top w:type="dxa" w:w="110"/>
              <w:left w:type="dxa" w:w="160"/>
              <w:bottom w:type="dxa" w:w="110"/>
              <w:right w:type="dxa" w:w="160"/>
            </w:tcMar>
          </w:tcPr>
          <w:p>
            <w:pPr>
              <w:spacing/>
            </w:pPr>
            <w:r>
              <w:rPr>
                <w:rFonts w:ascii="Arial" w:cs="Arial" w:eastAsia="Arial" w:hAnsi="Arial"/>
                <w:b/>
                <w:bCs/>
                <w:color w:val="FFFFFF"/>
                <w:sz w:val="21"/>
                <w:szCs w:val="21"/>
              </w:rPr>
              <w:t xml:space="preserve">Pattern</w:t>
            </w:r>
          </w:p>
        </w:tc>
        <w:tc>
          <w:tcPr>
            <w:tcW w:type="dxa" w:w="4680"/>
            <w:tcBorders>
              <w:top w:val="single" w:color="FFFFFF" w:sz="1"/>
              <w:left w:val="single" w:color="FFFFFF" w:sz="1"/>
              <w:bottom w:val="single" w:color="FFFFFF" w:sz="1"/>
              <w:right w:val="single" w:color="FFFFFF" w:sz="1"/>
            </w:tcBorders>
            <w:shd w:fill="0A1628" w:val="clear"/>
            <w:tcMar>
              <w:top w:type="dxa" w:w="110"/>
              <w:left w:type="dxa" w:w="160"/>
              <w:bottom w:type="dxa" w:w="110"/>
              <w:right w:type="dxa" w:w="160"/>
            </w:tcMar>
          </w:tcPr>
          <w:p>
            <w:pPr>
              <w:spacing/>
            </w:pPr>
            <w:r>
              <w:rPr>
                <w:rFonts w:ascii="Arial" w:cs="Arial" w:eastAsia="Arial" w:hAnsi="Arial"/>
                <w:b/>
                <w:bCs/>
                <w:color w:val="FFFFFF"/>
                <w:sz w:val="21"/>
                <w:szCs w:val="21"/>
              </w:rPr>
              <w:t xml:space="preserve">When to Use</w:t>
            </w:r>
          </w:p>
        </w:tc>
      </w:tr>
      <w:tr>
        <w:tc>
          <w:tcPr>
            <w:tcW w:type="dxa" w:w="468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Data Builder (per-test)</w:t>
            </w:r>
          </w:p>
        </w:tc>
        <w:tc>
          <w:tcPr>
            <w:tcW w:type="dxa" w:w="468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Fine-grained control. Each test overrides only what it cares about. Best for unit and integration tests.
const user = buildUser({ role: 'admin' });
const expiredCoupon = buildCoupon({ expiresAt: yesterday });</w:t>
            </w:r>
          </w:p>
        </w:tc>
      </w:tr>
      <w:tr>
        <w:tc>
          <w:tcPr>
            <w:tcW w:type="dxa" w:w="468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Object Mother (scenario)</w:t>
            </w:r>
          </w:p>
        </w:tc>
        <w:tc>
          <w:tcPr>
            <w:tcW w:type="dxa" w:w="468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Pre-built named scenarios shared across E2E and API suites. Hides complexity behind a meaningful name.
const { user, order, product } = Scenarios.checkoutReady();
const { admin, suspendedUser } = Scenarios.adminModeration();</w:t>
            </w:r>
          </w:p>
        </w:tc>
      </w:tr>
    </w:tbl>
    <w:p>
      <w:pPr>
        <w:spacing w:after="60" w:before="0"/>
      </w:pPr>
      <w:r>
        <w:t xml:space="preserve"/>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 ✅ Data Builder — minimal, overridable</w:t>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const buildUser = (overrides = {}) =&gt; ({</w:t>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  id:        `user-${crypto.randomUUID()}`,</w:t>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  email:     `test+${Date.now()}@example.com`,</w:t>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  role:      'customer',</w:t>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  createdAt: new Date('2024-01-15T10:00:00Z'),  // Fixed — never new Date()</w:t>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  ...overrides,</w:t>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w:t>
      </w:r>
    </w:p>
    <w:p>
      <w:pPr>
        <w:spacing w:after="40" w:before="0"/>
      </w:pPr>
      <w:r>
        <w:t xml:space="preserve"/>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 ✅ Object Mother — named scenario for E2E / API reuse</w:t>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export const Scenarios = {</w:t>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  checkoutReady: async () =&gt; {</w:t>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    const user    = await db.users.create(buildUser());</w:t>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    const product = await db.products.create(buildProduct({ stock: 10 }));</w:t>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    const cart    = await db.carts.create(buildCart({ userId: user.id, items: [product] }));</w:t>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    return { user, product, cart };</w:t>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  },</w:t>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w:t>
      </w:r>
    </w:p>
    <w:p>
      <w:pPr>
        <w:spacing w:after="80" w:before="0"/>
      </w:pPr>
      <w:r>
        <w:t xml:space="preserve"/>
      </w:r>
    </w:p>
    <w:p>
      <w:pPr>
        <w:pStyle w:val="Heading2"/>
        <w:shd w:fill="1B4FBF" w:val="clear"/>
        <w:spacing w:after="100" w:before="280"/>
        <w:ind w:left="160"/>
      </w:pPr>
      <w:r>
        <w:rPr>
          <w:rFonts w:ascii="Arial" w:cs="Arial" w:eastAsia="Arial" w:hAnsi="Arial"/>
          <w:b/>
          <w:bCs/>
          <w:color w:val="FFFFFF"/>
          <w:sz w:val="27"/>
          <w:szCs w:val="27"/>
        </w:rPr>
        <w:t xml:space="preserve">12.3  Database Reset Strategies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FFFFFF" w:sz="1"/>
              <w:left w:val="single" w:color="FFFFFF" w:sz="1"/>
              <w:bottom w:val="single" w:color="FFFFFF" w:sz="1"/>
              <w:right w:val="single" w:color="FFFFFF" w:sz="1"/>
            </w:tcBorders>
            <w:shd w:fill="0A1628" w:val="clear"/>
            <w:tcMar>
              <w:top w:type="dxa" w:w="110"/>
              <w:left w:type="dxa" w:w="160"/>
              <w:bottom w:type="dxa" w:w="110"/>
              <w:right w:type="dxa" w:w="160"/>
            </w:tcMar>
          </w:tcPr>
          <w:p>
            <w:pPr>
              <w:spacing/>
            </w:pPr>
            <w:r>
              <w:rPr>
                <w:rFonts w:ascii="Arial" w:cs="Arial" w:eastAsia="Arial" w:hAnsi="Arial"/>
                <w:b/>
                <w:bCs/>
                <w:color w:val="FFFFFF"/>
                <w:sz w:val="21"/>
                <w:szCs w:val="21"/>
              </w:rPr>
              <w:t xml:space="preserve">Strategy</w:t>
            </w:r>
          </w:p>
        </w:tc>
        <w:tc>
          <w:tcPr>
            <w:tcW w:type="dxa" w:w="6160"/>
            <w:tcBorders>
              <w:top w:val="single" w:color="FFFFFF" w:sz="1"/>
              <w:left w:val="single" w:color="FFFFFF" w:sz="1"/>
              <w:bottom w:val="single" w:color="FFFFFF" w:sz="1"/>
              <w:right w:val="single" w:color="FFFFFF" w:sz="1"/>
            </w:tcBorders>
            <w:shd w:fill="0A1628" w:val="clear"/>
            <w:tcMar>
              <w:top w:type="dxa" w:w="110"/>
              <w:left w:type="dxa" w:w="160"/>
              <w:bottom w:type="dxa" w:w="110"/>
              <w:right w:type="dxa" w:w="160"/>
            </w:tcMar>
          </w:tcPr>
          <w:p>
            <w:pPr>
              <w:spacing/>
            </w:pPr>
            <w:r>
              <w:rPr>
                <w:rFonts w:ascii="Arial" w:cs="Arial" w:eastAsia="Arial" w:hAnsi="Arial"/>
                <w:b/>
                <w:bCs/>
                <w:color w:val="FFFFFF"/>
                <w:sz w:val="21"/>
                <w:szCs w:val="21"/>
              </w:rPr>
              <w:t xml:space="preserve">When to Use</w:t>
            </w:r>
          </w:p>
        </w:tc>
      </w:tr>
      <w:tr>
        <w:tc>
          <w:tcPr>
            <w:tcW w:type="dxa" w:w="320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Transaction rollback (fastest)</w:t>
            </w:r>
          </w:p>
        </w:tc>
        <w:tc>
          <w:tcPr>
            <w:tcW w:type="dxa" w:w="616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Wrap each test in a transaction; rollback in afterEach. Best for integration tests with heavy seed data.</w:t>
            </w:r>
          </w:p>
        </w:tc>
      </w:tr>
      <w:tr>
        <w:tc>
          <w:tcPr>
            <w:tcW w:type="dxa" w:w="320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Table truncation (recommended)</w:t>
            </w:r>
          </w:p>
        </w:tc>
        <w:tc>
          <w:tcPr>
            <w:tcW w:type="dxa" w:w="616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TRUNCATE all tables in afterEach. Simple, reliable. Use for most integration and API tests.</w:t>
            </w:r>
          </w:p>
        </w:tc>
      </w:tr>
      <w:tr>
        <w:tc>
          <w:tcPr>
            <w:tcW w:type="dxa" w:w="320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Schema drop &amp; recreate (slowest)</w:t>
            </w:r>
          </w:p>
        </w:tc>
        <w:tc>
          <w:tcPr>
            <w:tcW w:type="dxa" w:w="616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Drop and rebuild DB per suite. Use only for migration validation tests.</w:t>
            </w:r>
          </w:p>
        </w:tc>
      </w:tr>
      <w:tr>
        <w:tc>
          <w:tcPr>
            <w:tcW w:type="dxa" w:w="320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Shared read-only seed (limited)</w:t>
            </w:r>
          </w:p>
        </w:tc>
        <w:tc>
          <w:tcPr>
            <w:tcW w:type="dxa" w:w="616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Global seed once for read-only test suites only — never for any write or mutation tests.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91B1B" w:sz="1"/>
              <w:left w:val="single" w:color="991B1B" w:sz="12"/>
              <w:bottom w:val="single" w:color="991B1B" w:sz="1"/>
              <w:right w:val="single" w:color="991B1B" w:sz="1"/>
            </w:tcBorders>
            <w:shd w:fill="FEE2E2" w:val="clear"/>
            <w:tcMar>
              <w:top w:type="dxa" w:w="110"/>
              <w:left w:type="dxa" w:w="240"/>
              <w:bottom w:type="dxa" w:w="110"/>
              <w:right w:type="dxa" w:w="240"/>
            </w:tcMar>
          </w:tcPr>
          <w:p>
            <w:pPr>
              <w:spacing/>
            </w:pPr>
            <w:r>
              <w:rPr>
                <w:rFonts w:ascii="Arial" w:cs="Arial" w:eastAsia="Arial" w:hAnsi="Arial"/>
                <w:b/>
                <w:bCs/>
                <w:color w:val="991B1B"/>
                <w:sz w:val="21"/>
                <w:szCs w:val="21"/>
              </w:rPr>
              <w:t xml:space="preserve">NEVER:  </w:t>
            </w:r>
            <w:r>
              <w:rPr>
                <w:rFonts w:ascii="Arial" w:cs="Arial" w:eastAsia="Arial" w:hAnsi="Arial"/>
                <w:color w:val="0F172A"/>
                <w:sz w:val="21"/>
                <w:szCs w:val="21"/>
              </w:rPr>
              <w:t xml:space="preserve">Allow multiple developers or CI workers to share a persistent test database. Concurrent writes produce non-deterministic failures that are nearly impossible to debug.</w:t>
            </w:r>
          </w:p>
        </w:tc>
      </w:tr>
    </w:tbl>
    <w:p>
      <w:pPr>
        <w:pBdr>
          <w:bottom w:val="single" w:color="CBD5E1" w:sz="2" w:space="4"/>
        </w:pBdr>
        <w:spacing w:after="160" w:before="160"/>
      </w:pPr>
      <w:r>
        <w:t xml:space="preserve"/>
      </w:r>
    </w:p>
    <w:p>
      <w:pPr>
        <w:pStyle w:val="Heading1"/>
        <w:pBdr>
          <w:bottom w:val="single" w:color="1B4FBF" w:sz="6"/>
        </w:pBdr>
        <w:shd w:fill="0A1628" w:val="clear"/>
        <w:spacing w:after="160" w:before="400"/>
        <w:ind w:left="220"/>
      </w:pPr>
      <w:r>
        <w:rPr>
          <w:rFonts w:ascii="Arial" w:cs="Arial" w:eastAsia="Arial" w:hAnsi="Arial"/>
          <w:b/>
          <w:bCs/>
          <w:color w:val="FFFFFF"/>
          <w:sz w:val="36"/>
          <w:szCs w:val="36"/>
        </w:rPr>
        <w:t xml:space="preserve">13 · Mocking &amp; Stubbing Standards</w:t>
      </w:r>
    </w:p>
    <w:p>
      <w:pPr>
        <w:pStyle w:val="Heading2"/>
        <w:shd w:fill="1B4FBF" w:val="clear"/>
        <w:spacing w:after="100" w:before="280"/>
        <w:ind w:left="160"/>
      </w:pPr>
      <w:r>
        <w:rPr>
          <w:rFonts w:ascii="Arial" w:cs="Arial" w:eastAsia="Arial" w:hAnsi="Arial"/>
          <w:b/>
          <w:bCs/>
          <w:color w:val="FFFFFF"/>
          <w:sz w:val="27"/>
          <w:szCs w:val="27"/>
        </w:rPr>
        <w:t xml:space="preserve">13.1  Mock Decision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FFFFFF" w:sz="1"/>
              <w:left w:val="single" w:color="FFFFFF" w:sz="1"/>
              <w:bottom w:val="single" w:color="FFFFFF" w:sz="1"/>
              <w:right w:val="single" w:color="FFFFFF" w:sz="1"/>
            </w:tcBorders>
            <w:shd w:fill="0A1628" w:val="clear"/>
            <w:tcMar>
              <w:top w:type="dxa" w:w="110"/>
              <w:left w:type="dxa" w:w="160"/>
              <w:bottom w:type="dxa" w:w="110"/>
              <w:right w:type="dxa" w:w="160"/>
            </w:tcMar>
          </w:tcPr>
          <w:p>
            <w:pPr>
              <w:spacing/>
            </w:pPr>
            <w:r>
              <w:rPr>
                <w:rFonts w:ascii="Arial" w:cs="Arial" w:eastAsia="Arial" w:hAnsi="Arial"/>
                <w:b/>
                <w:bCs/>
                <w:color w:val="FFFFFF"/>
                <w:sz w:val="21"/>
                <w:szCs w:val="21"/>
              </w:rPr>
              <w:t xml:space="preserve">What You Are Testing</w:t>
            </w:r>
          </w:p>
        </w:tc>
        <w:tc>
          <w:tcPr>
            <w:tcW w:type="dxa" w:w="5960"/>
            <w:tcBorders>
              <w:top w:val="single" w:color="FFFFFF" w:sz="1"/>
              <w:left w:val="single" w:color="FFFFFF" w:sz="1"/>
              <w:bottom w:val="single" w:color="FFFFFF" w:sz="1"/>
              <w:right w:val="single" w:color="FFFFFF" w:sz="1"/>
            </w:tcBorders>
            <w:shd w:fill="0A1628" w:val="clear"/>
            <w:tcMar>
              <w:top w:type="dxa" w:w="110"/>
              <w:left w:type="dxa" w:w="160"/>
              <w:bottom w:type="dxa" w:w="110"/>
              <w:right w:type="dxa" w:w="160"/>
            </w:tcMar>
          </w:tcPr>
          <w:p>
            <w:pPr>
              <w:spacing/>
            </w:pPr>
            <w:r>
              <w:rPr>
                <w:rFonts w:ascii="Arial" w:cs="Arial" w:eastAsia="Arial" w:hAnsi="Arial"/>
                <w:b/>
                <w:bCs/>
                <w:color w:val="FFFFFF"/>
                <w:sz w:val="21"/>
                <w:szCs w:val="21"/>
              </w:rPr>
              <w:t xml:space="preserve">What to Mock</w:t>
            </w:r>
          </w:p>
        </w:tc>
      </w:tr>
      <w:tr>
        <w:tc>
          <w:tcPr>
            <w:tcW w:type="dxa" w:w="340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Business logic (unit)</w:t>
            </w:r>
          </w:p>
        </w:tc>
        <w:tc>
          <w:tcPr>
            <w:tcW w:type="dxa" w:w="596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Mock: repository, HTTP, email. Real: domain logic, validator, error classes.</w:t>
            </w:r>
          </w:p>
        </w:tc>
      </w:tr>
      <w:tr>
        <w:tc>
          <w:tcPr>
            <w:tcW w:type="dxa" w:w="340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DB query correctness (integration)</w:t>
            </w:r>
          </w:p>
        </w:tc>
        <w:tc>
          <w:tcPr>
            <w:tcW w:type="dxa" w:w="596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Mock: nothing — real DB container is the point.</w:t>
            </w:r>
          </w:p>
        </w:tc>
      </w:tr>
      <w:tr>
        <w:tc>
          <w:tcPr>
            <w:tcW w:type="dxa" w:w="340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HTTP API contract</w:t>
            </w:r>
          </w:p>
        </w:tc>
        <w:tc>
          <w:tcPr>
            <w:tcW w:type="dxa" w:w="596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Mock: external downstream (MSW). Real: DB, auth middleware, business logic.</w:t>
            </w:r>
          </w:p>
        </w:tc>
      </w:tr>
      <w:tr>
        <w:tc>
          <w:tcPr>
            <w:tcW w:type="dxa" w:w="340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User journey (E2E)</w:t>
            </w:r>
          </w:p>
        </w:tc>
        <w:tc>
          <w:tcPr>
            <w:tcW w:type="dxa" w:w="596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Mock: third-party providers (Stripe, SendGrid). Real: your entire app stack.</w:t>
            </w:r>
          </w:p>
        </w:tc>
      </w:tr>
      <w:tr>
        <w:tc>
          <w:tcPr>
            <w:tcW w:type="dxa" w:w="340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Worker handler (unit)</w:t>
            </w:r>
          </w:p>
        </w:tc>
        <w:tc>
          <w:tcPr>
            <w:tcW w:type="dxa" w:w="596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Mock: all dependencies. Real: the handler function logic.</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B21B6" w:sz="1"/>
              <w:left w:val="single" w:color="5B21B6" w:sz="12"/>
              <w:bottom w:val="single" w:color="5B21B6" w:sz="1"/>
              <w:right w:val="single" w:color="5B21B6" w:sz="1"/>
            </w:tcBorders>
            <w:shd w:fill="EDE9FE" w:val="clear"/>
            <w:tcMar>
              <w:top w:type="dxa" w:w="110"/>
              <w:left w:type="dxa" w:w="240"/>
              <w:bottom w:type="dxa" w:w="110"/>
              <w:right w:type="dxa" w:w="240"/>
            </w:tcMar>
          </w:tcPr>
          <w:p>
            <w:pPr>
              <w:spacing/>
            </w:pPr>
            <w:r>
              <w:rPr>
                <w:rFonts w:ascii="Arial" w:cs="Arial" w:eastAsia="Arial" w:hAnsi="Arial"/>
                <w:b/>
                <w:bCs/>
                <w:color w:val="5B21B6"/>
                <w:sz w:val="21"/>
                <w:szCs w:val="21"/>
              </w:rPr>
              <w:t xml:space="preserve">GOLDEN RULE:  </w:t>
            </w:r>
            <w:r>
              <w:rPr>
                <w:rFonts w:ascii="Arial" w:cs="Arial" w:eastAsia="Arial" w:hAnsi="Arial"/>
                <w:color w:val="0F172A"/>
                <w:sz w:val="21"/>
                <w:szCs w:val="21"/>
              </w:rPr>
              <w:t xml:space="preserve">Mock at the boundary of your system — external DB, HTTP, queue, clock, randomness. Never mock your own service classes, domain errors, or business logic.</w:t>
            </w:r>
          </w:p>
        </w:tc>
      </w:tr>
    </w:tbl>
    <w:p>
      <w:pPr>
        <w:spacing w:after="80" w:before="0"/>
      </w:pPr>
      <w:r>
        <w:t xml:space="preserve"/>
      </w:r>
    </w:p>
    <w:p>
      <w:pPr>
        <w:pStyle w:val="Heading2"/>
        <w:shd w:fill="1B4FBF" w:val="clear"/>
        <w:spacing w:after="100" w:before="280"/>
        <w:ind w:left="160"/>
      </w:pPr>
      <w:r>
        <w:rPr>
          <w:rFonts w:ascii="Arial" w:cs="Arial" w:eastAsia="Arial" w:hAnsi="Arial"/>
          <w:b/>
          <w:bCs/>
          <w:color w:val="FFFFFF"/>
          <w:sz w:val="27"/>
          <w:szCs w:val="27"/>
        </w:rPr>
        <w:t xml:space="preserve">13.2  MSW Network Mocking</w:t>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import { setupServer } from 'msw/node';</w:t>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import { rest } from 'msw';</w:t>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export const server = setupServer(</w:t>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  rest.post('https://api.stripe.com/v1/charges', (req, res, ctx) =&gt;</w:t>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    res(ctx.json({ id: 'ch_test_123', status: 'succeeded' }))</w:t>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  ),</w:t>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w:t>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beforeAll(() =&gt; server.listen({ onUnhandledRequest: 'error' }));</w:t>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afterEach(() =&gt; server.resetHandlers());  // ← Critical: prevent state bleed</w:t>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afterAll(()  =&gt; server.close());</w:t>
      </w:r>
    </w:p>
    <w:p>
      <w:pPr>
        <w:spacing w:after="80" w:before="0"/>
      </w:pPr>
      <w:r>
        <w:t xml:space="preserve"/>
      </w:r>
    </w:p>
    <w:p>
      <w:pPr>
        <w:pStyle w:val="Heading2"/>
        <w:shd w:fill="1B4FBF" w:val="clear"/>
        <w:spacing w:after="100" w:before="280"/>
        <w:ind w:left="160"/>
      </w:pPr>
      <w:r>
        <w:rPr>
          <w:rFonts w:ascii="Arial" w:cs="Arial" w:eastAsia="Arial" w:hAnsi="Arial"/>
          <w:b/>
          <w:bCs/>
          <w:color w:val="FFFFFF"/>
          <w:sz w:val="27"/>
          <w:szCs w:val="27"/>
        </w:rPr>
        <w:t xml:space="preserve">13.3  Time &amp; Randomness Control</w:t>
      </w:r>
    </w:p>
    <w:p>
      <w:pPr>
        <w:pStyle w:val="ListParagraph"/>
        <w:numPr>
          <w:ilvl w:val="0"/>
          <w:numId w:val="2"/>
        </w:numPr>
        <w:spacing w:after="55" w:before="55"/>
      </w:pPr>
      <w:r>
        <w:rPr>
          <w:rFonts w:ascii="Arial" w:cs="Arial" w:eastAsia="Arial" w:hAnsi="Arial"/>
          <w:b w:val="false"/>
          <w:bCs w:val="false"/>
          <w:color w:val="0F172A"/>
          <w:sz w:val="22"/>
          <w:szCs w:val="22"/>
        </w:rPr>
        <w:t xml:space="preserve">Always inject time as a dependency or use jest.useFakeTimers() — never call Date.now() in tested logic</w:t>
      </w:r>
    </w:p>
    <w:p>
      <w:pPr>
        <w:pStyle w:val="ListParagraph"/>
        <w:numPr>
          <w:ilvl w:val="0"/>
          <w:numId w:val="2"/>
        </w:numPr>
        <w:spacing w:after="55" w:before="55"/>
      </w:pPr>
      <w:r>
        <w:rPr>
          <w:rFonts w:ascii="Arial" w:cs="Arial" w:eastAsia="Arial" w:hAnsi="Arial"/>
          <w:b w:val="false"/>
          <w:bCs w:val="false"/>
          <w:color w:val="0F172A"/>
          <w:sz w:val="22"/>
          <w:szCs w:val="22"/>
        </w:rPr>
        <w:t xml:space="preserve">UUIDs must be seed-controlled or injected — never allow true randomness in test environments</w:t>
      </w:r>
    </w:p>
    <w:p>
      <w:pPr>
        <w:pStyle w:val="ListParagraph"/>
        <w:numPr>
          <w:ilvl w:val="0"/>
          <w:numId w:val="2"/>
        </w:numPr>
        <w:spacing w:after="55" w:before="55"/>
      </w:pPr>
      <w:r>
        <w:rPr>
          <w:rFonts w:ascii="Arial" w:cs="Arial" w:eastAsia="Arial" w:hAnsi="Arial"/>
          <w:b w:val="false"/>
          <w:bCs w:val="false"/>
          <w:color w:val="0F172A"/>
          <w:sz w:val="22"/>
          <w:szCs w:val="22"/>
        </w:rPr>
        <w:t xml:space="preserve">Test expiry, TTL, and scheduled logic by controlling the fake clock</w:t>
      </w:r>
    </w:p>
    <w:p>
      <w:pPr>
        <w:spacing w:after="60" w:before="0"/>
      </w:pPr>
      <w:r>
        <w:t xml:space="preserve"/>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 ✅ Controlling time at boundary</w:t>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beforeEach(() =&gt; { jest.useFakeTimers(); jest.setSystemTime(new Date('2026-01-15')); });</w:t>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afterEach(()  =&gt; { jest.useRealTimers(); });</w:t>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it('rejects coupon expired at boundary', () =&gt; {</w:t>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  const coupon = { expiresAt: new Date('2026-01-15T00:00:00Z') };</w:t>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  expect(() =&gt; applyCoupon(coupon)).toThrow(CouponExpiredError);</w:t>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w:t>
      </w:r>
    </w:p>
    <w:p>
      <w:pPr>
        <w:pBdr>
          <w:bottom w:val="single" w:color="CBD5E1" w:sz="2" w:space="4"/>
        </w:pBdr>
        <w:spacing w:after="160" w:before="160"/>
      </w:pPr>
      <w:r>
        <w:t xml:space="preserve"/>
      </w:r>
    </w:p>
    <w:p>
      <w:pPr>
        <w:pStyle w:val="Heading1"/>
        <w:pBdr>
          <w:bottom w:val="single" w:color="1B4FBF" w:sz="6"/>
        </w:pBdr>
        <w:shd w:fill="0A1628" w:val="clear"/>
        <w:spacing w:after="160" w:before="400"/>
        <w:ind w:left="220"/>
      </w:pPr>
      <w:r>
        <w:rPr>
          <w:rFonts w:ascii="Arial" w:cs="Arial" w:eastAsia="Arial" w:hAnsi="Arial"/>
          <w:b/>
          <w:bCs/>
          <w:color w:val="FFFFFF"/>
          <w:sz w:val="36"/>
          <w:szCs w:val="36"/>
        </w:rPr>
        <w:t xml:space="preserve">14 · Mutation Testing</w:t>
      </w:r>
    </w:p>
    <w:p>
      <w:pPr>
        <w:spacing w:after="80" w:before="80"/>
      </w:pPr>
      <w:r>
        <w:rPr>
          <w:rFonts w:ascii="Arial" w:cs="Arial" w:eastAsia="Arial" w:hAnsi="Arial"/>
          <w:b w:val="false"/>
          <w:bCs w:val="false"/>
          <w:i w:val="false"/>
          <w:iCs w:val="false"/>
          <w:color w:val="0F172A"/>
          <w:sz w:val="22"/>
          <w:szCs w:val="22"/>
        </w:rPr>
        <w:t xml:space="preserve">Coverage metrics tell you which lines were executed. Mutation testing tells you whether your tests would actually detect a change. A line can be covered without being meaningfully tested. Mutation testing closes this gap.</w:t>
      </w:r>
    </w:p>
    <w:p>
      <w:pPr>
        <w:spacing w:after="60" w:before="0"/>
      </w:pPr>
      <w:r>
        <w:t xml:space="preserve"/>
      </w:r>
    </w:p>
    <w:p>
      <w:pPr>
        <w:pStyle w:val="Heading2"/>
        <w:shd w:fill="1B4FBF" w:val="clear"/>
        <w:spacing w:after="100" w:before="280"/>
        <w:ind w:left="160"/>
      </w:pPr>
      <w:r>
        <w:rPr>
          <w:rFonts w:ascii="Arial" w:cs="Arial" w:eastAsia="Arial" w:hAnsi="Arial"/>
          <w:b/>
          <w:bCs/>
          <w:color w:val="FFFFFF"/>
          <w:sz w:val="27"/>
          <w:szCs w:val="27"/>
        </w:rPr>
        <w:t xml:space="preserve">14.1  What Mutation Testing Does</w:t>
      </w:r>
    </w:p>
    <w:p>
      <w:pPr>
        <w:pStyle w:val="ListParagraph"/>
        <w:numPr>
          <w:ilvl w:val="0"/>
          <w:numId w:val="2"/>
        </w:numPr>
        <w:spacing w:after="55" w:before="55"/>
      </w:pPr>
      <w:r>
        <w:rPr>
          <w:rFonts w:ascii="Arial" w:cs="Arial" w:eastAsia="Arial" w:hAnsi="Arial"/>
          <w:b w:val="false"/>
          <w:bCs w:val="false"/>
          <w:color w:val="0F172A"/>
          <w:sz w:val="22"/>
          <w:szCs w:val="22"/>
        </w:rPr>
        <w:t xml:space="preserve">Stryker introduces small automatic code mutations (flipped conditions, removed returns, changed values)</w:t>
      </w:r>
    </w:p>
    <w:p>
      <w:pPr>
        <w:pStyle w:val="ListParagraph"/>
        <w:numPr>
          <w:ilvl w:val="0"/>
          <w:numId w:val="2"/>
        </w:numPr>
        <w:spacing w:after="55" w:before="55"/>
      </w:pPr>
      <w:r>
        <w:rPr>
          <w:rFonts w:ascii="Arial" w:cs="Arial" w:eastAsia="Arial" w:hAnsi="Arial"/>
          <w:b w:val="false"/>
          <w:bCs w:val="false"/>
          <w:color w:val="0F172A"/>
          <w:sz w:val="22"/>
          <w:szCs w:val="22"/>
        </w:rPr>
        <w:t xml:space="preserve">For each mutation, the test suite runs. If tests still pass — the mutation survived — tests are weak</w:t>
      </w:r>
    </w:p>
    <w:p>
      <w:pPr>
        <w:pStyle w:val="ListParagraph"/>
        <w:numPr>
          <w:ilvl w:val="0"/>
          <w:numId w:val="2"/>
        </w:numPr>
        <w:spacing w:after="55" w:before="55"/>
      </w:pPr>
      <w:r>
        <w:rPr>
          <w:rFonts w:ascii="Arial" w:cs="Arial" w:eastAsia="Arial" w:hAnsi="Arial"/>
          <w:b w:val="false"/>
          <w:bCs w:val="false"/>
          <w:color w:val="0F172A"/>
          <w:sz w:val="22"/>
          <w:szCs w:val="22"/>
        </w:rPr>
        <w:t xml:space="preserve">Mutation score = killed mutations ÷ total mutations × 100</w:t>
      </w:r>
    </w:p>
    <w:p>
      <w:pPr>
        <w:pStyle w:val="ListParagraph"/>
        <w:numPr>
          <w:ilvl w:val="0"/>
          <w:numId w:val="2"/>
        </w:numPr>
        <w:spacing w:after="55" w:before="55"/>
      </w:pPr>
      <w:r>
        <w:rPr>
          <w:rFonts w:ascii="Arial" w:cs="Arial" w:eastAsia="Arial" w:hAnsi="Arial"/>
          <w:b w:val="false"/>
          <w:bCs w:val="false"/>
          <w:color w:val="0F172A"/>
          <w:sz w:val="22"/>
          <w:szCs w:val="22"/>
        </w:rPr>
        <w:t xml:space="preserve">A high mutation score means your assertions are tight enough to catch real bugs</w:t>
      </w:r>
    </w:p>
    <w:p>
      <w:pPr>
        <w:spacing w:after="80" w:before="0"/>
      </w:pPr>
      <w:r>
        <w:t xml:space="preserve"/>
      </w:r>
    </w:p>
    <w:p>
      <w:pPr>
        <w:pStyle w:val="Heading2"/>
        <w:shd w:fill="1B4FBF" w:val="clear"/>
        <w:spacing w:after="100" w:before="280"/>
        <w:ind w:left="160"/>
      </w:pPr>
      <w:r>
        <w:rPr>
          <w:rFonts w:ascii="Arial" w:cs="Arial" w:eastAsia="Arial" w:hAnsi="Arial"/>
          <w:b/>
          <w:bCs/>
          <w:color w:val="FFFFFF"/>
          <w:sz w:val="27"/>
          <w:szCs w:val="27"/>
        </w:rPr>
        <w:t xml:space="preserve">14.2  Mutation Score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FFFFFF" w:sz="1"/>
              <w:left w:val="single" w:color="FFFFFF" w:sz="1"/>
              <w:bottom w:val="single" w:color="FFFFFF" w:sz="1"/>
              <w:right w:val="single" w:color="FFFFFF" w:sz="1"/>
            </w:tcBorders>
            <w:shd w:fill="0A1628" w:val="clear"/>
            <w:tcMar>
              <w:top w:type="dxa" w:w="110"/>
              <w:left w:type="dxa" w:w="160"/>
              <w:bottom w:type="dxa" w:w="110"/>
              <w:right w:type="dxa" w:w="160"/>
            </w:tcMar>
          </w:tcPr>
          <w:p>
            <w:pPr>
              <w:spacing/>
            </w:pPr>
            <w:r>
              <w:rPr>
                <w:rFonts w:ascii="Arial" w:cs="Arial" w:eastAsia="Arial" w:hAnsi="Arial"/>
                <w:b/>
                <w:bCs/>
                <w:color w:val="FFFFFF"/>
                <w:sz w:val="21"/>
                <w:szCs w:val="21"/>
              </w:rPr>
              <w:t xml:space="preserve">Layer / Tier</w:t>
            </w:r>
          </w:p>
        </w:tc>
        <w:tc>
          <w:tcPr>
            <w:tcW w:type="dxa" w:w="4680"/>
            <w:tcBorders>
              <w:top w:val="single" w:color="FFFFFF" w:sz="1"/>
              <w:left w:val="single" w:color="FFFFFF" w:sz="1"/>
              <w:bottom w:val="single" w:color="FFFFFF" w:sz="1"/>
              <w:right w:val="single" w:color="FFFFFF" w:sz="1"/>
            </w:tcBorders>
            <w:shd w:fill="0A1628" w:val="clear"/>
            <w:tcMar>
              <w:top w:type="dxa" w:w="110"/>
              <w:left w:type="dxa" w:w="160"/>
              <w:bottom w:type="dxa" w:w="110"/>
              <w:right w:type="dxa" w:w="160"/>
            </w:tcMar>
          </w:tcPr>
          <w:p>
            <w:pPr>
              <w:spacing/>
            </w:pPr>
            <w:r>
              <w:rPr>
                <w:rFonts w:ascii="Arial" w:cs="Arial" w:eastAsia="Arial" w:hAnsi="Arial"/>
                <w:b/>
                <w:bCs/>
                <w:color w:val="FFFFFF"/>
                <w:sz w:val="21"/>
                <w:szCs w:val="21"/>
              </w:rPr>
              <w:t xml:space="preserve">Target Mutation Score</w:t>
            </w:r>
          </w:p>
        </w:tc>
      </w:tr>
      <w:tr>
        <w:tc>
          <w:tcPr>
            <w:tcW w:type="dxa" w:w="468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Tier 0 — service / business logic</w:t>
            </w:r>
          </w:p>
        </w:tc>
        <w:tc>
          <w:tcPr>
            <w:tcW w:type="dxa" w:w="468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 85% mutation score — run in CI on every STRICT PR</w:t>
            </w:r>
          </w:p>
        </w:tc>
      </w:tr>
      <w:tr>
        <w:tc>
          <w:tcPr>
            <w:tcW w:type="dxa" w:w="468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Tier 1 — service layer</w:t>
            </w:r>
          </w:p>
        </w:tc>
        <w:tc>
          <w:tcPr>
            <w:tcW w:type="dxa" w:w="468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 75% mutation score — run weekly or before major release</w:t>
            </w:r>
          </w:p>
        </w:tc>
      </w:tr>
      <w:tr>
        <w:tc>
          <w:tcPr>
            <w:tcW w:type="dxa" w:w="468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Tier 2 / LEAN</w:t>
            </w:r>
          </w:p>
        </w:tc>
        <w:tc>
          <w:tcPr>
            <w:tcW w:type="dxa" w:w="468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Mutation testing optional — run quarterly as a health check</w:t>
            </w:r>
          </w:p>
        </w:tc>
      </w:tr>
      <w:tr>
        <w:tc>
          <w:tcPr>
            <w:tcW w:type="dxa" w:w="468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Pure calculation functions (any)</w:t>
            </w:r>
          </w:p>
        </w:tc>
        <w:tc>
          <w:tcPr>
            <w:tcW w:type="dxa" w:w="468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 90% — calculations are high-risk for weak assertions</w:t>
            </w:r>
          </w:p>
        </w:tc>
      </w:tr>
    </w:tbl>
    <w:p>
      <w:pPr>
        <w:spacing w:after="60" w:before="0"/>
      </w:pPr>
      <w:r>
        <w:t xml:space="preserve"/>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 stryker.config.json — minimal setup</w:t>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w:t>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  "testRunner": "jest",</w:t>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  "mutate":     ["src/features/**/services/*.ts"],  // Service layer only</w:t>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  "thresholds": { "high": 85, "low": 75, "break": 70 },</w:t>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  "reporters":  ["html", "clear-text", "dashboard"]</w:t>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766E" w:sz="1"/>
              <w:left w:val="single" w:color="0F766E" w:sz="12"/>
              <w:bottom w:val="single" w:color="0F766E" w:sz="1"/>
              <w:right w:val="single" w:color="0F766E" w:sz="1"/>
            </w:tcBorders>
            <w:shd w:fill="CCFBF1" w:val="clear"/>
            <w:tcMar>
              <w:top w:type="dxa" w:w="110"/>
              <w:left w:type="dxa" w:w="240"/>
              <w:bottom w:type="dxa" w:w="110"/>
              <w:right w:type="dxa" w:w="240"/>
            </w:tcMar>
          </w:tcPr>
          <w:p>
            <w:pPr>
              <w:spacing/>
            </w:pPr>
            <w:r>
              <w:rPr>
                <w:rFonts w:ascii="Arial" w:cs="Arial" w:eastAsia="Arial" w:hAnsi="Arial"/>
                <w:b/>
                <w:bCs/>
                <w:color w:val="0F766E"/>
                <w:sz w:val="21"/>
                <w:szCs w:val="21"/>
              </w:rPr>
              <w:t xml:space="preserve">INSIGHT:  </w:t>
            </w:r>
            <w:r>
              <w:rPr>
                <w:rFonts w:ascii="Arial" w:cs="Arial" w:eastAsia="Arial" w:hAnsi="Arial"/>
                <w:color w:val="0F172A"/>
                <w:sz w:val="21"/>
                <w:szCs w:val="21"/>
              </w:rPr>
              <w:t xml:space="preserve">If Stryker mutations survive in large numbers, the root cause is almost always: assertions test return values but not side effects, or code paths exist that no test exercises at all. Use the Stryker HTML report to target the weakest areas.</w:t>
            </w:r>
          </w:p>
        </w:tc>
      </w:tr>
    </w:tbl>
    <w:p>
      <w:pPr>
        <w:pBdr>
          <w:bottom w:val="single" w:color="CBD5E1" w:sz="2" w:space="4"/>
        </w:pBdr>
        <w:spacing w:after="160" w:before="160"/>
      </w:pPr>
      <w:r>
        <w:t xml:space="preserve"/>
      </w:r>
    </w:p>
    <w:p>
      <w:pPr>
        <w:pStyle w:val="Heading1"/>
        <w:pBdr>
          <w:bottom w:val="single" w:color="1B4FBF" w:sz="6"/>
        </w:pBdr>
        <w:shd w:fill="0A1628" w:val="clear"/>
        <w:spacing w:after="160" w:before="400"/>
        <w:ind w:left="220"/>
      </w:pPr>
      <w:r>
        <w:rPr>
          <w:rFonts w:ascii="Arial" w:cs="Arial" w:eastAsia="Arial" w:hAnsi="Arial"/>
          <w:b/>
          <w:bCs/>
          <w:color w:val="FFFFFF"/>
          <w:sz w:val="36"/>
          <w:szCs w:val="36"/>
        </w:rPr>
        <w:t xml:space="preserve">15 · Test Smell Detection &amp; Remediation</w:t>
      </w:r>
    </w:p>
    <w:p>
      <w:pPr>
        <w:spacing w:after="80" w:before="80"/>
      </w:pPr>
      <w:r>
        <w:rPr>
          <w:rFonts w:ascii="Arial" w:cs="Arial" w:eastAsia="Arial" w:hAnsi="Arial"/>
          <w:b w:val="false"/>
          <w:bCs w:val="false"/>
          <w:i w:val="false"/>
          <w:iCs w:val="false"/>
          <w:color w:val="0F172A"/>
          <w:sz w:val="22"/>
          <w:szCs w:val="22"/>
        </w:rPr>
        <w:t xml:space="preserve">Test smells are patterns that indicate low test quality. They do not necessarily break tests but they signal that tests are fragile, misleading, or failing to protect the codebase effectively.</w:t>
      </w:r>
    </w:p>
    <w:p>
      <w:pPr>
        <w:spacing w:after="60" w:before="0"/>
      </w:pPr>
      <w:r>
        <w:t xml:space="preserve"/>
      </w:r>
    </w:p>
    <w:p>
      <w:pPr>
        <w:pStyle w:val="Heading2"/>
        <w:shd w:fill="1B4FBF" w:val="clear"/>
        <w:spacing w:after="100" w:before="280"/>
        <w:ind w:left="160"/>
      </w:pPr>
      <w:r>
        <w:rPr>
          <w:rFonts w:ascii="Arial" w:cs="Arial" w:eastAsia="Arial" w:hAnsi="Arial"/>
          <w:b/>
          <w:bCs/>
          <w:color w:val="FFFFFF"/>
          <w:sz w:val="27"/>
          <w:szCs w:val="27"/>
        </w:rPr>
        <w:t xml:space="preserve">15.1  Test Smell Catalogue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FFFFFF" w:sz="1"/>
              <w:left w:val="single" w:color="FFFFFF" w:sz="1"/>
              <w:bottom w:val="single" w:color="FFFFFF" w:sz="1"/>
              <w:right w:val="single" w:color="FFFFFF" w:sz="1"/>
            </w:tcBorders>
            <w:shd w:fill="0A1628" w:val="clear"/>
            <w:tcMar>
              <w:top w:type="dxa" w:w="110"/>
              <w:left w:type="dxa" w:w="160"/>
              <w:bottom w:type="dxa" w:w="110"/>
              <w:right w:type="dxa" w:w="160"/>
            </w:tcMar>
          </w:tcPr>
          <w:p>
            <w:pPr>
              <w:spacing/>
            </w:pPr>
            <w:r>
              <w:rPr>
                <w:rFonts w:ascii="Arial" w:cs="Arial" w:eastAsia="Arial" w:hAnsi="Arial"/>
                <w:b/>
                <w:bCs/>
                <w:color w:val="FFFFFF"/>
                <w:sz w:val="21"/>
                <w:szCs w:val="21"/>
              </w:rPr>
              <w:t xml:space="preserve">Smell Name</w:t>
            </w:r>
          </w:p>
        </w:tc>
        <w:tc>
          <w:tcPr>
            <w:tcW w:type="dxa" w:w="3280"/>
            <w:tcBorders>
              <w:top w:val="single" w:color="FFFFFF" w:sz="1"/>
              <w:left w:val="single" w:color="FFFFFF" w:sz="1"/>
              <w:bottom w:val="single" w:color="FFFFFF" w:sz="1"/>
              <w:right w:val="single" w:color="FFFFFF" w:sz="1"/>
            </w:tcBorders>
            <w:shd w:fill="0A1628" w:val="clear"/>
            <w:tcMar>
              <w:top w:type="dxa" w:w="110"/>
              <w:left w:type="dxa" w:w="160"/>
              <w:bottom w:type="dxa" w:w="110"/>
              <w:right w:type="dxa" w:w="160"/>
            </w:tcMar>
          </w:tcPr>
          <w:p>
            <w:pPr>
              <w:spacing/>
            </w:pPr>
            <w:r>
              <w:rPr>
                <w:rFonts w:ascii="Arial" w:cs="Arial" w:eastAsia="Arial" w:hAnsi="Arial"/>
                <w:b/>
                <w:bCs/>
                <w:color w:val="FFFFFF"/>
                <w:sz w:val="21"/>
                <w:szCs w:val="21"/>
              </w:rPr>
              <w:t xml:space="preserve">How to Detect</w:t>
            </w:r>
          </w:p>
        </w:tc>
        <w:tc>
          <w:tcPr>
            <w:tcW w:type="dxa" w:w="3280"/>
            <w:tcBorders>
              <w:top w:val="single" w:color="FFFFFF" w:sz="1"/>
              <w:left w:val="single" w:color="FFFFFF" w:sz="1"/>
              <w:bottom w:val="single" w:color="FFFFFF" w:sz="1"/>
              <w:right w:val="single" w:color="FFFFFF" w:sz="1"/>
            </w:tcBorders>
            <w:shd w:fill="0A1628" w:val="clear"/>
            <w:tcMar>
              <w:top w:type="dxa" w:w="110"/>
              <w:left w:type="dxa" w:w="160"/>
              <w:bottom w:type="dxa" w:w="110"/>
              <w:right w:type="dxa" w:w="160"/>
            </w:tcMar>
          </w:tcPr>
          <w:p>
            <w:pPr>
              <w:spacing/>
            </w:pPr>
            <w:r>
              <w:rPr>
                <w:rFonts w:ascii="Arial" w:cs="Arial" w:eastAsia="Arial" w:hAnsi="Arial"/>
                <w:b/>
                <w:bCs/>
                <w:color w:val="FFFFFF"/>
                <w:sz w:val="21"/>
                <w:szCs w:val="21"/>
              </w:rPr>
              <w:t xml:space="preserve">Remediation</w:t>
            </w:r>
          </w:p>
        </w:tc>
      </w:tr>
      <w:tr>
        <w:tc>
          <w:tcPr>
            <w:tcW w:type="dxa" w:w="280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Over-Mocking</w:t>
            </w:r>
          </w:p>
        </w:tc>
        <w:tc>
          <w:tcPr>
            <w:tcW w:type="dxa" w:w="328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A test mocks more than 3 dependencies. Mock chains. Module-level jest.mock() on own code.</w:t>
            </w:r>
          </w:p>
        </w:tc>
        <w:tc>
          <w:tcPr>
            <w:tcW w:type="dxa" w:w="328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Refactor: extract smaller units. Mock only the outer boundary.</w:t>
            </w:r>
          </w:p>
        </w:tc>
      </w:tr>
      <w:tr>
        <w:tc>
          <w:tcPr>
            <w:tcW w:type="dxa" w:w="280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Assertion Roulette</w:t>
            </w:r>
          </w:p>
        </w:tc>
        <w:tc>
          <w:tcPr>
            <w:tcW w:type="dxa" w:w="328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Multiple unrelated assertions in one test. Hard to know which one failed.</w:t>
            </w:r>
          </w:p>
        </w:tc>
        <w:tc>
          <w:tcPr>
            <w:tcW w:type="dxa" w:w="328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One test per behaviour. Split into individual it() blocks.</w:t>
            </w:r>
          </w:p>
        </w:tc>
      </w:tr>
      <w:tr>
        <w:tc>
          <w:tcPr>
            <w:tcW w:type="dxa" w:w="280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Eager Test</w:t>
            </w:r>
          </w:p>
        </w:tc>
        <w:tc>
          <w:tcPr>
            <w:tcW w:type="dxa" w:w="328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Test asserts on internal state (private vars, store internals) not observable output.</w:t>
            </w:r>
          </w:p>
        </w:tc>
        <w:tc>
          <w:tcPr>
            <w:tcW w:type="dxa" w:w="328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Test what the system returns, emits, or persists — not how it does it.</w:t>
            </w:r>
          </w:p>
        </w:tc>
      </w:tr>
      <w:tr>
        <w:tc>
          <w:tcPr>
            <w:tcW w:type="dxa" w:w="280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Mystery Guest</w:t>
            </w:r>
          </w:p>
        </w:tc>
        <w:tc>
          <w:tcPr>
            <w:tcW w:type="dxa" w:w="328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Test relies on global state, shared DB rows, or fixtures set up elsewhere.</w:t>
            </w:r>
          </w:p>
        </w:tc>
        <w:tc>
          <w:tcPr>
            <w:tcW w:type="dxa" w:w="328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Seed data in beforeEach. Make every test self-contained.</w:t>
            </w:r>
          </w:p>
        </w:tc>
      </w:tr>
      <w:tr>
        <w:tc>
          <w:tcPr>
            <w:tcW w:type="dxa" w:w="280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Slow Test</w:t>
            </w:r>
          </w:p>
        </w:tc>
        <w:tc>
          <w:tcPr>
            <w:tcW w:type="dxa" w:w="328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Unit test takes &gt; 100ms. Integration test takes &gt; 2s.</w:t>
            </w:r>
          </w:p>
        </w:tc>
        <w:tc>
          <w:tcPr>
            <w:tcW w:type="dxa" w:w="328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Introduce fake timers, mock heavy I/O, move to correct test layer.</w:t>
            </w:r>
          </w:p>
        </w:tc>
      </w:tr>
      <w:tr>
        <w:tc>
          <w:tcPr>
            <w:tcW w:type="dxa" w:w="280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Brittle Selector</w:t>
            </w:r>
          </w:p>
        </w:tc>
        <w:tc>
          <w:tcPr>
            <w:tcW w:type="dxa" w:w="328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E2E test uses CSS class, nth-child, or text content as selector.</w:t>
            </w:r>
          </w:p>
        </w:tc>
        <w:tc>
          <w:tcPr>
            <w:tcW w:type="dxa" w:w="328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Replace with getByRole, getByLabel, or data-testid.</w:t>
            </w:r>
          </w:p>
        </w:tc>
      </w:tr>
      <w:tr>
        <w:tc>
          <w:tcPr>
            <w:tcW w:type="dxa" w:w="280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Flaky Async</w:t>
            </w:r>
          </w:p>
        </w:tc>
        <w:tc>
          <w:tcPr>
            <w:tcW w:type="dxa" w:w="328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Test uses arbitrary sleep() or polls with timeouts instead of waiting on DOM/state.</w:t>
            </w:r>
          </w:p>
        </w:tc>
        <w:tc>
          <w:tcPr>
            <w:tcW w:type="dxa" w:w="328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Use waitFor, findBy*, page.waitForSelector() in test-framework idiomatic way.</w:t>
            </w:r>
          </w:p>
        </w:tc>
      </w:tr>
      <w:tr>
        <w:tc>
          <w:tcPr>
            <w:tcW w:type="dxa" w:w="280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Dead Test</w:t>
            </w:r>
          </w:p>
        </w:tc>
        <w:tc>
          <w:tcPr>
            <w:tcW w:type="dxa" w:w="328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Skipped test with no ticket reference. Disabled test no one remembers.</w:t>
            </w:r>
          </w:p>
        </w:tc>
        <w:tc>
          <w:tcPr>
            <w:tcW w:type="dxa" w:w="328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Add ticket reference or delete. A permanently skipped test is misleading documentation.</w:t>
            </w:r>
          </w:p>
        </w:tc>
      </w:tr>
      <w:tr>
        <w:tc>
          <w:tcPr>
            <w:tcW w:type="dxa" w:w="280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False Positive</w:t>
            </w:r>
          </w:p>
        </w:tc>
        <w:tc>
          <w:tcPr>
            <w:tcW w:type="dxa" w:w="328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Test passes even when the code it claims to test is deleted.</w:t>
            </w:r>
          </w:p>
        </w:tc>
        <w:tc>
          <w:tcPr>
            <w:tcW w:type="dxa" w:w="328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Check with Stryker. Add a specific, falsifiable assertion.</w:t>
            </w:r>
          </w:p>
        </w:tc>
      </w:tr>
      <w:tr>
        <w:tc>
          <w:tcPr>
            <w:tcW w:type="dxa" w:w="280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Iceberg Test</w:t>
            </w:r>
          </w:p>
        </w:tc>
        <w:tc>
          <w:tcPr>
            <w:tcW w:type="dxa" w:w="328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Test name says 'should create order' but also validates email, inventory, and payment silently.</w:t>
            </w:r>
          </w:p>
        </w:tc>
        <w:tc>
          <w:tcPr>
            <w:tcW w:type="dxa" w:w="328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Each test covers one behaviour. Name it precisely.</w:t>
            </w:r>
          </w:p>
        </w:tc>
      </w:tr>
    </w:tbl>
    <w:p>
      <w:pPr>
        <w:spacing w:after="80" w:before="0"/>
      </w:pPr>
      <w:r>
        <w:t xml:space="preserve"/>
      </w:r>
    </w:p>
    <w:p>
      <w:pPr>
        <w:pStyle w:val="Heading2"/>
        <w:shd w:fill="1B4FBF" w:val="clear"/>
        <w:spacing w:after="100" w:before="280"/>
        <w:ind w:left="160"/>
      </w:pPr>
      <w:r>
        <w:rPr>
          <w:rFonts w:ascii="Arial" w:cs="Arial" w:eastAsia="Arial" w:hAnsi="Arial"/>
          <w:b/>
          <w:bCs/>
          <w:color w:val="FFFFFF"/>
          <w:sz w:val="27"/>
          <w:szCs w:val="27"/>
        </w:rPr>
        <w:t xml:space="preserve">15.2  Smell Detection in PR Review</w:t>
      </w:r>
    </w:p>
    <w:p>
      <w:pPr>
        <w:pStyle w:val="ListParagraph"/>
        <w:numPr>
          <w:ilvl w:val="0"/>
          <w:numId w:val="2"/>
        </w:numPr>
        <w:spacing w:after="55" w:before="55"/>
      </w:pPr>
      <w:r>
        <w:rPr>
          <w:rFonts w:ascii="Arial" w:cs="Arial" w:eastAsia="Arial" w:hAnsi="Arial"/>
          <w:b w:val="false"/>
          <w:bCs w:val="false"/>
          <w:color w:val="0F172A"/>
          <w:sz w:val="22"/>
          <w:szCs w:val="22"/>
        </w:rPr>
        <w:t xml:space="preserve">Reviewers use the Test Smell Catalogue above as a reference checklist in every PR</w:t>
      </w:r>
    </w:p>
    <w:p>
      <w:pPr>
        <w:pStyle w:val="ListParagraph"/>
        <w:numPr>
          <w:ilvl w:val="0"/>
          <w:numId w:val="2"/>
        </w:numPr>
        <w:spacing w:after="55" w:before="55"/>
      </w:pPr>
      <w:r>
        <w:rPr>
          <w:rFonts w:ascii="Arial" w:cs="Arial" w:eastAsia="Arial" w:hAnsi="Arial"/>
          <w:b w:val="false"/>
          <w:bCs w:val="false"/>
          <w:color w:val="0F172A"/>
          <w:sz w:val="22"/>
          <w:szCs w:val="22"/>
        </w:rPr>
        <w:t xml:space="preserve">Any three or more smells in a single PR is grounds for a refactoring request before merge</w:t>
      </w:r>
    </w:p>
    <w:p>
      <w:pPr>
        <w:pStyle w:val="ListParagraph"/>
        <w:numPr>
          <w:ilvl w:val="0"/>
          <w:numId w:val="2"/>
        </w:numPr>
        <w:spacing w:after="55" w:before="55"/>
      </w:pPr>
      <w:r>
        <w:rPr>
          <w:rFonts w:ascii="Arial" w:cs="Arial" w:eastAsia="Arial" w:hAnsi="Arial"/>
          <w:b w:val="false"/>
          <w:bCs w:val="false"/>
          <w:color w:val="0F172A"/>
          <w:sz w:val="22"/>
          <w:szCs w:val="22"/>
        </w:rPr>
        <w:t xml:space="preserve">ESLint plugins can detect some smells automatically: jest/no-disabled-tests, jest/valid-expect</w:t>
      </w:r>
    </w:p>
    <w:p>
      <w:pPr>
        <w:pStyle w:val="ListParagraph"/>
        <w:numPr>
          <w:ilvl w:val="0"/>
          <w:numId w:val="2"/>
        </w:numPr>
        <w:spacing w:after="55" w:before="55"/>
      </w:pPr>
      <w:r>
        <w:rPr>
          <w:rFonts w:ascii="Arial" w:cs="Arial" w:eastAsia="Arial" w:hAnsi="Arial"/>
          <w:b w:val="false"/>
          <w:bCs w:val="false"/>
          <w:color w:val="0F172A"/>
          <w:sz w:val="22"/>
          <w:szCs w:val="22"/>
        </w:rPr>
        <w:t xml:space="preserve">Stryker surviving mutations are often a symptom of Assertion Roulette or False Positive smells</w:t>
      </w:r>
    </w:p>
    <w:p>
      <w:pPr>
        <w:pBdr>
          <w:bottom w:val="single" w:color="CBD5E1" w:sz="2" w:space="4"/>
        </w:pBdr>
        <w:spacing w:after="160" w:before="160"/>
      </w:pPr>
      <w:r>
        <w:t xml:space="preserve"/>
      </w:r>
    </w:p>
    <w:p>
      <w:pPr>
        <w:pStyle w:val="Heading1"/>
        <w:pBdr>
          <w:bottom w:val="single" w:color="1B4FBF" w:sz="6"/>
        </w:pBdr>
        <w:shd w:fill="0A1628" w:val="clear"/>
        <w:spacing w:after="160" w:before="400"/>
        <w:ind w:left="220"/>
      </w:pPr>
      <w:r>
        <w:rPr>
          <w:rFonts w:ascii="Arial" w:cs="Arial" w:eastAsia="Arial" w:hAnsi="Arial"/>
          <w:b/>
          <w:bCs/>
          <w:color w:val="FFFFFF"/>
          <w:sz w:val="36"/>
          <w:szCs w:val="36"/>
        </w:rPr>
        <w:t xml:space="preserve">16 · PR Review Standards for Tests</w:t>
      </w:r>
    </w:p>
    <w:p>
      <w:pPr>
        <w:spacing w:after="80" w:before="80"/>
      </w:pPr>
      <w:r>
        <w:rPr>
          <w:rFonts w:ascii="Arial" w:cs="Arial" w:eastAsia="Arial" w:hAnsi="Arial"/>
          <w:b w:val="false"/>
          <w:bCs w:val="false"/>
          <w:i w:val="false"/>
          <w:iCs w:val="false"/>
          <w:color w:val="0F172A"/>
          <w:sz w:val="22"/>
          <w:szCs w:val="22"/>
        </w:rPr>
        <w:t xml:space="preserve">Reviewing whether tests exist is not enough. Reviewers must evaluate whether tests are meaningful, sufficient, and will actually catch regressions.</w:t>
      </w:r>
    </w:p>
    <w:p>
      <w:pPr>
        <w:spacing w:after="60" w:before="0"/>
      </w:pPr>
      <w:r>
        <w:t xml:space="preserve"/>
      </w:r>
    </w:p>
    <w:p>
      <w:pPr>
        <w:pStyle w:val="Heading2"/>
        <w:shd w:fill="1B4FBF" w:val="clear"/>
        <w:spacing w:after="100" w:before="280"/>
        <w:ind w:left="160"/>
      </w:pPr>
      <w:r>
        <w:rPr>
          <w:rFonts w:ascii="Arial" w:cs="Arial" w:eastAsia="Arial" w:hAnsi="Arial"/>
          <w:b/>
          <w:bCs/>
          <w:color w:val="FFFFFF"/>
          <w:sz w:val="27"/>
          <w:szCs w:val="27"/>
        </w:rPr>
        <w:t xml:space="preserve">16.1  PR Test Review Checklist (for Reviewers)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7360"/>
        <w:gridCol w:w="1440"/>
      </w:tblGrid>
      <w:tr>
        <w:trPr>
          <w:tblHeader/>
        </w:trPr>
        <w:tc>
          <w:tcPr>
            <w:tcW w:type="dxa" w:w="560"/>
            <w:tcBorders>
              <w:top w:val="single" w:color="FFFFFF" w:sz="1"/>
              <w:left w:val="single" w:color="FFFFFF" w:sz="1"/>
              <w:bottom w:val="single" w:color="FFFFFF" w:sz="1"/>
              <w:right w:val="single" w:color="FFFFFF" w:sz="1"/>
            </w:tcBorders>
            <w:shd w:fill="0A1628" w:val="clear"/>
            <w:tcMar>
              <w:top w:type="dxa" w:w="110"/>
              <w:left w:type="dxa" w:w="160"/>
              <w:bottom w:type="dxa" w:w="110"/>
              <w:right w:type="dxa" w:w="160"/>
            </w:tcMar>
          </w:tcPr>
          <w:p>
            <w:pPr>
              <w:spacing/>
            </w:pPr>
            <w:r>
              <w:rPr>
                <w:rFonts w:ascii="Arial" w:cs="Arial" w:eastAsia="Arial" w:hAnsi="Arial"/>
                <w:b/>
                <w:bCs/>
                <w:color w:val="FFFFFF"/>
                <w:sz w:val="21"/>
                <w:szCs w:val="21"/>
              </w:rPr>
              <w:t xml:space="preserve"/>
            </w:r>
          </w:p>
        </w:tc>
        <w:tc>
          <w:tcPr>
            <w:tcW w:type="dxa" w:w="7360"/>
            <w:tcBorders>
              <w:top w:val="single" w:color="FFFFFF" w:sz="1"/>
              <w:left w:val="single" w:color="FFFFFF" w:sz="1"/>
              <w:bottom w:val="single" w:color="FFFFFF" w:sz="1"/>
              <w:right w:val="single" w:color="FFFFFF" w:sz="1"/>
            </w:tcBorders>
            <w:shd w:fill="0A1628" w:val="clear"/>
            <w:tcMar>
              <w:top w:type="dxa" w:w="110"/>
              <w:left w:type="dxa" w:w="160"/>
              <w:bottom w:type="dxa" w:w="110"/>
              <w:right w:type="dxa" w:w="160"/>
            </w:tcMar>
          </w:tcPr>
          <w:p>
            <w:pPr>
              <w:spacing/>
            </w:pPr>
            <w:r>
              <w:rPr>
                <w:rFonts w:ascii="Arial" w:cs="Arial" w:eastAsia="Arial" w:hAnsi="Arial"/>
                <w:b/>
                <w:bCs/>
                <w:color w:val="FFFFFF"/>
                <w:sz w:val="21"/>
                <w:szCs w:val="21"/>
              </w:rPr>
              <w:t xml:space="preserve">Checklist Item</w:t>
            </w:r>
          </w:p>
        </w:tc>
        <w:tc>
          <w:tcPr>
            <w:tcW w:type="dxa" w:w="1440"/>
            <w:tcBorders>
              <w:top w:val="single" w:color="FFFFFF" w:sz="1"/>
              <w:left w:val="single" w:color="FFFFFF" w:sz="1"/>
              <w:bottom w:val="single" w:color="FFFFFF" w:sz="1"/>
              <w:right w:val="single" w:color="FFFFFF" w:sz="1"/>
            </w:tcBorders>
            <w:shd w:fill="0A1628" w:val="clear"/>
            <w:tcMar>
              <w:top w:type="dxa" w:w="110"/>
              <w:left w:type="dxa" w:w="160"/>
              <w:bottom w:type="dxa" w:w="110"/>
              <w:right w:type="dxa" w:w="160"/>
            </w:tcMar>
          </w:tcPr>
          <w:p>
            <w:pPr>
              <w:spacing/>
            </w:pPr>
            <w:r>
              <w:rPr>
                <w:rFonts w:ascii="Arial" w:cs="Arial" w:eastAsia="Arial" w:hAnsi="Arial"/>
                <w:b/>
                <w:bCs/>
                <w:color w:val="FFFFFF"/>
                <w:sz w:val="21"/>
                <w:szCs w:val="21"/>
              </w:rPr>
              <w:t xml:space="preserve">When</w:t>
            </w:r>
          </w:p>
        </w:tc>
      </w:tr>
      <w:tr>
        <w:tc>
          <w:tcPr>
            <w:tcW w:type="dxa" w:w="560"/>
            <w:tcBorders>
              <w:top w:val="single" w:color="CBD5E1" w:sz="1"/>
              <w:left w:val="single" w:color="CBD5E1" w:sz="1"/>
              <w:bottom w:val="single" w:color="CBD5E1" w:sz="1"/>
              <w:right w:val="single" w:color="CBD5E1" w:sz="1"/>
            </w:tcBorders>
            <w:shd w:fill="FFFFFF" w:val="clear"/>
            <w:tcMar>
              <w:top w:type="dxa" w:w="85"/>
              <w:left w:type="dxa" w:w="120"/>
              <w:bottom w:type="dxa" w:w="85"/>
              <w:right w:type="dxa" w:w="120"/>
            </w:tcMar>
          </w:tcPr>
          <w:p>
            <w:pPr>
              <w:spacing/>
            </w:pPr>
            <w:r>
              <w:rPr>
                <w:rFonts w:ascii="Arial" w:cs="Arial" w:eastAsia="Arial" w:hAnsi="Arial"/>
                <w:color w:val="1B4FBF"/>
                <w:sz w:val="22"/>
                <w:szCs w:val="22"/>
              </w:rPr>
              <w:t xml:space="preserve">☐</w:t>
            </w:r>
          </w:p>
        </w:tc>
        <w:tc>
          <w:tcPr>
            <w:tcW w:type="dxa" w:w="736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Do the tests fail if the implementation is removed or reverted?</w:t>
            </w:r>
          </w:p>
        </w:tc>
        <w:tc>
          <w:tcPr>
            <w:tcW w:type="dxa" w:w="1440"/>
            <w:tcBorders>
              <w:top w:val="single" w:color="CBD5E1" w:sz="1"/>
              <w:left w:val="single" w:color="CBD5E1" w:sz="1"/>
              <w:bottom w:val="single" w:color="CBD5E1" w:sz="1"/>
              <w:right w:val="single" w:color="CBD5E1" w:sz="1"/>
            </w:tcBorders>
            <w:shd w:fill="EDE9FE" w:val="clear"/>
            <w:tcMar>
              <w:top w:type="dxa" w:w="85"/>
              <w:left w:type="dxa" w:w="120"/>
              <w:bottom w:type="dxa" w:w="85"/>
              <w:right w:type="dxa" w:w="120"/>
            </w:tcMar>
          </w:tcPr>
          <w:p>
            <w:pPr>
              <w:spacing/>
            </w:pPr>
            <w:r>
              <w:rPr>
                <w:rFonts w:ascii="Arial" w:cs="Arial" w:eastAsia="Arial" w:hAnsi="Arial"/>
                <w:b/>
                <w:bCs/>
                <w:color w:val="5B21B6"/>
                <w:sz w:val="20"/>
                <w:szCs w:val="20"/>
              </w:rPr>
              <w:t xml:space="preserve">Review</w:t>
            </w:r>
          </w:p>
        </w:tc>
      </w:tr>
      <w:tr>
        <w:tc>
          <w:tcPr>
            <w:tcW w:type="dxa" w:w="560"/>
            <w:tcBorders>
              <w:top w:val="single" w:color="CBD5E1" w:sz="1"/>
              <w:left w:val="single" w:color="CBD5E1" w:sz="1"/>
              <w:bottom w:val="single" w:color="CBD5E1" w:sz="1"/>
              <w:right w:val="single" w:color="CBD5E1" w:sz="1"/>
            </w:tcBorders>
            <w:shd w:fill="F1F5F9" w:val="clear"/>
            <w:tcMar>
              <w:top w:type="dxa" w:w="85"/>
              <w:left w:type="dxa" w:w="120"/>
              <w:bottom w:type="dxa" w:w="85"/>
              <w:right w:type="dxa" w:w="120"/>
            </w:tcMar>
          </w:tcPr>
          <w:p>
            <w:pPr>
              <w:spacing/>
            </w:pPr>
            <w:r>
              <w:rPr>
                <w:rFonts w:ascii="Arial" w:cs="Arial" w:eastAsia="Arial" w:hAnsi="Arial"/>
                <w:color w:val="1B4FBF"/>
                <w:sz w:val="22"/>
                <w:szCs w:val="22"/>
              </w:rPr>
              <w:t xml:space="preserve">☐</w:t>
            </w:r>
          </w:p>
        </w:tc>
        <w:tc>
          <w:tcPr>
            <w:tcW w:type="dxa" w:w="736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Are edge cases and boundary values covered — not just the happy path?</w:t>
            </w:r>
          </w:p>
        </w:tc>
        <w:tc>
          <w:tcPr>
            <w:tcW w:type="dxa" w:w="1440"/>
            <w:tcBorders>
              <w:top w:val="single" w:color="CBD5E1" w:sz="1"/>
              <w:left w:val="single" w:color="CBD5E1" w:sz="1"/>
              <w:bottom w:val="single" w:color="CBD5E1" w:sz="1"/>
              <w:right w:val="single" w:color="CBD5E1" w:sz="1"/>
            </w:tcBorders>
            <w:shd w:fill="EDE9FE" w:val="clear"/>
            <w:tcMar>
              <w:top w:type="dxa" w:w="85"/>
              <w:left w:type="dxa" w:w="120"/>
              <w:bottom w:type="dxa" w:w="85"/>
              <w:right w:type="dxa" w:w="120"/>
            </w:tcMar>
          </w:tcPr>
          <w:p>
            <w:pPr>
              <w:spacing/>
            </w:pPr>
            <w:r>
              <w:rPr>
                <w:rFonts w:ascii="Arial" w:cs="Arial" w:eastAsia="Arial" w:hAnsi="Arial"/>
                <w:b/>
                <w:bCs/>
                <w:color w:val="5B21B6"/>
                <w:sz w:val="20"/>
                <w:szCs w:val="20"/>
              </w:rPr>
              <w:t xml:space="preserve">Review</w:t>
            </w:r>
          </w:p>
        </w:tc>
      </w:tr>
      <w:tr>
        <w:tc>
          <w:tcPr>
            <w:tcW w:type="dxa" w:w="560"/>
            <w:tcBorders>
              <w:top w:val="single" w:color="CBD5E1" w:sz="1"/>
              <w:left w:val="single" w:color="CBD5E1" w:sz="1"/>
              <w:bottom w:val="single" w:color="CBD5E1" w:sz="1"/>
              <w:right w:val="single" w:color="CBD5E1" w:sz="1"/>
            </w:tcBorders>
            <w:shd w:fill="FFFFFF" w:val="clear"/>
            <w:tcMar>
              <w:top w:type="dxa" w:w="85"/>
              <w:left w:type="dxa" w:w="120"/>
              <w:bottom w:type="dxa" w:w="85"/>
              <w:right w:type="dxa" w:w="120"/>
            </w:tcMar>
          </w:tcPr>
          <w:p>
            <w:pPr>
              <w:spacing/>
            </w:pPr>
            <w:r>
              <w:rPr>
                <w:rFonts w:ascii="Arial" w:cs="Arial" w:eastAsia="Arial" w:hAnsi="Arial"/>
                <w:color w:val="1B4FBF"/>
                <w:sz w:val="22"/>
                <w:szCs w:val="22"/>
              </w:rPr>
              <w:t xml:space="preserve">☐</w:t>
            </w:r>
          </w:p>
        </w:tc>
        <w:tc>
          <w:tcPr>
            <w:tcW w:type="dxa" w:w="736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Is each test asserting on the behaviour described in its name?</w:t>
            </w:r>
          </w:p>
        </w:tc>
        <w:tc>
          <w:tcPr>
            <w:tcW w:type="dxa" w:w="1440"/>
            <w:tcBorders>
              <w:top w:val="single" w:color="CBD5E1" w:sz="1"/>
              <w:left w:val="single" w:color="CBD5E1" w:sz="1"/>
              <w:bottom w:val="single" w:color="CBD5E1" w:sz="1"/>
              <w:right w:val="single" w:color="CBD5E1" w:sz="1"/>
            </w:tcBorders>
            <w:shd w:fill="EDE9FE" w:val="clear"/>
            <w:tcMar>
              <w:top w:type="dxa" w:w="85"/>
              <w:left w:type="dxa" w:w="120"/>
              <w:bottom w:type="dxa" w:w="85"/>
              <w:right w:type="dxa" w:w="120"/>
            </w:tcMar>
          </w:tcPr>
          <w:p>
            <w:pPr>
              <w:spacing/>
            </w:pPr>
            <w:r>
              <w:rPr>
                <w:rFonts w:ascii="Arial" w:cs="Arial" w:eastAsia="Arial" w:hAnsi="Arial"/>
                <w:b/>
                <w:bCs/>
                <w:color w:val="5B21B6"/>
                <w:sz w:val="20"/>
                <w:szCs w:val="20"/>
              </w:rPr>
              <w:t xml:space="preserve">Review</w:t>
            </w:r>
          </w:p>
        </w:tc>
      </w:tr>
      <w:tr>
        <w:tc>
          <w:tcPr>
            <w:tcW w:type="dxa" w:w="560"/>
            <w:tcBorders>
              <w:top w:val="single" w:color="CBD5E1" w:sz="1"/>
              <w:left w:val="single" w:color="CBD5E1" w:sz="1"/>
              <w:bottom w:val="single" w:color="CBD5E1" w:sz="1"/>
              <w:right w:val="single" w:color="CBD5E1" w:sz="1"/>
            </w:tcBorders>
            <w:shd w:fill="F1F5F9" w:val="clear"/>
            <w:tcMar>
              <w:top w:type="dxa" w:w="85"/>
              <w:left w:type="dxa" w:w="120"/>
              <w:bottom w:type="dxa" w:w="85"/>
              <w:right w:type="dxa" w:w="120"/>
            </w:tcMar>
          </w:tcPr>
          <w:p>
            <w:pPr>
              <w:spacing/>
            </w:pPr>
            <w:r>
              <w:rPr>
                <w:rFonts w:ascii="Arial" w:cs="Arial" w:eastAsia="Arial" w:hAnsi="Arial"/>
                <w:color w:val="1B4FBF"/>
                <w:sz w:val="22"/>
                <w:szCs w:val="22"/>
              </w:rPr>
              <w:t xml:space="preserve">☐</w:t>
            </w:r>
          </w:p>
        </w:tc>
        <w:tc>
          <w:tcPr>
            <w:tcW w:type="dxa" w:w="736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Are assertions specific and falsifiable — not expect(true) or toBeDefined()?</w:t>
            </w:r>
          </w:p>
        </w:tc>
        <w:tc>
          <w:tcPr>
            <w:tcW w:type="dxa" w:w="1440"/>
            <w:tcBorders>
              <w:top w:val="single" w:color="CBD5E1" w:sz="1"/>
              <w:left w:val="single" w:color="CBD5E1" w:sz="1"/>
              <w:bottom w:val="single" w:color="CBD5E1" w:sz="1"/>
              <w:right w:val="single" w:color="CBD5E1" w:sz="1"/>
            </w:tcBorders>
            <w:shd w:fill="EDE9FE" w:val="clear"/>
            <w:tcMar>
              <w:top w:type="dxa" w:w="85"/>
              <w:left w:type="dxa" w:w="120"/>
              <w:bottom w:type="dxa" w:w="85"/>
              <w:right w:type="dxa" w:w="120"/>
            </w:tcMar>
          </w:tcPr>
          <w:p>
            <w:pPr>
              <w:spacing/>
            </w:pPr>
            <w:r>
              <w:rPr>
                <w:rFonts w:ascii="Arial" w:cs="Arial" w:eastAsia="Arial" w:hAnsi="Arial"/>
                <w:b/>
                <w:bCs/>
                <w:color w:val="5B21B6"/>
                <w:sz w:val="20"/>
                <w:szCs w:val="20"/>
              </w:rPr>
              <w:t xml:space="preserve">Review</w:t>
            </w:r>
          </w:p>
        </w:tc>
      </w:tr>
      <w:tr>
        <w:tc>
          <w:tcPr>
            <w:tcW w:type="dxa" w:w="560"/>
            <w:tcBorders>
              <w:top w:val="single" w:color="CBD5E1" w:sz="1"/>
              <w:left w:val="single" w:color="CBD5E1" w:sz="1"/>
              <w:bottom w:val="single" w:color="CBD5E1" w:sz="1"/>
              <w:right w:val="single" w:color="CBD5E1" w:sz="1"/>
            </w:tcBorders>
            <w:shd w:fill="FFFFFF" w:val="clear"/>
            <w:tcMar>
              <w:top w:type="dxa" w:w="85"/>
              <w:left w:type="dxa" w:w="120"/>
              <w:bottom w:type="dxa" w:w="85"/>
              <w:right w:type="dxa" w:w="120"/>
            </w:tcMar>
          </w:tcPr>
          <w:p>
            <w:pPr>
              <w:spacing/>
            </w:pPr>
            <w:r>
              <w:rPr>
                <w:rFonts w:ascii="Arial" w:cs="Arial" w:eastAsia="Arial" w:hAnsi="Arial"/>
                <w:color w:val="1B4FBF"/>
                <w:sz w:val="22"/>
                <w:szCs w:val="22"/>
              </w:rPr>
              <w:t xml:space="preserve">☐</w:t>
            </w:r>
          </w:p>
        </w:tc>
        <w:tc>
          <w:tcPr>
            <w:tcW w:type="dxa" w:w="736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Are mocks placed at system boundaries — not mocking own business logic?</w:t>
            </w:r>
          </w:p>
        </w:tc>
        <w:tc>
          <w:tcPr>
            <w:tcW w:type="dxa" w:w="1440"/>
            <w:tcBorders>
              <w:top w:val="single" w:color="CBD5E1" w:sz="1"/>
              <w:left w:val="single" w:color="CBD5E1" w:sz="1"/>
              <w:bottom w:val="single" w:color="CBD5E1" w:sz="1"/>
              <w:right w:val="single" w:color="CBD5E1" w:sz="1"/>
            </w:tcBorders>
            <w:shd w:fill="EDE9FE" w:val="clear"/>
            <w:tcMar>
              <w:top w:type="dxa" w:w="85"/>
              <w:left w:type="dxa" w:w="120"/>
              <w:bottom w:type="dxa" w:w="85"/>
              <w:right w:type="dxa" w:w="120"/>
            </w:tcMar>
          </w:tcPr>
          <w:p>
            <w:pPr>
              <w:spacing/>
            </w:pPr>
            <w:r>
              <w:rPr>
                <w:rFonts w:ascii="Arial" w:cs="Arial" w:eastAsia="Arial" w:hAnsi="Arial"/>
                <w:b/>
                <w:bCs/>
                <w:color w:val="5B21B6"/>
                <w:sz w:val="20"/>
                <w:szCs w:val="20"/>
              </w:rPr>
              <w:t xml:space="preserve">Review</w:t>
            </w:r>
          </w:p>
        </w:tc>
      </w:tr>
      <w:tr>
        <w:tc>
          <w:tcPr>
            <w:tcW w:type="dxa" w:w="560"/>
            <w:tcBorders>
              <w:top w:val="single" w:color="CBD5E1" w:sz="1"/>
              <w:left w:val="single" w:color="CBD5E1" w:sz="1"/>
              <w:bottom w:val="single" w:color="CBD5E1" w:sz="1"/>
              <w:right w:val="single" w:color="CBD5E1" w:sz="1"/>
            </w:tcBorders>
            <w:shd w:fill="F1F5F9" w:val="clear"/>
            <w:tcMar>
              <w:top w:type="dxa" w:w="85"/>
              <w:left w:type="dxa" w:w="120"/>
              <w:bottom w:type="dxa" w:w="85"/>
              <w:right w:type="dxa" w:w="120"/>
            </w:tcMar>
          </w:tcPr>
          <w:p>
            <w:pPr>
              <w:spacing/>
            </w:pPr>
            <w:r>
              <w:rPr>
                <w:rFonts w:ascii="Arial" w:cs="Arial" w:eastAsia="Arial" w:hAnsi="Arial"/>
                <w:color w:val="1B4FBF"/>
                <w:sz w:val="22"/>
                <w:szCs w:val="22"/>
              </w:rPr>
              <w:t xml:space="preserve">☐</w:t>
            </w:r>
          </w:p>
        </w:tc>
        <w:tc>
          <w:tcPr>
            <w:tcW w:type="dxa" w:w="736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Is the test self-contained — does not depend on execution order or shared state?</w:t>
            </w:r>
          </w:p>
        </w:tc>
        <w:tc>
          <w:tcPr>
            <w:tcW w:type="dxa" w:w="1440"/>
            <w:tcBorders>
              <w:top w:val="single" w:color="CBD5E1" w:sz="1"/>
              <w:left w:val="single" w:color="CBD5E1" w:sz="1"/>
              <w:bottom w:val="single" w:color="CBD5E1" w:sz="1"/>
              <w:right w:val="single" w:color="CBD5E1" w:sz="1"/>
            </w:tcBorders>
            <w:shd w:fill="EDE9FE" w:val="clear"/>
            <w:tcMar>
              <w:top w:type="dxa" w:w="85"/>
              <w:left w:type="dxa" w:w="120"/>
              <w:bottom w:type="dxa" w:w="85"/>
              <w:right w:type="dxa" w:w="120"/>
            </w:tcMar>
          </w:tcPr>
          <w:p>
            <w:pPr>
              <w:spacing/>
            </w:pPr>
            <w:r>
              <w:rPr>
                <w:rFonts w:ascii="Arial" w:cs="Arial" w:eastAsia="Arial" w:hAnsi="Arial"/>
                <w:b/>
                <w:bCs/>
                <w:color w:val="5B21B6"/>
                <w:sz w:val="20"/>
                <w:szCs w:val="20"/>
              </w:rPr>
              <w:t xml:space="preserve">Review</w:t>
            </w:r>
          </w:p>
        </w:tc>
      </w:tr>
      <w:tr>
        <w:tc>
          <w:tcPr>
            <w:tcW w:type="dxa" w:w="560"/>
            <w:tcBorders>
              <w:top w:val="single" w:color="CBD5E1" w:sz="1"/>
              <w:left w:val="single" w:color="CBD5E1" w:sz="1"/>
              <w:bottom w:val="single" w:color="CBD5E1" w:sz="1"/>
              <w:right w:val="single" w:color="CBD5E1" w:sz="1"/>
            </w:tcBorders>
            <w:shd w:fill="FFFFFF" w:val="clear"/>
            <w:tcMar>
              <w:top w:type="dxa" w:w="85"/>
              <w:left w:type="dxa" w:w="120"/>
              <w:bottom w:type="dxa" w:w="85"/>
              <w:right w:type="dxa" w:w="120"/>
            </w:tcMar>
          </w:tcPr>
          <w:p>
            <w:pPr>
              <w:spacing/>
            </w:pPr>
            <w:r>
              <w:rPr>
                <w:rFonts w:ascii="Arial" w:cs="Arial" w:eastAsia="Arial" w:hAnsi="Arial"/>
                <w:color w:val="1B4FBF"/>
                <w:sz w:val="22"/>
                <w:szCs w:val="22"/>
              </w:rPr>
              <w:t xml:space="preserve">☐</w:t>
            </w:r>
          </w:p>
        </w:tc>
        <w:tc>
          <w:tcPr>
            <w:tcW w:type="dxa" w:w="736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Does the test cover the error path and not just the success path?</w:t>
            </w:r>
          </w:p>
        </w:tc>
        <w:tc>
          <w:tcPr>
            <w:tcW w:type="dxa" w:w="1440"/>
            <w:tcBorders>
              <w:top w:val="single" w:color="CBD5E1" w:sz="1"/>
              <w:left w:val="single" w:color="CBD5E1" w:sz="1"/>
              <w:bottom w:val="single" w:color="CBD5E1" w:sz="1"/>
              <w:right w:val="single" w:color="CBD5E1" w:sz="1"/>
            </w:tcBorders>
            <w:shd w:fill="EDE9FE" w:val="clear"/>
            <w:tcMar>
              <w:top w:type="dxa" w:w="85"/>
              <w:left w:type="dxa" w:w="120"/>
              <w:bottom w:type="dxa" w:w="85"/>
              <w:right w:type="dxa" w:w="120"/>
            </w:tcMar>
          </w:tcPr>
          <w:p>
            <w:pPr>
              <w:spacing/>
            </w:pPr>
            <w:r>
              <w:rPr>
                <w:rFonts w:ascii="Arial" w:cs="Arial" w:eastAsia="Arial" w:hAnsi="Arial"/>
                <w:b/>
                <w:bCs/>
                <w:color w:val="5B21B6"/>
                <w:sz w:val="20"/>
                <w:szCs w:val="20"/>
              </w:rPr>
              <w:t xml:space="preserve">Review</w:t>
            </w:r>
          </w:p>
        </w:tc>
      </w:tr>
      <w:tr>
        <w:tc>
          <w:tcPr>
            <w:tcW w:type="dxa" w:w="560"/>
            <w:tcBorders>
              <w:top w:val="single" w:color="CBD5E1" w:sz="1"/>
              <w:left w:val="single" w:color="CBD5E1" w:sz="1"/>
              <w:bottom w:val="single" w:color="CBD5E1" w:sz="1"/>
              <w:right w:val="single" w:color="CBD5E1" w:sz="1"/>
            </w:tcBorders>
            <w:shd w:fill="F1F5F9" w:val="clear"/>
            <w:tcMar>
              <w:top w:type="dxa" w:w="85"/>
              <w:left w:type="dxa" w:w="120"/>
              <w:bottom w:type="dxa" w:w="85"/>
              <w:right w:type="dxa" w:w="120"/>
            </w:tcMar>
          </w:tcPr>
          <w:p>
            <w:pPr>
              <w:spacing/>
            </w:pPr>
            <w:r>
              <w:rPr>
                <w:rFonts w:ascii="Arial" w:cs="Arial" w:eastAsia="Arial" w:hAnsi="Arial"/>
                <w:color w:val="1B4FBF"/>
                <w:sz w:val="22"/>
                <w:szCs w:val="22"/>
              </w:rPr>
              <w:t xml:space="preserve">☐</w:t>
            </w:r>
          </w:p>
        </w:tc>
        <w:tc>
          <w:tcPr>
            <w:tcW w:type="dxa" w:w="736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Are acceptance criteria from the story mapped to at least one test case?</w:t>
            </w:r>
          </w:p>
        </w:tc>
        <w:tc>
          <w:tcPr>
            <w:tcW w:type="dxa" w:w="1440"/>
            <w:tcBorders>
              <w:top w:val="single" w:color="CBD5E1" w:sz="1"/>
              <w:left w:val="single" w:color="CBD5E1" w:sz="1"/>
              <w:bottom w:val="single" w:color="CBD5E1" w:sz="1"/>
              <w:right w:val="single" w:color="CBD5E1" w:sz="1"/>
            </w:tcBorders>
            <w:shd w:fill="EDE9FE" w:val="clear"/>
            <w:tcMar>
              <w:top w:type="dxa" w:w="85"/>
              <w:left w:type="dxa" w:w="120"/>
              <w:bottom w:type="dxa" w:w="85"/>
              <w:right w:type="dxa" w:w="120"/>
            </w:tcMar>
          </w:tcPr>
          <w:p>
            <w:pPr>
              <w:spacing/>
            </w:pPr>
            <w:r>
              <w:rPr>
                <w:rFonts w:ascii="Arial" w:cs="Arial" w:eastAsia="Arial" w:hAnsi="Arial"/>
                <w:b/>
                <w:bCs/>
                <w:color w:val="5B21B6"/>
                <w:sz w:val="20"/>
                <w:szCs w:val="20"/>
              </w:rPr>
              <w:t xml:space="preserve">Review</w:t>
            </w:r>
          </w:p>
        </w:tc>
      </w:tr>
      <w:tr>
        <w:tc>
          <w:tcPr>
            <w:tcW w:type="dxa" w:w="560"/>
            <w:tcBorders>
              <w:top w:val="single" w:color="CBD5E1" w:sz="1"/>
              <w:left w:val="single" w:color="CBD5E1" w:sz="1"/>
              <w:bottom w:val="single" w:color="CBD5E1" w:sz="1"/>
              <w:right w:val="single" w:color="CBD5E1" w:sz="1"/>
            </w:tcBorders>
            <w:shd w:fill="FFFFFF" w:val="clear"/>
            <w:tcMar>
              <w:top w:type="dxa" w:w="85"/>
              <w:left w:type="dxa" w:w="120"/>
              <w:bottom w:type="dxa" w:w="85"/>
              <w:right w:type="dxa" w:w="120"/>
            </w:tcMar>
          </w:tcPr>
          <w:p>
            <w:pPr>
              <w:spacing/>
            </w:pPr>
            <w:r>
              <w:rPr>
                <w:rFonts w:ascii="Arial" w:cs="Arial" w:eastAsia="Arial" w:hAnsi="Arial"/>
                <w:color w:val="1B4FBF"/>
                <w:sz w:val="22"/>
                <w:szCs w:val="22"/>
              </w:rPr>
              <w:t xml:space="preserve">☐</w:t>
            </w:r>
          </w:p>
        </w:tc>
        <w:tc>
          <w:tcPr>
            <w:tcW w:type="dxa" w:w="736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Do test names describe behaviour (should X when Y) — not implementation?</w:t>
            </w:r>
          </w:p>
        </w:tc>
        <w:tc>
          <w:tcPr>
            <w:tcW w:type="dxa" w:w="1440"/>
            <w:tcBorders>
              <w:top w:val="single" w:color="CBD5E1" w:sz="1"/>
              <w:left w:val="single" w:color="CBD5E1" w:sz="1"/>
              <w:bottom w:val="single" w:color="CBD5E1" w:sz="1"/>
              <w:right w:val="single" w:color="CBD5E1" w:sz="1"/>
            </w:tcBorders>
            <w:shd w:fill="EDE9FE" w:val="clear"/>
            <w:tcMar>
              <w:top w:type="dxa" w:w="85"/>
              <w:left w:type="dxa" w:w="120"/>
              <w:bottom w:type="dxa" w:w="85"/>
              <w:right w:type="dxa" w:w="120"/>
            </w:tcMar>
          </w:tcPr>
          <w:p>
            <w:pPr>
              <w:spacing/>
            </w:pPr>
            <w:r>
              <w:rPr>
                <w:rFonts w:ascii="Arial" w:cs="Arial" w:eastAsia="Arial" w:hAnsi="Arial"/>
                <w:b/>
                <w:bCs/>
                <w:color w:val="5B21B6"/>
                <w:sz w:val="20"/>
                <w:szCs w:val="20"/>
              </w:rPr>
              <w:t xml:space="preserve">Review</w:t>
            </w:r>
          </w:p>
        </w:tc>
      </w:tr>
      <w:tr>
        <w:tc>
          <w:tcPr>
            <w:tcW w:type="dxa" w:w="560"/>
            <w:tcBorders>
              <w:top w:val="single" w:color="CBD5E1" w:sz="1"/>
              <w:left w:val="single" w:color="CBD5E1" w:sz="1"/>
              <w:bottom w:val="single" w:color="CBD5E1" w:sz="1"/>
              <w:right w:val="single" w:color="CBD5E1" w:sz="1"/>
            </w:tcBorders>
            <w:shd w:fill="F1F5F9" w:val="clear"/>
            <w:tcMar>
              <w:top w:type="dxa" w:w="85"/>
              <w:left w:type="dxa" w:w="120"/>
              <w:bottom w:type="dxa" w:w="85"/>
              <w:right w:type="dxa" w:w="120"/>
            </w:tcMar>
          </w:tcPr>
          <w:p>
            <w:pPr>
              <w:spacing/>
            </w:pPr>
            <w:r>
              <w:rPr>
                <w:rFonts w:ascii="Arial" w:cs="Arial" w:eastAsia="Arial" w:hAnsi="Arial"/>
                <w:color w:val="1B4FBF"/>
                <w:sz w:val="22"/>
                <w:szCs w:val="22"/>
              </w:rPr>
              <w:t xml:space="preserve">☐</w:t>
            </w:r>
          </w:p>
        </w:tc>
        <w:tc>
          <w:tcPr>
            <w:tcW w:type="dxa" w:w="736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Are any test smells from Section 15 present that need remediation?</w:t>
            </w:r>
          </w:p>
        </w:tc>
        <w:tc>
          <w:tcPr>
            <w:tcW w:type="dxa" w:w="1440"/>
            <w:tcBorders>
              <w:top w:val="single" w:color="CBD5E1" w:sz="1"/>
              <w:left w:val="single" w:color="CBD5E1" w:sz="1"/>
              <w:bottom w:val="single" w:color="CBD5E1" w:sz="1"/>
              <w:right w:val="single" w:color="CBD5E1" w:sz="1"/>
            </w:tcBorders>
            <w:shd w:fill="EDE9FE" w:val="clear"/>
            <w:tcMar>
              <w:top w:type="dxa" w:w="85"/>
              <w:left w:type="dxa" w:w="120"/>
              <w:bottom w:type="dxa" w:w="85"/>
              <w:right w:type="dxa" w:w="120"/>
            </w:tcMar>
          </w:tcPr>
          <w:p>
            <w:pPr>
              <w:spacing/>
            </w:pPr>
            <w:r>
              <w:rPr>
                <w:rFonts w:ascii="Arial" w:cs="Arial" w:eastAsia="Arial" w:hAnsi="Arial"/>
                <w:b/>
                <w:bCs/>
                <w:color w:val="5B21B6"/>
                <w:sz w:val="20"/>
                <w:szCs w:val="20"/>
              </w:rPr>
              <w:t xml:space="preserve">Review</w:t>
            </w:r>
          </w:p>
        </w:tc>
      </w:tr>
    </w:tbl>
    <w:p>
      <w:pPr>
        <w:spacing w:after="80" w:before="0"/>
      </w:pPr>
      <w:r>
        <w:t xml:space="preserve"/>
      </w:r>
    </w:p>
    <w:p>
      <w:pPr>
        <w:pStyle w:val="Heading2"/>
        <w:shd w:fill="1B4FBF" w:val="clear"/>
        <w:spacing w:after="100" w:before="280"/>
        <w:ind w:left="160"/>
      </w:pPr>
      <w:r>
        <w:rPr>
          <w:rFonts w:ascii="Arial" w:cs="Arial" w:eastAsia="Arial" w:hAnsi="Arial"/>
          <w:b/>
          <w:bCs/>
          <w:color w:val="FFFFFF"/>
          <w:sz w:val="27"/>
          <w:szCs w:val="27"/>
        </w:rPr>
        <w:t xml:space="preserve">16.2  Review Anti-Patterns (for Reviewers)</w:t>
      </w:r>
    </w:p>
    <w:p>
      <w:pPr>
        <w:pStyle w:val="ListParagraph"/>
        <w:numPr>
          <w:ilvl w:val="0"/>
          <w:numId w:val="2"/>
        </w:numPr>
        <w:spacing w:after="55" w:before="55"/>
      </w:pPr>
      <w:r>
        <w:rPr>
          <w:rFonts w:ascii="Arial" w:cs="Arial" w:eastAsia="Arial" w:hAnsi="Arial"/>
          <w:b w:val="false"/>
          <w:bCs w:val="false"/>
          <w:color w:val="0F172A"/>
          <w:sz w:val="22"/>
          <w:szCs w:val="22"/>
        </w:rPr>
        <w:t xml:space="preserve">Do not approve tests simply because coverage percentage is met — coverage is a floor, not quality</w:t>
      </w:r>
    </w:p>
    <w:p>
      <w:pPr>
        <w:pStyle w:val="ListParagraph"/>
        <w:numPr>
          <w:ilvl w:val="0"/>
          <w:numId w:val="2"/>
        </w:numPr>
        <w:spacing w:after="55" w:before="55"/>
      </w:pPr>
      <w:r>
        <w:rPr>
          <w:rFonts w:ascii="Arial" w:cs="Arial" w:eastAsia="Arial" w:hAnsi="Arial"/>
          <w:b w:val="false"/>
          <w:bCs w:val="false"/>
          <w:color w:val="0F172A"/>
          <w:sz w:val="22"/>
          <w:szCs w:val="22"/>
        </w:rPr>
        <w:t xml:space="preserve">Do not accept 'we'll add more tests later' as a reason to merge undertested code</w:t>
      </w:r>
    </w:p>
    <w:p>
      <w:pPr>
        <w:pStyle w:val="ListParagraph"/>
        <w:numPr>
          <w:ilvl w:val="0"/>
          <w:numId w:val="2"/>
        </w:numPr>
        <w:spacing w:after="55" w:before="55"/>
      </w:pPr>
      <w:r>
        <w:rPr>
          <w:rFonts w:ascii="Arial" w:cs="Arial" w:eastAsia="Arial" w:hAnsi="Arial"/>
          <w:b w:val="false"/>
          <w:bCs w:val="false"/>
          <w:color w:val="0F172A"/>
          <w:sz w:val="22"/>
          <w:szCs w:val="22"/>
        </w:rPr>
        <w:t xml:space="preserve">Do not skip reviewing tests because the feature logic looks correct — tests validate regression safety</w:t>
      </w:r>
    </w:p>
    <w:p>
      <w:pPr>
        <w:pStyle w:val="ListParagraph"/>
        <w:numPr>
          <w:ilvl w:val="0"/>
          <w:numId w:val="2"/>
        </w:numPr>
        <w:spacing w:after="55" w:before="55"/>
      </w:pPr>
      <w:r>
        <w:rPr>
          <w:rFonts w:ascii="Arial" w:cs="Arial" w:eastAsia="Arial" w:hAnsi="Arial"/>
          <w:b w:val="false"/>
          <w:bCs w:val="false"/>
          <w:color w:val="0F172A"/>
          <w:sz w:val="22"/>
          <w:szCs w:val="22"/>
        </w:rPr>
        <w:t xml:space="preserve">Do not approve tests that mock every dependency in the function under test — they are not testing anything real</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4FBF" w:sz="1"/>
              <w:left w:val="single" w:color="1B4FBF" w:sz="12"/>
              <w:bottom w:val="single" w:color="1B4FBF" w:sz="1"/>
              <w:right w:val="single" w:color="1B4FBF" w:sz="1"/>
            </w:tcBorders>
            <w:shd w:fill="DBEAFE" w:val="clear"/>
            <w:tcMar>
              <w:top w:type="dxa" w:w="110"/>
              <w:left w:type="dxa" w:w="240"/>
              <w:bottom w:type="dxa" w:w="110"/>
              <w:right w:type="dxa" w:w="240"/>
            </w:tcMar>
          </w:tcPr>
          <w:p>
            <w:pPr>
              <w:spacing/>
            </w:pPr>
            <w:r>
              <w:rPr>
                <w:rFonts w:ascii="Arial" w:cs="Arial" w:eastAsia="Arial" w:hAnsi="Arial"/>
                <w:b/>
                <w:bCs/>
                <w:color w:val="1B4FBF"/>
                <w:sz w:val="21"/>
                <w:szCs w:val="21"/>
              </w:rPr>
              <w:t xml:space="preserve">REVIEWER AUTHORITY:  </w:t>
            </w:r>
            <w:r>
              <w:rPr>
                <w:rFonts w:ascii="Arial" w:cs="Arial" w:eastAsia="Arial" w:hAnsi="Arial"/>
                <w:color w:val="0F172A"/>
                <w:sz w:val="21"/>
                <w:szCs w:val="21"/>
              </w:rPr>
              <w:t xml:space="preserve">A PR reviewer can request additional tests or a refactoring of test quality before approving — even if CI gates pass. Test quality is a merge criterion, not just an automated metric.</w:t>
            </w:r>
          </w:p>
        </w:tc>
      </w:tr>
    </w:tbl>
    <w:p>
      <w:pPr>
        <w:pBdr>
          <w:bottom w:val="single" w:color="CBD5E1" w:sz="2" w:space="4"/>
        </w:pBdr>
        <w:spacing w:after="160" w:before="160"/>
      </w:pPr>
      <w:r>
        <w:t xml:space="preserve"/>
      </w:r>
    </w:p>
    <w:p>
      <w:pPr>
        <w:pStyle w:val="Heading1"/>
        <w:pBdr>
          <w:bottom w:val="single" w:color="1B4FBF" w:sz="6"/>
        </w:pBdr>
        <w:shd w:fill="0A1628" w:val="clear"/>
        <w:spacing w:after="160" w:before="400"/>
        <w:ind w:left="220"/>
      </w:pPr>
      <w:r>
        <w:rPr>
          <w:rFonts w:ascii="Arial" w:cs="Arial" w:eastAsia="Arial" w:hAnsi="Arial"/>
          <w:b/>
          <w:bCs/>
          <w:color w:val="FFFFFF"/>
          <w:sz w:val="36"/>
          <w:szCs w:val="36"/>
        </w:rPr>
        <w:t xml:space="preserve">17 · Accessibility Testing</w:t>
      </w:r>
    </w:p>
    <w:p>
      <w:pPr>
        <w:pStyle w:val="Heading2"/>
        <w:shd w:fill="1B4FBF" w:val="clear"/>
        <w:spacing w:after="100" w:before="280"/>
        <w:ind w:left="160"/>
      </w:pPr>
      <w:r>
        <w:rPr>
          <w:rFonts w:ascii="Arial" w:cs="Arial" w:eastAsia="Arial" w:hAnsi="Arial"/>
          <w:b/>
          <w:bCs/>
          <w:color w:val="FFFFFF"/>
          <w:sz w:val="27"/>
          <w:szCs w:val="27"/>
        </w:rPr>
        <w:t xml:space="preserve">17.1  Mandatory Accessibility Rules</w:t>
      </w:r>
    </w:p>
    <w:p>
      <w:pPr>
        <w:pStyle w:val="ListParagraph"/>
        <w:numPr>
          <w:ilvl w:val="0"/>
          <w:numId w:val="2"/>
        </w:numPr>
        <w:spacing w:after="55" w:before="55"/>
      </w:pPr>
      <w:r>
        <w:rPr>
          <w:rFonts w:ascii="Arial" w:cs="Arial" w:eastAsia="Arial" w:hAnsi="Arial"/>
          <w:b w:val="false"/>
          <w:bCs w:val="false"/>
          <w:color w:val="0F172A"/>
          <w:sz w:val="22"/>
          <w:szCs w:val="22"/>
        </w:rPr>
        <w:t xml:space="preserve">Integrate jest-axe in every component render test — run axe() on every rendered component</w:t>
      </w:r>
    </w:p>
    <w:p>
      <w:pPr>
        <w:pStyle w:val="ListParagraph"/>
        <w:numPr>
          <w:ilvl w:val="0"/>
          <w:numId w:val="2"/>
        </w:numPr>
        <w:spacing w:after="55" w:before="55"/>
      </w:pPr>
      <w:r>
        <w:rPr>
          <w:rFonts w:ascii="Arial" w:cs="Arial" w:eastAsia="Arial" w:hAnsi="Arial"/>
          <w:b w:val="false"/>
          <w:bCs w:val="false"/>
          <w:color w:val="0F172A"/>
          <w:sz w:val="22"/>
          <w:szCs w:val="22"/>
        </w:rPr>
        <w:t xml:space="preserve">Playwright axe plugin asserts on every page in every E2E journey</w:t>
      </w:r>
    </w:p>
    <w:p>
      <w:pPr>
        <w:pStyle w:val="ListParagraph"/>
        <w:numPr>
          <w:ilvl w:val="0"/>
          <w:numId w:val="2"/>
        </w:numPr>
        <w:spacing w:after="55" w:before="55"/>
      </w:pPr>
      <w:r>
        <w:rPr>
          <w:rFonts w:ascii="Arial" w:cs="Arial" w:eastAsia="Arial" w:hAnsi="Arial"/>
          <w:b w:val="false"/>
          <w:bCs w:val="false"/>
          <w:color w:val="0F172A"/>
          <w:sz w:val="22"/>
          <w:szCs w:val="22"/>
        </w:rPr>
        <w:t xml:space="preserve">Lighthouse CI runs on staging deploys — fail on score regression &gt; 5 points or any critical violation</w:t>
      </w:r>
    </w:p>
    <w:p>
      <w:pPr>
        <w:pStyle w:val="ListParagraph"/>
        <w:numPr>
          <w:ilvl w:val="0"/>
          <w:numId w:val="2"/>
        </w:numPr>
        <w:spacing w:after="55" w:before="55"/>
      </w:pPr>
      <w:r>
        <w:rPr>
          <w:rFonts w:ascii="Arial" w:cs="Arial" w:eastAsia="Arial" w:hAnsi="Arial"/>
          <w:b w:val="false"/>
          <w:bCs w:val="false"/>
          <w:color w:val="0F172A"/>
          <w:sz w:val="22"/>
          <w:szCs w:val="22"/>
        </w:rPr>
        <w:t xml:space="preserve">WCAG 2.1 AA is the minimum compliance target — critical violations block PRs</w:t>
      </w:r>
    </w:p>
    <w:p>
      <w:pPr>
        <w:spacing w:after="60" w:before="0"/>
      </w:pPr>
      <w:r>
        <w:t xml:space="preserve"/>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 ✅ jest-axe — accessibility in every component test</w:t>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import { axe, toHaveNoViolations } from 'jest-axe';</w:t>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expect.extend(toHaveNoViolations);</w:t>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it('has no accessibility violations', async () =&gt; {</w:t>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  const { container } = render(&lt;CheckoutForm /&gt;);</w:t>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  expect(await axe(container)).toHaveNoViolations();</w:t>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w:t>
      </w:r>
    </w:p>
    <w:p>
      <w:pPr>
        <w:spacing w:after="80" w:before="0"/>
      </w:pPr>
      <w:r>
        <w:t xml:space="preserve"/>
      </w:r>
    </w:p>
    <w:p>
      <w:pPr>
        <w:pStyle w:val="Heading2"/>
        <w:shd w:fill="1B4FBF" w:val="clear"/>
        <w:spacing w:after="100" w:before="280"/>
        <w:ind w:left="160"/>
      </w:pPr>
      <w:r>
        <w:rPr>
          <w:rFonts w:ascii="Arial" w:cs="Arial" w:eastAsia="Arial" w:hAnsi="Arial"/>
          <w:b/>
          <w:bCs/>
          <w:color w:val="FFFFFF"/>
          <w:sz w:val="27"/>
          <w:szCs w:val="27"/>
        </w:rPr>
        <w:t xml:space="preserve">17.2  Semantic Selectors — Double Benefit</w:t>
      </w:r>
    </w:p>
    <w:p>
      <w:pPr>
        <w:spacing w:after="80" w:before="80"/>
      </w:pPr>
      <w:r>
        <w:rPr>
          <w:rFonts w:ascii="Arial" w:cs="Arial" w:eastAsia="Arial" w:hAnsi="Arial"/>
          <w:b w:val="false"/>
          <w:bCs w:val="false"/>
          <w:i w:val="false"/>
          <w:iCs w:val="false"/>
          <w:color w:val="0F172A"/>
          <w:sz w:val="22"/>
          <w:szCs w:val="22"/>
        </w:rPr>
        <w:t xml:space="preserve">Semantic selectors satisfy both accessibility compliance and automation stability requirements. They are the most resilient selectors in the test suite.</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FFFFFF" w:sz="1"/>
              <w:left w:val="single" w:color="FFFFFF" w:sz="1"/>
              <w:bottom w:val="single" w:color="FFFFFF" w:sz="1"/>
              <w:right w:val="single" w:color="FFFFFF" w:sz="1"/>
            </w:tcBorders>
            <w:shd w:fill="0A1628" w:val="clear"/>
            <w:tcMar>
              <w:top w:type="dxa" w:w="110"/>
              <w:left w:type="dxa" w:w="160"/>
              <w:bottom w:type="dxa" w:w="110"/>
              <w:right w:type="dxa" w:w="160"/>
            </w:tcMar>
          </w:tcPr>
          <w:p>
            <w:pPr>
              <w:spacing/>
            </w:pPr>
            <w:r>
              <w:rPr>
                <w:rFonts w:ascii="Arial" w:cs="Arial" w:eastAsia="Arial" w:hAnsi="Arial"/>
                <w:b/>
                <w:bCs/>
                <w:color w:val="FFFFFF"/>
                <w:sz w:val="21"/>
                <w:szCs w:val="21"/>
              </w:rPr>
              <w:t xml:space="preserve">Selector Priority</w:t>
            </w:r>
          </w:p>
        </w:tc>
        <w:tc>
          <w:tcPr>
            <w:tcW w:type="dxa" w:w="6160"/>
            <w:tcBorders>
              <w:top w:val="single" w:color="FFFFFF" w:sz="1"/>
              <w:left w:val="single" w:color="FFFFFF" w:sz="1"/>
              <w:bottom w:val="single" w:color="FFFFFF" w:sz="1"/>
              <w:right w:val="single" w:color="FFFFFF" w:sz="1"/>
            </w:tcBorders>
            <w:shd w:fill="0A1628" w:val="clear"/>
            <w:tcMar>
              <w:top w:type="dxa" w:w="110"/>
              <w:left w:type="dxa" w:w="160"/>
              <w:bottom w:type="dxa" w:w="110"/>
              <w:right w:type="dxa" w:w="160"/>
            </w:tcMar>
          </w:tcPr>
          <w:p>
            <w:pPr>
              <w:spacing/>
            </w:pPr>
            <w:r>
              <w:rPr>
                <w:rFonts w:ascii="Arial" w:cs="Arial" w:eastAsia="Arial" w:hAnsi="Arial"/>
                <w:b/>
                <w:bCs/>
                <w:color w:val="FFFFFF"/>
                <w:sz w:val="21"/>
                <w:szCs w:val="21"/>
              </w:rPr>
              <w:t xml:space="preserve">Example</w:t>
            </w:r>
          </w:p>
        </w:tc>
      </w:tr>
      <w:tr>
        <w:tc>
          <w:tcPr>
            <w:tcW w:type="dxa" w:w="320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1. getByRole (ARIA semantic)</w:t>
            </w:r>
          </w:p>
        </w:tc>
        <w:tc>
          <w:tcPr>
            <w:tcW w:type="dxa" w:w="616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getByRole('button', { name: /submit order/i })</w:t>
            </w:r>
          </w:p>
        </w:tc>
      </w:tr>
      <w:tr>
        <w:tc>
          <w:tcPr>
            <w:tcW w:type="dxa" w:w="320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2. getByLabel (form association)</w:t>
            </w:r>
          </w:p>
        </w:tc>
        <w:tc>
          <w:tcPr>
            <w:tcW w:type="dxa" w:w="616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getByLabelText('Email address')</w:t>
            </w:r>
          </w:p>
        </w:tc>
      </w:tr>
      <w:tr>
        <w:tc>
          <w:tcPr>
            <w:tcW w:type="dxa" w:w="320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3. getByTestId (fallback only)</w:t>
            </w:r>
          </w:p>
        </w:tc>
        <w:tc>
          <w:tcPr>
            <w:tcW w:type="dxa" w:w="616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getByTestId('order-summary-panel')</w:t>
            </w:r>
          </w:p>
        </w:tc>
      </w:tr>
      <w:tr>
        <w:tc>
          <w:tcPr>
            <w:tcW w:type="dxa" w:w="320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NEVER: className, querySelector</w:t>
            </w:r>
          </w:p>
        </w:tc>
        <w:tc>
          <w:tcPr>
            <w:tcW w:type="dxa" w:w="616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querySelector('.btn-primary') — fragile, no semantic meaning</w:t>
            </w:r>
          </w:p>
        </w:tc>
      </w:tr>
    </w:tbl>
    <w:p>
      <w:pPr>
        <w:pBdr>
          <w:bottom w:val="single" w:color="CBD5E1" w:sz="2" w:space="4"/>
        </w:pBdr>
        <w:spacing w:after="160" w:before="160"/>
      </w:pPr>
      <w:r>
        <w:t xml:space="preserve"/>
      </w:r>
    </w:p>
    <w:p>
      <w:pPr>
        <w:pStyle w:val="Heading1"/>
        <w:pBdr>
          <w:bottom w:val="single" w:color="1B4FBF" w:sz="6"/>
        </w:pBdr>
        <w:shd w:fill="0A1628" w:val="clear"/>
        <w:spacing w:after="160" w:before="400"/>
        <w:ind w:left="220"/>
      </w:pPr>
      <w:r>
        <w:rPr>
          <w:rFonts w:ascii="Arial" w:cs="Arial" w:eastAsia="Arial" w:hAnsi="Arial"/>
          <w:b/>
          <w:bCs/>
          <w:color w:val="FFFFFF"/>
          <w:sz w:val="36"/>
          <w:szCs w:val="36"/>
        </w:rPr>
        <w:t xml:space="preserve">18 · CI/CD Integration &amp; Quality Gates</w:t>
      </w:r>
    </w:p>
    <w:p>
      <w:pPr>
        <w:pStyle w:val="Heading2"/>
        <w:shd w:fill="1B4FBF" w:val="clear"/>
        <w:spacing w:after="100" w:before="280"/>
        <w:ind w:left="160"/>
      </w:pPr>
      <w:r>
        <w:rPr>
          <w:rFonts w:ascii="Arial" w:cs="Arial" w:eastAsia="Arial" w:hAnsi="Arial"/>
          <w:b/>
          <w:bCs/>
          <w:color w:val="FFFFFF"/>
          <w:sz w:val="27"/>
          <w:szCs w:val="27"/>
        </w:rPr>
        <w:t xml:space="preserve">18.1  Fail-Fast Pipeline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FFFFFF" w:sz="1"/>
              <w:left w:val="single" w:color="FFFFFF" w:sz="1"/>
              <w:bottom w:val="single" w:color="FFFFFF" w:sz="1"/>
              <w:right w:val="single" w:color="FFFFFF" w:sz="1"/>
            </w:tcBorders>
            <w:shd w:fill="0A1628" w:val="clear"/>
            <w:tcMar>
              <w:top w:type="dxa" w:w="110"/>
              <w:left w:type="dxa" w:w="160"/>
              <w:bottom w:type="dxa" w:w="110"/>
              <w:right w:type="dxa" w:w="160"/>
            </w:tcMar>
          </w:tcPr>
          <w:p>
            <w:pPr>
              <w:spacing/>
            </w:pPr>
            <w:r>
              <w:rPr>
                <w:rFonts w:ascii="Arial" w:cs="Arial" w:eastAsia="Arial" w:hAnsi="Arial"/>
                <w:b/>
                <w:bCs/>
                <w:color w:val="FFFFFF"/>
                <w:sz w:val="21"/>
                <w:szCs w:val="21"/>
              </w:rPr>
              <w:t xml:space="preserve">Stage</w:t>
            </w:r>
          </w:p>
        </w:tc>
        <w:tc>
          <w:tcPr>
            <w:tcW w:type="dxa" w:w="6960"/>
            <w:tcBorders>
              <w:top w:val="single" w:color="FFFFFF" w:sz="1"/>
              <w:left w:val="single" w:color="FFFFFF" w:sz="1"/>
              <w:bottom w:val="single" w:color="FFFFFF" w:sz="1"/>
              <w:right w:val="single" w:color="FFFFFF" w:sz="1"/>
            </w:tcBorders>
            <w:shd w:fill="0A1628" w:val="clear"/>
            <w:tcMar>
              <w:top w:type="dxa" w:w="110"/>
              <w:left w:type="dxa" w:w="160"/>
              <w:bottom w:type="dxa" w:w="110"/>
              <w:right w:type="dxa" w:w="160"/>
            </w:tcMar>
          </w:tcPr>
          <w:p>
            <w:pPr>
              <w:spacing/>
            </w:pPr>
            <w:r>
              <w:rPr>
                <w:rFonts w:ascii="Arial" w:cs="Arial" w:eastAsia="Arial" w:hAnsi="Arial"/>
                <w:b/>
                <w:bCs/>
                <w:color w:val="FFFFFF"/>
                <w:sz w:val="21"/>
                <w:szCs w:val="21"/>
              </w:rPr>
              <w:t xml:space="preserve">Gates — Pipeline Stops if Any Gate Fails</w:t>
            </w:r>
          </w:p>
        </w:tc>
      </w:tr>
      <w:tr>
        <w:tc>
          <w:tcPr>
            <w:tcW w:type="dxa" w:w="240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1. Static Analysis</w:t>
            </w:r>
          </w:p>
        </w:tc>
        <w:tc>
          <w:tcPr>
            <w:tcW w:type="dxa" w:w="696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Lint · TypeScript type check · Secret scan · SAST (Semgrep) · Boundary violation rules</w:t>
            </w:r>
          </w:p>
        </w:tc>
      </w:tr>
      <w:tr>
        <w:tc>
          <w:tcPr>
            <w:tcW w:type="dxa" w:w="240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2. Unit Tests</w:t>
            </w:r>
          </w:p>
        </w:tc>
        <w:tc>
          <w:tcPr>
            <w:tcW w:type="dxa" w:w="696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All unit tests pass · Coverage threshold per tier · No unjustified skipped tests · Runtime &lt; 30s</w:t>
            </w:r>
          </w:p>
        </w:tc>
      </w:tr>
      <w:tr>
        <w:tc>
          <w:tcPr>
            <w:tcW w:type="dxa" w:w="240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3. Contract Validation</w:t>
            </w:r>
          </w:p>
        </w:tc>
        <w:tc>
          <w:tcPr>
            <w:tcW w:type="dxa" w:w="696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OpenAPI schema diff · Mode declaration present · Breaking change detection</w:t>
            </w:r>
          </w:p>
        </w:tc>
      </w:tr>
      <w:tr>
        <w:tc>
          <w:tcPr>
            <w:tcW w:type="dxa" w:w="240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4. Integration Tests</w:t>
            </w:r>
          </w:p>
        </w:tc>
        <w:tc>
          <w:tcPr>
            <w:tcW w:type="dxa" w:w="696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Migrations apply cleanly · All integration tests pass · DB constraints verified · Runtime &lt; 3m</w:t>
            </w:r>
          </w:p>
        </w:tc>
      </w:tr>
      <w:tr>
        <w:tc>
          <w:tcPr>
            <w:tcW w:type="dxa" w:w="240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5. API / Contract Tests</w:t>
            </w:r>
          </w:p>
        </w:tc>
        <w:tc>
          <w:tcPr>
            <w:tcW w:type="dxa" w:w="696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Status code matrix · jest-openapi schema assertions · Auth matrix · Runtime &lt; 60s</w:t>
            </w:r>
          </w:p>
        </w:tc>
      </w:tr>
      <w:tr>
        <w:tc>
          <w:tcPr>
            <w:tcW w:type="dxa" w:w="240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6. Security Gates</w:t>
            </w:r>
          </w:p>
        </w:tc>
        <w:tc>
          <w:tcPr>
            <w:tcW w:type="dxa" w:w="696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npm audit no critical CVEs · Semgrep no high severity · Secret scan clean</w:t>
            </w:r>
          </w:p>
        </w:tc>
      </w:tr>
      <w:tr>
        <w:tc>
          <w:tcPr>
            <w:tcW w:type="dxa" w:w="240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7. Performance Smoke</w:t>
            </w:r>
          </w:p>
        </w:tc>
        <w:tc>
          <w:tcPr>
            <w:tcW w:type="dxa" w:w="696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(Staging) p95 within declared budget · Query count within budget · Suite runtime &lt; 10m</w:t>
            </w:r>
          </w:p>
        </w:tc>
      </w:tr>
      <w:tr>
        <w:tc>
          <w:tcPr>
            <w:tcW w:type="dxa" w:w="240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8. DAST Scan</w:t>
            </w:r>
          </w:p>
        </w:tc>
        <w:tc>
          <w:tcPr>
            <w:tcW w:type="dxa" w:w="696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(Staging) OWASP ZAP baseline passing · No new critical/high findings</w:t>
            </w:r>
          </w:p>
        </w:tc>
      </w:tr>
      <w:tr>
        <w:tc>
          <w:tcPr>
            <w:tcW w:type="dxa" w:w="240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9. E2E Golden Paths</w:t>
            </w:r>
          </w:p>
        </w:tc>
        <w:tc>
          <w:tcPr>
            <w:tcW w:type="dxa" w:w="696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(Staging) All Golden Path tests pass · Trace artifacts generated · Deploy blocked if any GP fails</w:t>
            </w:r>
          </w:p>
        </w:tc>
      </w:tr>
    </w:tbl>
    <w:p>
      <w:pPr>
        <w:spacing w:after="80" w:before="0"/>
      </w:pPr>
      <w:r>
        <w:t xml:space="preserve"/>
      </w:r>
    </w:p>
    <w:p>
      <w:pPr>
        <w:pStyle w:val="Heading2"/>
        <w:shd w:fill="1B4FBF" w:val="clear"/>
        <w:spacing w:after="100" w:before="280"/>
        <w:ind w:left="160"/>
      </w:pPr>
      <w:r>
        <w:rPr>
          <w:rFonts w:ascii="Arial" w:cs="Arial" w:eastAsia="Arial" w:hAnsi="Arial"/>
          <w:b/>
          <w:bCs/>
          <w:color w:val="FFFFFF"/>
          <w:sz w:val="27"/>
          <w:szCs w:val="27"/>
        </w:rPr>
        <w:t xml:space="preserve">18.2  Test Reporting</w:t>
      </w:r>
    </w:p>
    <w:p>
      <w:pPr>
        <w:pStyle w:val="ListParagraph"/>
        <w:numPr>
          <w:ilvl w:val="0"/>
          <w:numId w:val="2"/>
        </w:numPr>
        <w:spacing w:after="55" w:before="55"/>
      </w:pPr>
      <w:r>
        <w:rPr>
          <w:rFonts w:ascii="Arial" w:cs="Arial" w:eastAsia="Arial" w:hAnsi="Arial"/>
          <w:b w:val="false"/>
          <w:bCs w:val="false"/>
          <w:color w:val="0F172A"/>
          <w:sz w:val="22"/>
          <w:szCs w:val="22"/>
        </w:rPr>
        <w:t xml:space="preserve">JUnit XML output from all runners — consumed by CI dashboard</w:t>
      </w:r>
    </w:p>
    <w:p>
      <w:pPr>
        <w:pStyle w:val="ListParagraph"/>
        <w:numPr>
          <w:ilvl w:val="0"/>
          <w:numId w:val="2"/>
        </w:numPr>
        <w:spacing w:after="55" w:before="55"/>
      </w:pPr>
      <w:r>
        <w:rPr>
          <w:rFonts w:ascii="Arial" w:cs="Arial" w:eastAsia="Arial" w:hAnsi="Arial"/>
          <w:b w:val="false"/>
          <w:bCs w:val="false"/>
          <w:color w:val="0F172A"/>
          <w:sz w:val="22"/>
          <w:szCs w:val="22"/>
        </w:rPr>
        <w:t xml:space="preserve">Coverage HTML reports published as PR artifacts</w:t>
      </w:r>
    </w:p>
    <w:p>
      <w:pPr>
        <w:pStyle w:val="ListParagraph"/>
        <w:numPr>
          <w:ilvl w:val="0"/>
          <w:numId w:val="2"/>
        </w:numPr>
        <w:spacing w:after="55" w:before="55"/>
      </w:pPr>
      <w:r>
        <w:rPr>
          <w:rFonts w:ascii="Arial" w:cs="Arial" w:eastAsia="Arial" w:hAnsi="Arial"/>
          <w:b w:val="false"/>
          <w:bCs w:val="false"/>
          <w:color w:val="0F172A"/>
          <w:sz w:val="22"/>
          <w:szCs w:val="22"/>
        </w:rPr>
        <w:t xml:space="preserve">E2E failures attach Playwright trace + video + screenshot automatically</w:t>
      </w:r>
    </w:p>
    <w:p>
      <w:pPr>
        <w:pStyle w:val="ListParagraph"/>
        <w:numPr>
          <w:ilvl w:val="0"/>
          <w:numId w:val="2"/>
        </w:numPr>
        <w:spacing w:after="55" w:before="55"/>
      </w:pPr>
      <w:r>
        <w:rPr>
          <w:rFonts w:ascii="Arial" w:cs="Arial" w:eastAsia="Arial" w:hAnsi="Arial"/>
          <w:b w:val="false"/>
          <w:bCs w:val="false"/>
          <w:color w:val="0F172A"/>
          <w:sz w:val="22"/>
          <w:szCs w:val="22"/>
        </w:rPr>
        <w:t xml:space="preserve">Flaky test rate tracked per suite — alert at 2%, halt feature work at 3%</w:t>
      </w:r>
    </w:p>
    <w:p>
      <w:pPr>
        <w:pStyle w:val="ListParagraph"/>
        <w:numPr>
          <w:ilvl w:val="0"/>
          <w:numId w:val="2"/>
        </w:numPr>
        <w:spacing w:after="55" w:before="55"/>
      </w:pPr>
      <w:r>
        <w:rPr>
          <w:rFonts w:ascii="Arial" w:cs="Arial" w:eastAsia="Arial" w:hAnsi="Arial"/>
          <w:b w:val="false"/>
          <w:bCs w:val="false"/>
          <w:color w:val="0F172A"/>
          <w:sz w:val="22"/>
          <w:szCs w:val="22"/>
        </w:rPr>
        <w:t xml:space="preserve">Weekly test health report: coverage trend, flaky count, slowest tests, defect escape rate</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8350F" w:sz="1"/>
              <w:left w:val="single" w:color="78350F" w:sz="12"/>
              <w:bottom w:val="single" w:color="78350F" w:sz="1"/>
              <w:right w:val="single" w:color="78350F" w:sz="1"/>
            </w:tcBorders>
            <w:shd w:fill="FEF3C7" w:val="clear"/>
            <w:tcMar>
              <w:top w:type="dxa" w:w="110"/>
              <w:left w:type="dxa" w:w="240"/>
              <w:bottom w:type="dxa" w:w="110"/>
              <w:right w:type="dxa" w:w="240"/>
            </w:tcMar>
          </w:tcPr>
          <w:p>
            <w:pPr>
              <w:spacing/>
            </w:pPr>
            <w:r>
              <w:rPr>
                <w:rFonts w:ascii="Arial" w:cs="Arial" w:eastAsia="Arial" w:hAnsi="Arial"/>
                <w:b/>
                <w:bCs/>
                <w:color w:val="78350F"/>
                <w:sz w:val="21"/>
                <w:szCs w:val="21"/>
              </w:rPr>
              <w:t xml:space="preserve">FLAKY TEST POLICY:  </w:t>
            </w:r>
            <w:r>
              <w:rPr>
                <w:rFonts w:ascii="Arial" w:cs="Arial" w:eastAsia="Arial" w:hAnsi="Arial"/>
                <w:color w:val="0F172A"/>
                <w:sz w:val="21"/>
                <w:szCs w:val="21"/>
              </w:rPr>
              <w:t xml:space="preserve">Quarantine within 24 hours. Fix SLA: P1 flakiness (blocking release) within 1 day; P2 flakiness within current sprint; P3 flakiness within 2 sprints. Root cause required — retries do not substitute for a fix. Teams above 3% flaky rate halt feature work.</w:t>
            </w:r>
          </w:p>
        </w:tc>
      </w:tr>
    </w:tbl>
    <w:p>
      <w:pPr>
        <w:pBdr>
          <w:bottom w:val="single" w:color="CBD5E1" w:sz="2" w:space="4"/>
        </w:pBdr>
        <w:spacing w:after="160" w:before="160"/>
      </w:pPr>
      <w:r>
        <w:t xml:space="preserve"/>
      </w:r>
    </w:p>
    <w:p>
      <w:pPr>
        <w:pStyle w:val="Heading1"/>
        <w:pBdr>
          <w:bottom w:val="single" w:color="1B4FBF" w:sz="6"/>
        </w:pBdr>
        <w:shd w:fill="0A1628" w:val="clear"/>
        <w:spacing w:after="160" w:before="400"/>
        <w:ind w:left="220"/>
      </w:pPr>
      <w:r>
        <w:rPr>
          <w:rFonts w:ascii="Arial" w:cs="Arial" w:eastAsia="Arial" w:hAnsi="Arial"/>
          <w:b/>
          <w:bCs/>
          <w:color w:val="FFFFFF"/>
          <w:sz w:val="36"/>
          <w:szCs w:val="36"/>
        </w:rPr>
        <w:t xml:space="preserve">19 · Defect Classification &amp; Management</w:t>
      </w:r>
    </w:p>
    <w:p>
      <w:pPr>
        <w:pStyle w:val="Heading2"/>
        <w:shd w:fill="1B4FBF" w:val="clear"/>
        <w:spacing w:after="100" w:before="280"/>
        <w:ind w:left="160"/>
      </w:pPr>
      <w:r>
        <w:rPr>
          <w:rFonts w:ascii="Arial" w:cs="Arial" w:eastAsia="Arial" w:hAnsi="Arial"/>
          <w:b/>
          <w:bCs/>
          <w:color w:val="FFFFFF"/>
          <w:sz w:val="27"/>
          <w:szCs w:val="27"/>
        </w:rPr>
        <w:t xml:space="preserve">19.1  Severity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880"/>
        <w:gridCol w:w="2040"/>
        <w:gridCol w:w="2880"/>
      </w:tblGrid>
      <w:tr>
        <w:trPr>
          <w:tblHeader/>
        </w:trPr>
        <w:tc>
          <w:tcPr>
            <w:tcW w:type="dxa" w:w="1560"/>
            <w:tcBorders>
              <w:top w:val="single" w:color="FFFFFF" w:sz="1"/>
              <w:left w:val="single" w:color="FFFFFF" w:sz="1"/>
              <w:bottom w:val="single" w:color="FFFFFF" w:sz="1"/>
              <w:right w:val="single" w:color="FFFFFF" w:sz="1"/>
            </w:tcBorders>
            <w:shd w:fill="0A1628" w:val="clear"/>
            <w:tcMar>
              <w:top w:type="dxa" w:w="110"/>
              <w:left w:type="dxa" w:w="160"/>
              <w:bottom w:type="dxa" w:w="110"/>
              <w:right w:type="dxa" w:w="160"/>
            </w:tcMar>
          </w:tcPr>
          <w:p>
            <w:pPr>
              <w:spacing/>
            </w:pPr>
            <w:r>
              <w:rPr>
                <w:rFonts w:ascii="Arial" w:cs="Arial" w:eastAsia="Arial" w:hAnsi="Arial"/>
                <w:b/>
                <w:bCs/>
                <w:color w:val="FFFFFF"/>
                <w:sz w:val="21"/>
                <w:szCs w:val="21"/>
              </w:rPr>
              <w:t xml:space="preserve">Severity</w:t>
            </w:r>
          </w:p>
        </w:tc>
        <w:tc>
          <w:tcPr>
            <w:tcW w:type="dxa" w:w="2880"/>
            <w:tcBorders>
              <w:top w:val="single" w:color="FFFFFF" w:sz="1"/>
              <w:left w:val="single" w:color="FFFFFF" w:sz="1"/>
              <w:bottom w:val="single" w:color="FFFFFF" w:sz="1"/>
              <w:right w:val="single" w:color="FFFFFF" w:sz="1"/>
            </w:tcBorders>
            <w:shd w:fill="0A1628" w:val="clear"/>
            <w:tcMar>
              <w:top w:type="dxa" w:w="110"/>
              <w:left w:type="dxa" w:w="160"/>
              <w:bottom w:type="dxa" w:w="110"/>
              <w:right w:type="dxa" w:w="160"/>
            </w:tcMar>
          </w:tcPr>
          <w:p>
            <w:pPr>
              <w:spacing/>
            </w:pPr>
            <w:r>
              <w:rPr>
                <w:rFonts w:ascii="Arial" w:cs="Arial" w:eastAsia="Arial" w:hAnsi="Arial"/>
                <w:b/>
                <w:bCs/>
                <w:color w:val="FFFFFF"/>
                <w:sz w:val="21"/>
                <w:szCs w:val="21"/>
              </w:rPr>
              <w:t xml:space="preserve">Definition</w:t>
            </w:r>
          </w:p>
        </w:tc>
        <w:tc>
          <w:tcPr>
            <w:tcW w:type="dxa" w:w="2040"/>
            <w:tcBorders>
              <w:top w:val="single" w:color="FFFFFF" w:sz="1"/>
              <w:left w:val="single" w:color="FFFFFF" w:sz="1"/>
              <w:bottom w:val="single" w:color="FFFFFF" w:sz="1"/>
              <w:right w:val="single" w:color="FFFFFF" w:sz="1"/>
            </w:tcBorders>
            <w:shd w:fill="0A1628" w:val="clear"/>
            <w:tcMar>
              <w:top w:type="dxa" w:w="110"/>
              <w:left w:type="dxa" w:w="160"/>
              <w:bottom w:type="dxa" w:w="110"/>
              <w:right w:type="dxa" w:w="160"/>
            </w:tcMar>
          </w:tcPr>
          <w:p>
            <w:pPr>
              <w:spacing/>
            </w:pPr>
            <w:r>
              <w:rPr>
                <w:rFonts w:ascii="Arial" w:cs="Arial" w:eastAsia="Arial" w:hAnsi="Arial"/>
                <w:b/>
                <w:bCs/>
                <w:color w:val="FFFFFF"/>
                <w:sz w:val="21"/>
                <w:szCs w:val="21"/>
              </w:rPr>
              <w:t xml:space="preserve">Response SLA</w:t>
            </w:r>
          </w:p>
        </w:tc>
        <w:tc>
          <w:tcPr>
            <w:tcW w:type="dxa" w:w="2880"/>
            <w:tcBorders>
              <w:top w:val="single" w:color="FFFFFF" w:sz="1"/>
              <w:left w:val="single" w:color="FFFFFF" w:sz="1"/>
              <w:bottom w:val="single" w:color="FFFFFF" w:sz="1"/>
              <w:right w:val="single" w:color="FFFFFF" w:sz="1"/>
            </w:tcBorders>
            <w:shd w:fill="0A1628" w:val="clear"/>
            <w:tcMar>
              <w:top w:type="dxa" w:w="110"/>
              <w:left w:type="dxa" w:w="160"/>
              <w:bottom w:type="dxa" w:w="110"/>
              <w:right w:type="dxa" w:w="160"/>
            </w:tcMar>
          </w:tcPr>
          <w:p>
            <w:pPr>
              <w:spacing/>
            </w:pPr>
            <w:r>
              <w:rPr>
                <w:rFonts w:ascii="Arial" w:cs="Arial" w:eastAsia="Arial" w:hAnsi="Arial"/>
                <w:b/>
                <w:bCs/>
                <w:color w:val="FFFFFF"/>
                <w:sz w:val="21"/>
                <w:szCs w:val="21"/>
              </w:rPr>
              <w:t xml:space="preserve">Example</w:t>
            </w:r>
          </w:p>
        </w:tc>
      </w:tr>
      <w:tr>
        <w:tc>
          <w:tcPr>
            <w:tcW w:type="dxa" w:w="156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P1 — Critical</w:t>
            </w:r>
          </w:p>
        </w:tc>
        <w:tc>
          <w:tcPr>
            <w:tcW w:type="dxa" w:w="288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Production down or data corrupted</w:t>
            </w:r>
          </w:p>
        </w:tc>
        <w:tc>
          <w:tcPr>
            <w:tcW w:type="dxa" w:w="204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Hotfix within 2h</w:t>
            </w:r>
          </w:p>
        </w:tc>
        <w:tc>
          <w:tcPr>
            <w:tcW w:type="dxa" w:w="288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Payment broken; user data overwritten</w:t>
            </w:r>
          </w:p>
        </w:tc>
      </w:tr>
      <w:tr>
        <w:tc>
          <w:tcPr>
            <w:tcW w:type="dxa" w:w="156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P2 — High</w:t>
            </w:r>
          </w:p>
        </w:tc>
        <w:tc>
          <w:tcPr>
            <w:tcW w:type="dxa" w:w="288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Core feature broken or major security vulnerability</w:t>
            </w:r>
          </w:p>
        </w:tc>
        <w:tc>
          <w:tcPr>
            <w:tcW w:type="dxa" w:w="204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Fix in current sprint</w:t>
            </w:r>
          </w:p>
        </w:tc>
        <w:tc>
          <w:tcPr>
            <w:tcW w:type="dxa" w:w="288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Login fails 20% of users; IDOR found</w:t>
            </w:r>
          </w:p>
        </w:tc>
      </w:tr>
      <w:tr>
        <w:tc>
          <w:tcPr>
            <w:tcW w:type="dxa" w:w="156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P3 — Medium</w:t>
            </w:r>
          </w:p>
        </w:tc>
        <w:tc>
          <w:tcPr>
            <w:tcW w:type="dxa" w:w="288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Degraded but workaround exists</w:t>
            </w:r>
          </w:p>
        </w:tc>
        <w:tc>
          <w:tcPr>
            <w:tcW w:type="dxa" w:w="204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Fix in next sprint</w:t>
            </w:r>
          </w:p>
        </w:tc>
        <w:tc>
          <w:tcPr>
            <w:tcW w:type="dxa" w:w="288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Pagination wrong order; misleading error</w:t>
            </w:r>
          </w:p>
        </w:tc>
      </w:tr>
      <w:tr>
        <w:tc>
          <w:tcPr>
            <w:tcW w:type="dxa" w:w="156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P4 — Low</w:t>
            </w:r>
          </w:p>
        </w:tc>
        <w:tc>
          <w:tcPr>
            <w:tcW w:type="dxa" w:w="288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Minor UX / cosmetic issue</w:t>
            </w:r>
          </w:p>
        </w:tc>
        <w:tc>
          <w:tcPr>
            <w:tcW w:type="dxa" w:w="204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Fix in backlog</w:t>
            </w:r>
          </w:p>
        </w:tc>
        <w:tc>
          <w:tcPr>
            <w:tcW w:type="dxa" w:w="288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Placeholder typo; button misaligned on mobile</w:t>
            </w:r>
          </w:p>
        </w:tc>
      </w:tr>
    </w:tbl>
    <w:p>
      <w:pPr>
        <w:spacing w:after="80" w:before="0"/>
      </w:pPr>
      <w:r>
        <w:t xml:space="preserve"/>
      </w:r>
    </w:p>
    <w:p>
      <w:pPr>
        <w:pStyle w:val="Heading2"/>
        <w:shd w:fill="1B4FBF" w:val="clear"/>
        <w:spacing w:after="100" w:before="280"/>
        <w:ind w:left="160"/>
      </w:pPr>
      <w:r>
        <w:rPr>
          <w:rFonts w:ascii="Arial" w:cs="Arial" w:eastAsia="Arial" w:hAnsi="Arial"/>
          <w:b/>
          <w:bCs/>
          <w:color w:val="FFFFFF"/>
          <w:sz w:val="27"/>
          <w:szCs w:val="27"/>
        </w:rPr>
        <w:t xml:space="preserve">19.2  Test-First Bug Fix Process (ISTQB-Aligned)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766E" w:sz="1"/>
              <w:left w:val="single" w:color="0F766E" w:sz="12"/>
              <w:bottom w:val="single" w:color="0F766E" w:sz="1"/>
              <w:right w:val="single" w:color="0F766E" w:sz="1"/>
            </w:tcBorders>
            <w:shd w:fill="CCFBF1" w:val="clear"/>
            <w:tcMar>
              <w:top w:type="dxa" w:w="110"/>
              <w:left w:type="dxa" w:w="240"/>
              <w:bottom w:type="dxa" w:w="110"/>
              <w:right w:type="dxa" w:w="240"/>
            </w:tcMar>
          </w:tcPr>
          <w:p>
            <w:pPr>
              <w:spacing/>
            </w:pPr>
            <w:r>
              <w:rPr>
                <w:rFonts w:ascii="Arial" w:cs="Arial" w:eastAsia="Arial" w:hAnsi="Arial"/>
                <w:b/>
                <w:bCs/>
                <w:color w:val="0F766E"/>
                <w:sz w:val="21"/>
                <w:szCs w:val="21"/>
              </w:rPr>
              <w:t xml:space="preserve">PROCESS:  </w:t>
            </w:r>
            <w:r>
              <w:rPr>
                <w:rFonts w:ascii="Arial" w:cs="Arial" w:eastAsia="Arial" w:hAnsi="Arial"/>
                <w:color w:val="0F172A"/>
                <w:sz w:val="21"/>
                <w:szCs w:val="21"/>
              </w:rPr>
              <w:t xml:space="preserve">(1) Write a failing test that reproduces the defect. (2) Confirm the test fails. (3) Fix the code. (4) Confirm the test now passes. (5) Add to regression suite permanently. This guarantees the defect cannot silently regress.</w:t>
            </w:r>
          </w:p>
        </w:tc>
      </w:tr>
    </w:tbl>
    <w:p>
      <w:pPr>
        <w:spacing w:after="80" w:before="0"/>
      </w:pPr>
      <w:r>
        <w:t xml:space="preserve"/>
      </w:r>
    </w:p>
    <w:p>
      <w:pPr>
        <w:pStyle w:val="Heading2"/>
        <w:shd w:fill="1B4FBF" w:val="clear"/>
        <w:spacing w:after="100" w:before="280"/>
        <w:ind w:left="160"/>
      </w:pPr>
      <w:r>
        <w:rPr>
          <w:rFonts w:ascii="Arial" w:cs="Arial" w:eastAsia="Arial" w:hAnsi="Arial"/>
          <w:b/>
          <w:bCs/>
          <w:color w:val="FFFFFF"/>
          <w:sz w:val="27"/>
          <w:szCs w:val="27"/>
        </w:rPr>
        <w:t xml:space="preserve">19.3  Defect Escape Analysis</w:t>
      </w:r>
    </w:p>
    <w:p>
      <w:pPr>
        <w:pStyle w:val="ListParagraph"/>
        <w:numPr>
          <w:ilvl w:val="0"/>
          <w:numId w:val="2"/>
        </w:numPr>
        <w:spacing w:after="55" w:before="55"/>
      </w:pPr>
      <w:r>
        <w:rPr>
          <w:rFonts w:ascii="Arial" w:cs="Arial" w:eastAsia="Arial" w:hAnsi="Arial"/>
          <w:b w:val="false"/>
          <w:bCs w:val="false"/>
          <w:color w:val="0F172A"/>
          <w:sz w:val="22"/>
          <w:szCs w:val="22"/>
        </w:rPr>
        <w:t xml:space="preserve">Any P1 or P2 defect escaping to production triggers a post-mortem</w:t>
      </w:r>
    </w:p>
    <w:p>
      <w:pPr>
        <w:pStyle w:val="ListParagraph"/>
        <w:numPr>
          <w:ilvl w:val="0"/>
          <w:numId w:val="2"/>
        </w:numPr>
        <w:spacing w:after="55" w:before="55"/>
      </w:pPr>
      <w:r>
        <w:rPr>
          <w:rFonts w:ascii="Arial" w:cs="Arial" w:eastAsia="Arial" w:hAnsi="Arial"/>
          <w:b w:val="false"/>
          <w:bCs w:val="false"/>
          <w:color w:val="0F172A"/>
          <w:sz w:val="22"/>
          <w:szCs w:val="22"/>
        </w:rPr>
        <w:t xml:space="preserve">Post-mortem must answer: which test layer should have caught this? Why did it not?</w:t>
      </w:r>
    </w:p>
    <w:p>
      <w:pPr>
        <w:pStyle w:val="ListParagraph"/>
        <w:numPr>
          <w:ilvl w:val="0"/>
          <w:numId w:val="2"/>
        </w:numPr>
        <w:spacing w:after="55" w:before="55"/>
      </w:pPr>
      <w:r>
        <w:rPr>
          <w:rFonts w:ascii="Arial" w:cs="Arial" w:eastAsia="Arial" w:hAnsi="Arial"/>
          <w:b w:val="false"/>
          <w:bCs w:val="false"/>
          <w:color w:val="0F172A"/>
          <w:sz w:val="22"/>
          <w:szCs w:val="22"/>
        </w:rPr>
        <w:t xml:space="preserve">Result of every post-mortem is a new test case added to the relevant suite before next sprint</w:t>
      </w:r>
    </w:p>
    <w:p>
      <w:pPr>
        <w:pStyle w:val="ListParagraph"/>
        <w:numPr>
          <w:ilvl w:val="0"/>
          <w:numId w:val="2"/>
        </w:numPr>
        <w:spacing w:after="55" w:before="55"/>
      </w:pPr>
      <w:r>
        <w:rPr>
          <w:rFonts w:ascii="Arial" w:cs="Arial" w:eastAsia="Arial" w:hAnsi="Arial"/>
          <w:b w:val="false"/>
          <w:bCs w:val="false"/>
          <w:color w:val="0F172A"/>
          <w:sz w:val="22"/>
          <w:szCs w:val="22"/>
        </w:rPr>
        <w:t xml:space="preserve">Defect escape rate tracked per squad — reviewed in Sprint Retrospective</w:t>
      </w:r>
    </w:p>
    <w:p>
      <w:pPr>
        <w:pBdr>
          <w:bottom w:val="single" w:color="CBD5E1" w:sz="2" w:space="4"/>
        </w:pBdr>
        <w:spacing w:after="160" w:before="160"/>
      </w:pPr>
      <w:r>
        <w:t xml:space="preserve"/>
      </w:r>
    </w:p>
    <w:p>
      <w:pPr>
        <w:pStyle w:val="Heading1"/>
        <w:pBdr>
          <w:bottom w:val="single" w:color="1B4FBF" w:sz="6"/>
        </w:pBdr>
        <w:shd w:fill="0A1628" w:val="clear"/>
        <w:spacing w:after="160" w:before="400"/>
        <w:ind w:left="220"/>
      </w:pPr>
      <w:r>
        <w:rPr>
          <w:rFonts w:ascii="Arial" w:cs="Arial" w:eastAsia="Arial" w:hAnsi="Arial"/>
          <w:b/>
          <w:bCs/>
          <w:color w:val="FFFFFF"/>
          <w:sz w:val="36"/>
          <w:szCs w:val="36"/>
        </w:rPr>
        <w:t xml:space="preserve">20 · Exception Handling Framework</w:t>
      </w:r>
    </w:p>
    <w:p>
      <w:pPr>
        <w:spacing w:after="80" w:before="80"/>
      </w:pPr>
      <w:r>
        <w:rPr>
          <w:rFonts w:ascii="Arial" w:cs="Arial" w:eastAsia="Arial" w:hAnsi="Arial"/>
          <w:b w:val="false"/>
          <w:bCs w:val="false"/>
          <w:i w:val="false"/>
          <w:iCs w:val="false"/>
          <w:color w:val="0F172A"/>
          <w:sz w:val="22"/>
          <w:szCs w:val="22"/>
        </w:rPr>
        <w:t xml:space="preserve">Teams will sometimes have legitimate reasons to temporarily deviate from this SOP. This section defines the formal process for requesting, granting, and tracking exceptions — preventing silent rule violations while accommodating real-world constraints.</w:t>
      </w:r>
    </w:p>
    <w:p>
      <w:pPr>
        <w:spacing w:after="60" w:before="0"/>
      </w:pPr>
      <w:r>
        <w:t xml:space="preserve"/>
      </w:r>
    </w:p>
    <w:p>
      <w:pPr>
        <w:pStyle w:val="Heading2"/>
        <w:shd w:fill="1B4FBF" w:val="clear"/>
        <w:spacing w:after="100" w:before="280"/>
        <w:ind w:left="160"/>
      </w:pPr>
      <w:r>
        <w:rPr>
          <w:rFonts w:ascii="Arial" w:cs="Arial" w:eastAsia="Arial" w:hAnsi="Arial"/>
          <w:b/>
          <w:bCs/>
          <w:color w:val="FFFFFF"/>
          <w:sz w:val="27"/>
          <w:szCs w:val="27"/>
        </w:rPr>
        <w:t xml:space="preserve">20.1  When Exceptions Are Valid</w:t>
      </w:r>
    </w:p>
    <w:p>
      <w:pPr>
        <w:pStyle w:val="ListParagraph"/>
        <w:numPr>
          <w:ilvl w:val="0"/>
          <w:numId w:val="2"/>
        </w:numPr>
        <w:spacing w:after="55" w:before="55"/>
      </w:pPr>
      <w:r>
        <w:rPr>
          <w:rFonts w:ascii="Arial" w:cs="Arial" w:eastAsia="Arial" w:hAnsi="Arial"/>
          <w:b w:val="false"/>
          <w:bCs w:val="false"/>
          <w:color w:val="0F172A"/>
          <w:sz w:val="22"/>
          <w:szCs w:val="22"/>
        </w:rPr>
        <w:t xml:space="preserve">Time-critical hotfix where the full test suite cannot be completed before deployment</w:t>
      </w:r>
    </w:p>
    <w:p>
      <w:pPr>
        <w:pStyle w:val="ListParagraph"/>
        <w:numPr>
          <w:ilvl w:val="0"/>
          <w:numId w:val="2"/>
        </w:numPr>
        <w:spacing w:after="55" w:before="55"/>
      </w:pPr>
      <w:r>
        <w:rPr>
          <w:rFonts w:ascii="Arial" w:cs="Arial" w:eastAsia="Arial" w:hAnsi="Arial"/>
          <w:b w:val="false"/>
          <w:bCs w:val="false"/>
          <w:color w:val="0F172A"/>
          <w:sz w:val="22"/>
          <w:szCs w:val="22"/>
        </w:rPr>
        <w:t xml:space="preserve">Third-party integration limitation — e.g., external provider has no test mode</w:t>
      </w:r>
    </w:p>
    <w:p>
      <w:pPr>
        <w:pStyle w:val="ListParagraph"/>
        <w:numPr>
          <w:ilvl w:val="0"/>
          <w:numId w:val="2"/>
        </w:numPr>
        <w:spacing w:after="55" w:before="55"/>
      </w:pPr>
      <w:r>
        <w:rPr>
          <w:rFonts w:ascii="Arial" w:cs="Arial" w:eastAsia="Arial" w:hAnsi="Arial"/>
          <w:b w:val="false"/>
          <w:bCs w:val="false"/>
          <w:color w:val="0F172A"/>
          <w:sz w:val="22"/>
          <w:szCs w:val="22"/>
        </w:rPr>
        <w:t xml:space="preserve">Coverage threshold temporarily unachievable due to legacy code without full refactor</w:t>
      </w:r>
    </w:p>
    <w:p>
      <w:pPr>
        <w:pStyle w:val="ListParagraph"/>
        <w:numPr>
          <w:ilvl w:val="0"/>
          <w:numId w:val="2"/>
        </w:numPr>
        <w:spacing w:after="55" w:before="55"/>
      </w:pPr>
      <w:r>
        <w:rPr>
          <w:rFonts w:ascii="Arial" w:cs="Arial" w:eastAsia="Arial" w:hAnsi="Arial"/>
          <w:b w:val="false"/>
          <w:bCs w:val="false"/>
          <w:color w:val="0F172A"/>
          <w:sz w:val="22"/>
          <w:szCs w:val="22"/>
        </w:rPr>
        <w:t xml:space="preserve">Exploratory new technology where test patterns are not yet established</w:t>
      </w:r>
    </w:p>
    <w:p>
      <w:pPr>
        <w:spacing w:after="80" w:before="0"/>
      </w:pPr>
      <w:r>
        <w:t xml:space="preserve"/>
      </w:r>
    </w:p>
    <w:p>
      <w:pPr>
        <w:pStyle w:val="Heading2"/>
        <w:shd w:fill="1B4FBF" w:val="clear"/>
        <w:spacing w:after="100" w:before="280"/>
        <w:ind w:left="160"/>
      </w:pPr>
      <w:r>
        <w:rPr>
          <w:rFonts w:ascii="Arial" w:cs="Arial" w:eastAsia="Arial" w:hAnsi="Arial"/>
          <w:b/>
          <w:bCs/>
          <w:color w:val="FFFFFF"/>
          <w:sz w:val="27"/>
          <w:szCs w:val="27"/>
        </w:rPr>
        <w:t xml:space="preserve">20.2  Exception Process</w:t>
      </w:r>
    </w:p>
    <w:p>
      <w:pPr>
        <w:pStyle w:val="ListParagraph"/>
        <w:numPr>
          <w:ilvl w:val="0"/>
          <w:numId w:val="3"/>
        </w:numPr>
        <w:spacing w:after="55" w:before="55"/>
      </w:pPr>
      <w:r>
        <w:rPr>
          <w:rFonts w:ascii="Arial" w:cs="Arial" w:eastAsia="Arial" w:hAnsi="Arial"/>
          <w:b w:val="false"/>
          <w:bCs w:val="false"/>
          <w:color w:val="0F172A"/>
          <w:sz w:val="22"/>
          <w:szCs w:val="22"/>
        </w:rPr>
        <w:t xml:space="preserve">Engineer identifies which SOP rule they need to deviate from</w:t>
      </w:r>
    </w:p>
    <w:p>
      <w:pPr>
        <w:pStyle w:val="ListParagraph"/>
        <w:numPr>
          <w:ilvl w:val="0"/>
          <w:numId w:val="3"/>
        </w:numPr>
        <w:spacing w:after="55" w:before="55"/>
      </w:pPr>
      <w:r>
        <w:rPr>
          <w:rFonts w:ascii="Arial" w:cs="Arial" w:eastAsia="Arial" w:hAnsi="Arial"/>
          <w:b w:val="false"/>
          <w:bCs w:val="false"/>
          <w:color w:val="0F172A"/>
          <w:sz w:val="22"/>
          <w:szCs w:val="22"/>
        </w:rPr>
        <w:t xml:space="preserve">Engineer documents: the rule, the justification, the risk, and the proposed mitigation</w:t>
      </w:r>
    </w:p>
    <w:p>
      <w:pPr>
        <w:pStyle w:val="ListParagraph"/>
        <w:numPr>
          <w:ilvl w:val="0"/>
          <w:numId w:val="3"/>
        </w:numPr>
        <w:spacing w:after="55" w:before="55"/>
      </w:pPr>
      <w:r>
        <w:rPr>
          <w:rFonts w:ascii="Arial" w:cs="Arial" w:eastAsia="Arial" w:hAnsi="Arial"/>
          <w:b w:val="false"/>
          <w:bCs w:val="false"/>
          <w:color w:val="0F172A"/>
          <w:sz w:val="22"/>
          <w:szCs w:val="22"/>
        </w:rPr>
        <w:t xml:space="preserve">Tech lead reviews and approves — all exceptions require explicit tech lead sign-off</w:t>
      </w:r>
    </w:p>
    <w:p>
      <w:pPr>
        <w:pStyle w:val="ListParagraph"/>
        <w:numPr>
          <w:ilvl w:val="0"/>
          <w:numId w:val="3"/>
        </w:numPr>
        <w:spacing w:after="55" w:before="55"/>
      </w:pPr>
      <w:r>
        <w:rPr>
          <w:rFonts w:ascii="Arial" w:cs="Arial" w:eastAsia="Arial" w:hAnsi="Arial"/>
          <w:b w:val="false"/>
          <w:bCs w:val="false"/>
          <w:color w:val="0F172A"/>
          <w:sz w:val="22"/>
          <w:szCs w:val="22"/>
        </w:rPr>
        <w:t xml:space="preserve">Exception recorded in the PR description and in the team's exception register</w:t>
      </w:r>
    </w:p>
    <w:p>
      <w:pPr>
        <w:pStyle w:val="ListParagraph"/>
        <w:numPr>
          <w:ilvl w:val="0"/>
          <w:numId w:val="3"/>
        </w:numPr>
        <w:spacing w:after="55" w:before="55"/>
      </w:pPr>
      <w:r>
        <w:rPr>
          <w:rFonts w:ascii="Arial" w:cs="Arial" w:eastAsia="Arial" w:hAnsi="Arial"/>
          <w:b w:val="false"/>
          <w:bCs w:val="false"/>
          <w:color w:val="0F172A"/>
          <w:sz w:val="22"/>
          <w:szCs w:val="22"/>
        </w:rPr>
        <w:t xml:space="preserve">Time-bound waiver set — maximum 1 sprint for coverage exceptions, maximum 2 weeks for process exceptions</w:t>
      </w:r>
    </w:p>
    <w:p>
      <w:pPr>
        <w:pStyle w:val="ListParagraph"/>
        <w:numPr>
          <w:ilvl w:val="0"/>
          <w:numId w:val="3"/>
        </w:numPr>
        <w:spacing w:after="55" w:before="55"/>
      </w:pPr>
      <w:r>
        <w:rPr>
          <w:rFonts w:ascii="Arial" w:cs="Arial" w:eastAsia="Arial" w:hAnsi="Arial"/>
          <w:b w:val="false"/>
          <w:bCs w:val="false"/>
          <w:color w:val="0F172A"/>
          <w:sz w:val="22"/>
          <w:szCs w:val="22"/>
        </w:rPr>
        <w:t xml:space="preserve">At waiver expiry, either the exception is remediated or a new exception request is submitted</w:t>
      </w:r>
    </w:p>
    <w:p>
      <w:pPr>
        <w:spacing w:after="60" w:before="0"/>
      </w:pPr>
      <w:r>
        <w:t xml:space="preserve"/>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 ✅ Exception documentation in PR (mandatory format)</w:t>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w:t>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 * EXCEPTION REQUEST</w:t>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 * Rule:         SOP Section 3.2 — Tier 1 service layer 80% branch coverage</w:t>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 * Justification: Legacy PaymentProcessor class has 400+ lines — full coverage</w:t>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 *                requires refactor that is scoped to Q3 initiative JIRA-5501</w:t>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 * Risk:          Medium — existing integration tests cover happy path</w:t>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 * Mitigation:    Added 5 new unit tests for the 3 highest-risk branches</w:t>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 * Waiver Expiry: 2026-05-01 (end of next sprint)</w:t>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 * Approved by:   @techLead (2026-04-10)</w:t>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 */</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8350F" w:sz="1"/>
              <w:left w:val="single" w:color="78350F" w:sz="12"/>
              <w:bottom w:val="single" w:color="78350F" w:sz="1"/>
              <w:right w:val="single" w:color="78350F" w:sz="1"/>
            </w:tcBorders>
            <w:shd w:fill="FEF3C7" w:val="clear"/>
            <w:tcMar>
              <w:top w:type="dxa" w:w="110"/>
              <w:left w:type="dxa" w:w="240"/>
              <w:bottom w:type="dxa" w:w="110"/>
              <w:right w:type="dxa" w:w="240"/>
            </w:tcMar>
          </w:tcPr>
          <w:p>
            <w:pPr>
              <w:spacing/>
            </w:pPr>
            <w:r>
              <w:rPr>
                <w:rFonts w:ascii="Arial" w:cs="Arial" w:eastAsia="Arial" w:hAnsi="Arial"/>
                <w:b/>
                <w:bCs/>
                <w:color w:val="78350F"/>
                <w:sz w:val="21"/>
                <w:szCs w:val="21"/>
              </w:rPr>
              <w:t xml:space="preserve">IMPORTANT:  </w:t>
            </w:r>
            <w:r>
              <w:rPr>
                <w:rFonts w:ascii="Arial" w:cs="Arial" w:eastAsia="Arial" w:hAnsi="Arial"/>
                <w:color w:val="0F172A"/>
                <w:sz w:val="21"/>
                <w:szCs w:val="21"/>
              </w:rPr>
              <w:t xml:space="preserve">Exceptions are not approvals to ignore quality. They are formal acknowledgements of a known gap with a time-bound remediation plan. Expired exceptions with no remediation are escalated to engineering leadership.</w:t>
            </w:r>
          </w:p>
        </w:tc>
      </w:tr>
    </w:tbl>
    <w:p>
      <w:pPr>
        <w:pBdr>
          <w:bottom w:val="single" w:color="CBD5E1" w:sz="2" w:space="4"/>
        </w:pBdr>
        <w:spacing w:after="160" w:before="160"/>
      </w:pPr>
      <w:r>
        <w:t xml:space="preserve"/>
      </w:r>
    </w:p>
    <w:p>
      <w:pPr>
        <w:pStyle w:val="Heading1"/>
        <w:pBdr>
          <w:bottom w:val="single" w:color="1B4FBF" w:sz="6"/>
        </w:pBdr>
        <w:shd w:fill="0A1628" w:val="clear"/>
        <w:spacing w:after="160" w:before="400"/>
        <w:ind w:left="220"/>
      </w:pPr>
      <w:r>
        <w:rPr>
          <w:rFonts w:ascii="Arial" w:cs="Arial" w:eastAsia="Arial" w:hAnsi="Arial"/>
          <w:b/>
          <w:bCs/>
          <w:color w:val="FFFFFF"/>
          <w:sz w:val="36"/>
          <w:szCs w:val="36"/>
        </w:rPr>
        <w:t xml:space="preserve">21 · Test Environment Management</w:t>
      </w:r>
    </w:p>
    <w:p>
      <w:pPr>
        <w:pStyle w:val="Heading2"/>
        <w:shd w:fill="1B4FBF" w:val="clear"/>
        <w:spacing w:after="100" w:before="280"/>
        <w:ind w:left="160"/>
      </w:pPr>
      <w:r>
        <w:rPr>
          <w:rFonts w:ascii="Arial" w:cs="Arial" w:eastAsia="Arial" w:hAnsi="Arial"/>
          <w:b/>
          <w:bCs/>
          <w:color w:val="FFFFFF"/>
          <w:sz w:val="27"/>
          <w:szCs w:val="27"/>
        </w:rPr>
        <w:t xml:space="preserve">21.1  Environment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FFFFFF" w:sz="1"/>
              <w:left w:val="single" w:color="FFFFFF" w:sz="1"/>
              <w:bottom w:val="single" w:color="FFFFFF" w:sz="1"/>
              <w:right w:val="single" w:color="FFFFFF" w:sz="1"/>
            </w:tcBorders>
            <w:shd w:fill="0A1628" w:val="clear"/>
            <w:tcMar>
              <w:top w:type="dxa" w:w="110"/>
              <w:left w:type="dxa" w:w="160"/>
              <w:bottom w:type="dxa" w:w="110"/>
              <w:right w:type="dxa" w:w="160"/>
            </w:tcMar>
          </w:tcPr>
          <w:p>
            <w:pPr>
              <w:spacing/>
            </w:pPr>
            <w:r>
              <w:rPr>
                <w:rFonts w:ascii="Arial" w:cs="Arial" w:eastAsia="Arial" w:hAnsi="Arial"/>
                <w:b/>
                <w:bCs/>
                <w:color w:val="FFFFFF"/>
                <w:sz w:val="21"/>
                <w:szCs w:val="21"/>
              </w:rPr>
              <w:t xml:space="preserve">Environment</w:t>
            </w:r>
          </w:p>
        </w:tc>
        <w:tc>
          <w:tcPr>
            <w:tcW w:type="dxa" w:w="6960"/>
            <w:tcBorders>
              <w:top w:val="single" w:color="FFFFFF" w:sz="1"/>
              <w:left w:val="single" w:color="FFFFFF" w:sz="1"/>
              <w:bottom w:val="single" w:color="FFFFFF" w:sz="1"/>
              <w:right w:val="single" w:color="FFFFFF" w:sz="1"/>
            </w:tcBorders>
            <w:shd w:fill="0A1628" w:val="clear"/>
            <w:tcMar>
              <w:top w:type="dxa" w:w="110"/>
              <w:left w:type="dxa" w:w="160"/>
              <w:bottom w:type="dxa" w:w="110"/>
              <w:right w:type="dxa" w:w="160"/>
            </w:tcMar>
          </w:tcPr>
          <w:p>
            <w:pPr>
              <w:spacing/>
            </w:pPr>
            <w:r>
              <w:rPr>
                <w:rFonts w:ascii="Arial" w:cs="Arial" w:eastAsia="Arial" w:hAnsi="Arial"/>
                <w:b/>
                <w:bCs/>
                <w:color w:val="FFFFFF"/>
                <w:sz w:val="21"/>
                <w:szCs w:val="21"/>
              </w:rPr>
              <w:t xml:space="preserve">Purpose &amp; Rules</w:t>
            </w:r>
          </w:p>
        </w:tc>
      </w:tr>
      <w:tr>
        <w:tc>
          <w:tcPr>
            <w:tcW w:type="dxa" w:w="240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Local Dev</w:t>
            </w:r>
          </w:p>
        </w:tc>
        <w:tc>
          <w:tcPr>
            <w:tcW w:type="dxa" w:w="696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Unit + integration tests only. Docker containers for DB/cache. No shared services. Runs offline.</w:t>
            </w:r>
          </w:p>
        </w:tc>
      </w:tr>
      <w:tr>
        <w:tc>
          <w:tcPr>
            <w:tcW w:type="dxa" w:w="240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CI (ephemeral)</w:t>
            </w:r>
          </w:p>
        </w:tc>
        <w:tc>
          <w:tcPr>
            <w:tcW w:type="dxa" w:w="696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All tests to API layer. Spun up fresh per PR. Testcontainers. Destroyed after run. Immutable.</w:t>
            </w:r>
          </w:p>
        </w:tc>
      </w:tr>
      <w:tr>
        <w:tc>
          <w:tcPr>
            <w:tcW w:type="dxa" w:w="240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Staging</w:t>
            </w:r>
          </w:p>
        </w:tc>
        <w:tc>
          <w:tcPr>
            <w:tcW w:type="dxa" w:w="696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E2E, performance, DAST. Mirrors prod config. Non-prod API keys. Reset to known seed state before E2E.</w:t>
            </w:r>
          </w:p>
        </w:tc>
      </w:tr>
      <w:tr>
        <w:tc>
          <w:tcPr>
            <w:tcW w:type="dxa" w:w="240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Production</w:t>
            </w:r>
          </w:p>
        </w:tc>
        <w:tc>
          <w:tcPr>
            <w:tcW w:type="dxa" w:w="696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Zero automated tests. Passive synthetic monitoring only. No test data ever written here.</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91B1B" w:sz="1"/>
              <w:left w:val="single" w:color="991B1B" w:sz="12"/>
              <w:bottom w:val="single" w:color="991B1B" w:sz="1"/>
              <w:right w:val="single" w:color="991B1B" w:sz="1"/>
            </w:tcBorders>
            <w:shd w:fill="FEE2E2" w:val="clear"/>
            <w:tcMar>
              <w:top w:type="dxa" w:w="110"/>
              <w:left w:type="dxa" w:w="240"/>
              <w:bottom w:type="dxa" w:w="110"/>
              <w:right w:type="dxa" w:w="240"/>
            </w:tcMar>
          </w:tcPr>
          <w:p>
            <w:pPr>
              <w:spacing/>
            </w:pPr>
            <w:r>
              <w:rPr>
                <w:rFonts w:ascii="Arial" w:cs="Arial" w:eastAsia="Arial" w:hAnsi="Arial"/>
                <w:b/>
                <w:bCs/>
                <w:color w:val="991B1B"/>
                <w:sz w:val="21"/>
                <w:szCs w:val="21"/>
              </w:rPr>
              <w:t xml:space="preserve">CRITICAL:  </w:t>
            </w:r>
            <w:r>
              <w:rPr>
                <w:rFonts w:ascii="Arial" w:cs="Arial" w:eastAsia="Arial" w:hAnsi="Arial"/>
                <w:color w:val="0F172A"/>
                <w:sz w:val="21"/>
                <w:szCs w:val="21"/>
              </w:rPr>
              <w:t xml:space="preserve">If a test accidentally targets production and writes data, treat it as an incident. Implement network-level blocks and IAM restrictions. Audit logs must be reviewed. Root cause documented.</w:t>
            </w:r>
          </w:p>
        </w:tc>
      </w:tr>
    </w:tbl>
    <w:p>
      <w:pPr>
        <w:pBdr>
          <w:bottom w:val="single" w:color="CBD5E1" w:sz="2" w:space="4"/>
        </w:pBdr>
        <w:spacing w:after="160" w:before="160"/>
      </w:pPr>
      <w:r>
        <w:t xml:space="preserve"/>
      </w:r>
    </w:p>
    <w:p>
      <w:pPr>
        <w:pStyle w:val="Heading1"/>
        <w:pBdr>
          <w:bottom w:val="single" w:color="1B4FBF" w:sz="6"/>
        </w:pBdr>
        <w:shd w:fill="0A1628" w:val="clear"/>
        <w:spacing w:after="160" w:before="400"/>
        <w:ind w:left="220"/>
      </w:pPr>
      <w:r>
        <w:rPr>
          <w:rFonts w:ascii="Arial" w:cs="Arial" w:eastAsia="Arial" w:hAnsi="Arial"/>
          <w:b/>
          <w:bCs/>
          <w:color w:val="FFFFFF"/>
          <w:sz w:val="36"/>
          <w:szCs w:val="36"/>
        </w:rPr>
        <w:t xml:space="preserve">22 · Metrics &amp; Quality Reporting</w:t>
      </w:r>
    </w:p>
    <w:p>
      <w:pPr>
        <w:pStyle w:val="Heading2"/>
        <w:shd w:fill="1B4FBF" w:val="clear"/>
        <w:spacing w:after="100" w:before="280"/>
        <w:ind w:left="160"/>
      </w:pPr>
      <w:r>
        <w:rPr>
          <w:rFonts w:ascii="Arial" w:cs="Arial" w:eastAsia="Arial" w:hAnsi="Arial"/>
          <w:b/>
          <w:bCs/>
          <w:color w:val="FFFFFF"/>
          <w:sz w:val="27"/>
          <w:szCs w:val="27"/>
        </w:rPr>
        <w:t xml:space="preserve">22.1  Key Test Health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FFFFFF" w:sz="1"/>
              <w:left w:val="single" w:color="FFFFFF" w:sz="1"/>
              <w:bottom w:val="single" w:color="FFFFFF" w:sz="1"/>
              <w:right w:val="single" w:color="FFFFFF" w:sz="1"/>
            </w:tcBorders>
            <w:shd w:fill="0A1628" w:val="clear"/>
            <w:tcMar>
              <w:top w:type="dxa" w:w="110"/>
              <w:left w:type="dxa" w:w="160"/>
              <w:bottom w:type="dxa" w:w="110"/>
              <w:right w:type="dxa" w:w="160"/>
            </w:tcMar>
          </w:tcPr>
          <w:p>
            <w:pPr>
              <w:spacing/>
            </w:pPr>
            <w:r>
              <w:rPr>
                <w:rFonts w:ascii="Arial" w:cs="Arial" w:eastAsia="Arial" w:hAnsi="Arial"/>
                <w:b/>
                <w:bCs/>
                <w:color w:val="FFFFFF"/>
                <w:sz w:val="21"/>
                <w:szCs w:val="21"/>
              </w:rPr>
              <w:t xml:space="preserve">Metric</w:t>
            </w:r>
          </w:p>
        </w:tc>
        <w:tc>
          <w:tcPr>
            <w:tcW w:type="dxa" w:w="5760"/>
            <w:tcBorders>
              <w:top w:val="single" w:color="FFFFFF" w:sz="1"/>
              <w:left w:val="single" w:color="FFFFFF" w:sz="1"/>
              <w:bottom w:val="single" w:color="FFFFFF" w:sz="1"/>
              <w:right w:val="single" w:color="FFFFFF" w:sz="1"/>
            </w:tcBorders>
            <w:shd w:fill="0A1628" w:val="clear"/>
            <w:tcMar>
              <w:top w:type="dxa" w:w="110"/>
              <w:left w:type="dxa" w:w="160"/>
              <w:bottom w:type="dxa" w:w="110"/>
              <w:right w:type="dxa" w:w="160"/>
            </w:tcMar>
          </w:tcPr>
          <w:p>
            <w:pPr>
              <w:spacing/>
            </w:pPr>
            <w:r>
              <w:rPr>
                <w:rFonts w:ascii="Arial" w:cs="Arial" w:eastAsia="Arial" w:hAnsi="Arial"/>
                <w:b/>
                <w:bCs/>
                <w:color w:val="FFFFFF"/>
                <w:sz w:val="21"/>
                <w:szCs w:val="21"/>
              </w:rPr>
              <w:t xml:space="preserve">Target &amp; Alert Threshold</w:t>
            </w:r>
          </w:p>
        </w:tc>
      </w:tr>
      <w:tr>
        <w:tc>
          <w:tcPr>
            <w:tcW w:type="dxa" w:w="360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Overall coverage (Tier 1 STRICT)</w:t>
            </w:r>
          </w:p>
        </w:tc>
        <w:tc>
          <w:tcPr>
            <w:tcW w:type="dxa" w:w="576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 80% statement — alert if drops below 75%</w:t>
            </w:r>
          </w:p>
        </w:tc>
      </w:tr>
      <w:tr>
        <w:tc>
          <w:tcPr>
            <w:tcW w:type="dxa" w:w="360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Service layer branch coverage (Tier 0)</w:t>
            </w:r>
          </w:p>
        </w:tc>
        <w:tc>
          <w:tcPr>
            <w:tcW w:type="dxa" w:w="576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 90–95% — hard CI gate per declared tier</w:t>
            </w:r>
          </w:p>
        </w:tc>
      </w:tr>
      <w:tr>
        <w:tc>
          <w:tcPr>
            <w:tcW w:type="dxa" w:w="360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Mutation score (Tier 0 service layer)</w:t>
            </w:r>
          </w:p>
        </w:tc>
        <w:tc>
          <w:tcPr>
            <w:tcW w:type="dxa" w:w="576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 85% — run weekly; alert below 75%</w:t>
            </w:r>
          </w:p>
        </w:tc>
      </w:tr>
      <w:tr>
        <w:tc>
          <w:tcPr>
            <w:tcW w:type="dxa" w:w="360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Flaky test rate</w:t>
            </w:r>
          </w:p>
        </w:tc>
        <w:tc>
          <w:tcPr>
            <w:tcW w:type="dxa" w:w="576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&lt; 1% of total runs — alert at 2%, halt at 3%</w:t>
            </w:r>
          </w:p>
        </w:tc>
      </w:tr>
      <w:tr>
        <w:tc>
          <w:tcPr>
            <w:tcW w:type="dxa" w:w="360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API test suite runtime (CI)</w:t>
            </w:r>
          </w:p>
        </w:tc>
        <w:tc>
          <w:tcPr>
            <w:tcW w:type="dxa" w:w="576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&lt; 60s — fail CI if exceeded</w:t>
            </w:r>
          </w:p>
        </w:tc>
      </w:tr>
      <w:tr>
        <w:tc>
          <w:tcPr>
            <w:tcW w:type="dxa" w:w="360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Unit test suite runtime (CI)</w:t>
            </w:r>
          </w:p>
        </w:tc>
        <w:tc>
          <w:tcPr>
            <w:tcW w:type="dxa" w:w="576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&lt; 30s — fail CI if exceeded</w:t>
            </w:r>
          </w:p>
        </w:tc>
      </w:tr>
      <w:tr>
        <w:tc>
          <w:tcPr>
            <w:tcW w:type="dxa" w:w="360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E2E golden path pass rate (staging)</w:t>
            </w:r>
          </w:p>
        </w:tc>
        <w:tc>
          <w:tcPr>
            <w:tcW w:type="dxa" w:w="576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100% required — any failure blocks deployment</w:t>
            </w:r>
          </w:p>
        </w:tc>
      </w:tr>
      <w:tr>
        <w:tc>
          <w:tcPr>
            <w:tcW w:type="dxa" w:w="360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P1/P2 defect escape rate</w:t>
            </w:r>
          </w:p>
        </w:tc>
        <w:tc>
          <w:tcPr>
            <w:tcW w:type="dxa" w:w="576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0 per sprint target — tracked in retrospective</w:t>
            </w:r>
          </w:p>
        </w:tc>
      </w:tr>
      <w:tr>
        <w:tc>
          <w:tcPr>
            <w:tcW w:type="dxa" w:w="360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Mean time to detect (MTTD)</w:t>
            </w:r>
          </w:p>
        </w:tc>
        <w:tc>
          <w:tcPr>
            <w:tcW w:type="dxa" w:w="576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&lt; 1h for P1/P2 via monitoring or CI</w:t>
            </w:r>
          </w:p>
        </w:tc>
      </w:tr>
      <w:tr>
        <w:tc>
          <w:tcPr>
            <w:tcW w:type="dxa" w:w="360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Mean time to resolve (MTTR)</w:t>
            </w:r>
          </w:p>
        </w:tc>
        <w:tc>
          <w:tcPr>
            <w:tcW w:type="dxa" w:w="576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&lt; 4h P1 / &lt; 1 sprint P2</w:t>
            </w:r>
          </w:p>
        </w:tc>
      </w:tr>
      <w:tr>
        <w:tc>
          <w:tcPr>
            <w:tcW w:type="dxa" w:w="360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Exception register open count</w:t>
            </w:r>
          </w:p>
        </w:tc>
        <w:tc>
          <w:tcPr>
            <w:tcW w:type="dxa" w:w="576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 2 active exceptions per squad at any time</w:t>
            </w:r>
          </w:p>
        </w:tc>
      </w:tr>
    </w:tbl>
    <w:p>
      <w:pPr>
        <w:spacing w:after="80" w:before="0"/>
      </w:pPr>
      <w:r>
        <w:t xml:space="preserve"/>
      </w:r>
    </w:p>
    <w:p>
      <w:pPr>
        <w:pStyle w:val="Heading2"/>
        <w:shd w:fill="1B4FBF" w:val="clear"/>
        <w:spacing w:after="100" w:before="280"/>
        <w:ind w:left="160"/>
      </w:pPr>
      <w:r>
        <w:rPr>
          <w:rFonts w:ascii="Arial" w:cs="Arial" w:eastAsia="Arial" w:hAnsi="Arial"/>
          <w:b/>
          <w:bCs/>
          <w:color w:val="FFFFFF"/>
          <w:sz w:val="27"/>
          <w:szCs w:val="27"/>
        </w:rPr>
        <w:t xml:space="preserve">22.2  Sprint Retrospective — Test Health Review</w:t>
      </w:r>
    </w:p>
    <w:p>
      <w:pPr>
        <w:pStyle w:val="ListParagraph"/>
        <w:numPr>
          <w:ilvl w:val="0"/>
          <w:numId w:val="2"/>
        </w:numPr>
        <w:spacing w:after="55" w:before="55"/>
      </w:pPr>
      <w:r>
        <w:rPr>
          <w:rFonts w:ascii="Arial" w:cs="Arial" w:eastAsia="Arial" w:hAnsi="Arial"/>
          <w:b w:val="false"/>
          <w:bCs w:val="false"/>
          <w:color w:val="0F172A"/>
          <w:sz w:val="22"/>
          <w:szCs w:val="22"/>
        </w:rPr>
        <w:t xml:space="preserve">Coverage delta: did overall coverage increase, decrease, or hold this sprint?</w:t>
      </w:r>
    </w:p>
    <w:p>
      <w:pPr>
        <w:pStyle w:val="ListParagraph"/>
        <w:numPr>
          <w:ilvl w:val="0"/>
          <w:numId w:val="2"/>
        </w:numPr>
        <w:spacing w:after="55" w:before="55"/>
      </w:pPr>
      <w:r>
        <w:rPr>
          <w:rFonts w:ascii="Arial" w:cs="Arial" w:eastAsia="Arial" w:hAnsi="Arial"/>
          <w:b w:val="false"/>
          <w:bCs w:val="false"/>
          <w:color w:val="0F172A"/>
          <w:sz w:val="22"/>
          <w:szCs w:val="22"/>
        </w:rPr>
        <w:t xml:space="preserve">Flaky tests introduced or resolved this sprint</w:t>
      </w:r>
    </w:p>
    <w:p>
      <w:pPr>
        <w:pStyle w:val="ListParagraph"/>
        <w:numPr>
          <w:ilvl w:val="0"/>
          <w:numId w:val="2"/>
        </w:numPr>
        <w:spacing w:after="55" w:before="55"/>
      </w:pPr>
      <w:r>
        <w:rPr>
          <w:rFonts w:ascii="Arial" w:cs="Arial" w:eastAsia="Arial" w:hAnsi="Arial"/>
          <w:b w:val="false"/>
          <w:bCs w:val="false"/>
          <w:color w:val="0F172A"/>
          <w:sz w:val="22"/>
          <w:szCs w:val="22"/>
        </w:rPr>
        <w:t xml:space="preserve">New exceptions opened vs. exceptions remediated</w:t>
      </w:r>
    </w:p>
    <w:p>
      <w:pPr>
        <w:pStyle w:val="ListParagraph"/>
        <w:numPr>
          <w:ilvl w:val="0"/>
          <w:numId w:val="2"/>
        </w:numPr>
        <w:spacing w:after="55" w:before="55"/>
      </w:pPr>
      <w:r>
        <w:rPr>
          <w:rFonts w:ascii="Arial" w:cs="Arial" w:eastAsia="Arial" w:hAnsi="Arial"/>
          <w:b w:val="false"/>
          <w:bCs w:val="false"/>
          <w:color w:val="0F172A"/>
          <w:sz w:val="22"/>
          <w:szCs w:val="22"/>
        </w:rPr>
        <w:t xml:space="preserve">Slowest tests — are any suites approaching their runtime budget?</w:t>
      </w:r>
    </w:p>
    <w:p>
      <w:pPr>
        <w:pStyle w:val="ListParagraph"/>
        <w:numPr>
          <w:ilvl w:val="0"/>
          <w:numId w:val="2"/>
        </w:numPr>
        <w:spacing w:after="55" w:before="55"/>
      </w:pPr>
      <w:r>
        <w:rPr>
          <w:rFonts w:ascii="Arial" w:cs="Arial" w:eastAsia="Arial" w:hAnsi="Arial"/>
          <w:b w:val="false"/>
          <w:bCs w:val="false"/>
          <w:color w:val="0F172A"/>
          <w:sz w:val="22"/>
          <w:szCs w:val="22"/>
        </w:rPr>
        <w:t xml:space="preserve">Defect escapes: did any P1/P2 reach production? Post-mortem action items?</w:t>
      </w:r>
    </w:p>
    <w:p>
      <w:pPr>
        <w:pStyle w:val="ListParagraph"/>
        <w:numPr>
          <w:ilvl w:val="0"/>
          <w:numId w:val="2"/>
        </w:numPr>
        <w:spacing w:after="55" w:before="55"/>
      </w:pPr>
      <w:r>
        <w:rPr>
          <w:rFonts w:ascii="Arial" w:cs="Arial" w:eastAsia="Arial" w:hAnsi="Arial"/>
          <w:b w:val="false"/>
          <w:bCs w:val="false"/>
          <w:color w:val="0F172A"/>
          <w:sz w:val="22"/>
          <w:szCs w:val="22"/>
        </w:rPr>
        <w:t xml:space="preserve">Mutation score trend for Tier 0 services</w:t>
      </w:r>
    </w:p>
    <w:p>
      <w:pPr>
        <w:pBdr>
          <w:bottom w:val="single" w:color="CBD5E1" w:sz="2" w:space="4"/>
        </w:pBdr>
        <w:spacing w:after="160" w:before="160"/>
      </w:pPr>
      <w:r>
        <w:t xml:space="preserve"/>
      </w:r>
    </w:p>
    <w:p>
      <w:pPr>
        <w:pStyle w:val="Heading1"/>
        <w:pBdr>
          <w:bottom w:val="single" w:color="1B4FBF" w:sz="6"/>
        </w:pBdr>
        <w:shd w:fill="0A1628" w:val="clear"/>
        <w:spacing w:after="160" w:before="400"/>
        <w:ind w:left="220"/>
      </w:pPr>
      <w:r>
        <w:rPr>
          <w:rFonts w:ascii="Arial" w:cs="Arial" w:eastAsia="Arial" w:hAnsi="Arial"/>
          <w:b/>
          <w:bCs/>
          <w:color w:val="FFFFFF"/>
          <w:sz w:val="36"/>
          <w:szCs w:val="36"/>
        </w:rPr>
        <w:t xml:space="preserve">23 · SOP Governance</w:t>
      </w:r>
    </w:p>
    <w:p>
      <w:pPr>
        <w:spacing w:after="80" w:before="80"/>
      </w:pPr>
      <w:r>
        <w:rPr>
          <w:rFonts w:ascii="Arial" w:cs="Arial" w:eastAsia="Arial" w:hAnsi="Arial"/>
          <w:b w:val="false"/>
          <w:bCs w:val="false"/>
          <w:i w:val="false"/>
          <w:iCs w:val="false"/>
          <w:color w:val="0F172A"/>
          <w:sz w:val="22"/>
          <w:szCs w:val="22"/>
        </w:rPr>
        <w:t xml:space="preserve">A living SOP must be maintained, versioned, and owned. Without governance, it becomes stale and teams stop following it.</w:t>
      </w:r>
    </w:p>
    <w:p>
      <w:pPr>
        <w:spacing w:after="60" w:before="0"/>
      </w:pPr>
      <w:r>
        <w:t xml:space="preserve"/>
      </w:r>
    </w:p>
    <w:p>
      <w:pPr>
        <w:pStyle w:val="Heading2"/>
        <w:shd w:fill="1B4FBF" w:val="clear"/>
        <w:spacing w:after="100" w:before="280"/>
        <w:ind w:left="160"/>
      </w:pPr>
      <w:r>
        <w:rPr>
          <w:rFonts w:ascii="Arial" w:cs="Arial" w:eastAsia="Arial" w:hAnsi="Arial"/>
          <w:b/>
          <w:bCs/>
          <w:color w:val="FFFFFF"/>
          <w:sz w:val="27"/>
          <w:szCs w:val="27"/>
        </w:rPr>
        <w:t xml:space="preserve">23.1  Ownership &amp; Review Cadence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FFFFFF" w:sz="1"/>
              <w:left w:val="single" w:color="FFFFFF" w:sz="1"/>
              <w:bottom w:val="single" w:color="FFFFFF" w:sz="1"/>
              <w:right w:val="single" w:color="FFFFFF" w:sz="1"/>
            </w:tcBorders>
            <w:shd w:fill="0A1628" w:val="clear"/>
            <w:tcMar>
              <w:top w:type="dxa" w:w="110"/>
              <w:left w:type="dxa" w:w="160"/>
              <w:bottom w:type="dxa" w:w="110"/>
              <w:right w:type="dxa" w:w="160"/>
            </w:tcMar>
          </w:tcPr>
          <w:p>
            <w:pPr>
              <w:spacing/>
            </w:pPr>
            <w:r>
              <w:rPr>
                <w:rFonts w:ascii="Arial" w:cs="Arial" w:eastAsia="Arial" w:hAnsi="Arial"/>
                <w:b/>
                <w:bCs/>
                <w:color w:val="FFFFFF"/>
                <w:sz w:val="21"/>
                <w:szCs w:val="21"/>
              </w:rPr>
              <w:t xml:space="preserve">Responsibility</w:t>
            </w:r>
          </w:p>
        </w:tc>
        <w:tc>
          <w:tcPr>
            <w:tcW w:type="dxa" w:w="5760"/>
            <w:tcBorders>
              <w:top w:val="single" w:color="FFFFFF" w:sz="1"/>
              <w:left w:val="single" w:color="FFFFFF" w:sz="1"/>
              <w:bottom w:val="single" w:color="FFFFFF" w:sz="1"/>
              <w:right w:val="single" w:color="FFFFFF" w:sz="1"/>
            </w:tcBorders>
            <w:shd w:fill="0A1628" w:val="clear"/>
            <w:tcMar>
              <w:top w:type="dxa" w:w="110"/>
              <w:left w:type="dxa" w:w="160"/>
              <w:bottom w:type="dxa" w:w="110"/>
              <w:right w:type="dxa" w:w="160"/>
            </w:tcMar>
          </w:tcPr>
          <w:p>
            <w:pPr>
              <w:spacing/>
            </w:pPr>
            <w:r>
              <w:rPr>
                <w:rFonts w:ascii="Arial" w:cs="Arial" w:eastAsia="Arial" w:hAnsi="Arial"/>
                <w:b/>
                <w:bCs/>
                <w:color w:val="FFFFFF"/>
                <w:sz w:val="21"/>
                <w:szCs w:val="21"/>
              </w:rPr>
              <w:t xml:space="preserve">Owner &amp; Frequency</w:t>
            </w:r>
          </w:p>
        </w:tc>
      </w:tr>
      <w:tr>
        <w:tc>
          <w:tcPr>
            <w:tcW w:type="dxa" w:w="360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SOP primary owner</w:t>
            </w:r>
          </w:p>
        </w:tc>
        <w:tc>
          <w:tcPr>
            <w:tcW w:type="dxa" w:w="576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Staff Engineer / Head of Quality — reviews and approves all changes</w:t>
            </w:r>
          </w:p>
        </w:tc>
      </w:tr>
      <w:tr>
        <w:tc>
          <w:tcPr>
            <w:tcW w:type="dxa" w:w="360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Quarterly full review</w:t>
            </w:r>
          </w:p>
        </w:tc>
        <w:tc>
          <w:tcPr>
            <w:tcW w:type="dxa" w:w="576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SOP owner + one tech lead per squad — full read-through, relevance check</w:t>
            </w:r>
          </w:p>
        </w:tc>
      </w:tr>
      <w:tr>
        <w:tc>
          <w:tcPr>
            <w:tcW w:type="dxa" w:w="360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Change proposals</w:t>
            </w:r>
          </w:p>
        </w:tc>
        <w:tc>
          <w:tcPr>
            <w:tcW w:type="dxa" w:w="576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Any engineer may propose changes via PR against the SOP repository</w:t>
            </w:r>
          </w:p>
        </w:tc>
      </w:tr>
      <w:tr>
        <w:tc>
          <w:tcPr>
            <w:tcW w:type="dxa" w:w="360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Change approval</w:t>
            </w:r>
          </w:p>
        </w:tc>
        <w:tc>
          <w:tcPr>
            <w:tcW w:type="dxa" w:w="576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Requires: SOP owner approval + at least one senior engineer review</w:t>
            </w:r>
          </w:p>
        </w:tc>
      </w:tr>
      <w:tr>
        <w:tc>
          <w:tcPr>
            <w:tcW w:type="dxa" w:w="360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Emergency updates</w:t>
            </w:r>
          </w:p>
        </w:tc>
        <w:tc>
          <w:tcPr>
            <w:tcW w:type="dxa" w:w="576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SOP owner can publish urgent patches within 48h — flagged as hotfix</w:t>
            </w:r>
          </w:p>
        </w:tc>
      </w:tr>
    </w:tbl>
    <w:p>
      <w:pPr>
        <w:spacing w:after="80" w:before="0"/>
      </w:pPr>
      <w:r>
        <w:t xml:space="preserve"/>
      </w:r>
    </w:p>
    <w:p>
      <w:pPr>
        <w:pStyle w:val="Heading2"/>
        <w:shd w:fill="1B4FBF" w:val="clear"/>
        <w:spacing w:after="100" w:before="280"/>
        <w:ind w:left="160"/>
      </w:pPr>
      <w:r>
        <w:rPr>
          <w:rFonts w:ascii="Arial" w:cs="Arial" w:eastAsia="Arial" w:hAnsi="Arial"/>
          <w:b/>
          <w:bCs/>
          <w:color w:val="FFFFFF"/>
          <w:sz w:val="27"/>
          <w:szCs w:val="27"/>
        </w:rPr>
        <w:t xml:space="preserve">23.2  Version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FFFFFF" w:sz="1"/>
              <w:left w:val="single" w:color="FFFFFF" w:sz="1"/>
              <w:bottom w:val="single" w:color="FFFFFF" w:sz="1"/>
              <w:right w:val="single" w:color="FFFFFF" w:sz="1"/>
            </w:tcBorders>
            <w:shd w:fill="0A1628" w:val="clear"/>
            <w:tcMar>
              <w:top w:type="dxa" w:w="110"/>
              <w:left w:type="dxa" w:w="160"/>
              <w:bottom w:type="dxa" w:w="110"/>
              <w:right w:type="dxa" w:w="160"/>
            </w:tcMar>
          </w:tcPr>
          <w:p>
            <w:pPr>
              <w:spacing/>
            </w:pPr>
            <w:r>
              <w:rPr>
                <w:rFonts w:ascii="Arial" w:cs="Arial" w:eastAsia="Arial" w:hAnsi="Arial"/>
                <w:b/>
                <w:bCs/>
                <w:color w:val="FFFFFF"/>
                <w:sz w:val="21"/>
                <w:szCs w:val="21"/>
              </w:rPr>
              <w:t xml:space="preserve">Version</w:t>
            </w:r>
          </w:p>
        </w:tc>
        <w:tc>
          <w:tcPr>
            <w:tcW w:type="dxa" w:w="6960"/>
            <w:tcBorders>
              <w:top w:val="single" w:color="FFFFFF" w:sz="1"/>
              <w:left w:val="single" w:color="FFFFFF" w:sz="1"/>
              <w:bottom w:val="single" w:color="FFFFFF" w:sz="1"/>
              <w:right w:val="single" w:color="FFFFFF" w:sz="1"/>
            </w:tcBorders>
            <w:shd w:fill="0A1628" w:val="clear"/>
            <w:tcMar>
              <w:top w:type="dxa" w:w="110"/>
              <w:left w:type="dxa" w:w="160"/>
              <w:bottom w:type="dxa" w:w="110"/>
              <w:right w:type="dxa" w:w="160"/>
            </w:tcMar>
          </w:tcPr>
          <w:p>
            <w:pPr>
              <w:spacing/>
            </w:pPr>
            <w:r>
              <w:rPr>
                <w:rFonts w:ascii="Arial" w:cs="Arial" w:eastAsia="Arial" w:hAnsi="Arial"/>
                <w:b/>
                <w:bCs/>
                <w:color w:val="FFFFFF"/>
                <w:sz w:val="21"/>
                <w:szCs w:val="21"/>
              </w:rPr>
              <w:t xml:space="preserve">Summary of Changes</w:t>
            </w:r>
          </w:p>
        </w:tc>
      </w:tr>
      <w:tr>
        <w:tc>
          <w:tcPr>
            <w:tcW w:type="dxa" w:w="240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v1.0 — Feb 2026</w:t>
            </w:r>
          </w:p>
        </w:tc>
        <w:tc>
          <w:tcPr>
            <w:tcW w:type="dxa" w:w="696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Initial release. Unit, integration, API, E2E, performance, security, accessibility standards.</w:t>
            </w:r>
          </w:p>
        </w:tc>
      </w:tr>
      <w:tr>
        <w:tc>
          <w:tcPr>
            <w:tcW w:type="dxa" w:w="240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v2.0 — Apr 2026</w:t>
            </w:r>
          </w:p>
        </w:tc>
        <w:tc>
          <w:tcPr>
            <w:tcW w:type="dxa" w:w="696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ISTQB/Agile alignment. Service tier system. Relaxed coverage thresholds. Observability testing. PR review standards. Test smell catalogue. Exception process. Mutation testing. Data builders vs Object Mothers. Snapshot policy nuanced. Flaky test SLA by severity. SOP governance.</w:t>
            </w:r>
          </w:p>
        </w:tc>
      </w:tr>
    </w:tbl>
    <w:p>
      <w:pPr>
        <w:spacing w:after="80" w:before="0"/>
      </w:pPr>
      <w:r>
        <w:t xml:space="preserve"/>
      </w:r>
    </w:p>
    <w:p>
      <w:pPr>
        <w:pStyle w:val="Heading2"/>
        <w:shd w:fill="1B4FBF" w:val="clear"/>
        <w:spacing w:after="100" w:before="280"/>
        <w:ind w:left="160"/>
      </w:pPr>
      <w:r>
        <w:rPr>
          <w:rFonts w:ascii="Arial" w:cs="Arial" w:eastAsia="Arial" w:hAnsi="Arial"/>
          <w:b/>
          <w:bCs/>
          <w:color w:val="FFFFFF"/>
          <w:sz w:val="27"/>
          <w:szCs w:val="27"/>
        </w:rPr>
        <w:t xml:space="preserve">23.3  Change Process</w:t>
      </w:r>
    </w:p>
    <w:p>
      <w:pPr>
        <w:pStyle w:val="ListParagraph"/>
        <w:numPr>
          <w:ilvl w:val="0"/>
          <w:numId w:val="3"/>
        </w:numPr>
        <w:spacing w:after="55" w:before="55"/>
      </w:pPr>
      <w:r>
        <w:rPr>
          <w:rFonts w:ascii="Arial" w:cs="Arial" w:eastAsia="Arial" w:hAnsi="Arial"/>
          <w:b w:val="false"/>
          <w:bCs w:val="false"/>
          <w:color w:val="0F172A"/>
          <w:sz w:val="22"/>
          <w:szCs w:val="22"/>
        </w:rPr>
        <w:t xml:space="preserve">Open a PR against the SOP repository with the proposed change</w:t>
      </w:r>
    </w:p>
    <w:p>
      <w:pPr>
        <w:pStyle w:val="ListParagraph"/>
        <w:numPr>
          <w:ilvl w:val="0"/>
          <w:numId w:val="3"/>
        </w:numPr>
        <w:spacing w:after="55" w:before="55"/>
      </w:pPr>
      <w:r>
        <w:rPr>
          <w:rFonts w:ascii="Arial" w:cs="Arial" w:eastAsia="Arial" w:hAnsi="Arial"/>
          <w:b w:val="false"/>
          <w:bCs w:val="false"/>
          <w:color w:val="0F172A"/>
          <w:sz w:val="22"/>
          <w:szCs w:val="22"/>
        </w:rPr>
        <w:t xml:space="preserve">Describe: what is changing, why, and what the impact on teams is</w:t>
      </w:r>
    </w:p>
    <w:p>
      <w:pPr>
        <w:pStyle w:val="ListParagraph"/>
        <w:numPr>
          <w:ilvl w:val="0"/>
          <w:numId w:val="3"/>
        </w:numPr>
        <w:spacing w:after="55" w:before="55"/>
      </w:pPr>
      <w:r>
        <w:rPr>
          <w:rFonts w:ascii="Arial" w:cs="Arial" w:eastAsia="Arial" w:hAnsi="Arial"/>
          <w:b w:val="false"/>
          <w:bCs w:val="false"/>
          <w:color w:val="0F172A"/>
          <w:sz w:val="22"/>
          <w:szCs w:val="22"/>
        </w:rPr>
        <w:t xml:space="preserve">Tag SOP owner and at least one tech lead from a different squad for review</w:t>
      </w:r>
    </w:p>
    <w:p>
      <w:pPr>
        <w:pStyle w:val="ListParagraph"/>
        <w:numPr>
          <w:ilvl w:val="0"/>
          <w:numId w:val="3"/>
        </w:numPr>
        <w:spacing w:after="55" w:before="55"/>
      </w:pPr>
      <w:r>
        <w:rPr>
          <w:rFonts w:ascii="Arial" w:cs="Arial" w:eastAsia="Arial" w:hAnsi="Arial"/>
          <w:b w:val="false"/>
          <w:bCs w:val="false"/>
          <w:color w:val="0F172A"/>
          <w:sz w:val="22"/>
          <w:szCs w:val="22"/>
        </w:rPr>
        <w:t xml:space="preserve">Discussion period: minimum 5 working days for non-urgent changes</w:t>
      </w:r>
    </w:p>
    <w:p>
      <w:pPr>
        <w:pStyle w:val="ListParagraph"/>
        <w:numPr>
          <w:ilvl w:val="0"/>
          <w:numId w:val="3"/>
        </w:numPr>
        <w:spacing w:after="55" w:before="55"/>
      </w:pPr>
      <w:r>
        <w:rPr>
          <w:rFonts w:ascii="Arial" w:cs="Arial" w:eastAsia="Arial" w:hAnsi="Arial"/>
          <w:b w:val="false"/>
          <w:bCs w:val="false"/>
          <w:color w:val="0F172A"/>
          <w:sz w:val="22"/>
          <w:szCs w:val="22"/>
        </w:rPr>
        <w:t xml:space="preserve">On merge: bump version, update change log, announce in engineering channel</w:t>
      </w:r>
    </w:p>
    <w:p>
      <w:pPr>
        <w:pStyle w:val="ListParagraph"/>
        <w:numPr>
          <w:ilvl w:val="0"/>
          <w:numId w:val="3"/>
        </w:numPr>
        <w:spacing w:after="55" w:before="55"/>
      </w:pPr>
      <w:r>
        <w:rPr>
          <w:rFonts w:ascii="Arial" w:cs="Arial" w:eastAsia="Arial" w:hAnsi="Arial"/>
          <w:b w:val="false"/>
          <w:bCs w:val="false"/>
          <w:color w:val="0F172A"/>
          <w:sz w:val="22"/>
          <w:szCs w:val="22"/>
        </w:rPr>
        <w:t xml:space="preserve">Teams given 2 sprint cycles to align their practices to any new mandatory rule</w:t>
      </w:r>
    </w:p>
    <w:p>
      <w:pPr>
        <w:pBdr>
          <w:bottom w:val="single" w:color="CBD5E1" w:sz="2" w:space="4"/>
        </w:pBdr>
        <w:spacing w:after="160" w:before="160"/>
      </w:pPr>
      <w:r>
        <w:t xml:space="preserve"/>
      </w:r>
    </w:p>
    <w:p>
      <w:pPr>
        <w:pStyle w:val="Heading1"/>
        <w:pBdr>
          <w:bottom w:val="single" w:color="1B4FBF" w:sz="6"/>
        </w:pBdr>
        <w:shd w:fill="0A1628" w:val="clear"/>
        <w:spacing w:after="160" w:before="400"/>
        <w:ind w:left="220"/>
      </w:pPr>
      <w:r>
        <w:rPr>
          <w:rFonts w:ascii="Arial" w:cs="Arial" w:eastAsia="Arial" w:hAnsi="Arial"/>
          <w:b/>
          <w:bCs/>
          <w:color w:val="FFFFFF"/>
          <w:sz w:val="36"/>
          <w:szCs w:val="36"/>
        </w:rPr>
        <w:t xml:space="preserve">24 · Quick Decision Checklist</w:t>
      </w:r>
    </w:p>
    <w:p>
      <w:pPr>
        <w:spacing w:after="80" w:before="80"/>
      </w:pPr>
      <w:r>
        <w:rPr>
          <w:rFonts w:ascii="Arial" w:cs="Arial" w:eastAsia="Arial" w:hAnsi="Arial"/>
          <w:b w:val="false"/>
          <w:bCs w:val="false"/>
          <w:i w:val="false"/>
          <w:iCs w:val="false"/>
          <w:color w:val="0F172A"/>
          <w:sz w:val="22"/>
          <w:szCs w:val="22"/>
        </w:rPr>
        <w:t xml:space="preserve">Run through this before opening any PR. Every item must be ticked or explicitly marked N/A with a justification.</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7360"/>
        <w:gridCol w:w="1440"/>
      </w:tblGrid>
      <w:tr>
        <w:trPr>
          <w:tblHeader/>
        </w:trPr>
        <w:tc>
          <w:tcPr>
            <w:tcW w:type="dxa" w:w="560"/>
            <w:tcBorders>
              <w:top w:val="single" w:color="FFFFFF" w:sz="1"/>
              <w:left w:val="single" w:color="FFFFFF" w:sz="1"/>
              <w:bottom w:val="single" w:color="FFFFFF" w:sz="1"/>
              <w:right w:val="single" w:color="FFFFFF" w:sz="1"/>
            </w:tcBorders>
            <w:shd w:fill="0A1628" w:val="clear"/>
            <w:tcMar>
              <w:top w:type="dxa" w:w="110"/>
              <w:left w:type="dxa" w:w="160"/>
              <w:bottom w:type="dxa" w:w="110"/>
              <w:right w:type="dxa" w:w="160"/>
            </w:tcMar>
          </w:tcPr>
          <w:p>
            <w:pPr>
              <w:spacing/>
            </w:pPr>
            <w:r>
              <w:rPr>
                <w:rFonts w:ascii="Arial" w:cs="Arial" w:eastAsia="Arial" w:hAnsi="Arial"/>
                <w:b/>
                <w:bCs/>
                <w:color w:val="FFFFFF"/>
                <w:sz w:val="21"/>
                <w:szCs w:val="21"/>
              </w:rPr>
              <w:t xml:space="preserve"/>
            </w:r>
          </w:p>
        </w:tc>
        <w:tc>
          <w:tcPr>
            <w:tcW w:type="dxa" w:w="7360"/>
            <w:tcBorders>
              <w:top w:val="single" w:color="FFFFFF" w:sz="1"/>
              <w:left w:val="single" w:color="FFFFFF" w:sz="1"/>
              <w:bottom w:val="single" w:color="FFFFFF" w:sz="1"/>
              <w:right w:val="single" w:color="FFFFFF" w:sz="1"/>
            </w:tcBorders>
            <w:shd w:fill="0A1628" w:val="clear"/>
            <w:tcMar>
              <w:top w:type="dxa" w:w="110"/>
              <w:left w:type="dxa" w:w="160"/>
              <w:bottom w:type="dxa" w:w="110"/>
              <w:right w:type="dxa" w:w="160"/>
            </w:tcMar>
          </w:tcPr>
          <w:p>
            <w:pPr>
              <w:spacing/>
            </w:pPr>
            <w:r>
              <w:rPr>
                <w:rFonts w:ascii="Arial" w:cs="Arial" w:eastAsia="Arial" w:hAnsi="Arial"/>
                <w:b/>
                <w:bCs/>
                <w:color w:val="FFFFFF"/>
                <w:sz w:val="21"/>
                <w:szCs w:val="21"/>
              </w:rPr>
              <w:t xml:space="preserve">Checklist Item</w:t>
            </w:r>
          </w:p>
        </w:tc>
        <w:tc>
          <w:tcPr>
            <w:tcW w:type="dxa" w:w="1440"/>
            <w:tcBorders>
              <w:top w:val="single" w:color="FFFFFF" w:sz="1"/>
              <w:left w:val="single" w:color="FFFFFF" w:sz="1"/>
              <w:bottom w:val="single" w:color="FFFFFF" w:sz="1"/>
              <w:right w:val="single" w:color="FFFFFF" w:sz="1"/>
            </w:tcBorders>
            <w:shd w:fill="0A1628" w:val="clear"/>
            <w:tcMar>
              <w:top w:type="dxa" w:w="110"/>
              <w:left w:type="dxa" w:w="160"/>
              <w:bottom w:type="dxa" w:w="110"/>
              <w:right w:type="dxa" w:w="160"/>
            </w:tcMar>
          </w:tcPr>
          <w:p>
            <w:pPr>
              <w:spacing/>
            </w:pPr>
            <w:r>
              <w:rPr>
                <w:rFonts w:ascii="Arial" w:cs="Arial" w:eastAsia="Arial" w:hAnsi="Arial"/>
                <w:b/>
                <w:bCs/>
                <w:color w:val="FFFFFF"/>
                <w:sz w:val="21"/>
                <w:szCs w:val="21"/>
              </w:rPr>
              <w:t xml:space="preserve">When</w:t>
            </w:r>
          </w:p>
        </w:tc>
      </w:tr>
      <w:tr>
        <w:tc>
          <w:tcPr>
            <w:tcW w:type="dxa" w:w="560"/>
            <w:tcBorders>
              <w:top w:val="single" w:color="CBD5E1" w:sz="1"/>
              <w:left w:val="single" w:color="CBD5E1" w:sz="1"/>
              <w:bottom w:val="single" w:color="CBD5E1" w:sz="1"/>
              <w:right w:val="single" w:color="CBD5E1" w:sz="1"/>
            </w:tcBorders>
            <w:shd w:fill="FFFFFF" w:val="clear"/>
            <w:tcMar>
              <w:top w:type="dxa" w:w="85"/>
              <w:left w:type="dxa" w:w="120"/>
              <w:bottom w:type="dxa" w:w="85"/>
              <w:right w:type="dxa" w:w="120"/>
            </w:tcMar>
          </w:tcPr>
          <w:p>
            <w:pPr>
              <w:spacing/>
            </w:pPr>
            <w:r>
              <w:rPr>
                <w:rFonts w:ascii="Arial" w:cs="Arial" w:eastAsia="Arial" w:hAnsi="Arial"/>
                <w:color w:val="1B4FBF"/>
                <w:sz w:val="22"/>
                <w:szCs w:val="22"/>
              </w:rPr>
              <w:t xml:space="preserve">☐</w:t>
            </w:r>
          </w:p>
        </w:tc>
        <w:tc>
          <w:tcPr>
            <w:tcW w:type="dxa" w:w="736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Unit tests written for every new function, hook, or service method</w:t>
            </w:r>
          </w:p>
        </w:tc>
        <w:tc>
          <w:tcPr>
            <w:tcW w:type="dxa" w:w="1440"/>
            <w:tcBorders>
              <w:top w:val="single" w:color="CBD5E1" w:sz="1"/>
              <w:left w:val="single" w:color="CBD5E1" w:sz="1"/>
              <w:bottom w:val="single" w:color="CBD5E1" w:sz="1"/>
              <w:right w:val="single" w:color="CBD5E1" w:sz="1"/>
            </w:tcBorders>
            <w:shd w:fill="DCFCE7" w:val="clear"/>
            <w:tcMar>
              <w:top w:type="dxa" w:w="85"/>
              <w:left w:type="dxa" w:w="120"/>
              <w:bottom w:type="dxa" w:w="85"/>
              <w:right w:type="dxa" w:w="120"/>
            </w:tcMar>
          </w:tcPr>
          <w:p>
            <w:pPr>
              <w:spacing/>
            </w:pPr>
            <w:r>
              <w:rPr>
                <w:rFonts w:ascii="Arial" w:cs="Arial" w:eastAsia="Arial" w:hAnsi="Arial"/>
                <w:b/>
                <w:bCs/>
                <w:color w:val="065F46"/>
                <w:sz w:val="20"/>
                <w:szCs w:val="20"/>
              </w:rPr>
              <w:t xml:space="preserve">Mandatory</w:t>
            </w:r>
          </w:p>
        </w:tc>
      </w:tr>
      <w:tr>
        <w:tc>
          <w:tcPr>
            <w:tcW w:type="dxa" w:w="560"/>
            <w:tcBorders>
              <w:top w:val="single" w:color="CBD5E1" w:sz="1"/>
              <w:left w:val="single" w:color="CBD5E1" w:sz="1"/>
              <w:bottom w:val="single" w:color="CBD5E1" w:sz="1"/>
              <w:right w:val="single" w:color="CBD5E1" w:sz="1"/>
            </w:tcBorders>
            <w:shd w:fill="F1F5F9" w:val="clear"/>
            <w:tcMar>
              <w:top w:type="dxa" w:w="85"/>
              <w:left w:type="dxa" w:w="120"/>
              <w:bottom w:type="dxa" w:w="85"/>
              <w:right w:type="dxa" w:w="120"/>
            </w:tcMar>
          </w:tcPr>
          <w:p>
            <w:pPr>
              <w:spacing/>
            </w:pPr>
            <w:r>
              <w:rPr>
                <w:rFonts w:ascii="Arial" w:cs="Arial" w:eastAsia="Arial" w:hAnsi="Arial"/>
                <w:color w:val="1B4FBF"/>
                <w:sz w:val="22"/>
                <w:szCs w:val="22"/>
              </w:rPr>
              <w:t xml:space="preserve">☐</w:t>
            </w:r>
          </w:p>
        </w:tc>
        <w:tc>
          <w:tcPr>
            <w:tcW w:type="dxa" w:w="736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Every conditional branch has a test — not just the happy path</w:t>
            </w:r>
          </w:p>
        </w:tc>
        <w:tc>
          <w:tcPr>
            <w:tcW w:type="dxa" w:w="1440"/>
            <w:tcBorders>
              <w:top w:val="single" w:color="CBD5E1" w:sz="1"/>
              <w:left w:val="single" w:color="CBD5E1" w:sz="1"/>
              <w:bottom w:val="single" w:color="CBD5E1" w:sz="1"/>
              <w:right w:val="single" w:color="CBD5E1" w:sz="1"/>
            </w:tcBorders>
            <w:shd w:fill="DCFCE7" w:val="clear"/>
            <w:tcMar>
              <w:top w:type="dxa" w:w="85"/>
              <w:left w:type="dxa" w:w="120"/>
              <w:bottom w:type="dxa" w:w="85"/>
              <w:right w:type="dxa" w:w="120"/>
            </w:tcMar>
          </w:tcPr>
          <w:p>
            <w:pPr>
              <w:spacing/>
            </w:pPr>
            <w:r>
              <w:rPr>
                <w:rFonts w:ascii="Arial" w:cs="Arial" w:eastAsia="Arial" w:hAnsi="Arial"/>
                <w:b/>
                <w:bCs/>
                <w:color w:val="065F46"/>
                <w:sz w:val="20"/>
                <w:szCs w:val="20"/>
              </w:rPr>
              <w:t xml:space="preserve">Mandatory</w:t>
            </w:r>
          </w:p>
        </w:tc>
      </w:tr>
      <w:tr>
        <w:tc>
          <w:tcPr>
            <w:tcW w:type="dxa" w:w="560"/>
            <w:tcBorders>
              <w:top w:val="single" w:color="CBD5E1" w:sz="1"/>
              <w:left w:val="single" w:color="CBD5E1" w:sz="1"/>
              <w:bottom w:val="single" w:color="CBD5E1" w:sz="1"/>
              <w:right w:val="single" w:color="CBD5E1" w:sz="1"/>
            </w:tcBorders>
            <w:shd w:fill="FFFFFF" w:val="clear"/>
            <w:tcMar>
              <w:top w:type="dxa" w:w="85"/>
              <w:left w:type="dxa" w:w="120"/>
              <w:bottom w:type="dxa" w:w="85"/>
              <w:right w:type="dxa" w:w="120"/>
            </w:tcMar>
          </w:tcPr>
          <w:p>
            <w:pPr>
              <w:spacing/>
            </w:pPr>
            <w:r>
              <w:rPr>
                <w:rFonts w:ascii="Arial" w:cs="Arial" w:eastAsia="Arial" w:hAnsi="Arial"/>
                <w:color w:val="1B4FBF"/>
                <w:sz w:val="22"/>
                <w:szCs w:val="22"/>
              </w:rPr>
              <w:t xml:space="preserve">☐</w:t>
            </w:r>
          </w:p>
        </w:tc>
        <w:tc>
          <w:tcPr>
            <w:tcW w:type="dxa" w:w="736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Tests follow AAA structure with clear section separation</w:t>
            </w:r>
          </w:p>
        </w:tc>
        <w:tc>
          <w:tcPr>
            <w:tcW w:type="dxa" w:w="1440"/>
            <w:tcBorders>
              <w:top w:val="single" w:color="CBD5E1" w:sz="1"/>
              <w:left w:val="single" w:color="CBD5E1" w:sz="1"/>
              <w:bottom w:val="single" w:color="CBD5E1" w:sz="1"/>
              <w:right w:val="single" w:color="CBD5E1" w:sz="1"/>
            </w:tcBorders>
            <w:shd w:fill="DCFCE7" w:val="clear"/>
            <w:tcMar>
              <w:top w:type="dxa" w:w="85"/>
              <w:left w:type="dxa" w:w="120"/>
              <w:bottom w:type="dxa" w:w="85"/>
              <w:right w:type="dxa" w:w="120"/>
            </w:tcMar>
          </w:tcPr>
          <w:p>
            <w:pPr>
              <w:spacing/>
            </w:pPr>
            <w:r>
              <w:rPr>
                <w:rFonts w:ascii="Arial" w:cs="Arial" w:eastAsia="Arial" w:hAnsi="Arial"/>
                <w:b/>
                <w:bCs/>
                <w:color w:val="065F46"/>
                <w:sz w:val="20"/>
                <w:szCs w:val="20"/>
              </w:rPr>
              <w:t xml:space="preserve">Mandatory</w:t>
            </w:r>
          </w:p>
        </w:tc>
      </w:tr>
      <w:tr>
        <w:tc>
          <w:tcPr>
            <w:tcW w:type="dxa" w:w="560"/>
            <w:tcBorders>
              <w:top w:val="single" w:color="CBD5E1" w:sz="1"/>
              <w:left w:val="single" w:color="CBD5E1" w:sz="1"/>
              <w:bottom w:val="single" w:color="CBD5E1" w:sz="1"/>
              <w:right w:val="single" w:color="CBD5E1" w:sz="1"/>
            </w:tcBorders>
            <w:shd w:fill="F1F5F9" w:val="clear"/>
            <w:tcMar>
              <w:top w:type="dxa" w:w="85"/>
              <w:left w:type="dxa" w:w="120"/>
              <w:bottom w:type="dxa" w:w="85"/>
              <w:right w:type="dxa" w:w="120"/>
            </w:tcMar>
          </w:tcPr>
          <w:p>
            <w:pPr>
              <w:spacing/>
            </w:pPr>
            <w:r>
              <w:rPr>
                <w:rFonts w:ascii="Arial" w:cs="Arial" w:eastAsia="Arial" w:hAnsi="Arial"/>
                <w:color w:val="1B4FBF"/>
                <w:sz w:val="22"/>
                <w:szCs w:val="22"/>
              </w:rPr>
              <w:t xml:space="preserve">☐</w:t>
            </w:r>
          </w:p>
        </w:tc>
        <w:tc>
          <w:tcPr>
            <w:tcW w:type="dxa" w:w="736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Test names describe behaviour: should X when Y format</w:t>
            </w:r>
          </w:p>
        </w:tc>
        <w:tc>
          <w:tcPr>
            <w:tcW w:type="dxa" w:w="1440"/>
            <w:tcBorders>
              <w:top w:val="single" w:color="CBD5E1" w:sz="1"/>
              <w:left w:val="single" w:color="CBD5E1" w:sz="1"/>
              <w:bottom w:val="single" w:color="CBD5E1" w:sz="1"/>
              <w:right w:val="single" w:color="CBD5E1" w:sz="1"/>
            </w:tcBorders>
            <w:shd w:fill="DCFCE7" w:val="clear"/>
            <w:tcMar>
              <w:top w:type="dxa" w:w="85"/>
              <w:left w:type="dxa" w:w="120"/>
              <w:bottom w:type="dxa" w:w="85"/>
              <w:right w:type="dxa" w:w="120"/>
            </w:tcMar>
          </w:tcPr>
          <w:p>
            <w:pPr>
              <w:spacing/>
            </w:pPr>
            <w:r>
              <w:rPr>
                <w:rFonts w:ascii="Arial" w:cs="Arial" w:eastAsia="Arial" w:hAnsi="Arial"/>
                <w:b/>
                <w:bCs/>
                <w:color w:val="065F46"/>
                <w:sz w:val="20"/>
                <w:szCs w:val="20"/>
              </w:rPr>
              <w:t xml:space="preserve">Mandatory</w:t>
            </w:r>
          </w:p>
        </w:tc>
      </w:tr>
      <w:tr>
        <w:tc>
          <w:tcPr>
            <w:tcW w:type="dxa" w:w="560"/>
            <w:tcBorders>
              <w:top w:val="single" w:color="CBD5E1" w:sz="1"/>
              <w:left w:val="single" w:color="CBD5E1" w:sz="1"/>
              <w:bottom w:val="single" w:color="CBD5E1" w:sz="1"/>
              <w:right w:val="single" w:color="CBD5E1" w:sz="1"/>
            </w:tcBorders>
            <w:shd w:fill="FFFFFF" w:val="clear"/>
            <w:tcMar>
              <w:top w:type="dxa" w:w="85"/>
              <w:left w:type="dxa" w:w="120"/>
              <w:bottom w:type="dxa" w:w="85"/>
              <w:right w:type="dxa" w:w="120"/>
            </w:tcMar>
          </w:tcPr>
          <w:p>
            <w:pPr>
              <w:spacing/>
            </w:pPr>
            <w:r>
              <w:rPr>
                <w:rFonts w:ascii="Arial" w:cs="Arial" w:eastAsia="Arial" w:hAnsi="Arial"/>
                <w:color w:val="1B4FBF"/>
                <w:sz w:val="22"/>
                <w:szCs w:val="22"/>
              </w:rPr>
              <w:t xml:space="preserve">☐</w:t>
            </w:r>
          </w:p>
        </w:tc>
        <w:tc>
          <w:tcPr>
            <w:tcW w:type="dxa" w:w="736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All time-dependent logic uses fake timers — no real Date.now()</w:t>
            </w:r>
          </w:p>
        </w:tc>
        <w:tc>
          <w:tcPr>
            <w:tcW w:type="dxa" w:w="1440"/>
            <w:tcBorders>
              <w:top w:val="single" w:color="CBD5E1" w:sz="1"/>
              <w:left w:val="single" w:color="CBD5E1" w:sz="1"/>
              <w:bottom w:val="single" w:color="CBD5E1" w:sz="1"/>
              <w:right w:val="single" w:color="CBD5E1" w:sz="1"/>
            </w:tcBorders>
            <w:shd w:fill="DCFCE7" w:val="clear"/>
            <w:tcMar>
              <w:top w:type="dxa" w:w="85"/>
              <w:left w:type="dxa" w:w="120"/>
              <w:bottom w:type="dxa" w:w="85"/>
              <w:right w:type="dxa" w:w="120"/>
            </w:tcMar>
          </w:tcPr>
          <w:p>
            <w:pPr>
              <w:spacing/>
            </w:pPr>
            <w:r>
              <w:rPr>
                <w:rFonts w:ascii="Arial" w:cs="Arial" w:eastAsia="Arial" w:hAnsi="Arial"/>
                <w:b/>
                <w:bCs/>
                <w:color w:val="065F46"/>
                <w:sz w:val="20"/>
                <w:szCs w:val="20"/>
              </w:rPr>
              <w:t xml:space="preserve">Mandatory</w:t>
            </w:r>
          </w:p>
        </w:tc>
      </w:tr>
      <w:tr>
        <w:tc>
          <w:tcPr>
            <w:tcW w:type="dxa" w:w="560"/>
            <w:tcBorders>
              <w:top w:val="single" w:color="CBD5E1" w:sz="1"/>
              <w:left w:val="single" w:color="CBD5E1" w:sz="1"/>
              <w:bottom w:val="single" w:color="CBD5E1" w:sz="1"/>
              <w:right w:val="single" w:color="CBD5E1" w:sz="1"/>
            </w:tcBorders>
            <w:shd w:fill="F1F5F9" w:val="clear"/>
            <w:tcMar>
              <w:top w:type="dxa" w:w="85"/>
              <w:left w:type="dxa" w:w="120"/>
              <w:bottom w:type="dxa" w:w="85"/>
              <w:right w:type="dxa" w:w="120"/>
            </w:tcMar>
          </w:tcPr>
          <w:p>
            <w:pPr>
              <w:spacing/>
            </w:pPr>
            <w:r>
              <w:rPr>
                <w:rFonts w:ascii="Arial" w:cs="Arial" w:eastAsia="Arial" w:hAnsi="Arial"/>
                <w:color w:val="1B4FBF"/>
                <w:sz w:val="22"/>
                <w:szCs w:val="22"/>
              </w:rPr>
              <w:t xml:space="preserve">☐</w:t>
            </w:r>
          </w:p>
        </w:tc>
        <w:tc>
          <w:tcPr>
            <w:tcW w:type="dxa" w:w="736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No hardcoded sleep() or setTimeout in any test file</w:t>
            </w:r>
          </w:p>
        </w:tc>
        <w:tc>
          <w:tcPr>
            <w:tcW w:type="dxa" w:w="1440"/>
            <w:tcBorders>
              <w:top w:val="single" w:color="CBD5E1" w:sz="1"/>
              <w:left w:val="single" w:color="CBD5E1" w:sz="1"/>
              <w:bottom w:val="single" w:color="CBD5E1" w:sz="1"/>
              <w:right w:val="single" w:color="CBD5E1" w:sz="1"/>
            </w:tcBorders>
            <w:shd w:fill="DCFCE7" w:val="clear"/>
            <w:tcMar>
              <w:top w:type="dxa" w:w="85"/>
              <w:left w:type="dxa" w:w="120"/>
              <w:bottom w:type="dxa" w:w="85"/>
              <w:right w:type="dxa" w:w="120"/>
            </w:tcMar>
          </w:tcPr>
          <w:p>
            <w:pPr>
              <w:spacing/>
            </w:pPr>
            <w:r>
              <w:rPr>
                <w:rFonts w:ascii="Arial" w:cs="Arial" w:eastAsia="Arial" w:hAnsi="Arial"/>
                <w:b/>
                <w:bCs/>
                <w:color w:val="065F46"/>
                <w:sz w:val="20"/>
                <w:szCs w:val="20"/>
              </w:rPr>
              <w:t xml:space="preserve">Mandatory</w:t>
            </w:r>
          </w:p>
        </w:tc>
      </w:tr>
      <w:tr>
        <w:tc>
          <w:tcPr>
            <w:tcW w:type="dxa" w:w="560"/>
            <w:tcBorders>
              <w:top w:val="single" w:color="CBD5E1" w:sz="1"/>
              <w:left w:val="single" w:color="CBD5E1" w:sz="1"/>
              <w:bottom w:val="single" w:color="CBD5E1" w:sz="1"/>
              <w:right w:val="single" w:color="CBD5E1" w:sz="1"/>
            </w:tcBorders>
            <w:shd w:fill="FFFFFF" w:val="clear"/>
            <w:tcMar>
              <w:top w:type="dxa" w:w="85"/>
              <w:left w:type="dxa" w:w="120"/>
              <w:bottom w:type="dxa" w:w="85"/>
              <w:right w:type="dxa" w:w="120"/>
            </w:tcMar>
          </w:tcPr>
          <w:p>
            <w:pPr>
              <w:spacing/>
            </w:pPr>
            <w:r>
              <w:rPr>
                <w:rFonts w:ascii="Arial" w:cs="Arial" w:eastAsia="Arial" w:hAnsi="Arial"/>
                <w:color w:val="1B4FBF"/>
                <w:sz w:val="22"/>
                <w:szCs w:val="22"/>
              </w:rPr>
              <w:t xml:space="preserve">☐</w:t>
            </w:r>
          </w:p>
        </w:tc>
        <w:tc>
          <w:tcPr>
            <w:tcW w:type="dxa" w:w="736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Each test seeds its own data in beforeEach via factory builder</w:t>
            </w:r>
          </w:p>
        </w:tc>
        <w:tc>
          <w:tcPr>
            <w:tcW w:type="dxa" w:w="1440"/>
            <w:tcBorders>
              <w:top w:val="single" w:color="CBD5E1" w:sz="1"/>
              <w:left w:val="single" w:color="CBD5E1" w:sz="1"/>
              <w:bottom w:val="single" w:color="CBD5E1" w:sz="1"/>
              <w:right w:val="single" w:color="CBD5E1" w:sz="1"/>
            </w:tcBorders>
            <w:shd w:fill="DCFCE7" w:val="clear"/>
            <w:tcMar>
              <w:top w:type="dxa" w:w="85"/>
              <w:left w:type="dxa" w:w="120"/>
              <w:bottom w:type="dxa" w:w="85"/>
              <w:right w:type="dxa" w:w="120"/>
            </w:tcMar>
          </w:tcPr>
          <w:p>
            <w:pPr>
              <w:spacing/>
            </w:pPr>
            <w:r>
              <w:rPr>
                <w:rFonts w:ascii="Arial" w:cs="Arial" w:eastAsia="Arial" w:hAnsi="Arial"/>
                <w:b/>
                <w:bCs/>
                <w:color w:val="065F46"/>
                <w:sz w:val="20"/>
                <w:szCs w:val="20"/>
              </w:rPr>
              <w:t xml:space="preserve">Mandatory</w:t>
            </w:r>
          </w:p>
        </w:tc>
      </w:tr>
      <w:tr>
        <w:tc>
          <w:tcPr>
            <w:tcW w:type="dxa" w:w="560"/>
            <w:tcBorders>
              <w:top w:val="single" w:color="CBD5E1" w:sz="1"/>
              <w:left w:val="single" w:color="CBD5E1" w:sz="1"/>
              <w:bottom w:val="single" w:color="CBD5E1" w:sz="1"/>
              <w:right w:val="single" w:color="CBD5E1" w:sz="1"/>
            </w:tcBorders>
            <w:shd w:fill="F1F5F9" w:val="clear"/>
            <w:tcMar>
              <w:top w:type="dxa" w:w="85"/>
              <w:left w:type="dxa" w:w="120"/>
              <w:bottom w:type="dxa" w:w="85"/>
              <w:right w:type="dxa" w:w="120"/>
            </w:tcMar>
          </w:tcPr>
          <w:p>
            <w:pPr>
              <w:spacing/>
            </w:pPr>
            <w:r>
              <w:rPr>
                <w:rFonts w:ascii="Arial" w:cs="Arial" w:eastAsia="Arial" w:hAnsi="Arial"/>
                <w:color w:val="1B4FBF"/>
                <w:sz w:val="22"/>
                <w:szCs w:val="22"/>
              </w:rPr>
              <w:t xml:space="preserve">☐</w:t>
            </w:r>
          </w:p>
        </w:tc>
        <w:tc>
          <w:tcPr>
            <w:tcW w:type="dxa" w:w="736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No PII, real emails, or production data in any test fixture</w:t>
            </w:r>
          </w:p>
        </w:tc>
        <w:tc>
          <w:tcPr>
            <w:tcW w:type="dxa" w:w="1440"/>
            <w:tcBorders>
              <w:top w:val="single" w:color="CBD5E1" w:sz="1"/>
              <w:left w:val="single" w:color="CBD5E1" w:sz="1"/>
              <w:bottom w:val="single" w:color="CBD5E1" w:sz="1"/>
              <w:right w:val="single" w:color="CBD5E1" w:sz="1"/>
            </w:tcBorders>
            <w:shd w:fill="DCFCE7" w:val="clear"/>
            <w:tcMar>
              <w:top w:type="dxa" w:w="85"/>
              <w:left w:type="dxa" w:w="120"/>
              <w:bottom w:type="dxa" w:w="85"/>
              <w:right w:type="dxa" w:w="120"/>
            </w:tcMar>
          </w:tcPr>
          <w:p>
            <w:pPr>
              <w:spacing/>
            </w:pPr>
            <w:r>
              <w:rPr>
                <w:rFonts w:ascii="Arial" w:cs="Arial" w:eastAsia="Arial" w:hAnsi="Arial"/>
                <w:b/>
                <w:bCs/>
                <w:color w:val="065F46"/>
                <w:sz w:val="20"/>
                <w:szCs w:val="20"/>
              </w:rPr>
              <w:t xml:space="preserve">Mandatory</w:t>
            </w:r>
          </w:p>
        </w:tc>
      </w:tr>
      <w:tr>
        <w:tc>
          <w:tcPr>
            <w:tcW w:type="dxa" w:w="560"/>
            <w:tcBorders>
              <w:top w:val="single" w:color="CBD5E1" w:sz="1"/>
              <w:left w:val="single" w:color="CBD5E1" w:sz="1"/>
              <w:bottom w:val="single" w:color="CBD5E1" w:sz="1"/>
              <w:right w:val="single" w:color="CBD5E1" w:sz="1"/>
            </w:tcBorders>
            <w:shd w:fill="FFFFFF" w:val="clear"/>
            <w:tcMar>
              <w:top w:type="dxa" w:w="85"/>
              <w:left w:type="dxa" w:w="120"/>
              <w:bottom w:type="dxa" w:w="85"/>
              <w:right w:type="dxa" w:w="120"/>
            </w:tcMar>
          </w:tcPr>
          <w:p>
            <w:pPr>
              <w:spacing/>
            </w:pPr>
            <w:r>
              <w:rPr>
                <w:rFonts w:ascii="Arial" w:cs="Arial" w:eastAsia="Arial" w:hAnsi="Arial"/>
                <w:color w:val="1B4FBF"/>
                <w:sz w:val="22"/>
                <w:szCs w:val="22"/>
              </w:rPr>
              <w:t xml:space="preserve">☐</w:t>
            </w:r>
          </w:p>
        </w:tc>
        <w:tc>
          <w:tcPr>
            <w:tcW w:type="dxa" w:w="736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jest-axe runs on every component render test</w:t>
            </w:r>
          </w:p>
        </w:tc>
        <w:tc>
          <w:tcPr>
            <w:tcW w:type="dxa" w:w="1440"/>
            <w:tcBorders>
              <w:top w:val="single" w:color="CBD5E1" w:sz="1"/>
              <w:left w:val="single" w:color="CBD5E1" w:sz="1"/>
              <w:bottom w:val="single" w:color="CBD5E1" w:sz="1"/>
              <w:right w:val="single" w:color="CBD5E1" w:sz="1"/>
            </w:tcBorders>
            <w:shd w:fill="DCFCE7" w:val="clear"/>
            <w:tcMar>
              <w:top w:type="dxa" w:w="85"/>
              <w:left w:type="dxa" w:w="120"/>
              <w:bottom w:type="dxa" w:w="85"/>
              <w:right w:type="dxa" w:w="120"/>
            </w:tcMar>
          </w:tcPr>
          <w:p>
            <w:pPr>
              <w:spacing/>
            </w:pPr>
            <w:r>
              <w:rPr>
                <w:rFonts w:ascii="Arial" w:cs="Arial" w:eastAsia="Arial" w:hAnsi="Arial"/>
                <w:b/>
                <w:bCs/>
                <w:color w:val="065F46"/>
                <w:sz w:val="20"/>
                <w:szCs w:val="20"/>
              </w:rPr>
              <w:t xml:space="preserve">Mandatory</w:t>
            </w:r>
          </w:p>
        </w:tc>
      </w:tr>
      <w:tr>
        <w:tc>
          <w:tcPr>
            <w:tcW w:type="dxa" w:w="560"/>
            <w:tcBorders>
              <w:top w:val="single" w:color="CBD5E1" w:sz="1"/>
              <w:left w:val="single" w:color="CBD5E1" w:sz="1"/>
              <w:bottom w:val="single" w:color="CBD5E1" w:sz="1"/>
              <w:right w:val="single" w:color="CBD5E1" w:sz="1"/>
            </w:tcBorders>
            <w:shd w:fill="F1F5F9" w:val="clear"/>
            <w:tcMar>
              <w:top w:type="dxa" w:w="85"/>
              <w:left w:type="dxa" w:w="120"/>
              <w:bottom w:type="dxa" w:w="85"/>
              <w:right w:type="dxa" w:w="120"/>
            </w:tcMar>
          </w:tcPr>
          <w:p>
            <w:pPr>
              <w:spacing/>
            </w:pPr>
            <w:r>
              <w:rPr>
                <w:rFonts w:ascii="Arial" w:cs="Arial" w:eastAsia="Arial" w:hAnsi="Arial"/>
                <w:color w:val="1B4FBF"/>
                <w:sz w:val="22"/>
                <w:szCs w:val="22"/>
              </w:rPr>
              <w:t xml:space="preserve">☐</w:t>
            </w:r>
          </w:p>
        </w:tc>
        <w:tc>
          <w:tcPr>
            <w:tcW w:type="dxa" w:w="736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Service tier declared (Tier 0/1/2) and coverage threshold confirmed</w:t>
            </w:r>
          </w:p>
        </w:tc>
        <w:tc>
          <w:tcPr>
            <w:tcW w:type="dxa" w:w="1440"/>
            <w:tcBorders>
              <w:top w:val="single" w:color="CBD5E1" w:sz="1"/>
              <w:left w:val="single" w:color="CBD5E1" w:sz="1"/>
              <w:bottom w:val="single" w:color="CBD5E1" w:sz="1"/>
              <w:right w:val="single" w:color="CBD5E1" w:sz="1"/>
            </w:tcBorders>
            <w:shd w:fill="DCFCE7" w:val="clear"/>
            <w:tcMar>
              <w:top w:type="dxa" w:w="85"/>
              <w:left w:type="dxa" w:w="120"/>
              <w:bottom w:type="dxa" w:w="85"/>
              <w:right w:type="dxa" w:w="120"/>
            </w:tcMar>
          </w:tcPr>
          <w:p>
            <w:pPr>
              <w:spacing/>
            </w:pPr>
            <w:r>
              <w:rPr>
                <w:rFonts w:ascii="Arial" w:cs="Arial" w:eastAsia="Arial" w:hAnsi="Arial"/>
                <w:b/>
                <w:bCs/>
                <w:color w:val="065F46"/>
                <w:sz w:val="20"/>
                <w:szCs w:val="20"/>
              </w:rPr>
              <w:t xml:space="preserve">Mandatory</w:t>
            </w:r>
          </w:p>
        </w:tc>
      </w:tr>
      <w:tr>
        <w:tc>
          <w:tcPr>
            <w:tcW w:type="dxa" w:w="560"/>
            <w:tcBorders>
              <w:top w:val="single" w:color="CBD5E1" w:sz="1"/>
              <w:left w:val="single" w:color="CBD5E1" w:sz="1"/>
              <w:bottom w:val="single" w:color="CBD5E1" w:sz="1"/>
              <w:right w:val="single" w:color="CBD5E1" w:sz="1"/>
            </w:tcBorders>
            <w:shd w:fill="FFFFFF" w:val="clear"/>
            <w:tcMar>
              <w:top w:type="dxa" w:w="85"/>
              <w:left w:type="dxa" w:w="120"/>
              <w:bottom w:type="dxa" w:w="85"/>
              <w:right w:type="dxa" w:w="120"/>
            </w:tcMar>
          </w:tcPr>
          <w:p>
            <w:pPr>
              <w:spacing/>
            </w:pPr>
            <w:r>
              <w:rPr>
                <w:rFonts w:ascii="Arial" w:cs="Arial" w:eastAsia="Arial" w:hAnsi="Arial"/>
                <w:color w:val="1B4FBF"/>
                <w:sz w:val="22"/>
                <w:szCs w:val="22"/>
              </w:rPr>
              <w:t xml:space="preserve">☐</w:t>
            </w:r>
          </w:p>
        </w:tc>
        <w:tc>
          <w:tcPr>
            <w:tcW w:type="dxa" w:w="736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GWT acceptance criteria from the story mapped to at least one test case</w:t>
            </w:r>
          </w:p>
        </w:tc>
        <w:tc>
          <w:tcPr>
            <w:tcW w:type="dxa" w:w="1440"/>
            <w:tcBorders>
              <w:top w:val="single" w:color="CBD5E1" w:sz="1"/>
              <w:left w:val="single" w:color="CBD5E1" w:sz="1"/>
              <w:bottom w:val="single" w:color="CBD5E1" w:sz="1"/>
              <w:right w:val="single" w:color="CBD5E1" w:sz="1"/>
            </w:tcBorders>
            <w:shd w:fill="DCFCE7" w:val="clear"/>
            <w:tcMar>
              <w:top w:type="dxa" w:w="85"/>
              <w:left w:type="dxa" w:w="120"/>
              <w:bottom w:type="dxa" w:w="85"/>
              <w:right w:type="dxa" w:w="120"/>
            </w:tcMar>
          </w:tcPr>
          <w:p>
            <w:pPr>
              <w:spacing/>
            </w:pPr>
            <w:r>
              <w:rPr>
                <w:rFonts w:ascii="Arial" w:cs="Arial" w:eastAsia="Arial" w:hAnsi="Arial"/>
                <w:b/>
                <w:bCs/>
                <w:color w:val="065F46"/>
                <w:sz w:val="20"/>
                <w:szCs w:val="20"/>
              </w:rPr>
              <w:t xml:space="preserve">Mandatory</w:t>
            </w:r>
          </w:p>
        </w:tc>
      </w:tr>
      <w:tr>
        <w:tc>
          <w:tcPr>
            <w:tcW w:type="dxa" w:w="560"/>
            <w:tcBorders>
              <w:top w:val="single" w:color="CBD5E1" w:sz="1"/>
              <w:left w:val="single" w:color="CBD5E1" w:sz="1"/>
              <w:bottom w:val="single" w:color="CBD5E1" w:sz="1"/>
              <w:right w:val="single" w:color="CBD5E1" w:sz="1"/>
            </w:tcBorders>
            <w:shd w:fill="F1F5F9" w:val="clear"/>
            <w:tcMar>
              <w:top w:type="dxa" w:w="85"/>
              <w:left w:type="dxa" w:w="120"/>
              <w:bottom w:type="dxa" w:w="85"/>
              <w:right w:type="dxa" w:w="120"/>
            </w:tcMar>
          </w:tcPr>
          <w:p>
            <w:pPr>
              <w:spacing/>
            </w:pPr>
            <w:r>
              <w:rPr>
                <w:rFonts w:ascii="Arial" w:cs="Arial" w:eastAsia="Arial" w:hAnsi="Arial"/>
                <w:color w:val="1B4FBF"/>
                <w:sz w:val="22"/>
                <w:szCs w:val="22"/>
              </w:rPr>
              <w:t xml:space="preserve">☐</w:t>
            </w:r>
          </w:p>
        </w:tc>
        <w:tc>
          <w:tcPr>
            <w:tcW w:type="dxa" w:w="736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Full auth matrix: missing, invalid, expired, wrong role, cross-user, correct</w:t>
            </w:r>
          </w:p>
        </w:tc>
        <w:tc>
          <w:tcPr>
            <w:tcW w:type="dxa" w:w="1440"/>
            <w:tcBorders>
              <w:top w:val="single" w:color="CBD5E1" w:sz="1"/>
              <w:left w:val="single" w:color="CBD5E1" w:sz="1"/>
              <w:bottom w:val="single" w:color="CBD5E1" w:sz="1"/>
              <w:right w:val="single" w:color="CBD5E1" w:sz="1"/>
            </w:tcBorders>
            <w:shd w:fill="DBEAFE" w:val="clear"/>
            <w:tcMar>
              <w:top w:type="dxa" w:w="85"/>
              <w:left w:type="dxa" w:w="120"/>
              <w:bottom w:type="dxa" w:w="85"/>
              <w:right w:type="dxa" w:w="120"/>
            </w:tcMar>
          </w:tcPr>
          <w:p>
            <w:pPr>
              <w:spacing/>
            </w:pPr>
            <w:r>
              <w:rPr>
                <w:rFonts w:ascii="Arial" w:cs="Arial" w:eastAsia="Arial" w:hAnsi="Arial"/>
                <w:b/>
                <w:bCs/>
                <w:color w:val="1B4FBF"/>
                <w:sz w:val="20"/>
                <w:szCs w:val="20"/>
              </w:rPr>
              <w:t xml:space="preserve">Strict</w:t>
            </w:r>
          </w:p>
        </w:tc>
      </w:tr>
      <w:tr>
        <w:tc>
          <w:tcPr>
            <w:tcW w:type="dxa" w:w="560"/>
            <w:tcBorders>
              <w:top w:val="single" w:color="CBD5E1" w:sz="1"/>
              <w:left w:val="single" w:color="CBD5E1" w:sz="1"/>
              <w:bottom w:val="single" w:color="CBD5E1" w:sz="1"/>
              <w:right w:val="single" w:color="CBD5E1" w:sz="1"/>
            </w:tcBorders>
            <w:shd w:fill="FFFFFF" w:val="clear"/>
            <w:tcMar>
              <w:top w:type="dxa" w:w="85"/>
              <w:left w:type="dxa" w:w="120"/>
              <w:bottom w:type="dxa" w:w="85"/>
              <w:right w:type="dxa" w:w="120"/>
            </w:tcMar>
          </w:tcPr>
          <w:p>
            <w:pPr>
              <w:spacing/>
            </w:pPr>
            <w:r>
              <w:rPr>
                <w:rFonts w:ascii="Arial" w:cs="Arial" w:eastAsia="Arial" w:hAnsi="Arial"/>
                <w:color w:val="1B4FBF"/>
                <w:sz w:val="22"/>
                <w:szCs w:val="22"/>
              </w:rPr>
              <w:t xml:space="preserve">☐</w:t>
            </w:r>
          </w:p>
        </w:tc>
        <w:tc>
          <w:tcPr>
            <w:tcW w:type="dxa" w:w="736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Full status code matrix for all STRICT/Tier 0-1 endpoints</w:t>
            </w:r>
          </w:p>
        </w:tc>
        <w:tc>
          <w:tcPr>
            <w:tcW w:type="dxa" w:w="1440"/>
            <w:tcBorders>
              <w:top w:val="single" w:color="CBD5E1" w:sz="1"/>
              <w:left w:val="single" w:color="CBD5E1" w:sz="1"/>
              <w:bottom w:val="single" w:color="CBD5E1" w:sz="1"/>
              <w:right w:val="single" w:color="CBD5E1" w:sz="1"/>
            </w:tcBorders>
            <w:shd w:fill="DBEAFE" w:val="clear"/>
            <w:tcMar>
              <w:top w:type="dxa" w:w="85"/>
              <w:left w:type="dxa" w:w="120"/>
              <w:bottom w:type="dxa" w:w="85"/>
              <w:right w:type="dxa" w:w="120"/>
            </w:tcMar>
          </w:tcPr>
          <w:p>
            <w:pPr>
              <w:spacing/>
            </w:pPr>
            <w:r>
              <w:rPr>
                <w:rFonts w:ascii="Arial" w:cs="Arial" w:eastAsia="Arial" w:hAnsi="Arial"/>
                <w:b/>
                <w:bCs/>
                <w:color w:val="1B4FBF"/>
                <w:sz w:val="20"/>
                <w:szCs w:val="20"/>
              </w:rPr>
              <w:t xml:space="preserve">Strict</w:t>
            </w:r>
          </w:p>
        </w:tc>
      </w:tr>
      <w:tr>
        <w:tc>
          <w:tcPr>
            <w:tcW w:type="dxa" w:w="560"/>
            <w:tcBorders>
              <w:top w:val="single" w:color="CBD5E1" w:sz="1"/>
              <w:left w:val="single" w:color="CBD5E1" w:sz="1"/>
              <w:bottom w:val="single" w:color="CBD5E1" w:sz="1"/>
              <w:right w:val="single" w:color="CBD5E1" w:sz="1"/>
            </w:tcBorders>
            <w:shd w:fill="F1F5F9" w:val="clear"/>
            <w:tcMar>
              <w:top w:type="dxa" w:w="85"/>
              <w:left w:type="dxa" w:w="120"/>
              <w:bottom w:type="dxa" w:w="85"/>
              <w:right w:type="dxa" w:w="120"/>
            </w:tcMar>
          </w:tcPr>
          <w:p>
            <w:pPr>
              <w:spacing/>
            </w:pPr>
            <w:r>
              <w:rPr>
                <w:rFonts w:ascii="Arial" w:cs="Arial" w:eastAsia="Arial" w:hAnsi="Arial"/>
                <w:color w:val="1B4FBF"/>
                <w:sz w:val="22"/>
                <w:szCs w:val="22"/>
              </w:rPr>
              <w:t xml:space="preserve">☐</w:t>
            </w:r>
          </w:p>
        </w:tc>
        <w:tc>
          <w:tcPr>
            <w:tcW w:type="dxa" w:w="736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jest-openapi contract assertion on every happy-path API test</w:t>
            </w:r>
          </w:p>
        </w:tc>
        <w:tc>
          <w:tcPr>
            <w:tcW w:type="dxa" w:w="1440"/>
            <w:tcBorders>
              <w:top w:val="single" w:color="CBD5E1" w:sz="1"/>
              <w:left w:val="single" w:color="CBD5E1" w:sz="1"/>
              <w:bottom w:val="single" w:color="CBD5E1" w:sz="1"/>
              <w:right w:val="single" w:color="CBD5E1" w:sz="1"/>
            </w:tcBorders>
            <w:shd w:fill="DBEAFE" w:val="clear"/>
            <w:tcMar>
              <w:top w:type="dxa" w:w="85"/>
              <w:left w:type="dxa" w:w="120"/>
              <w:bottom w:type="dxa" w:w="85"/>
              <w:right w:type="dxa" w:w="120"/>
            </w:tcMar>
          </w:tcPr>
          <w:p>
            <w:pPr>
              <w:spacing/>
            </w:pPr>
            <w:r>
              <w:rPr>
                <w:rFonts w:ascii="Arial" w:cs="Arial" w:eastAsia="Arial" w:hAnsi="Arial"/>
                <w:b/>
                <w:bCs/>
                <w:color w:val="1B4FBF"/>
                <w:sz w:val="20"/>
                <w:szCs w:val="20"/>
              </w:rPr>
              <w:t xml:space="preserve">Strict</w:t>
            </w:r>
          </w:p>
        </w:tc>
      </w:tr>
      <w:tr>
        <w:tc>
          <w:tcPr>
            <w:tcW w:type="dxa" w:w="560"/>
            <w:tcBorders>
              <w:top w:val="single" w:color="CBD5E1" w:sz="1"/>
              <w:left w:val="single" w:color="CBD5E1" w:sz="1"/>
              <w:bottom w:val="single" w:color="CBD5E1" w:sz="1"/>
              <w:right w:val="single" w:color="CBD5E1" w:sz="1"/>
            </w:tcBorders>
            <w:shd w:fill="FFFFFF" w:val="clear"/>
            <w:tcMar>
              <w:top w:type="dxa" w:w="85"/>
              <w:left w:type="dxa" w:w="120"/>
              <w:bottom w:type="dxa" w:w="85"/>
              <w:right w:type="dxa" w:w="120"/>
            </w:tcMar>
          </w:tcPr>
          <w:p>
            <w:pPr>
              <w:spacing/>
            </w:pPr>
            <w:r>
              <w:rPr>
                <w:rFonts w:ascii="Arial" w:cs="Arial" w:eastAsia="Arial" w:hAnsi="Arial"/>
                <w:color w:val="1B4FBF"/>
                <w:sz w:val="22"/>
                <w:szCs w:val="22"/>
              </w:rPr>
              <w:t xml:space="preserve">☐</w:t>
            </w:r>
          </w:p>
        </w:tc>
        <w:tc>
          <w:tcPr>
            <w:tcW w:type="dxa" w:w="736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Integration tests assert on DB state after mutations — not just return values</w:t>
            </w:r>
          </w:p>
        </w:tc>
        <w:tc>
          <w:tcPr>
            <w:tcW w:type="dxa" w:w="1440"/>
            <w:tcBorders>
              <w:top w:val="single" w:color="CBD5E1" w:sz="1"/>
              <w:left w:val="single" w:color="CBD5E1" w:sz="1"/>
              <w:bottom w:val="single" w:color="CBD5E1" w:sz="1"/>
              <w:right w:val="single" w:color="CBD5E1" w:sz="1"/>
            </w:tcBorders>
            <w:shd w:fill="DBEAFE" w:val="clear"/>
            <w:tcMar>
              <w:top w:type="dxa" w:w="85"/>
              <w:left w:type="dxa" w:w="120"/>
              <w:bottom w:type="dxa" w:w="85"/>
              <w:right w:type="dxa" w:w="120"/>
            </w:tcMar>
          </w:tcPr>
          <w:p>
            <w:pPr>
              <w:spacing/>
            </w:pPr>
            <w:r>
              <w:rPr>
                <w:rFonts w:ascii="Arial" w:cs="Arial" w:eastAsia="Arial" w:hAnsi="Arial"/>
                <w:b/>
                <w:bCs/>
                <w:color w:val="1B4FBF"/>
                <w:sz w:val="20"/>
                <w:szCs w:val="20"/>
              </w:rPr>
              <w:t xml:space="preserve">Strict</w:t>
            </w:r>
          </w:p>
        </w:tc>
      </w:tr>
      <w:tr>
        <w:tc>
          <w:tcPr>
            <w:tcW w:type="dxa" w:w="560"/>
            <w:tcBorders>
              <w:top w:val="single" w:color="CBD5E1" w:sz="1"/>
              <w:left w:val="single" w:color="CBD5E1" w:sz="1"/>
              <w:bottom w:val="single" w:color="CBD5E1" w:sz="1"/>
              <w:right w:val="single" w:color="CBD5E1" w:sz="1"/>
            </w:tcBorders>
            <w:shd w:fill="F1F5F9" w:val="clear"/>
            <w:tcMar>
              <w:top w:type="dxa" w:w="85"/>
              <w:left w:type="dxa" w:w="120"/>
              <w:bottom w:type="dxa" w:w="85"/>
              <w:right w:type="dxa" w:w="120"/>
            </w:tcMar>
          </w:tcPr>
          <w:p>
            <w:pPr>
              <w:spacing/>
            </w:pPr>
            <w:r>
              <w:rPr>
                <w:rFonts w:ascii="Arial" w:cs="Arial" w:eastAsia="Arial" w:hAnsi="Arial"/>
                <w:color w:val="1B4FBF"/>
                <w:sz w:val="22"/>
                <w:szCs w:val="22"/>
              </w:rPr>
              <w:t xml:space="preserve">☐</w:t>
            </w:r>
          </w:p>
        </w:tc>
        <w:tc>
          <w:tcPr>
            <w:tcW w:type="dxa" w:w="736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Observability: traceId present in error response — verified in API test</w:t>
            </w:r>
          </w:p>
        </w:tc>
        <w:tc>
          <w:tcPr>
            <w:tcW w:type="dxa" w:w="1440"/>
            <w:tcBorders>
              <w:top w:val="single" w:color="CBD5E1" w:sz="1"/>
              <w:left w:val="single" w:color="CBD5E1" w:sz="1"/>
              <w:bottom w:val="single" w:color="CBD5E1" w:sz="1"/>
              <w:right w:val="single" w:color="CBD5E1" w:sz="1"/>
            </w:tcBorders>
            <w:shd w:fill="DBEAFE" w:val="clear"/>
            <w:tcMar>
              <w:top w:type="dxa" w:w="85"/>
              <w:left w:type="dxa" w:w="120"/>
              <w:bottom w:type="dxa" w:w="85"/>
              <w:right w:type="dxa" w:w="120"/>
            </w:tcMar>
          </w:tcPr>
          <w:p>
            <w:pPr>
              <w:spacing/>
            </w:pPr>
            <w:r>
              <w:rPr>
                <w:rFonts w:ascii="Arial" w:cs="Arial" w:eastAsia="Arial" w:hAnsi="Arial"/>
                <w:b/>
                <w:bCs/>
                <w:color w:val="1B4FBF"/>
                <w:sz w:val="20"/>
                <w:szCs w:val="20"/>
              </w:rPr>
              <w:t xml:space="preserve">Strict</w:t>
            </w:r>
          </w:p>
        </w:tc>
      </w:tr>
      <w:tr>
        <w:tc>
          <w:tcPr>
            <w:tcW w:type="dxa" w:w="560"/>
            <w:tcBorders>
              <w:top w:val="single" w:color="CBD5E1" w:sz="1"/>
              <w:left w:val="single" w:color="CBD5E1" w:sz="1"/>
              <w:bottom w:val="single" w:color="CBD5E1" w:sz="1"/>
              <w:right w:val="single" w:color="CBD5E1" w:sz="1"/>
            </w:tcBorders>
            <w:shd w:fill="FFFFFF" w:val="clear"/>
            <w:tcMar>
              <w:top w:type="dxa" w:w="85"/>
              <w:left w:type="dxa" w:w="120"/>
              <w:bottom w:type="dxa" w:w="85"/>
              <w:right w:type="dxa" w:w="120"/>
            </w:tcMar>
          </w:tcPr>
          <w:p>
            <w:pPr>
              <w:spacing/>
            </w:pPr>
            <w:r>
              <w:rPr>
                <w:rFonts w:ascii="Arial" w:cs="Arial" w:eastAsia="Arial" w:hAnsi="Arial"/>
                <w:color w:val="1B4FBF"/>
                <w:sz w:val="22"/>
                <w:szCs w:val="22"/>
              </w:rPr>
              <w:t xml:space="preserve">☐</w:t>
            </w:r>
          </w:p>
        </w:tc>
        <w:tc>
          <w:tcPr>
            <w:tcW w:type="dxa" w:w="736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performanceBudget declared and DB query count assertion passing</w:t>
            </w:r>
          </w:p>
        </w:tc>
        <w:tc>
          <w:tcPr>
            <w:tcW w:type="dxa" w:w="1440"/>
            <w:tcBorders>
              <w:top w:val="single" w:color="CBD5E1" w:sz="1"/>
              <w:left w:val="single" w:color="CBD5E1" w:sz="1"/>
              <w:bottom w:val="single" w:color="CBD5E1" w:sz="1"/>
              <w:right w:val="single" w:color="CBD5E1" w:sz="1"/>
            </w:tcBorders>
            <w:shd w:fill="DBEAFE" w:val="clear"/>
            <w:tcMar>
              <w:top w:type="dxa" w:w="85"/>
              <w:left w:type="dxa" w:w="120"/>
              <w:bottom w:type="dxa" w:w="85"/>
              <w:right w:type="dxa" w:w="120"/>
            </w:tcMar>
          </w:tcPr>
          <w:p>
            <w:pPr>
              <w:spacing/>
            </w:pPr>
            <w:r>
              <w:rPr>
                <w:rFonts w:ascii="Arial" w:cs="Arial" w:eastAsia="Arial" w:hAnsi="Arial"/>
                <w:b/>
                <w:bCs/>
                <w:color w:val="1B4FBF"/>
                <w:sz w:val="20"/>
                <w:szCs w:val="20"/>
              </w:rPr>
              <w:t xml:space="preserve">Strict</w:t>
            </w:r>
          </w:p>
        </w:tc>
      </w:tr>
      <w:tr>
        <w:tc>
          <w:tcPr>
            <w:tcW w:type="dxa" w:w="560"/>
            <w:tcBorders>
              <w:top w:val="single" w:color="CBD5E1" w:sz="1"/>
              <w:left w:val="single" w:color="CBD5E1" w:sz="1"/>
              <w:bottom w:val="single" w:color="CBD5E1" w:sz="1"/>
              <w:right w:val="single" w:color="CBD5E1" w:sz="1"/>
            </w:tcBorders>
            <w:shd w:fill="F1F5F9" w:val="clear"/>
            <w:tcMar>
              <w:top w:type="dxa" w:w="85"/>
              <w:left w:type="dxa" w:w="120"/>
              <w:bottom w:type="dxa" w:w="85"/>
              <w:right w:type="dxa" w:w="120"/>
            </w:tcMar>
          </w:tcPr>
          <w:p>
            <w:pPr>
              <w:spacing/>
            </w:pPr>
            <w:r>
              <w:rPr>
                <w:rFonts w:ascii="Arial" w:cs="Arial" w:eastAsia="Arial" w:hAnsi="Arial"/>
                <w:color w:val="1B4FBF"/>
                <w:sz w:val="22"/>
                <w:szCs w:val="22"/>
              </w:rPr>
              <w:t xml:space="preserve">☐</w:t>
            </w:r>
          </w:p>
        </w:tc>
        <w:tc>
          <w:tcPr>
            <w:tcW w:type="dxa" w:w="736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Security baseline: IDOR, mass assignment, oversized payload tests pass</w:t>
            </w:r>
          </w:p>
        </w:tc>
        <w:tc>
          <w:tcPr>
            <w:tcW w:type="dxa" w:w="1440"/>
            <w:tcBorders>
              <w:top w:val="single" w:color="CBD5E1" w:sz="1"/>
              <w:left w:val="single" w:color="CBD5E1" w:sz="1"/>
              <w:bottom w:val="single" w:color="CBD5E1" w:sz="1"/>
              <w:right w:val="single" w:color="CBD5E1" w:sz="1"/>
            </w:tcBorders>
            <w:shd w:fill="DBEAFE" w:val="clear"/>
            <w:tcMar>
              <w:top w:type="dxa" w:w="85"/>
              <w:left w:type="dxa" w:w="120"/>
              <w:bottom w:type="dxa" w:w="85"/>
              <w:right w:type="dxa" w:w="120"/>
            </w:tcMar>
          </w:tcPr>
          <w:p>
            <w:pPr>
              <w:spacing/>
            </w:pPr>
            <w:r>
              <w:rPr>
                <w:rFonts w:ascii="Arial" w:cs="Arial" w:eastAsia="Arial" w:hAnsi="Arial"/>
                <w:b/>
                <w:bCs/>
                <w:color w:val="1B4FBF"/>
                <w:sz w:val="20"/>
                <w:szCs w:val="20"/>
              </w:rPr>
              <w:t xml:space="preserve">Strict</w:t>
            </w:r>
          </w:p>
        </w:tc>
      </w:tr>
      <w:tr>
        <w:tc>
          <w:tcPr>
            <w:tcW w:type="dxa" w:w="560"/>
            <w:tcBorders>
              <w:top w:val="single" w:color="CBD5E1" w:sz="1"/>
              <w:left w:val="single" w:color="CBD5E1" w:sz="1"/>
              <w:bottom w:val="single" w:color="CBD5E1" w:sz="1"/>
              <w:right w:val="single" w:color="CBD5E1" w:sz="1"/>
            </w:tcBorders>
            <w:shd w:fill="FFFFFF" w:val="clear"/>
            <w:tcMar>
              <w:top w:type="dxa" w:w="85"/>
              <w:left w:type="dxa" w:w="120"/>
              <w:bottom w:type="dxa" w:w="85"/>
              <w:right w:type="dxa" w:w="120"/>
            </w:tcMar>
          </w:tcPr>
          <w:p>
            <w:pPr>
              <w:spacing/>
            </w:pPr>
            <w:r>
              <w:rPr>
                <w:rFonts w:ascii="Arial" w:cs="Arial" w:eastAsia="Arial" w:hAnsi="Arial"/>
                <w:color w:val="1B4FBF"/>
                <w:sz w:val="22"/>
                <w:szCs w:val="22"/>
              </w:rPr>
              <w:t xml:space="preserve">☐</w:t>
            </w:r>
          </w:p>
        </w:tc>
        <w:tc>
          <w:tcPr>
            <w:tcW w:type="dxa" w:w="736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Test smells check: no Over-Mocking, Brittle Selectors, or Dead Tests</w:t>
            </w:r>
          </w:p>
        </w:tc>
        <w:tc>
          <w:tcPr>
            <w:tcW w:type="dxa" w:w="1440"/>
            <w:tcBorders>
              <w:top w:val="single" w:color="CBD5E1" w:sz="1"/>
              <w:left w:val="single" w:color="CBD5E1" w:sz="1"/>
              <w:bottom w:val="single" w:color="CBD5E1" w:sz="1"/>
              <w:right w:val="single" w:color="CBD5E1" w:sz="1"/>
            </w:tcBorders>
            <w:shd w:fill="DCFCE7" w:val="clear"/>
            <w:tcMar>
              <w:top w:type="dxa" w:w="85"/>
              <w:left w:type="dxa" w:w="120"/>
              <w:bottom w:type="dxa" w:w="85"/>
              <w:right w:type="dxa" w:w="120"/>
            </w:tcMar>
          </w:tcPr>
          <w:p>
            <w:pPr>
              <w:spacing/>
            </w:pPr>
            <w:r>
              <w:rPr>
                <w:rFonts w:ascii="Arial" w:cs="Arial" w:eastAsia="Arial" w:hAnsi="Arial"/>
                <w:b/>
                <w:bCs/>
                <w:color w:val="065F46"/>
                <w:sz w:val="20"/>
                <w:szCs w:val="20"/>
              </w:rPr>
              <w:t xml:space="preserve">Mandatory</w:t>
            </w:r>
          </w:p>
        </w:tc>
      </w:tr>
      <w:tr>
        <w:tc>
          <w:tcPr>
            <w:tcW w:type="dxa" w:w="560"/>
            <w:tcBorders>
              <w:top w:val="single" w:color="CBD5E1" w:sz="1"/>
              <w:left w:val="single" w:color="CBD5E1" w:sz="1"/>
              <w:bottom w:val="single" w:color="CBD5E1" w:sz="1"/>
              <w:right w:val="single" w:color="CBD5E1" w:sz="1"/>
            </w:tcBorders>
            <w:shd w:fill="F1F5F9" w:val="clear"/>
            <w:tcMar>
              <w:top w:type="dxa" w:w="85"/>
              <w:left w:type="dxa" w:w="120"/>
              <w:bottom w:type="dxa" w:w="85"/>
              <w:right w:type="dxa" w:w="120"/>
            </w:tcMar>
          </w:tcPr>
          <w:p>
            <w:pPr>
              <w:spacing/>
            </w:pPr>
            <w:r>
              <w:rPr>
                <w:rFonts w:ascii="Arial" w:cs="Arial" w:eastAsia="Arial" w:hAnsi="Arial"/>
                <w:color w:val="1B4FBF"/>
                <w:sz w:val="22"/>
                <w:szCs w:val="22"/>
              </w:rPr>
              <w:t xml:space="preserve">☐</w:t>
            </w:r>
          </w:p>
        </w:tc>
        <w:tc>
          <w:tcPr>
            <w:tcW w:type="dxa" w:w="736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If any SOP rule is deviated from — exception request documented in PR</w:t>
            </w:r>
          </w:p>
        </w:tc>
        <w:tc>
          <w:tcPr>
            <w:tcW w:type="dxa" w:w="1440"/>
            <w:tcBorders>
              <w:top w:val="single" w:color="CBD5E1" w:sz="1"/>
              <w:left w:val="single" w:color="CBD5E1" w:sz="1"/>
              <w:bottom w:val="single" w:color="CBD5E1" w:sz="1"/>
              <w:right w:val="single" w:color="CBD5E1" w:sz="1"/>
            </w:tcBorders>
            <w:shd w:fill="DCFCE7" w:val="clear"/>
            <w:tcMar>
              <w:top w:type="dxa" w:w="85"/>
              <w:left w:type="dxa" w:w="120"/>
              <w:bottom w:type="dxa" w:w="85"/>
              <w:right w:type="dxa" w:w="120"/>
            </w:tcMar>
          </w:tcPr>
          <w:p>
            <w:pPr>
              <w:spacing/>
            </w:pPr>
            <w:r>
              <w:rPr>
                <w:rFonts w:ascii="Arial" w:cs="Arial" w:eastAsia="Arial" w:hAnsi="Arial"/>
                <w:b/>
                <w:bCs/>
                <w:color w:val="065F46"/>
                <w:sz w:val="20"/>
                <w:szCs w:val="20"/>
              </w:rPr>
              <w:t xml:space="preserve">Mandatory</w:t>
            </w:r>
          </w:p>
        </w:tc>
      </w:tr>
      <w:tr>
        <w:tc>
          <w:tcPr>
            <w:tcW w:type="dxa" w:w="560"/>
            <w:tcBorders>
              <w:top w:val="single" w:color="CBD5E1" w:sz="1"/>
              <w:left w:val="single" w:color="CBD5E1" w:sz="1"/>
              <w:bottom w:val="single" w:color="CBD5E1" w:sz="1"/>
              <w:right w:val="single" w:color="CBD5E1" w:sz="1"/>
            </w:tcBorders>
            <w:shd w:fill="FFFFFF" w:val="clear"/>
            <w:tcMar>
              <w:top w:type="dxa" w:w="85"/>
              <w:left w:type="dxa" w:w="120"/>
              <w:bottom w:type="dxa" w:w="85"/>
              <w:right w:type="dxa" w:w="120"/>
            </w:tcMar>
          </w:tcPr>
          <w:p>
            <w:pPr>
              <w:spacing/>
            </w:pPr>
            <w:r>
              <w:rPr>
                <w:rFonts w:ascii="Arial" w:cs="Arial" w:eastAsia="Arial" w:hAnsi="Arial"/>
                <w:color w:val="1B4FBF"/>
                <w:sz w:val="22"/>
                <w:szCs w:val="22"/>
              </w:rPr>
              <w:t xml:space="preserve">☐</w:t>
            </w:r>
          </w:p>
        </w:tc>
        <w:tc>
          <w:tcPr>
            <w:tcW w:type="dxa" w:w="736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E2E data created via API setup — not via UI form filling</w:t>
            </w:r>
          </w:p>
        </w:tc>
        <w:tc>
          <w:tcPr>
            <w:tcW w:type="dxa" w:w="1440"/>
            <w:tcBorders>
              <w:top w:val="single" w:color="CBD5E1" w:sz="1"/>
              <w:left w:val="single" w:color="CBD5E1" w:sz="1"/>
              <w:bottom w:val="single" w:color="CBD5E1" w:sz="1"/>
              <w:right w:val="single" w:color="CBD5E1" w:sz="1"/>
            </w:tcBorders>
            <w:shd w:fill="FFEDD5" w:val="clear"/>
            <w:tcMar>
              <w:top w:type="dxa" w:w="85"/>
              <w:left w:type="dxa" w:w="120"/>
              <w:bottom w:type="dxa" w:w="85"/>
              <w:right w:type="dxa" w:w="120"/>
            </w:tcMar>
          </w:tcPr>
          <w:p>
            <w:pPr>
              <w:spacing/>
            </w:pPr>
            <w:r>
              <w:rPr>
                <w:rFonts w:ascii="Arial" w:cs="Arial" w:eastAsia="Arial" w:hAnsi="Arial"/>
                <w:b/>
                <w:bCs/>
                <w:color w:val="9A3412"/>
                <w:sz w:val="20"/>
                <w:szCs w:val="20"/>
              </w:rPr>
              <w:t xml:space="preserve">E2E</w:t>
            </w:r>
          </w:p>
        </w:tc>
      </w:tr>
      <w:tr>
        <w:tc>
          <w:tcPr>
            <w:tcW w:type="dxa" w:w="560"/>
            <w:tcBorders>
              <w:top w:val="single" w:color="CBD5E1" w:sz="1"/>
              <w:left w:val="single" w:color="CBD5E1" w:sz="1"/>
              <w:bottom w:val="single" w:color="CBD5E1" w:sz="1"/>
              <w:right w:val="single" w:color="CBD5E1" w:sz="1"/>
            </w:tcBorders>
            <w:shd w:fill="F1F5F9" w:val="clear"/>
            <w:tcMar>
              <w:top w:type="dxa" w:w="85"/>
              <w:left w:type="dxa" w:w="120"/>
              <w:bottom w:type="dxa" w:w="85"/>
              <w:right w:type="dxa" w:w="120"/>
            </w:tcMar>
          </w:tcPr>
          <w:p>
            <w:pPr>
              <w:spacing/>
            </w:pPr>
            <w:r>
              <w:rPr>
                <w:rFonts w:ascii="Arial" w:cs="Arial" w:eastAsia="Arial" w:hAnsi="Arial"/>
                <w:color w:val="1B4FBF"/>
                <w:sz w:val="22"/>
                <w:szCs w:val="22"/>
              </w:rPr>
              <w:t xml:space="preserve">☐</w:t>
            </w:r>
          </w:p>
        </w:tc>
        <w:tc>
          <w:tcPr>
            <w:tcW w:type="dxa" w:w="736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Golden Path tests pass in staging before release tag</w:t>
            </w:r>
          </w:p>
        </w:tc>
        <w:tc>
          <w:tcPr>
            <w:tcW w:type="dxa" w:w="1440"/>
            <w:tcBorders>
              <w:top w:val="single" w:color="CBD5E1" w:sz="1"/>
              <w:left w:val="single" w:color="CBD5E1" w:sz="1"/>
              <w:bottom w:val="single" w:color="CBD5E1" w:sz="1"/>
              <w:right w:val="single" w:color="CBD5E1" w:sz="1"/>
            </w:tcBorders>
            <w:shd w:fill="FFEDD5" w:val="clear"/>
            <w:tcMar>
              <w:top w:type="dxa" w:w="85"/>
              <w:left w:type="dxa" w:w="120"/>
              <w:bottom w:type="dxa" w:w="85"/>
              <w:right w:type="dxa" w:w="120"/>
            </w:tcMar>
          </w:tcPr>
          <w:p>
            <w:pPr>
              <w:spacing/>
            </w:pPr>
            <w:r>
              <w:rPr>
                <w:rFonts w:ascii="Arial" w:cs="Arial" w:eastAsia="Arial" w:hAnsi="Arial"/>
                <w:b/>
                <w:bCs/>
                <w:color w:val="9A3412"/>
                <w:sz w:val="20"/>
                <w:szCs w:val="20"/>
              </w:rPr>
              <w:t xml:space="preserve">E2E</w:t>
            </w:r>
          </w:p>
        </w:tc>
      </w:tr>
      <w:tr>
        <w:tc>
          <w:tcPr>
            <w:tcW w:type="dxa" w:w="560"/>
            <w:tcBorders>
              <w:top w:val="single" w:color="CBD5E1" w:sz="1"/>
              <w:left w:val="single" w:color="CBD5E1" w:sz="1"/>
              <w:bottom w:val="single" w:color="CBD5E1" w:sz="1"/>
              <w:right w:val="single" w:color="CBD5E1" w:sz="1"/>
            </w:tcBorders>
            <w:shd w:fill="FFFFFF" w:val="clear"/>
            <w:tcMar>
              <w:top w:type="dxa" w:w="85"/>
              <w:left w:type="dxa" w:w="120"/>
              <w:bottom w:type="dxa" w:w="85"/>
              <w:right w:type="dxa" w:w="120"/>
            </w:tcMar>
          </w:tcPr>
          <w:p>
            <w:pPr>
              <w:spacing/>
            </w:pPr>
            <w:r>
              <w:rPr>
                <w:rFonts w:ascii="Arial" w:cs="Arial" w:eastAsia="Arial" w:hAnsi="Arial"/>
                <w:color w:val="1B4FBF"/>
                <w:sz w:val="22"/>
                <w:szCs w:val="22"/>
              </w:rPr>
              <w:t xml:space="preserve">☐</w:t>
            </w:r>
          </w:p>
        </w:tc>
        <w:tc>
          <w:tcPr>
            <w:tcW w:type="dxa" w:w="736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k6 smoke test passes p95 threshold on staging deploy</w:t>
            </w:r>
          </w:p>
        </w:tc>
        <w:tc>
          <w:tcPr>
            <w:tcW w:type="dxa" w:w="1440"/>
            <w:tcBorders>
              <w:top w:val="single" w:color="CBD5E1" w:sz="1"/>
              <w:left w:val="single" w:color="CBD5E1" w:sz="1"/>
              <w:bottom w:val="single" w:color="CBD5E1" w:sz="1"/>
              <w:right w:val="single" w:color="CBD5E1" w:sz="1"/>
            </w:tcBorders>
            <w:shd w:fill="FEF3C7" w:val="clear"/>
            <w:tcMar>
              <w:top w:type="dxa" w:w="85"/>
              <w:left w:type="dxa" w:w="120"/>
              <w:bottom w:type="dxa" w:w="85"/>
              <w:right w:type="dxa" w:w="120"/>
            </w:tcMar>
          </w:tcPr>
          <w:p>
            <w:pPr>
              <w:spacing/>
            </w:pPr>
            <w:r>
              <w:rPr>
                <w:rFonts w:ascii="Arial" w:cs="Arial" w:eastAsia="Arial" w:hAnsi="Arial"/>
                <w:b/>
                <w:bCs/>
                <w:color w:val="78350F"/>
                <w:sz w:val="20"/>
                <w:szCs w:val="20"/>
              </w:rPr>
              <w:t xml:space="preserve">Perf</w:t>
            </w:r>
          </w:p>
        </w:tc>
      </w:tr>
      <w:tr>
        <w:tc>
          <w:tcPr>
            <w:tcW w:type="dxa" w:w="560"/>
            <w:tcBorders>
              <w:top w:val="single" w:color="CBD5E1" w:sz="1"/>
              <w:left w:val="single" w:color="CBD5E1" w:sz="1"/>
              <w:bottom w:val="single" w:color="CBD5E1" w:sz="1"/>
              <w:right w:val="single" w:color="CBD5E1" w:sz="1"/>
            </w:tcBorders>
            <w:shd w:fill="F1F5F9" w:val="clear"/>
            <w:tcMar>
              <w:top w:type="dxa" w:w="85"/>
              <w:left w:type="dxa" w:w="120"/>
              <w:bottom w:type="dxa" w:w="85"/>
              <w:right w:type="dxa" w:w="120"/>
            </w:tcMar>
          </w:tcPr>
          <w:p>
            <w:pPr>
              <w:spacing/>
            </w:pPr>
            <w:r>
              <w:rPr>
                <w:rFonts w:ascii="Arial" w:cs="Arial" w:eastAsia="Arial" w:hAnsi="Arial"/>
                <w:color w:val="1B4FBF"/>
                <w:sz w:val="22"/>
                <w:szCs w:val="22"/>
              </w:rPr>
              <w:t xml:space="preserve">☐</w:t>
            </w:r>
          </w:p>
        </w:tc>
        <w:tc>
          <w:tcPr>
            <w:tcW w:type="dxa" w:w="736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Coverage meets threshold for declared service tier</w:t>
            </w:r>
          </w:p>
        </w:tc>
        <w:tc>
          <w:tcPr>
            <w:tcW w:type="dxa" w:w="1440"/>
            <w:tcBorders>
              <w:top w:val="single" w:color="CBD5E1" w:sz="1"/>
              <w:left w:val="single" w:color="CBD5E1" w:sz="1"/>
              <w:bottom w:val="single" w:color="CBD5E1" w:sz="1"/>
              <w:right w:val="single" w:color="CBD5E1" w:sz="1"/>
            </w:tcBorders>
            <w:shd w:fill="DCFCE7" w:val="clear"/>
            <w:tcMar>
              <w:top w:type="dxa" w:w="85"/>
              <w:left w:type="dxa" w:w="120"/>
              <w:bottom w:type="dxa" w:w="85"/>
              <w:right w:type="dxa" w:w="120"/>
            </w:tcMar>
          </w:tcPr>
          <w:p>
            <w:pPr>
              <w:spacing/>
            </w:pPr>
            <w:r>
              <w:rPr>
                <w:rFonts w:ascii="Arial" w:cs="Arial" w:eastAsia="Arial" w:hAnsi="Arial"/>
                <w:b/>
                <w:bCs/>
                <w:color w:val="065F46"/>
                <w:sz w:val="20"/>
                <w:szCs w:val="20"/>
              </w:rPr>
              <w:t xml:space="preserve">Mandatory</w:t>
            </w:r>
          </w:p>
        </w:tc>
      </w:tr>
    </w:tbl>
    <w:p>
      <w:pPr>
        <w:pBdr>
          <w:bottom w:val="single" w:color="CBD5E1" w:sz="2" w:space="4"/>
        </w:pBdr>
        <w:spacing w:after="160" w:before="160"/>
      </w:pPr>
      <w:r>
        <w:t xml:space="preserve"/>
      </w:r>
    </w:p>
    <w:p>
      <w:pPr>
        <w:pStyle w:val="Heading1"/>
        <w:pBdr>
          <w:bottom w:val="single" w:color="1B4FBF" w:sz="6"/>
        </w:pBdr>
        <w:shd w:fill="0A1628" w:val="clear"/>
        <w:spacing w:after="160" w:before="400"/>
        <w:ind w:left="220"/>
      </w:pPr>
      <w:r>
        <w:rPr>
          <w:rFonts w:ascii="Arial" w:cs="Arial" w:eastAsia="Arial" w:hAnsi="Arial"/>
          <w:b/>
          <w:bCs/>
          <w:color w:val="FFFFFF"/>
          <w:sz w:val="36"/>
          <w:szCs w:val="36"/>
        </w:rPr>
        <w:t xml:space="preserve">25 · Do's and Don'ts</w:t>
      </w:r>
    </w:p>
    <w:p>
      <w:pPr>
        <w:pStyle w:val="Heading2"/>
        <w:shd w:fill="1B4FBF" w:val="clear"/>
        <w:spacing w:after="100" w:before="280"/>
        <w:ind w:left="160"/>
      </w:pPr>
      <w:r>
        <w:rPr>
          <w:rFonts w:ascii="Arial" w:cs="Arial" w:eastAsia="Arial" w:hAnsi="Arial"/>
          <w:b/>
          <w:bCs/>
          <w:color w:val="FFFFFF"/>
          <w:sz w:val="27"/>
          <w:szCs w:val="27"/>
        </w:rPr>
        <w:t xml:space="preserve">25.1  Writing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FFFFFF" w:sz="1"/>
              <w:left w:val="single" w:color="FFFFFF" w:sz="1"/>
              <w:bottom w:val="single" w:color="FFFFFF" w:sz="1"/>
              <w:right w:val="single" w:color="FFFFFF" w:sz="1"/>
            </w:tcBorders>
            <w:shd w:fill="0A1628" w:val="clear"/>
            <w:tcMar>
              <w:top w:type="dxa" w:w="110"/>
              <w:left w:type="dxa" w:w="160"/>
              <w:bottom w:type="dxa" w:w="110"/>
              <w:right w:type="dxa" w:w="160"/>
            </w:tcMar>
          </w:tcPr>
          <w:p>
            <w:pPr>
              <w:spacing/>
            </w:pPr>
            <w:r>
              <w:rPr>
                <w:rFonts w:ascii="Arial" w:cs="Arial" w:eastAsia="Arial" w:hAnsi="Arial"/>
                <w:b/>
                <w:bCs/>
                <w:color w:val="FFFFFF"/>
                <w:sz w:val="21"/>
                <w:szCs w:val="21"/>
              </w:rPr>
              <w:t xml:space="preserve">✅  DO</w:t>
            </w:r>
          </w:p>
        </w:tc>
        <w:tc>
          <w:tcPr>
            <w:tcW w:type="dxa" w:w="4680"/>
            <w:tcBorders>
              <w:top w:val="single" w:color="FFFFFF" w:sz="1"/>
              <w:left w:val="single" w:color="FFFFFF" w:sz="1"/>
              <w:bottom w:val="single" w:color="FFFFFF" w:sz="1"/>
              <w:right w:val="single" w:color="FFFFFF" w:sz="1"/>
            </w:tcBorders>
            <w:shd w:fill="0A1628" w:val="clear"/>
            <w:tcMar>
              <w:top w:type="dxa" w:w="110"/>
              <w:left w:type="dxa" w:w="160"/>
              <w:bottom w:type="dxa" w:w="110"/>
              <w:right w:type="dxa" w:w="160"/>
            </w:tcMar>
          </w:tcPr>
          <w:p>
            <w:pPr>
              <w:spacing/>
            </w:pPr>
            <w:r>
              <w:rPr>
                <w:rFonts w:ascii="Arial" w:cs="Arial" w:eastAsia="Arial" w:hAnsi="Arial"/>
                <w:b/>
                <w:bCs/>
                <w:color w:val="FFFFFF"/>
                <w:sz w:val="21"/>
                <w:szCs w:val="21"/>
              </w:rPr>
              <w:t xml:space="preserve">❌  DON'T</w:t>
            </w:r>
          </w:p>
        </w:tc>
      </w:tr>
      <w:tr>
        <w:tc>
          <w:tcPr>
            <w:tcW w:type="dxa" w:w="468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Follow AAA in every test with explicit visual separation</w:t>
            </w:r>
          </w:p>
        </w:tc>
        <w:tc>
          <w:tcPr>
            <w:tcW w:type="dxa" w:w="468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Write a single test asserting multiple unrelated behaviours</w:t>
            </w:r>
          </w:p>
        </w:tc>
      </w:tr>
      <w:tr>
        <w:tc>
          <w:tcPr>
            <w:tcW w:type="dxa" w:w="468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Name tests: should [behaviour] when [condition]</w:t>
            </w:r>
          </w:p>
        </w:tc>
        <w:tc>
          <w:tcPr>
            <w:tcW w:type="dxa" w:w="468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Name tests: test1, myTest, verifyThing, or checkFlow</w:t>
            </w:r>
          </w:p>
        </w:tc>
      </w:tr>
      <w:tr>
        <w:tc>
          <w:tcPr>
            <w:tcW w:type="dxa" w:w="468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Seed data in beforeEach via factory builders</w:t>
            </w:r>
          </w:p>
        </w:tc>
        <w:tc>
          <w:tcPr>
            <w:tcW w:type="dxa" w:w="468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Rely on data left over from a prior test or a shared fixture</w:t>
            </w:r>
          </w:p>
        </w:tc>
      </w:tr>
      <w:tr>
        <w:tc>
          <w:tcPr>
            <w:tcW w:type="dxa" w:w="468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Link acceptance criteria (GWT) to specific test cases</w:t>
            </w:r>
          </w:p>
        </w:tc>
        <w:tc>
          <w:tcPr>
            <w:tcW w:type="dxa" w:w="468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Consider tests 'good enough' if CI passes</w:t>
            </w:r>
          </w:p>
        </w:tc>
      </w:tr>
      <w:tr>
        <w:tc>
          <w:tcPr>
            <w:tcW w:type="dxa" w:w="468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Review test quality — not just test existence — in PR reviews</w:t>
            </w:r>
          </w:p>
        </w:tc>
        <w:tc>
          <w:tcPr>
            <w:tcW w:type="dxa" w:w="468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Approve tests simply because coverage percentage is met</w:t>
            </w:r>
          </w:p>
        </w:tc>
      </w:tr>
    </w:tbl>
    <w:p>
      <w:pPr>
        <w:spacing w:after="80" w:before="0"/>
      </w:pPr>
      <w:r>
        <w:t xml:space="preserve"/>
      </w:r>
    </w:p>
    <w:p>
      <w:pPr>
        <w:pStyle w:val="Heading2"/>
        <w:shd w:fill="1B4FBF" w:val="clear"/>
        <w:spacing w:after="100" w:before="280"/>
        <w:ind w:left="160"/>
      </w:pPr>
      <w:r>
        <w:rPr>
          <w:rFonts w:ascii="Arial" w:cs="Arial" w:eastAsia="Arial" w:hAnsi="Arial"/>
          <w:b/>
          <w:bCs/>
          <w:color w:val="FFFFFF"/>
          <w:sz w:val="27"/>
          <w:szCs w:val="27"/>
        </w:rPr>
        <w:t xml:space="preserve">25.2  Coverage &amp; Mutation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FFFFFF" w:sz="1"/>
              <w:left w:val="single" w:color="FFFFFF" w:sz="1"/>
              <w:bottom w:val="single" w:color="FFFFFF" w:sz="1"/>
              <w:right w:val="single" w:color="FFFFFF" w:sz="1"/>
            </w:tcBorders>
            <w:shd w:fill="0A1628" w:val="clear"/>
            <w:tcMar>
              <w:top w:type="dxa" w:w="110"/>
              <w:left w:type="dxa" w:w="160"/>
              <w:bottom w:type="dxa" w:w="110"/>
              <w:right w:type="dxa" w:w="160"/>
            </w:tcMar>
          </w:tcPr>
          <w:p>
            <w:pPr>
              <w:spacing/>
            </w:pPr>
            <w:r>
              <w:rPr>
                <w:rFonts w:ascii="Arial" w:cs="Arial" w:eastAsia="Arial" w:hAnsi="Arial"/>
                <w:b/>
                <w:bCs/>
                <w:color w:val="FFFFFF"/>
                <w:sz w:val="21"/>
                <w:szCs w:val="21"/>
              </w:rPr>
              <w:t xml:space="preserve">✅  DO</w:t>
            </w:r>
          </w:p>
        </w:tc>
        <w:tc>
          <w:tcPr>
            <w:tcW w:type="dxa" w:w="4680"/>
            <w:tcBorders>
              <w:top w:val="single" w:color="FFFFFF" w:sz="1"/>
              <w:left w:val="single" w:color="FFFFFF" w:sz="1"/>
              <w:bottom w:val="single" w:color="FFFFFF" w:sz="1"/>
              <w:right w:val="single" w:color="FFFFFF" w:sz="1"/>
            </w:tcBorders>
            <w:shd w:fill="0A1628" w:val="clear"/>
            <w:tcMar>
              <w:top w:type="dxa" w:w="110"/>
              <w:left w:type="dxa" w:w="160"/>
              <w:bottom w:type="dxa" w:w="110"/>
              <w:right w:type="dxa" w:w="160"/>
            </w:tcMar>
          </w:tcPr>
          <w:p>
            <w:pPr>
              <w:spacing/>
            </w:pPr>
            <w:r>
              <w:rPr>
                <w:rFonts w:ascii="Arial" w:cs="Arial" w:eastAsia="Arial" w:hAnsi="Arial"/>
                <w:b/>
                <w:bCs/>
                <w:color w:val="FFFFFF"/>
                <w:sz w:val="21"/>
                <w:szCs w:val="21"/>
              </w:rPr>
              <w:t xml:space="preserve">❌  DON'T</w:t>
            </w:r>
          </w:p>
        </w:tc>
      </w:tr>
      <w:tr>
        <w:tc>
          <w:tcPr>
            <w:tcW w:type="dxa" w:w="468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Apply tier-appropriate coverage targets (90–95% Tier 0, 80–85% Tier 1)</w:t>
            </w:r>
          </w:p>
        </w:tc>
        <w:tc>
          <w:tcPr>
            <w:tcW w:type="dxa" w:w="468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Apply the same 95% hard gate to all services regardless of risk</w:t>
            </w:r>
          </w:p>
        </w:tc>
      </w:tr>
      <w:tr>
        <w:tc>
          <w:tcPr>
            <w:tcW w:type="dxa" w:w="468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Use Stryker mutation testing to validate assertion quality</w:t>
            </w:r>
          </w:p>
        </w:tc>
        <w:tc>
          <w:tcPr>
            <w:tcW w:type="dxa" w:w="468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Trust line coverage as a proxy for test effectiveness</w:t>
            </w:r>
          </w:p>
        </w:tc>
      </w:tr>
      <w:tr>
        <w:tc>
          <w:tcPr>
            <w:tcW w:type="dxa" w:w="468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Treat coverage as a minimum floor AND audit assertion quality</w:t>
            </w:r>
          </w:p>
        </w:tc>
        <w:tc>
          <w:tcPr>
            <w:tcW w:type="dxa" w:w="468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Write trivial tests to hit a coverage number</w:t>
            </w:r>
          </w:p>
        </w:tc>
      </w:tr>
      <w:tr>
        <w:tc>
          <w:tcPr>
            <w:tcW w:type="dxa" w:w="468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Declare exceptions formally with tech lead approval when thresholds miss</w:t>
            </w:r>
          </w:p>
        </w:tc>
        <w:tc>
          <w:tcPr>
            <w:tcW w:type="dxa" w:w="468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Silently skip coverage rules to meet sprint deadlines</w:t>
            </w:r>
          </w:p>
        </w:tc>
      </w:tr>
    </w:tbl>
    <w:p>
      <w:pPr>
        <w:spacing w:after="80" w:before="0"/>
      </w:pPr>
      <w:r>
        <w:t xml:space="preserve"/>
      </w:r>
    </w:p>
    <w:p>
      <w:pPr>
        <w:pStyle w:val="Heading2"/>
        <w:shd w:fill="1B4FBF" w:val="clear"/>
        <w:spacing w:after="100" w:before="280"/>
        <w:ind w:left="160"/>
      </w:pPr>
      <w:r>
        <w:rPr>
          <w:rFonts w:ascii="Arial" w:cs="Arial" w:eastAsia="Arial" w:hAnsi="Arial"/>
          <w:b/>
          <w:bCs/>
          <w:color w:val="FFFFFF"/>
          <w:sz w:val="27"/>
          <w:szCs w:val="27"/>
        </w:rPr>
        <w:t xml:space="preserve">25.3  Mocking &amp;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FFFFFF" w:sz="1"/>
              <w:left w:val="single" w:color="FFFFFF" w:sz="1"/>
              <w:bottom w:val="single" w:color="FFFFFF" w:sz="1"/>
              <w:right w:val="single" w:color="FFFFFF" w:sz="1"/>
            </w:tcBorders>
            <w:shd w:fill="0A1628" w:val="clear"/>
            <w:tcMar>
              <w:top w:type="dxa" w:w="110"/>
              <w:left w:type="dxa" w:w="160"/>
              <w:bottom w:type="dxa" w:w="110"/>
              <w:right w:type="dxa" w:w="160"/>
            </w:tcMar>
          </w:tcPr>
          <w:p>
            <w:pPr>
              <w:spacing/>
            </w:pPr>
            <w:r>
              <w:rPr>
                <w:rFonts w:ascii="Arial" w:cs="Arial" w:eastAsia="Arial" w:hAnsi="Arial"/>
                <w:b/>
                <w:bCs/>
                <w:color w:val="FFFFFF"/>
                <w:sz w:val="21"/>
                <w:szCs w:val="21"/>
              </w:rPr>
              <w:t xml:space="preserve">✅  DO</w:t>
            </w:r>
          </w:p>
        </w:tc>
        <w:tc>
          <w:tcPr>
            <w:tcW w:type="dxa" w:w="4680"/>
            <w:tcBorders>
              <w:top w:val="single" w:color="FFFFFF" w:sz="1"/>
              <w:left w:val="single" w:color="FFFFFF" w:sz="1"/>
              <w:bottom w:val="single" w:color="FFFFFF" w:sz="1"/>
              <w:right w:val="single" w:color="FFFFFF" w:sz="1"/>
            </w:tcBorders>
            <w:shd w:fill="0A1628" w:val="clear"/>
            <w:tcMar>
              <w:top w:type="dxa" w:w="110"/>
              <w:left w:type="dxa" w:w="160"/>
              <w:bottom w:type="dxa" w:w="110"/>
              <w:right w:type="dxa" w:w="160"/>
            </w:tcMar>
          </w:tcPr>
          <w:p>
            <w:pPr>
              <w:spacing/>
            </w:pPr>
            <w:r>
              <w:rPr>
                <w:rFonts w:ascii="Arial" w:cs="Arial" w:eastAsia="Arial" w:hAnsi="Arial"/>
                <w:b/>
                <w:bCs/>
                <w:color w:val="FFFFFF"/>
                <w:sz w:val="21"/>
                <w:szCs w:val="21"/>
              </w:rPr>
              <w:t xml:space="preserve">❌  DON'T</w:t>
            </w:r>
          </w:p>
        </w:tc>
      </w:tr>
      <w:tr>
        <w:tc>
          <w:tcPr>
            <w:tcW w:type="dxa" w:w="468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Mock at system boundary: DB, HTTP, queue, clock</w:t>
            </w:r>
          </w:p>
        </w:tc>
        <w:tc>
          <w:tcPr>
            <w:tcW w:type="dxa" w:w="468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Mock your own service methods, domain logic, or error classes</w:t>
            </w:r>
          </w:p>
        </w:tc>
      </w:tr>
      <w:tr>
        <w:tc>
          <w:tcPr>
            <w:tcW w:type="dxa" w:w="468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Use MSW for network-level HTTP mocking</w:t>
            </w:r>
          </w:p>
        </w:tc>
        <w:tc>
          <w:tcPr>
            <w:tcW w:type="dxa" w:w="468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Mock the fetch or axios module directly at the module level</w:t>
            </w:r>
          </w:p>
        </w:tc>
      </w:tr>
      <w:tr>
        <w:tc>
          <w:tcPr>
            <w:tcW w:type="dxa" w:w="468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Use Object Mothers for shared E2E / API scenario fixtures</w:t>
            </w:r>
          </w:p>
        </w:tc>
        <w:tc>
          <w:tcPr>
            <w:tcW w:type="dxa" w:w="468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Duplicate complex setup code across many test files</w:t>
            </w:r>
          </w:p>
        </w:tc>
      </w:tr>
      <w:tr>
        <w:tc>
          <w:tcPr>
            <w:tcW w:type="dxa" w:w="468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Use Data Builders for per-test minimal overrides</w:t>
            </w:r>
          </w:p>
        </w:tc>
        <w:tc>
          <w:tcPr>
            <w:tcW w:type="dxa" w:w="468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Hardcode test user IDs, emails, or dates across test files</w:t>
            </w:r>
          </w:p>
        </w:tc>
      </w:tr>
    </w:tbl>
    <w:p>
      <w:pPr>
        <w:spacing w:after="80" w:before="0"/>
      </w:pPr>
      <w:r>
        <w:t xml:space="preserve"/>
      </w:r>
    </w:p>
    <w:p>
      <w:pPr>
        <w:pStyle w:val="Heading2"/>
        <w:shd w:fill="1B4FBF" w:val="clear"/>
        <w:spacing w:after="100" w:before="280"/>
        <w:ind w:left="160"/>
      </w:pPr>
      <w:r>
        <w:rPr>
          <w:rFonts w:ascii="Arial" w:cs="Arial" w:eastAsia="Arial" w:hAnsi="Arial"/>
          <w:b/>
          <w:bCs/>
          <w:color w:val="FFFFFF"/>
          <w:sz w:val="27"/>
          <w:szCs w:val="27"/>
        </w:rPr>
        <w:t xml:space="preserve">25.4  CI &amp; Stability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FFFFFF" w:sz="1"/>
              <w:left w:val="single" w:color="FFFFFF" w:sz="1"/>
              <w:bottom w:val="single" w:color="FFFFFF" w:sz="1"/>
              <w:right w:val="single" w:color="FFFFFF" w:sz="1"/>
            </w:tcBorders>
            <w:shd w:fill="0A1628" w:val="clear"/>
            <w:tcMar>
              <w:top w:type="dxa" w:w="110"/>
              <w:left w:type="dxa" w:w="160"/>
              <w:bottom w:type="dxa" w:w="110"/>
              <w:right w:type="dxa" w:w="160"/>
            </w:tcMar>
          </w:tcPr>
          <w:p>
            <w:pPr>
              <w:spacing/>
            </w:pPr>
            <w:r>
              <w:rPr>
                <w:rFonts w:ascii="Arial" w:cs="Arial" w:eastAsia="Arial" w:hAnsi="Arial"/>
                <w:b/>
                <w:bCs/>
                <w:color w:val="FFFFFF"/>
                <w:sz w:val="21"/>
                <w:szCs w:val="21"/>
              </w:rPr>
              <w:t xml:space="preserve">✅  DO</w:t>
            </w:r>
          </w:p>
        </w:tc>
        <w:tc>
          <w:tcPr>
            <w:tcW w:type="dxa" w:w="4680"/>
            <w:tcBorders>
              <w:top w:val="single" w:color="FFFFFF" w:sz="1"/>
              <w:left w:val="single" w:color="FFFFFF" w:sz="1"/>
              <w:bottom w:val="single" w:color="FFFFFF" w:sz="1"/>
              <w:right w:val="single" w:color="FFFFFF" w:sz="1"/>
            </w:tcBorders>
            <w:shd w:fill="0A1628" w:val="clear"/>
            <w:tcMar>
              <w:top w:type="dxa" w:w="110"/>
              <w:left w:type="dxa" w:w="160"/>
              <w:bottom w:type="dxa" w:w="110"/>
              <w:right w:type="dxa" w:w="160"/>
            </w:tcMar>
          </w:tcPr>
          <w:p>
            <w:pPr>
              <w:spacing/>
            </w:pPr>
            <w:r>
              <w:rPr>
                <w:rFonts w:ascii="Arial" w:cs="Arial" w:eastAsia="Arial" w:hAnsi="Arial"/>
                <w:b/>
                <w:bCs/>
                <w:color w:val="FFFFFF"/>
                <w:sz w:val="21"/>
                <w:szCs w:val="21"/>
              </w:rPr>
              <w:t xml:space="preserve">❌  DON'T</w:t>
            </w:r>
          </w:p>
        </w:tc>
      </w:tr>
      <w:tr>
        <w:tc>
          <w:tcPr>
            <w:tcW w:type="dxa" w:w="468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Run fail-fast: lint → unit → contract → integration → API → security</w:t>
            </w:r>
          </w:p>
        </w:tc>
        <w:tc>
          <w:tcPr>
            <w:tcW w:type="dxa" w:w="468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Run E2E before unit tests pass</w:t>
            </w:r>
          </w:p>
        </w:tc>
      </w:tr>
      <w:tr>
        <w:tc>
          <w:tcPr>
            <w:tcW w:type="dxa" w:w="468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Quarantine flaky tests within 24h; fix per severity SLA</w:t>
            </w:r>
          </w:p>
        </w:tc>
        <w:tc>
          <w:tcPr>
            <w:tcW w:type="dxa" w:w="468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Ignore flaky tests or accept them as 'sometimes they just fail'</w:t>
            </w:r>
          </w:p>
        </w:tc>
      </w:tr>
      <w:tr>
        <w:tc>
          <w:tcPr>
            <w:tcW w:type="dxa" w:w="468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Enforce suite runtime budgets as hard CI gates</w:t>
            </w:r>
          </w:p>
        </w:tc>
        <w:tc>
          <w:tcPr>
            <w:tcW w:type="dxa" w:w="468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Let test suites grow unboundedly slow</w:t>
            </w:r>
          </w:p>
        </w:tc>
      </w:tr>
      <w:tr>
        <w:tc>
          <w:tcPr>
            <w:tcW w:type="dxa" w:w="468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Track flaky rate, mutation score, and coverage trend in retrospective</w:t>
            </w:r>
          </w:p>
        </w:tc>
        <w:tc>
          <w:tcPr>
            <w:tcW w:type="dxa" w:w="468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Review test health only when a production incident occurs</w:t>
            </w:r>
          </w:p>
        </w:tc>
      </w:tr>
    </w:tbl>
    <w:p>
      <w:pPr>
        <w:pBdr>
          <w:bottom w:val="single" w:color="CBD5E1" w:sz="2" w:space="4"/>
        </w:pBdr>
        <w:spacing w:after="160" w:before="160"/>
      </w:pPr>
      <w:r>
        <w:t xml:space="preserve"/>
      </w:r>
    </w:p>
    <w:p>
      <w:pPr>
        <w:pStyle w:val="Heading1"/>
        <w:pBdr>
          <w:bottom w:val="single" w:color="1B4FBF" w:sz="6"/>
        </w:pBdr>
        <w:shd w:fill="0A1628" w:val="clear"/>
        <w:spacing w:after="160" w:before="400"/>
        <w:ind w:left="220"/>
      </w:pPr>
      <w:r>
        <w:rPr>
          <w:rFonts w:ascii="Arial" w:cs="Arial" w:eastAsia="Arial" w:hAnsi="Arial"/>
          <w:b/>
          <w:bCs/>
          <w:color w:val="FFFFFF"/>
          <w:sz w:val="36"/>
          <w:szCs w:val="36"/>
        </w:rPr>
        <w:t xml:space="preserve">Appendix · Key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FFFFFF" w:sz="1"/>
              <w:left w:val="single" w:color="FFFFFF" w:sz="1"/>
              <w:bottom w:val="single" w:color="FFFFFF" w:sz="1"/>
              <w:right w:val="single" w:color="FFFFFF" w:sz="1"/>
            </w:tcBorders>
            <w:shd w:fill="0A1628" w:val="clear"/>
            <w:tcMar>
              <w:top w:type="dxa" w:w="110"/>
              <w:left w:type="dxa" w:w="160"/>
              <w:bottom w:type="dxa" w:w="110"/>
              <w:right w:type="dxa" w:w="160"/>
            </w:tcMar>
          </w:tcPr>
          <w:p>
            <w:pPr>
              <w:spacing/>
            </w:pPr>
            <w:r>
              <w:rPr>
                <w:rFonts w:ascii="Arial" w:cs="Arial" w:eastAsia="Arial" w:hAnsi="Arial"/>
                <w:b/>
                <w:bCs/>
                <w:color w:val="FFFFFF"/>
                <w:sz w:val="21"/>
                <w:szCs w:val="21"/>
              </w:rPr>
              <w:t xml:space="preserve">Term</w:t>
            </w:r>
          </w:p>
        </w:tc>
        <w:tc>
          <w:tcPr>
            <w:tcW w:type="dxa" w:w="7160"/>
            <w:tcBorders>
              <w:top w:val="single" w:color="FFFFFF" w:sz="1"/>
              <w:left w:val="single" w:color="FFFFFF" w:sz="1"/>
              <w:bottom w:val="single" w:color="FFFFFF" w:sz="1"/>
              <w:right w:val="single" w:color="FFFFFF" w:sz="1"/>
            </w:tcBorders>
            <w:shd w:fill="0A1628" w:val="clear"/>
            <w:tcMar>
              <w:top w:type="dxa" w:w="110"/>
              <w:left w:type="dxa" w:w="160"/>
              <w:bottom w:type="dxa" w:w="110"/>
              <w:right w:type="dxa" w:w="160"/>
            </w:tcMar>
          </w:tcPr>
          <w:p>
            <w:pPr>
              <w:spacing/>
            </w:pPr>
            <w:r>
              <w:rPr>
                <w:rFonts w:ascii="Arial" w:cs="Arial" w:eastAsia="Arial" w:hAnsi="Arial"/>
                <w:b/>
                <w:bCs/>
                <w:color w:val="FFFFFF"/>
                <w:sz w:val="21"/>
                <w:szCs w:val="21"/>
              </w:rPr>
              <w:t xml:space="preserve">Definition</w:t>
            </w:r>
          </w:p>
        </w:tc>
      </w:tr>
      <w:tr>
        <w:tc>
          <w:tcPr>
            <w:tcW w:type="dxa" w:w="220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AAA</w:t>
            </w:r>
          </w:p>
        </w:tc>
        <w:tc>
          <w:tcPr>
            <w:tcW w:type="dxa" w:w="716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Arrange–Act–Assert — the mandatory structure for every test case</w:t>
            </w:r>
          </w:p>
        </w:tc>
      </w:tr>
      <w:tr>
        <w:tc>
          <w:tcPr>
            <w:tcW w:type="dxa" w:w="220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ISTQB</w:t>
            </w:r>
          </w:p>
        </w:tc>
        <w:tc>
          <w:tcPr>
            <w:tcW w:type="dxa" w:w="716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International Software Testing Qualifications Board — globally recognised testing standards body</w:t>
            </w:r>
          </w:p>
        </w:tc>
      </w:tr>
      <w:tr>
        <w:tc>
          <w:tcPr>
            <w:tcW w:type="dxa" w:w="220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STLC</w:t>
            </w:r>
          </w:p>
        </w:tc>
        <w:tc>
          <w:tcPr>
            <w:tcW w:type="dxa" w:w="716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Software Testing Life Cycle — the phases of testing activity within the SDLC</w:t>
            </w:r>
          </w:p>
        </w:tc>
      </w:tr>
      <w:tr>
        <w:tc>
          <w:tcPr>
            <w:tcW w:type="dxa" w:w="220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GWT / BDD</w:t>
            </w:r>
          </w:p>
        </w:tc>
        <w:tc>
          <w:tcPr>
            <w:tcW w:type="dxa" w:w="716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Given–When–Then — Behaviour-Driven Development format for acceptance criteria</w:t>
            </w:r>
          </w:p>
        </w:tc>
      </w:tr>
      <w:tr>
        <w:tc>
          <w:tcPr>
            <w:tcW w:type="dxa" w:w="220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Testing Quadrants</w:t>
            </w:r>
          </w:p>
        </w:tc>
        <w:tc>
          <w:tcPr>
            <w:tcW w:type="dxa" w:w="716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Brian Marick's model for categorising tests by audience (business/technology) and purpose (support/critique)</w:t>
            </w:r>
          </w:p>
        </w:tc>
      </w:tr>
      <w:tr>
        <w:tc>
          <w:tcPr>
            <w:tcW w:type="dxa" w:w="220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Shift Left</w:t>
            </w:r>
          </w:p>
        </w:tc>
        <w:tc>
          <w:tcPr>
            <w:tcW w:type="dxa" w:w="716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Moving testing earlier in the SDLC — detecting defects at design and unit test time</w:t>
            </w:r>
          </w:p>
        </w:tc>
      </w:tr>
      <w:tr>
        <w:tc>
          <w:tcPr>
            <w:tcW w:type="dxa" w:w="220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Service Tier</w:t>
            </w:r>
          </w:p>
        </w:tc>
        <w:tc>
          <w:tcPr>
            <w:tcW w:type="dxa" w:w="716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Risk-based classification (Tier 0/1/2) determining coverage targets and test depth per service</w:t>
            </w:r>
          </w:p>
        </w:tc>
      </w:tr>
      <w:tr>
        <w:tc>
          <w:tcPr>
            <w:tcW w:type="dxa" w:w="220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Golden Path</w:t>
            </w:r>
          </w:p>
        </w:tc>
        <w:tc>
          <w:tcPr>
            <w:tcW w:type="dxa" w:w="716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Critical user journeys that must always pass — GP failure blocks any deployment</w:t>
            </w:r>
          </w:p>
        </w:tc>
      </w:tr>
      <w:tr>
        <w:tc>
          <w:tcPr>
            <w:tcW w:type="dxa" w:w="220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Object Mother</w:t>
            </w:r>
          </w:p>
        </w:tc>
        <w:tc>
          <w:tcPr>
            <w:tcW w:type="dxa" w:w="716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Pre-built named test scenario combining multiple related fixtures for E2E and API reuse</w:t>
            </w:r>
          </w:p>
        </w:tc>
      </w:tr>
      <w:tr>
        <w:tc>
          <w:tcPr>
            <w:tcW w:type="dxa" w:w="220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Data Builder</w:t>
            </w:r>
          </w:p>
        </w:tc>
        <w:tc>
          <w:tcPr>
            <w:tcW w:type="dxa" w:w="716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Minimal factory function creating test data objects with safe defaults and per-test overrides</w:t>
            </w:r>
          </w:p>
        </w:tc>
      </w:tr>
      <w:tr>
        <w:tc>
          <w:tcPr>
            <w:tcW w:type="dxa" w:w="220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Mutation Testing</w:t>
            </w:r>
          </w:p>
        </w:tc>
        <w:tc>
          <w:tcPr>
            <w:tcW w:type="dxa" w:w="716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Practice of introducing small code mutations to verify tests would detect real changes</w:t>
            </w:r>
          </w:p>
        </w:tc>
      </w:tr>
      <w:tr>
        <w:tc>
          <w:tcPr>
            <w:tcW w:type="dxa" w:w="220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Test Smell</w:t>
            </w:r>
          </w:p>
        </w:tc>
        <w:tc>
          <w:tcPr>
            <w:tcW w:type="dxa" w:w="716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Pattern indicating low test quality — e.g., Over-Mocking, Brittle Selectors, Dead Tests</w:t>
            </w:r>
          </w:p>
        </w:tc>
      </w:tr>
      <w:tr>
        <w:tc>
          <w:tcPr>
            <w:tcW w:type="dxa" w:w="220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Mutation Score</w:t>
            </w:r>
          </w:p>
        </w:tc>
        <w:tc>
          <w:tcPr>
            <w:tcW w:type="dxa" w:w="716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Killed mutations ÷ total mutations × 100 — measures assertion strength</w:t>
            </w:r>
          </w:p>
        </w:tc>
      </w:tr>
      <w:tr>
        <w:tc>
          <w:tcPr>
            <w:tcW w:type="dxa" w:w="220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Contract Test</w:t>
            </w:r>
          </w:p>
        </w:tc>
        <w:tc>
          <w:tcPr>
            <w:tcW w:type="dxa" w:w="716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Verifies API response matches a declared schema (OpenAPI or Pact)</w:t>
            </w:r>
          </w:p>
        </w:tc>
      </w:tr>
      <w:tr>
        <w:tc>
          <w:tcPr>
            <w:tcW w:type="dxa" w:w="220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MSW</w:t>
            </w:r>
          </w:p>
        </w:tc>
        <w:tc>
          <w:tcPr>
            <w:tcW w:type="dxa" w:w="716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Mock Service Worker — intercepts HTTP at network level for realistic test mocking</w:t>
            </w:r>
          </w:p>
        </w:tc>
      </w:tr>
      <w:tr>
        <w:tc>
          <w:tcPr>
            <w:tcW w:type="dxa" w:w="220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Testcontainers</w:t>
            </w:r>
          </w:p>
        </w:tc>
        <w:tc>
          <w:tcPr>
            <w:tcW w:type="dxa" w:w="716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Library that spins up disposable Docker containers (Postgres, Redis) for integration tests</w:t>
            </w:r>
          </w:p>
        </w:tc>
      </w:tr>
      <w:tr>
        <w:tc>
          <w:tcPr>
            <w:tcW w:type="dxa" w:w="220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Schemathesis</w:t>
            </w:r>
          </w:p>
        </w:tc>
        <w:tc>
          <w:tcPr>
            <w:tcW w:type="dxa" w:w="716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Auto-generates test inputs from OpenAPI spec to find violations and edge cases</w:t>
            </w:r>
          </w:p>
        </w:tc>
      </w:tr>
      <w:tr>
        <w:tc>
          <w:tcPr>
            <w:tcW w:type="dxa" w:w="220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IDOR</w:t>
            </w:r>
          </w:p>
        </w:tc>
        <w:tc>
          <w:tcPr>
            <w:tcW w:type="dxa" w:w="716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Insecure Direct Object Reference — accessing another user's resource via a guessable ID</w:t>
            </w:r>
          </w:p>
        </w:tc>
      </w:tr>
      <w:tr>
        <w:tc>
          <w:tcPr>
            <w:tcW w:type="dxa" w:w="220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DAST</w:t>
            </w:r>
          </w:p>
        </w:tc>
        <w:tc>
          <w:tcPr>
            <w:tcW w:type="dxa" w:w="716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Dynamic Application Security Testing — probing a running application for vulnerabilities</w:t>
            </w:r>
          </w:p>
        </w:tc>
      </w:tr>
      <w:tr>
        <w:tc>
          <w:tcPr>
            <w:tcW w:type="dxa" w:w="220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SAST</w:t>
            </w:r>
          </w:p>
        </w:tc>
        <w:tc>
          <w:tcPr>
            <w:tcW w:type="dxa" w:w="716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Static Application Security Testing — analysing source code without executing it</w:t>
            </w:r>
          </w:p>
        </w:tc>
      </w:tr>
      <w:tr>
        <w:tc>
          <w:tcPr>
            <w:tcW w:type="dxa" w:w="220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p95</w:t>
            </w:r>
          </w:p>
        </w:tc>
        <w:tc>
          <w:tcPr>
            <w:tcW w:type="dxa" w:w="716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95th percentile response time — 95% of requests complete within this duration</w:t>
            </w:r>
          </w:p>
        </w:tc>
      </w:tr>
      <w:tr>
        <w:tc>
          <w:tcPr>
            <w:tcW w:type="dxa" w:w="220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MTTD</w:t>
            </w:r>
          </w:p>
        </w:tc>
        <w:tc>
          <w:tcPr>
            <w:tcW w:type="dxa" w:w="716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Mean Time to Detect — average time from bug introduction to discovery</w:t>
            </w:r>
          </w:p>
        </w:tc>
      </w:tr>
      <w:tr>
        <w:tc>
          <w:tcPr>
            <w:tcW w:type="dxa" w:w="220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MTTR</w:t>
            </w:r>
          </w:p>
        </w:tc>
        <w:tc>
          <w:tcPr>
            <w:tcW w:type="dxa" w:w="716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Mean Time to Resolve — average time from detection to production fix</w:t>
            </w:r>
          </w:p>
        </w:tc>
      </w:tr>
      <w:tr>
        <w:tc>
          <w:tcPr>
            <w:tcW w:type="dxa" w:w="220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Flaky Test</w:t>
            </w:r>
          </w:p>
        </w:tc>
        <w:tc>
          <w:tcPr>
            <w:tcW w:type="dxa" w:w="716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A test that produces inconsistent results without any code change</w:t>
            </w:r>
          </w:p>
        </w:tc>
      </w:tr>
      <w:tr>
        <w:tc>
          <w:tcPr>
            <w:tcW w:type="dxa" w:w="220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DLQ</w:t>
            </w:r>
          </w:p>
        </w:tc>
        <w:tc>
          <w:tcPr>
            <w:tcW w:type="dxa" w:w="716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Dead Letter Queue — holds messages that failed after maximum retry attempts</w:t>
            </w:r>
          </w:p>
        </w:tc>
      </w:tr>
    </w:tbl>
    <w:p>
      <w:pPr>
        <w:spacing w:after="160" w:before="0"/>
      </w:pPr>
      <w:r>
        <w:t xml:space="preserve"/>
      </w:r>
    </w:p>
    <w:p>
      <w:pPr>
        <w:spacing w:after="0" w:before="200"/>
        <w:jc w:val="center"/>
      </w:pPr>
      <w:r>
        <w:rPr>
          <w:rFonts w:ascii="Arial" w:cs="Arial" w:eastAsia="Arial" w:hAnsi="Arial"/>
          <w:i/>
          <w:iCs/>
          <w:color w:val="64748B"/>
          <w:sz w:val="20"/>
          <w:szCs w:val="20"/>
        </w:rPr>
        <w:t xml:space="preserve">— End of Document  ·  Testing SOP v2.0  ·  April 2026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2" w:space="4"/>
      </w:pBdr>
      <w:tabs>
        <w:tab w:val="right" w:pos="9026"/>
      </w:tabs>
      <w:spacing w:before="120"/>
    </w:pPr>
    <w:r>
      <w:rPr>
        <w:rFonts w:ascii="Arial" w:cs="Arial" w:eastAsia="Arial" w:hAnsi="Arial"/>
        <w:color w:val="64748B"/>
        <w:sz w:val="18"/>
        <w:szCs w:val="18"/>
      </w:rPr>
      <w:t xml:space="preserve">Confidential — Internal Use Only</w:t>
    </w:r>
    <w:r>
      <w:rPr>
        <w:rFonts w:ascii="Arial" w:cs="Arial" w:eastAsia="Arial" w:hAnsi="Arial"/>
        <w:sz w:val="18"/>
        <w:szCs w:val="18"/>
      </w:rPr>
      <w:t xml:space="preserve">		</w:t>
    </w:r>
    <w:r>
      <w:rPr>
        <w:rFonts w:ascii="Arial" w:cs="Arial" w:eastAsia="Arial" w:hAnsi="Arial"/>
        <w:color w:val="64748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2" w:space="4"/>
      </w:pBdr>
      <w:tabs>
        <w:tab w:val="right" w:pos="9026"/>
      </w:tabs>
      <w:spacing w:after="140"/>
    </w:pPr>
    <w:r>
      <w:rPr>
        <w:rFonts w:ascii="Arial" w:cs="Arial" w:eastAsia="Arial" w:hAnsi="Arial"/>
        <w:color w:val="64748B"/>
        <w:sz w:val="18"/>
        <w:szCs w:val="18"/>
      </w:rPr>
      <w:t xml:space="preserve">Testing SOP v2.0 — ISTQB-Aligned · Agile SDLC/STLC</w:t>
    </w:r>
    <w:r>
      <w:rPr>
        <w:rFonts w:ascii="Arial" w:cs="Arial" w:eastAsia="Arial" w:hAnsi="Arial"/>
        <w:sz w:val="18"/>
        <w:szCs w:val="18"/>
      </w:rPr>
      <w:t xml:space="preserve">		</w:t>
    </w:r>
    <w:r>
      <w:rPr>
        <w:rFonts w:ascii="Arial" w:cs="Arial" w:eastAsia="Arial" w:hAnsi="Arial"/>
        <w:color w:val="64748B"/>
        <w:sz w:val="18"/>
        <w:szCs w:val="18"/>
      </w:rPr>
      <w:t xml:space="preserve">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900" w:hanging="280"/>
      </w:pPr>
    </w:lvl>
  </w:abstractNum>
  <w:abstractNum w:abstractNumId="3" w15:restartNumberingAfterBreak="0">
    <w:multiLevelType w:val="hybridMultilevel"/>
    <w:lvl w:ilvl="0" w15:tentative="1">
      <w:start w:val="1"/>
      <w:numFmt w:val="decimal"/>
      <w:lvlText w:val="%1."/>
      <w:lvlJc w:val="left"/>
      <w:pPr>
        <w:ind w:left="560" w:hanging="280"/>
      </w:pPr>
    </w:lvl>
    <w:lvl w:ilvl="1" w15:tentative="1">
      <w:start w:val="1"/>
      <w:numFmt w:val="decimal"/>
      <w:lvlText w:val="%1.%2"/>
      <w:lvlJc w:val="left"/>
      <w:pPr>
        <w:ind w:left="90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F17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FFFFFF"/>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FFFFFF"/>
      <w:sz w:val="27"/>
      <w:szCs w:val="27"/>
    </w:rPr>
  </w:style>
  <w:style w:type="paragraph" w:styleId="Heading3">
    <w:name w:val="Heading 3"/>
    <w:basedOn w:val="Normal"/>
    <w:next w:val="Normal"/>
    <w:qFormat/>
    <w:pPr>
      <w:spacing w:after="80" w:before="220"/>
      <w:outlineLvl w:val="2"/>
    </w:pPr>
    <w:rPr>
      <w:rFonts w:ascii="Arial" w:cs="Arial" w:eastAsia="Arial" w:hAnsi="Arial"/>
      <w:b/>
      <w:bCs/>
      <w:color w:val="0A1628"/>
      <w:sz w:val="24"/>
      <w:szCs w:val="24"/>
    </w:rPr>
  </w:style>
  <w:style w:type="paragraph" w:styleId="Heading4">
    <w:name w:val="Heading 4"/>
    <w:basedOn w:val="Normal"/>
    <w:next w:val="Normal"/>
    <w:qFormat/>
    <w:pPr>
      <w:spacing w:after="60" w:before="160"/>
      <w:outlineLvl w:val="3"/>
    </w:pPr>
    <w:rPr>
      <w:rFonts w:ascii="Arial" w:cs="Arial" w:eastAsia="Arial" w:hAnsi="Arial"/>
      <w:b/>
      <w:bCs/>
      <w:color w:val="0F766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2026-04-16T23:20:24.347Z</dcterms:created>
  <dcterms:modified xsi:type="dcterms:W3CDTF">2026-04-16T23:20:24.350Z</dcterms:modified>
</cp:coreProperties>
</file>

<file path=docProps/custom.xml><?xml version="1.0" encoding="utf-8"?>
<Properties xmlns="http://schemas.openxmlformats.org/officeDocument/2006/custom-properties" xmlns:vt="http://schemas.openxmlformats.org/officeDocument/2006/docPropsVTypes"/>
</file>