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28" w:lineRule="auto"/>
        <w:ind w:firstLine="0"/>
        <w:jc w:val="center"/>
      </w:pPr>
      <w:r>
        <w:rPr>
          <w:rFonts w:ascii="Times New Roman" w:hAnsi="Times New Roman" w:cs="Times New Roman" w:eastAsia="Times New Roman"/>
          <w:b w:val="0"/>
          <w:i w:val="0"/>
          <w:smallCaps w:val="0"/>
          <w:sz w:val="48"/>
        </w:rPr>
        <w:t>From Rooftop to Aquifer: An Open, Auditable Pipeline for Rainwater Harvesting and Artificial Recharge Assessment</w:t>
      </w:r>
    </w:p>
    <w:tbl>
      <w:tblPr>
        <w:tblW w:type="auto" w:w="0"/>
        <w:jc w:val="center"/>
        <w:tblLayout w:type="fixed"/>
        <w:tblLook w:firstColumn="1" w:firstRow="1" w:lastColumn="0" w:lastRow="0" w:noHBand="0" w:noVBand="1" w:val="04A0"/>
        <w:tblLayout w:type="fixed"/>
        <w:tblCellMar>
          <w:top w:w="0" w:type="dxa"/>
          <w:left w:w="60" w:type="dxa"/>
          <w:bottom w:w="0" w:type="dxa"/>
          <w:right w:w="60" w:type="dxa"/>
        </w:tblCellMar>
      </w:tblPr>
      <w:tblGrid>
        <w:gridCol w:w="1714"/>
        <w:gridCol w:w="1714"/>
        <w:gridCol w:w="1714"/>
        <w:gridCol w:w="1714"/>
        <w:gridCol w:w="1714"/>
        <w:gridCol w:w="1714"/>
      </w:tblGrid>
      <w:tr>
        <w:trPr>
          <w:cantSplit/>
        </w:trPr>
        <w:tc>
          <w:tcPr>
            <w:tcW w:type="dxa" w:w="3428"/>
            <w:gridSpan w:val="2"/>
          </w:tcPr>
          <w:p>
            <w:pPr>
              <w:spacing w:after="0" w:line="240" w:lineRule="auto"/>
              <w:ind w:firstLine="0"/>
              <w:jc w:val="center"/>
            </w:pPr>
            <w:r>
              <w:rPr>
                <w:rFonts w:ascii="Times New Roman" w:hAnsi="Times New Roman" w:cs="Times New Roman" w:eastAsia="Times New Roman"/>
                <w:b w:val="0"/>
                <w:i w:val="0"/>
                <w:smallCaps w:val="0"/>
                <w:sz w:val="22"/>
              </w:rPr>
              <w:t>Shubham Desai</w:t>
            </w:r>
          </w:p>
          <w:p>
            <w:pPr>
              <w:spacing w:after="0" w:line="240" w:lineRule="auto"/>
              <w:ind w:firstLine="0"/>
              <w:jc w:val="center"/>
            </w:pPr>
            <w:r>
              <w:rPr>
                <w:rFonts w:ascii="Times New Roman" w:hAnsi="Times New Roman" w:cs="Times New Roman" w:eastAsia="Times New Roman"/>
                <w:b w:val="0"/>
                <w:i w:val="0"/>
                <w:smallCaps w:val="0"/>
                <w:sz w:val="20"/>
              </w:rPr>
              <w:t>Department of Information Technology</w:t>
            </w:r>
          </w:p>
          <w:p>
            <w:pPr>
              <w:spacing w:after="0" w:line="240" w:lineRule="auto"/>
              <w:ind w:firstLine="0"/>
              <w:jc w:val="center"/>
            </w:pPr>
            <w:r>
              <w:rPr>
                <w:rFonts w:ascii="Times New Roman" w:hAnsi="Times New Roman" w:cs="Times New Roman" w:eastAsia="Times New Roman"/>
                <w:b w:val="0"/>
                <w:i w:val="0"/>
                <w:smallCaps w:val="0"/>
                <w:sz w:val="20"/>
              </w:rPr>
              <w:t>JSPM's Rajarshi Shahu College of Engineering</w:t>
            </w:r>
          </w:p>
          <w:p>
            <w:pPr>
              <w:spacing w:after="0" w:line="240" w:lineRule="auto"/>
              <w:ind w:firstLine="0"/>
              <w:jc w:val="center"/>
            </w:pPr>
            <w:r>
              <w:rPr>
                <w:rFonts w:ascii="Times New Roman" w:hAnsi="Times New Roman" w:cs="Times New Roman" w:eastAsia="Times New Roman"/>
                <w:b w:val="0"/>
                <w:i w:val="0"/>
                <w:smallCaps w:val="0"/>
                <w:sz w:val="20"/>
              </w:rPr>
              <w:t>Pune, India</w:t>
            </w:r>
          </w:p>
          <w:p>
            <w:pPr>
              <w:spacing w:after="120" w:line="240" w:lineRule="auto"/>
              <w:ind w:firstLine="0"/>
              <w:jc w:val="center"/>
            </w:pPr>
            <w:r>
              <w:rPr>
                <w:rFonts w:ascii="Times New Roman" w:hAnsi="Times New Roman" w:cs="Times New Roman" w:eastAsia="Times New Roman"/>
                <w:b w:val="0"/>
                <w:i/>
                <w:smallCaps w:val="0"/>
                <w:sz w:val="18"/>
              </w:rPr>
              <w:t>roll no. ______</w:t>
            </w:r>
          </w:p>
        </w:tc>
        <w:tc>
          <w:tcPr>
            <w:tcW w:type="dxa" w:w="3428"/>
            <w:gridSpan w:val="2"/>
          </w:tcPr>
          <w:p>
            <w:pPr>
              <w:spacing w:after="0" w:line="240" w:lineRule="auto"/>
              <w:ind w:firstLine="0"/>
              <w:jc w:val="center"/>
            </w:pPr>
            <w:r>
              <w:rPr>
                <w:rFonts w:ascii="Times New Roman" w:hAnsi="Times New Roman" w:cs="Times New Roman" w:eastAsia="Times New Roman"/>
                <w:b w:val="0"/>
                <w:i w:val="0"/>
                <w:smallCaps w:val="0"/>
                <w:sz w:val="22"/>
              </w:rPr>
              <w:t>Siddhesh Mahadik</w:t>
            </w:r>
          </w:p>
          <w:p>
            <w:pPr>
              <w:spacing w:after="0" w:line="240" w:lineRule="auto"/>
              <w:ind w:firstLine="0"/>
              <w:jc w:val="center"/>
            </w:pPr>
            <w:r>
              <w:rPr>
                <w:rFonts w:ascii="Times New Roman" w:hAnsi="Times New Roman" w:cs="Times New Roman" w:eastAsia="Times New Roman"/>
                <w:b w:val="0"/>
                <w:i w:val="0"/>
                <w:smallCaps w:val="0"/>
                <w:sz w:val="20"/>
              </w:rPr>
              <w:t>Department of Information Technology</w:t>
            </w:r>
          </w:p>
          <w:p>
            <w:pPr>
              <w:spacing w:after="0" w:line="240" w:lineRule="auto"/>
              <w:ind w:firstLine="0"/>
              <w:jc w:val="center"/>
            </w:pPr>
            <w:r>
              <w:rPr>
                <w:rFonts w:ascii="Times New Roman" w:hAnsi="Times New Roman" w:cs="Times New Roman" w:eastAsia="Times New Roman"/>
                <w:b w:val="0"/>
                <w:i w:val="0"/>
                <w:smallCaps w:val="0"/>
                <w:sz w:val="20"/>
              </w:rPr>
              <w:t>JSPM's Rajarshi Shahu College of Engineering</w:t>
            </w:r>
          </w:p>
          <w:p>
            <w:pPr>
              <w:spacing w:after="0" w:line="240" w:lineRule="auto"/>
              <w:ind w:firstLine="0"/>
              <w:jc w:val="center"/>
            </w:pPr>
            <w:r>
              <w:rPr>
                <w:rFonts w:ascii="Times New Roman" w:hAnsi="Times New Roman" w:cs="Times New Roman" w:eastAsia="Times New Roman"/>
                <w:b w:val="0"/>
                <w:i w:val="0"/>
                <w:smallCaps w:val="0"/>
                <w:sz w:val="20"/>
              </w:rPr>
              <w:t>Pune, India</w:t>
            </w:r>
          </w:p>
          <w:p>
            <w:pPr>
              <w:spacing w:after="120" w:line="240" w:lineRule="auto"/>
              <w:ind w:firstLine="0"/>
              <w:jc w:val="center"/>
            </w:pPr>
            <w:r>
              <w:rPr>
                <w:rFonts w:ascii="Times New Roman" w:hAnsi="Times New Roman" w:cs="Times New Roman" w:eastAsia="Times New Roman"/>
                <w:b w:val="0"/>
                <w:i/>
                <w:smallCaps w:val="0"/>
                <w:sz w:val="18"/>
              </w:rPr>
              <w:t>roll no. ______</w:t>
            </w:r>
          </w:p>
        </w:tc>
        <w:tc>
          <w:tcPr>
            <w:tcW w:type="dxa" w:w="3428"/>
            <w:gridSpan w:val="2"/>
          </w:tcPr>
          <w:p>
            <w:pPr>
              <w:spacing w:after="0" w:line="240" w:lineRule="auto"/>
              <w:ind w:firstLine="0"/>
              <w:jc w:val="center"/>
            </w:pPr>
            <w:r>
              <w:rPr>
                <w:rFonts w:ascii="Times New Roman" w:hAnsi="Times New Roman" w:cs="Times New Roman" w:eastAsia="Times New Roman"/>
                <w:b w:val="0"/>
                <w:i w:val="0"/>
                <w:smallCaps w:val="0"/>
                <w:sz w:val="22"/>
              </w:rPr>
              <w:t>Kaushal Agale</w:t>
            </w:r>
          </w:p>
          <w:p>
            <w:pPr>
              <w:spacing w:after="0" w:line="240" w:lineRule="auto"/>
              <w:ind w:firstLine="0"/>
              <w:jc w:val="center"/>
            </w:pPr>
            <w:r>
              <w:rPr>
                <w:rFonts w:ascii="Times New Roman" w:hAnsi="Times New Roman" w:cs="Times New Roman" w:eastAsia="Times New Roman"/>
                <w:b w:val="0"/>
                <w:i w:val="0"/>
                <w:smallCaps w:val="0"/>
                <w:sz w:val="20"/>
              </w:rPr>
              <w:t>Department of Information Technology</w:t>
            </w:r>
          </w:p>
          <w:p>
            <w:pPr>
              <w:spacing w:after="0" w:line="240" w:lineRule="auto"/>
              <w:ind w:firstLine="0"/>
              <w:jc w:val="center"/>
            </w:pPr>
            <w:r>
              <w:rPr>
                <w:rFonts w:ascii="Times New Roman" w:hAnsi="Times New Roman" w:cs="Times New Roman" w:eastAsia="Times New Roman"/>
                <w:b w:val="0"/>
                <w:i w:val="0"/>
                <w:smallCaps w:val="0"/>
                <w:sz w:val="20"/>
              </w:rPr>
              <w:t>JSPM's Rajarshi Shahu College of Engineering</w:t>
            </w:r>
          </w:p>
          <w:p>
            <w:pPr>
              <w:spacing w:after="0" w:line="240" w:lineRule="auto"/>
              <w:ind w:firstLine="0"/>
              <w:jc w:val="center"/>
            </w:pPr>
            <w:r>
              <w:rPr>
                <w:rFonts w:ascii="Times New Roman" w:hAnsi="Times New Roman" w:cs="Times New Roman" w:eastAsia="Times New Roman"/>
                <w:b w:val="0"/>
                <w:i w:val="0"/>
                <w:smallCaps w:val="0"/>
                <w:sz w:val="20"/>
              </w:rPr>
              <w:t>Pune, India</w:t>
            </w:r>
          </w:p>
          <w:p>
            <w:pPr>
              <w:spacing w:after="120" w:line="240" w:lineRule="auto"/>
              <w:ind w:firstLine="0"/>
              <w:jc w:val="center"/>
            </w:pPr>
            <w:r>
              <w:rPr>
                <w:rFonts w:ascii="Times New Roman" w:hAnsi="Times New Roman" w:cs="Times New Roman" w:eastAsia="Times New Roman"/>
                <w:b w:val="0"/>
                <w:i/>
                <w:smallCaps w:val="0"/>
                <w:sz w:val="18"/>
              </w:rPr>
              <w:t>roll no. ______</w:t>
            </w:r>
          </w:p>
        </w:tc>
      </w:tr>
      <w:tr>
        <w:trPr>
          <w:cantSplit/>
        </w:trPr>
        <w:tc>
          <w:tcPr>
            <w:tcW w:type="dxa" w:w="5142"/>
            <w:gridSpan w:val="3"/>
          </w:tcPr>
          <w:p>
            <w:pPr>
              <w:spacing w:after="0" w:line="240" w:lineRule="auto"/>
              <w:ind w:firstLine="0"/>
              <w:jc w:val="center"/>
            </w:pPr>
            <w:r>
              <w:rPr>
                <w:rFonts w:ascii="Times New Roman" w:hAnsi="Times New Roman" w:cs="Times New Roman" w:eastAsia="Times New Roman"/>
                <w:b w:val="0"/>
                <w:i w:val="0"/>
                <w:smallCaps w:val="0"/>
                <w:sz w:val="22"/>
              </w:rPr>
              <w:t>Omkar Kshirsagar</w:t>
            </w:r>
          </w:p>
          <w:p>
            <w:pPr>
              <w:spacing w:after="0" w:line="240" w:lineRule="auto"/>
              <w:ind w:firstLine="0"/>
              <w:jc w:val="center"/>
            </w:pPr>
            <w:r>
              <w:rPr>
                <w:rFonts w:ascii="Times New Roman" w:hAnsi="Times New Roman" w:cs="Times New Roman" w:eastAsia="Times New Roman"/>
                <w:b w:val="0"/>
                <w:i w:val="0"/>
                <w:smallCaps w:val="0"/>
                <w:sz w:val="20"/>
              </w:rPr>
              <w:t>Department of Information Technology</w:t>
            </w:r>
          </w:p>
          <w:p>
            <w:pPr>
              <w:spacing w:after="0" w:line="240" w:lineRule="auto"/>
              <w:ind w:firstLine="0"/>
              <w:jc w:val="center"/>
            </w:pPr>
            <w:r>
              <w:rPr>
                <w:rFonts w:ascii="Times New Roman" w:hAnsi="Times New Roman" w:cs="Times New Roman" w:eastAsia="Times New Roman"/>
                <w:b w:val="0"/>
                <w:i w:val="0"/>
                <w:smallCaps w:val="0"/>
                <w:sz w:val="20"/>
              </w:rPr>
              <w:t>JSPM's Rajarshi Shahu College of Engineering</w:t>
            </w:r>
          </w:p>
          <w:p>
            <w:pPr>
              <w:spacing w:after="0" w:line="240" w:lineRule="auto"/>
              <w:ind w:firstLine="0"/>
              <w:jc w:val="center"/>
            </w:pPr>
            <w:r>
              <w:rPr>
                <w:rFonts w:ascii="Times New Roman" w:hAnsi="Times New Roman" w:cs="Times New Roman" w:eastAsia="Times New Roman"/>
                <w:b w:val="0"/>
                <w:i w:val="0"/>
                <w:smallCaps w:val="0"/>
                <w:sz w:val="20"/>
              </w:rPr>
              <w:t>Pune, India</w:t>
            </w:r>
          </w:p>
          <w:p>
            <w:pPr>
              <w:spacing w:after="120" w:line="240" w:lineRule="auto"/>
              <w:ind w:firstLine="0"/>
              <w:jc w:val="center"/>
            </w:pPr>
            <w:r>
              <w:rPr>
                <w:rFonts w:ascii="Times New Roman" w:hAnsi="Times New Roman" w:cs="Times New Roman" w:eastAsia="Times New Roman"/>
                <w:b w:val="0"/>
                <w:i/>
                <w:smallCaps w:val="0"/>
                <w:sz w:val="18"/>
              </w:rPr>
              <w:t>roll no. ______</w:t>
            </w:r>
          </w:p>
        </w:tc>
        <w:tc>
          <w:tcPr>
            <w:tcW w:type="dxa" w:w="5142"/>
            <w:gridSpan w:val="3"/>
          </w:tcPr>
          <w:p>
            <w:pPr>
              <w:spacing w:after="0" w:line="240" w:lineRule="auto"/>
              <w:ind w:firstLine="0"/>
              <w:jc w:val="center"/>
            </w:pPr>
            <w:r>
              <w:rPr>
                <w:rFonts w:ascii="Times New Roman" w:hAnsi="Times New Roman" w:cs="Times New Roman" w:eastAsia="Times New Roman"/>
                <w:b w:val="0"/>
                <w:i w:val="0"/>
                <w:smallCaps w:val="0"/>
                <w:sz w:val="22"/>
              </w:rPr>
              <w:t>Dr. Dipali H. Patil</w:t>
            </w:r>
          </w:p>
          <w:p>
            <w:pPr>
              <w:spacing w:after="0" w:line="240" w:lineRule="auto"/>
              <w:ind w:firstLine="0"/>
              <w:jc w:val="center"/>
            </w:pPr>
            <w:r>
              <w:rPr>
                <w:rFonts w:ascii="Times New Roman" w:hAnsi="Times New Roman" w:cs="Times New Roman" w:eastAsia="Times New Roman"/>
                <w:b w:val="0"/>
                <w:i w:val="0"/>
                <w:smallCaps w:val="0"/>
                <w:sz w:val="20"/>
              </w:rPr>
              <w:t>Department of Information Technology</w:t>
            </w:r>
          </w:p>
          <w:p>
            <w:pPr>
              <w:spacing w:after="0" w:line="240" w:lineRule="auto"/>
              <w:ind w:firstLine="0"/>
              <w:jc w:val="center"/>
            </w:pPr>
            <w:r>
              <w:rPr>
                <w:rFonts w:ascii="Times New Roman" w:hAnsi="Times New Roman" w:cs="Times New Roman" w:eastAsia="Times New Roman"/>
                <w:b w:val="0"/>
                <w:i w:val="0"/>
                <w:smallCaps w:val="0"/>
                <w:sz w:val="20"/>
              </w:rPr>
              <w:t>JSPM's Rajarshi Shahu College of Engineering</w:t>
            </w:r>
          </w:p>
          <w:p>
            <w:pPr>
              <w:spacing w:after="0" w:line="240" w:lineRule="auto"/>
              <w:ind w:firstLine="0"/>
              <w:jc w:val="center"/>
            </w:pPr>
            <w:r>
              <w:rPr>
                <w:rFonts w:ascii="Times New Roman" w:hAnsi="Times New Roman" w:cs="Times New Roman" w:eastAsia="Times New Roman"/>
                <w:b w:val="0"/>
                <w:i w:val="0"/>
                <w:smallCaps w:val="0"/>
                <w:sz w:val="20"/>
              </w:rPr>
              <w:t>Pune, India</w:t>
            </w:r>
          </w:p>
          <w:p>
            <w:pPr>
              <w:spacing w:after="120" w:line="240" w:lineRule="auto"/>
              <w:ind w:firstLine="0"/>
              <w:jc w:val="center"/>
            </w:pPr>
            <w:r>
              <w:rPr>
                <w:rFonts w:ascii="Times New Roman" w:hAnsi="Times New Roman" w:cs="Times New Roman" w:eastAsia="Times New Roman"/>
                <w:b w:val="0"/>
                <w:i/>
                <w:smallCaps w:val="0"/>
                <w:sz w:val="18"/>
              </w:rPr>
              <w:t>guide</w:t>
            </w:r>
          </w:p>
        </w:tc>
      </w:tr>
    </w:tbl>
    <w:p>
      <w:pPr>
        <w:sectPr>
          <w:pgSz w:w="11906" w:h="16838"/>
          <w:pgMar w:top="1077" w:right="812" w:bottom="2438" w:left="812" w:header="567" w:footer="567" w:gutter="0"/>
          <w:cols w:space="238" w:num="1" w:equalWidth="1"/>
          <w:docGrid w:linePitch="360"/>
        </w:sectPr>
      </w:pPr>
    </w:p>
    <w:p>
      <w:pPr>
        <w:spacing w:after="120" w:line="240" w:lineRule="auto"/>
        <w:ind w:firstLine="288"/>
        <w:jc w:val="both"/>
      </w:pPr>
      <w:r>
        <w:rPr>
          <w:rFonts w:ascii="Times New Roman" w:hAnsi="Times New Roman" w:cs="Times New Roman" w:eastAsia="Times New Roman"/>
          <w:b/>
          <w:i/>
          <w:smallCaps w:val="0"/>
          <w:sz w:val="18"/>
        </w:rPr>
        <w:t>Abstract—</w:t>
      </w:r>
      <w:r>
        <w:rPr>
          <w:rFonts w:ascii="Times New Roman" w:hAnsi="Times New Roman" w:cs="Times New Roman" w:eastAsia="Times New Roman"/>
          <w:b/>
          <w:i w:val="0"/>
          <w:smallCaps w:val="0"/>
          <w:sz w:val="18"/>
        </w:rPr>
        <w:t>Most rooftop rainwater harvesting calculators answer one question: how much water falls on this roof. The decision a household or a municipal engineer actually faces is wider. How much of that water can be captured, how much can be returned to the ground, which structure should be built first, what it will cost, and how much of the answer can be defended when someone asks where a number came from. This paper describes HYDRO RAIN GUARD, a web application that answers those questions in a single pass and keeps every intermediate quantity visible. Rainfall is taken from a 2.5-degree monthly climatology (NOAA CMAP, 1991-2020), interpolated at the site and rescaled to a measured annual total where one is available. Runoff is computed twice, once by the Rational method and once by the SCS curve number method, and the gap between them is reported instead of hidden. Harvestable volume is discounted for first flush, recharge is bounded by both soil infiltration and the rain that actually falls, and five candidate structures are ranked by an analytic hierarchy process whose pairwise matrix, weights, principal eigenvalue and consistency ratio are all displayed to the user. A reference case in Pune (100 square metre RCC roof, 700 mm of rain) gives 63.0 kL of runoff, 43.0 kL harvestable, 24.5 kL of recharge potential and a storage tank scored 93 out of 100, with a simple payback of 60.6 years at the local tariff of INR 35 per kilolitre. We report that payback rather than adjusting the assumptions until it looks better. Five scenarios, 38 automated tests and a clean production build support the results.</w:t>
      </w:r>
    </w:p>
    <w:p>
      <w:pPr>
        <w:spacing w:after="200" w:line="240" w:lineRule="auto"/>
        <w:ind w:firstLine="288"/>
        <w:jc w:val="both"/>
      </w:pPr>
      <w:r>
        <w:rPr>
          <w:rFonts w:ascii="Times New Roman" w:hAnsi="Times New Roman" w:cs="Times New Roman" w:eastAsia="Times New Roman"/>
          <w:b/>
          <w:i/>
          <w:smallCaps w:val="0"/>
          <w:sz w:val="18"/>
        </w:rPr>
        <w:t>Index Terms—</w:t>
      </w:r>
      <w:r>
        <w:rPr>
          <w:rFonts w:ascii="Times New Roman" w:hAnsi="Times New Roman" w:cs="Times New Roman" w:eastAsia="Times New Roman"/>
          <w:b/>
          <w:i/>
          <w:smallCaps w:val="0"/>
          <w:sz w:val="18"/>
        </w:rPr>
        <w:t>rooftop rainwater harvesting, artificial recharge, SCS curve number, analytic hierarchy process, decision support system, WebXR, multilingual report generation</w:t>
      </w:r>
    </w:p>
    <w:p>
      <w:pPr>
        <w:keepNext/>
        <w:spacing w:before="0" w:after="80" w:line="240" w:lineRule="auto"/>
        <w:ind w:firstLine="0"/>
        <w:jc w:val="center"/>
      </w:pPr>
      <w:r>
        <w:rPr>
          <w:rFonts w:ascii="Times New Roman" w:hAnsi="Times New Roman" w:cs="Times New Roman" w:eastAsia="Times New Roman"/>
          <w:b w:val="0"/>
          <w:i w:val="0"/>
          <w:smallCaps/>
          <w:sz w:val="20"/>
        </w:rPr>
        <w:t>I. INTRODUCTION</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India adds roughly ten million new urban residents every year, and most of them are supplied by groundwater or by a municipal network that itself runs on groundwater. The result is familiar: falling water tables in the Deccan basalt, drying borewells in the summer, and tanker water sold at several times the municipal rate. Rooftops are the one large impervious surface in a city that is easy to intercept. A single 100 square metre slab in Pune sheds about 63 kilolitres of water a year, which is more than a family of four uses for flushing and gardening.</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engineering needed to capture that water is not complicated. A gutter, a first-flush diverter, a storage tank and a recharge pit will do. What stops people is the arithmetic that comes before the plumbing. How much water can this specific roof yield? Is the soil below it permeable enough for a pit to work? Should the money go into storage or into recharge? What does the whole thing cost, and when does it pay for itself? These questions are answered today either by a consultant quoting a lump sum, or by a spreadsheet built around a single runoff coefficient.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tools that do exist tend to be narrow. Municipal calculators ask for roof area and rainfall and return one volume. Catchment-scale models such as SWMM or HEC-HMS are far more capable but assume a trained user, a digital elevation model and a licence. Neither kind tells the user how confident the answer is, and almost none of them produce a document that a housing society can attach to a building proposal or that a ward office can file.</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This paper reports what we built to close that gap, and what the numbers looked like when we ran it. The contributions are as follows.</w:t>
      </w:r>
    </w:p>
    <w:p>
      <w:pPr>
        <w:spacing w:before="0" w:after="40" w:line="240" w:lineRule="auto"/>
        <w:ind w:left="461" w:hanging="245"/>
        <w:jc w:val="both"/>
      </w:pPr>
      <w:r>
        <w:rPr>
          <w:rFonts w:ascii="Times New Roman" w:hAnsi="Times New Roman" w:cs="Times New Roman" w:eastAsia="Times New Roman"/>
          <w:b w:val="0"/>
          <w:i w:val="0"/>
          <w:smallCaps w:val="0"/>
          <w:sz w:val="20"/>
        </w:rPr>
        <w:t>•</w:t>
        <w:tab/>
      </w:r>
      <w:r>
        <w:rPr>
          <w:rFonts w:ascii="Times New Roman" w:hAnsi="Times New Roman" w:cs="Times New Roman" w:eastAsia="Times New Roman"/>
          <w:b w:val="0"/>
          <w:i w:val="0"/>
          <w:smallCaps w:val="0"/>
          <w:sz w:val="20"/>
        </w:rPr>
        <w:t>A single assessment pipeline that moves from a map pin to a costed recommendation, with each stage exposed as a separate service rather than folded into one opaque formula.</w:t>
      </w:r>
    </w:p>
    <w:p>
      <w:pPr>
        <w:spacing w:before="0" w:after="40" w:line="240" w:lineRule="auto"/>
        <w:ind w:left="461" w:hanging="245"/>
        <w:jc w:val="both"/>
      </w:pPr>
      <w:r>
        <w:rPr>
          <w:rFonts w:ascii="Times New Roman" w:hAnsi="Times New Roman" w:cs="Times New Roman" w:eastAsia="Times New Roman"/>
          <w:b w:val="0"/>
          <w:i w:val="0"/>
          <w:smallCaps w:val="0"/>
          <w:sz w:val="20"/>
        </w:rPr>
        <w:t>•</w:t>
        <w:tab/>
      </w:r>
      <w:r>
        <w:rPr>
          <w:rFonts w:ascii="Times New Roman" w:hAnsi="Times New Roman" w:cs="Times New Roman" w:eastAsia="Times New Roman"/>
          <w:b w:val="0"/>
          <w:i w:val="0"/>
          <w:smallCaps w:val="0"/>
          <w:sz w:val="20"/>
        </w:rPr>
        <w:t>A dual runoff estimate. The Rational method drives the design volume and the SCS curve number method runs alongside it as an independent check; the divergence is shown to the user instead of being averaged away.</w:t>
      </w:r>
    </w:p>
    <w:p>
      <w:pPr>
        <w:spacing w:before="0" w:after="40" w:line="240" w:lineRule="auto"/>
        <w:ind w:left="461" w:hanging="245"/>
        <w:jc w:val="both"/>
      </w:pPr>
      <w:r>
        <w:rPr>
          <w:rFonts w:ascii="Times New Roman" w:hAnsi="Times New Roman" w:cs="Times New Roman" w:eastAsia="Times New Roman"/>
          <w:b w:val="0"/>
          <w:i w:val="0"/>
          <w:smallCaps w:val="0"/>
          <w:sz w:val="20"/>
        </w:rPr>
        <w:t>•</w:t>
        <w:tab/>
      </w:r>
      <w:r>
        <w:rPr>
          <w:rFonts w:ascii="Times New Roman" w:hAnsi="Times New Roman" w:cs="Times New Roman" w:eastAsia="Times New Roman"/>
          <w:b w:val="0"/>
          <w:i w:val="0"/>
          <w:smallCaps w:val="0"/>
          <w:sz w:val="20"/>
        </w:rPr>
        <w:t>An AHP ranking of five recharge and storage structures in which the pairwise matrix, the derived weights and the consistency diagnostics are printed in the interface, so a reviewer can recompute them by hand.</w:t>
      </w:r>
    </w:p>
    <w:p>
      <w:pPr>
        <w:spacing w:before="0" w:after="120" w:line="240" w:lineRule="auto"/>
        <w:ind w:left="461" w:hanging="245"/>
        <w:jc w:val="both"/>
      </w:pPr>
      <w:r>
        <w:rPr>
          <w:rFonts w:ascii="Times New Roman" w:hAnsi="Times New Roman" w:cs="Times New Roman" w:eastAsia="Times New Roman"/>
          <w:b w:val="0"/>
          <w:i w:val="0"/>
          <w:smallCaps w:val="0"/>
          <w:sz w:val="20"/>
        </w:rPr>
        <w:t>•</w:t>
        <w:tab/>
      </w:r>
      <w:r>
        <w:rPr>
          <w:rFonts w:ascii="Times New Roman" w:hAnsi="Times New Roman" w:cs="Times New Roman" w:eastAsia="Times New Roman"/>
          <w:b w:val="0"/>
          <w:i w:val="0"/>
          <w:smallCaps w:val="0"/>
          <w:sz w:val="20"/>
        </w:rPr>
        <w:t>A reporting layer that produces a multi-page PDF in English, Hindi and Marathi, using a Devanagari shaping pipeline, because the households most likely to build a recharge pit are not always comfortable reading an English engineering report.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Section II places the work against existing literature. Section III sets out the model and its equations, Section IV covers implementation, Section V reports results from five sites, and Sections VI and VII discuss limitations and conclude.</w:t>
      </w:r>
    </w:p>
    <w:p>
      <w:pPr>
        <w:keepNext/>
        <w:spacing w:before="200" w:after="80" w:line="240" w:lineRule="auto"/>
        <w:ind w:firstLine="0"/>
        <w:jc w:val="center"/>
      </w:pPr>
      <w:r>
        <w:rPr>
          <w:rFonts w:ascii="Times New Roman" w:hAnsi="Times New Roman" w:cs="Times New Roman" w:eastAsia="Times New Roman"/>
          <w:b w:val="0"/>
          <w:i w:val="0"/>
          <w:smallCaps/>
          <w:sz w:val="20"/>
        </w:rPr>
        <w:t>II. RELATED WORK</w:t>
      </w:r>
    </w:p>
    <w:p>
      <w:pPr>
        <w:keepNext/>
        <w:spacing w:before="140" w:after="40" w:line="240" w:lineRule="auto"/>
        <w:ind w:firstLine="0"/>
        <w:jc w:val="left"/>
      </w:pPr>
      <w:r>
        <w:rPr>
          <w:rFonts w:ascii="Times New Roman" w:hAnsi="Times New Roman" w:cs="Times New Roman" w:eastAsia="Times New Roman"/>
          <w:b w:val="0"/>
          <w:i/>
          <w:smallCaps w:val="0"/>
          <w:sz w:val="20"/>
        </w:rPr>
        <w:t>A. Runoff Estimation from Roofs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Rational method remains the standard first estimate for small impervious catchments. Its appeal is that it needs one coefficient and one rainfall depth, and its weakness is that the coefficient absorbs everything the modeller does not know. Published values for concrete roofs cluster between 0.85 and 0.95, which means a 100 square metre roof at 700 mm can credibly yield anywhere between 59 and 66 kilolitres. The SCS curve number approach, developed for agricultural catchments and codified for urban use in TR-55 [1], handles the non-linearity of runoff generation better because it subtracts an initial abstraction before any runoff is produced. Applied to a roof, the curve number sits near 98, close to the impervious limit, and the two methods usually land within a few percent of each other at annual scale. They diverge sharply at monthly scale, which is exactly where storage sizing matters.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Recent work has moved towards connecting rooftop harvesting with catchment hydrology rather than treating it as a household appliance. Lu et al. [2] used a connectivity index to show that roof harvesting in Hamadan reduced the area of high hydrological connectivity from 20.4 percent to 11.4 percent, which is a flood argument for the practice rather than a supply argument. Hari and Kasa [3] estimated the rooftop potential of Greater Hyderabad from building footprints and gridded rainfall and concluded that harvesting could meet about a third of domestic demand. Both studies work at city scale; neither produces a site-specific recommendation that a single building owner can act on.</w:t>
      </w:r>
    </w:p>
    <w:p>
      <w:pPr>
        <w:keepNext/>
        <w:spacing w:before="140" w:after="40" w:line="240" w:lineRule="auto"/>
        <w:ind w:firstLine="0"/>
        <w:jc w:val="left"/>
      </w:pPr>
      <w:r>
        <w:rPr>
          <w:rFonts w:ascii="Times New Roman" w:hAnsi="Times New Roman" w:cs="Times New Roman" w:eastAsia="Times New Roman"/>
          <w:b w:val="0"/>
          <w:i/>
          <w:smallCaps w:val="0"/>
          <w:sz w:val="20"/>
        </w:rPr>
        <w:t>B. Rainfall Data and Geospatial Screening</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Rainfall is the largest single source of uncertainty in a rooftop assessment, and it is usually handled by picking the nearest gauge. Gridded products offer an alternative. The CPC Merged Analysis of Precipitation blends gauge observations, satellite estimates and reanalysis output onto a 2.5-degree grid [4], and its monthly climatology is freely available. A 2.5-degree cell is roughly 278 km across, so it cannot resolve a rain shadow inside a city. It can, however, describe the seasonal shape of the monsoon, and that shape is what determines whether a tank sized for July will overflow in September. Combining the grid's monthly distribution with a locally measured annual total is a pragmatic compromise, and it is the approach we adopt.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GIS-based screening studies follow the same logic at larger scale. Preeti and Rahman [5] reviewed the use of GIS in rainwater harvesting research and found that most studies stop at potential mapping, without carrying the estimate through to a structure or a cost. Ali et al. [6] surveyed the barriers to urban implementation and identified cost uncertainty and the absence of decision tools, rather than technical feasibility, as the binding constraints.</w:t>
      </w:r>
    </w:p>
    <w:p>
      <w:pPr>
        <w:keepNext/>
        <w:spacing w:before="140" w:after="40" w:line="240" w:lineRule="auto"/>
        <w:ind w:firstLine="0"/>
        <w:jc w:val="left"/>
      </w:pPr>
      <w:r>
        <w:rPr>
          <w:rFonts w:ascii="Times New Roman" w:hAnsi="Times New Roman" w:cs="Times New Roman" w:eastAsia="Times New Roman"/>
          <w:b w:val="0"/>
          <w:i/>
          <w:smallCaps w:val="0"/>
          <w:sz w:val="20"/>
        </w:rPr>
        <w:t>C. Multi-Criteria Ranking</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Where several structures are possible, the choice is multi-criteria by nature. The Analytic Hierarchy Process [7] remains the most widely used method in water planning because its weights can be inspected and its consistency can be tested. A consistency ratio below 0.10 is the usual acceptance threshold, and publishing the ratio alongside the result is what separates a defensible ranking from an arbitrary one. Alternatives such as TOPSIS or weighted overlay are equally common, but AHP has the advantage that its input is a small matrix that a reviewer can reconstruct.</w:t>
      </w:r>
    </w:p>
    <w:p>
      <w:pPr>
        <w:keepNext/>
        <w:spacing w:before="140" w:after="40" w:line="240" w:lineRule="auto"/>
        <w:ind w:firstLine="0"/>
        <w:jc w:val="left"/>
      </w:pPr>
      <w:r>
        <w:rPr>
          <w:rFonts w:ascii="Times New Roman" w:hAnsi="Times New Roman" w:cs="Times New Roman" w:eastAsia="Times New Roman"/>
          <w:b w:val="0"/>
          <w:i/>
          <w:smallCaps w:val="0"/>
          <w:sz w:val="20"/>
        </w:rPr>
        <w:t>D. Reporting, Visualisation and Language</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Decision support in water management has been criticised for producing answers whose assumptions never reach the person making the decision. Doorn [8] argues that responsible use of computational tools in the water sector depends on the values embedded in the problem formulation being visible to stakeholders. Our design response is literal: weights, coefficients, data sources and consistency statistics appear on the results page and again in the exported PDF. Three-dimensional and augmented-reality previews, built with WebXR, are used to show a proposed tank or pit at its real dimensions on the ground; similar approaches have been used for subsurface utility visualisation [9] and are now practical in a browser without a plugin.</w:t>
      </w:r>
    </w:p>
    <w:p>
      <w:pPr>
        <w:keepNext/>
        <w:spacing w:before="140" w:after="40" w:line="240" w:lineRule="auto"/>
        <w:ind w:firstLine="0"/>
        <w:jc w:val="left"/>
      </w:pPr>
      <w:r>
        <w:rPr>
          <w:rFonts w:ascii="Times New Roman" w:hAnsi="Times New Roman" w:cs="Times New Roman" w:eastAsia="Times New Roman"/>
          <w:b w:val="0"/>
          <w:i/>
          <w:smallCaps w:val="0"/>
          <w:sz w:val="20"/>
        </w:rPr>
        <w:t>E. Gap</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literature provides good component methods and good city-scale screening. What is missing is a tool that joins them at the scale of one building, keeps the intermediate quantities visible, and returns a document. That is the gap this work addresses. We make no claim to a new hydrological model; the contribution is in the assembly, the transparency of the assembly, and the evidence that it runs.</w:t>
      </w:r>
    </w:p>
    <w:p>
      <w:pPr>
        <w:keepNext/>
        <w:spacing w:before="200" w:after="80" w:line="240" w:lineRule="auto"/>
        <w:ind w:firstLine="0"/>
        <w:jc w:val="center"/>
      </w:pPr>
      <w:r>
        <w:rPr>
          <w:rFonts w:ascii="Times New Roman" w:hAnsi="Times New Roman" w:cs="Times New Roman" w:eastAsia="Times New Roman"/>
          <w:b w:val="0"/>
          <w:i w:val="0"/>
          <w:smallCaps/>
          <w:sz w:val="20"/>
        </w:rPr>
        <w:t>III. SYSTEM DESIGN AND METHODS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system is a three-tier application. A Next.js client collects site data and renders results, a FastAPI service orchestrates the calculation, and a set of pure Python functions performs each hydrological step. Keeping the numerical work in pure functions with no database or HTTP dependency was a deliberate choice: it makes every formula testable in isolation and lets the same code run inside the request handler and inside the test suite.</w:t>
      </w:r>
    </w:p>
    <w:p>
      <w:pPr>
        <w:keepNext/>
        <w:spacing w:before="120" w:after="60"/>
        <w:ind w:firstLine="0"/>
        <w:jc w:val="center"/>
      </w:pPr>
      <w:r>
        <w:drawing>
          <wp:inline xmlns:a="http://schemas.openxmlformats.org/drawingml/2006/main" xmlns:pic="http://schemas.openxmlformats.org/drawingml/2006/picture">
            <wp:extent cx="2697480" cy="2043773"/>
            <wp:docPr id="1" name="Picture 1"/>
            <wp:cNvGraphicFramePr>
              <a:graphicFrameLocks noChangeAspect="1"/>
            </wp:cNvGraphicFramePr>
            <a:graphic>
              <a:graphicData uri="http://schemas.openxmlformats.org/drawingml/2006/picture">
                <pic:pic>
                  <pic:nvPicPr>
                    <pic:cNvPr id="0" name="fig2_arch.png"/>
                    <pic:cNvPicPr/>
                  </pic:nvPicPr>
                  <pic:blipFill>
                    <a:blip r:embed="rId9"/>
                    <a:stretch>
                      <a:fillRect/>
                    </a:stretch>
                  </pic:blipFill>
                  <pic:spPr>
                    <a:xfrm>
                      <a:off x="0" y="0"/>
                      <a:ext cx="2697480" cy="2043773"/>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1.  Layer structure of the system. The domain services carry no state and are exercised directly by the test suite.</w:t>
      </w:r>
    </w:p>
    <w:p>
      <w:pPr>
        <w:keepNext/>
        <w:spacing w:before="140" w:after="40" w:line="240" w:lineRule="auto"/>
        <w:ind w:firstLine="0"/>
        <w:jc w:val="left"/>
      </w:pPr>
      <w:r>
        <w:rPr>
          <w:rFonts w:ascii="Times New Roman" w:hAnsi="Times New Roman" w:cs="Times New Roman" w:eastAsia="Times New Roman"/>
          <w:b w:val="0"/>
          <w:i/>
          <w:smallCaps w:val="0"/>
          <w:sz w:val="20"/>
        </w:rPr>
        <w:t>A. Rainfall Sampling and Scaling</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climatology grid stores twelve monthly means on a 72 by 144 lattice, together with the number of years behind each cell. For a site at latitude phi and longitude lambda the sampler locates the four surrounding cell centres and forms a bilinear weighted mean. Cells flagged as no-data drop out of the average and their weight is redistributed, which matters near coastlines where the grid is partly water. Longitude wraps at the antimeridian; latitude is clamped at the poles.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interpolated monthly vector is then scaled so that its sum matches a local annual total when the user supplies one, preserving the monthly shape but correcting the magnitude. Every response records the source, the climatology period, the nearest cell centre and whether interpolation actually took place. In the Pune reference case the site falls at 18.75 degrees north, 73.75 degrees east, where the grid gives 700 mm and the user value agrees, so no rescaling is applied.</w:t>
      </w:r>
    </w:p>
    <w:p>
      <w:pPr>
        <w:keepNext/>
        <w:spacing w:before="140" w:after="40" w:line="240" w:lineRule="auto"/>
        <w:ind w:firstLine="0"/>
        <w:jc w:val="left"/>
      </w:pPr>
      <w:r>
        <w:rPr>
          <w:rFonts w:ascii="Times New Roman" w:hAnsi="Times New Roman" w:cs="Times New Roman" w:eastAsia="Times New Roman"/>
          <w:b w:val="0"/>
          <w:i/>
          <w:smallCaps w:val="0"/>
          <w:sz w:val="20"/>
        </w:rPr>
        <w:t>B. Runoff: Two Models, One Design Volume</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 xml:space="preserve">The Rational method gives the annual volume directly from roof area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rPr>
        <w:t xml:space="preserve">, coefficient </w:t>
      </w:r>
      <w:r>
        <w:rPr>
          <w:rFonts w:ascii="Times New Roman" w:hAnsi="Times New Roman" w:cs="Times New Roman" w:eastAsia="Times New Roman"/>
          <w:b w:val="0"/>
          <w:i/>
          <w:smallCaps w:val="0"/>
          <w:sz w:val="20"/>
        </w:rPr>
        <w:t>C</w:t>
      </w:r>
      <w:r>
        <w:rPr>
          <w:rFonts w:ascii="Times New Roman" w:hAnsi="Times New Roman" w:cs="Times New Roman" w:eastAsia="Times New Roman"/>
          <w:b w:val="0"/>
          <w:i w:val="0"/>
          <w:smallCaps w:val="0"/>
          <w:sz w:val="20"/>
        </w:rPr>
        <w:t xml:space="preserve"> and rainfall depth </w:t>
      </w:r>
      <w:r>
        <w:rPr>
          <w:rFonts w:ascii="Times New Roman" w:hAnsi="Times New Roman" w:cs="Times New Roman" w:eastAsia="Times New Roman"/>
          <w:b w:val="0"/>
          <w:i/>
          <w:smallCaps w:val="0"/>
          <w:sz w:val="20"/>
        </w:rPr>
        <w:t>R</w:t>
      </w:r>
      <w:r>
        <w:rPr>
          <w:rFonts w:ascii="Times New Roman" w:hAnsi="Times New Roman" w:cs="Times New Roman" w:eastAsia="Times New Roman"/>
          <w:b w:val="0"/>
          <w:i w:val="0"/>
          <w:smallCaps w:val="0"/>
          <w:sz w:val="20"/>
        </w:rPr>
        <w:t>:</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V</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C</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R</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rPr>
        <w:tab/>
        <w:t>(1)</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 xml:space="preserve">with </w:t>
      </w:r>
      <w:r>
        <w:rPr>
          <w:rFonts w:ascii="Times New Roman" w:hAnsi="Times New Roman" w:cs="Times New Roman" w:eastAsia="Times New Roman"/>
          <w:b w:val="0"/>
          <w:i/>
          <w:smallCaps w:val="0"/>
          <w:sz w:val="20"/>
        </w:rPr>
        <w:t>C</w:t>
      </w:r>
      <w:r>
        <w:rPr>
          <w:rFonts w:ascii="Times New Roman" w:hAnsi="Times New Roman" w:cs="Times New Roman" w:eastAsia="Times New Roman"/>
          <w:b w:val="0"/>
          <w:i w:val="0"/>
          <w:smallCaps w:val="0"/>
          <w:sz w:val="20"/>
        </w:rPr>
        <w:t xml:space="preserve"> taken as 0.90 for RCC, 0.85 for metal, 0.75 for tile, 0.80 for asphalt and 0.30 for a green roof, following the ranges in the CGWB manual [10] and IS 15797 [11]. The SCS curve number method is applied monthly. Potential retention and initial abstraction are</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 xml:space="preserve"> = 25400 / </w:t>
      </w:r>
      <w:r>
        <w:rPr>
          <w:rFonts w:ascii="Times New Roman" w:hAnsi="Times New Roman" w:cs="Times New Roman" w:eastAsia="Times New Roman"/>
          <w:b w:val="0"/>
          <w:i/>
          <w:smallCaps w:val="0"/>
          <w:sz w:val="20"/>
        </w:rPr>
        <w:t>CN</w:t>
      </w:r>
      <w:r>
        <w:rPr>
          <w:rFonts w:ascii="Times New Roman" w:hAnsi="Times New Roman" w:cs="Times New Roman" w:eastAsia="Times New Roman"/>
          <w:b w:val="0"/>
          <w:i w:val="0"/>
          <w:smallCaps w:val="0"/>
          <w:sz w:val="20"/>
        </w:rPr>
        <w:t xml:space="preserve"> − 254 ,     </w:t>
      </w:r>
      <w:r>
        <w:rPr>
          <w:rFonts w:ascii="Times New Roman" w:hAnsi="Times New Roman" w:cs="Times New Roman" w:eastAsia="Times New Roman"/>
          <w:b w:val="0"/>
          <w:i/>
          <w:smallCaps w:val="0"/>
          <w:sz w:val="20"/>
        </w:rPr>
        <w:t>I</w:t>
      </w:r>
      <w:r>
        <w:rPr>
          <w:rFonts w:ascii="Times New Roman" w:hAnsi="Times New Roman" w:cs="Times New Roman" w:eastAsia="Times New Roman"/>
          <w:b w:val="0"/>
          <w:i w:val="0"/>
          <w:smallCaps w:val="0"/>
          <w:sz w:val="20"/>
          <w:vertAlign w:val="subscript"/>
        </w:rPr>
        <w:t>a</w:t>
      </w:r>
      <w:r>
        <w:rPr>
          <w:rFonts w:ascii="Times New Roman" w:hAnsi="Times New Roman" w:cs="Times New Roman" w:eastAsia="Times New Roman"/>
          <w:b w:val="0"/>
          <w:i w:val="0"/>
          <w:smallCaps w:val="0"/>
          <w:sz w:val="20"/>
        </w:rPr>
        <w:t xml:space="preserve"> = 0.2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ab/>
        <w:t>(2)</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 xml:space="preserve">and the runoff depth for a month with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millimetres of rain is</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Q</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I</w:t>
      </w:r>
      <w:r>
        <w:rPr>
          <w:rFonts w:ascii="Times New Roman" w:hAnsi="Times New Roman" w:cs="Times New Roman" w:eastAsia="Times New Roman"/>
          <w:b w:val="0"/>
          <w:i w:val="0"/>
          <w:smallCaps w:val="0"/>
          <w:sz w:val="20"/>
          <w:vertAlign w:val="subscript"/>
        </w:rPr>
        <w:t>a</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2</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I</w:t>
      </w:r>
      <w:r>
        <w:rPr>
          <w:rFonts w:ascii="Times New Roman" w:hAnsi="Times New Roman" w:cs="Times New Roman" w:eastAsia="Times New Roman"/>
          <w:b w:val="0"/>
          <w:i w:val="0"/>
          <w:smallCaps w:val="0"/>
          <w:sz w:val="20"/>
          <w:vertAlign w:val="subscript"/>
        </w:rPr>
        <w:t>a</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 xml:space="preserve">)   for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&gt; </w:t>
      </w:r>
      <w:r>
        <w:rPr>
          <w:rFonts w:ascii="Times New Roman" w:hAnsi="Times New Roman" w:cs="Times New Roman" w:eastAsia="Times New Roman"/>
          <w:b w:val="0"/>
          <w:i/>
          <w:smallCaps w:val="0"/>
          <w:sz w:val="20"/>
        </w:rPr>
        <w:t>I</w:t>
      </w:r>
      <w:r>
        <w:rPr>
          <w:rFonts w:ascii="Times New Roman" w:hAnsi="Times New Roman" w:cs="Times New Roman" w:eastAsia="Times New Roman"/>
          <w:b w:val="0"/>
          <w:i w:val="0"/>
          <w:smallCaps w:val="0"/>
          <w:sz w:val="20"/>
          <w:vertAlign w:val="subscript"/>
        </w:rPr>
        <w:t>a</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Q</w:t>
      </w:r>
      <w:r>
        <w:rPr>
          <w:rFonts w:ascii="Times New Roman" w:hAnsi="Times New Roman" w:cs="Times New Roman" w:eastAsia="Times New Roman"/>
          <w:b w:val="0"/>
          <w:i w:val="0"/>
          <w:smallCaps w:val="0"/>
          <w:sz w:val="20"/>
        </w:rPr>
        <w:t xml:space="preserve"> = 0 otherwise</w:t>
      </w:r>
      <w:r>
        <w:rPr>
          <w:rFonts w:ascii="Times New Roman" w:hAnsi="Times New Roman" w:cs="Times New Roman" w:eastAsia="Times New Roman"/>
          <w:b w:val="0"/>
          <w:i w:val="0"/>
          <w:smallCaps w:val="0"/>
          <w:sz w:val="20"/>
        </w:rPr>
        <w:tab/>
        <w:t>(3)</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 xml:space="preserve">Because one millimetre over one square metre is exactly one litre, </w:t>
      </w:r>
      <w:r>
        <w:rPr>
          <w:rFonts w:ascii="Times New Roman" w:hAnsi="Times New Roman" w:cs="Times New Roman" w:eastAsia="Times New Roman"/>
          <w:b w:val="0"/>
          <w:i/>
          <w:smallCaps w:val="0"/>
          <w:sz w:val="20"/>
        </w:rPr>
        <w:t>Q</w:t>
      </w:r>
      <w:r>
        <w:rPr>
          <w:rFonts w:ascii="Times New Roman" w:hAnsi="Times New Roman" w:cs="Times New Roman" w:eastAsia="Times New Roman"/>
          <w:b w:val="0"/>
          <w:i w:val="0"/>
          <w:smallCaps w:val="0"/>
          <w:sz w:val="20"/>
        </w:rPr>
        <w:t xml:space="preserve"> multiplied by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rPr>
        <w:t xml:space="preserve"> gives litres directly. Curve numbers are 98, 97, 95, 96 and 75 for RCC, metal, tile, asphalt and green roofs. Applying a daily-scale method to monthly totals is an approximation, and we say so in the interface: it under-predicts runoff from a few intense storms and over-predicts it from long drizzle. The two estimates are reported side by side, and the Rational result drives costing unless the user selects otherwise.</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peak discharge for gutter and pipe sizing is obtained from the same Rational formula with an intensity taken as three times the mean hourly intensity of the wettest month, which is crude but conservative for the small catchments involved.</w:t>
      </w:r>
    </w:p>
    <w:p>
      <w:pPr>
        <w:keepNext/>
        <w:spacing w:before="140" w:after="40" w:line="240" w:lineRule="auto"/>
        <w:ind w:firstLine="0"/>
        <w:jc w:val="left"/>
      </w:pPr>
      <w:r>
        <w:rPr>
          <w:rFonts w:ascii="Times New Roman" w:hAnsi="Times New Roman" w:cs="Times New Roman" w:eastAsia="Times New Roman"/>
          <w:b w:val="0"/>
          <w:i/>
          <w:smallCaps w:val="0"/>
          <w:sz w:val="20"/>
        </w:rPr>
        <w:t>C. First Flush and Harvestable Volume</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first two millimetres of each rain event are discarded, a common recommendation for rooftop systems in Indian practice. Assuming around one hundred events a year, the loss is</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V</w:t>
      </w:r>
      <w:r>
        <w:rPr>
          <w:rFonts w:ascii="Times New Roman" w:hAnsi="Times New Roman" w:cs="Times New Roman" w:eastAsia="Times New Roman"/>
          <w:b w:val="0"/>
          <w:i w:val="0"/>
          <w:smallCaps w:val="0"/>
          <w:sz w:val="20"/>
          <w:vertAlign w:val="subscript"/>
        </w:rPr>
        <w:t>h</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V</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d</w:t>
      </w:r>
      <w:r>
        <w:rPr>
          <w:rFonts w:ascii="Times New Roman" w:hAnsi="Times New Roman" w:cs="Times New Roman" w:eastAsia="Times New Roman"/>
          <w:b w:val="0"/>
          <w:i w:val="0"/>
          <w:smallCaps w:val="0"/>
          <w:sz w:val="20"/>
          <w:vertAlign w:val="subscript"/>
        </w:rPr>
        <w:t>f</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val="0"/>
          <w:smallCaps w:val="0"/>
          <w:sz w:val="20"/>
        </w:rPr>
        <w:t xml:space="preserve"> = 100 ,  </w:t>
      </w:r>
      <w:r>
        <w:rPr>
          <w:rFonts w:ascii="Times New Roman" w:hAnsi="Times New Roman" w:cs="Times New Roman" w:eastAsia="Times New Roman"/>
          <w:b w:val="0"/>
          <w:i/>
          <w:smallCaps w:val="0"/>
          <w:sz w:val="20"/>
        </w:rPr>
        <w:t>d</w:t>
      </w:r>
      <w:r>
        <w:rPr>
          <w:rFonts w:ascii="Times New Roman" w:hAnsi="Times New Roman" w:cs="Times New Roman" w:eastAsia="Times New Roman"/>
          <w:b w:val="0"/>
          <w:i w:val="0"/>
          <w:smallCaps w:val="0"/>
          <w:sz w:val="20"/>
          <w:vertAlign w:val="subscript"/>
        </w:rPr>
        <w:t>f</w:t>
      </w:r>
      <w:r>
        <w:rPr>
          <w:rFonts w:ascii="Times New Roman" w:hAnsi="Times New Roman" w:cs="Times New Roman" w:eastAsia="Times New Roman"/>
          <w:b w:val="0"/>
          <w:i w:val="0"/>
          <w:smallCaps w:val="0"/>
          <w:sz w:val="20"/>
        </w:rPr>
        <w:t xml:space="preserve"> = 2 mm</w:t>
      </w:r>
      <w:r>
        <w:rPr>
          <w:rFonts w:ascii="Times New Roman" w:hAnsi="Times New Roman" w:cs="Times New Roman" w:eastAsia="Times New Roman"/>
          <w:b w:val="0"/>
          <w:i w:val="0"/>
          <w:smallCaps w:val="0"/>
          <w:sz w:val="20"/>
        </w:rPr>
        <w:tab/>
        <w:t>(4)</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For the Pune roof this removes 20 kilolitres from 63, leaving 43 kilolitres harvestable. The assumption of a hundred events is itself an estimate, and a user who knows the local rain-day count can change the coefficient in the configuration.</w:t>
      </w:r>
    </w:p>
    <w:p>
      <w:pPr>
        <w:keepNext/>
        <w:spacing w:before="140" w:after="40" w:line="240" w:lineRule="auto"/>
        <w:ind w:firstLine="0"/>
        <w:jc w:val="left"/>
      </w:pPr>
      <w:r>
        <w:rPr>
          <w:rFonts w:ascii="Times New Roman" w:hAnsi="Times New Roman" w:cs="Times New Roman" w:eastAsia="Times New Roman"/>
          <w:b w:val="0"/>
          <w:i/>
          <w:smallCaps w:val="0"/>
          <w:sz w:val="20"/>
        </w:rPr>
        <w:t>D. Recharge Potential</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Recharge is limited by two things: how fast water can enter the soil, and how much rain actually falls on the open area set aside for infiltration. We take the smaller of the two, with a 0.70 efficiency factor for clogging and lateral losses:</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R</w:t>
      </w:r>
      <w:r>
        <w:rPr>
          <w:rFonts w:ascii="Times New Roman" w:hAnsi="Times New Roman" w:cs="Times New Roman" w:eastAsia="Times New Roman"/>
          <w:b w:val="0"/>
          <w:i w:val="0"/>
          <w:smallCaps w:val="0"/>
          <w:sz w:val="20"/>
          <w:vertAlign w:val="subscript"/>
        </w:rPr>
        <w:t>g</w:t>
      </w:r>
      <w:r>
        <w:rPr>
          <w:rFonts w:ascii="Times New Roman" w:hAnsi="Times New Roman" w:cs="Times New Roman" w:eastAsia="Times New Roman"/>
          <w:b w:val="0"/>
          <w:i w:val="0"/>
          <w:smallCaps w:val="0"/>
          <w:sz w:val="20"/>
        </w:rPr>
        <w:t xml:space="preserve"> = min(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vertAlign w:val="subscript"/>
        </w:rPr>
        <w:t>s</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vertAlign w:val="subscript"/>
        </w:rPr>
        <w:t>o</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t</w:t>
      </w:r>
      <w:r>
        <w:rPr>
          <w:rFonts w:ascii="Times New Roman" w:hAnsi="Times New Roman" w:cs="Times New Roman" w:eastAsia="Times New Roman"/>
          <w:b w:val="0"/>
          <w:i w:val="0"/>
          <w:smallCaps w:val="0"/>
          <w:sz w:val="20"/>
          <w:vertAlign w:val="subscript"/>
        </w:rPr>
        <w:t>d</w:t>
      </w:r>
      <w:r>
        <w:rPr>
          <w:rFonts w:ascii="Times New Roman" w:hAnsi="Times New Roman" w:cs="Times New Roman" w:eastAsia="Times New Roman"/>
          <w:b w:val="0"/>
          <w:i w:val="0"/>
          <w:smallCaps w:val="0"/>
          <w:sz w:val="20"/>
        </w:rPr>
        <w:t xml:space="preserve"> ,  0.70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vertAlign w:val="subscript"/>
        </w:rPr>
        <w:t>o</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val="0"/>
          <w:smallCaps w:val="0"/>
          <w:sz w:val="20"/>
        </w:rPr>
        <w:tab/>
        <w:t>(5)</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 xml:space="preserve">where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vertAlign w:val="subscript"/>
        </w:rPr>
        <w:t>s</w:t>
      </w:r>
      <w:r>
        <w:rPr>
          <w:rFonts w:ascii="Times New Roman" w:hAnsi="Times New Roman" w:cs="Times New Roman" w:eastAsia="Times New Roman"/>
          <w:b w:val="0"/>
          <w:i w:val="0"/>
          <w:smallCaps w:val="0"/>
          <w:sz w:val="20"/>
        </w:rPr>
        <w:t xml:space="preserve"> is the infiltration rate of the soil class (25 mm/h for sandy, 12.5 for loamy, 6.5 for silty, 2.5 for clay),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vertAlign w:val="subscript"/>
        </w:rPr>
        <w:t>o</w:t>
      </w:r>
      <w:r>
        <w:rPr>
          <w:rFonts w:ascii="Times New Roman" w:hAnsi="Times New Roman" w:cs="Times New Roman" w:eastAsia="Times New Roman"/>
          <w:b w:val="0"/>
          <w:i w:val="0"/>
          <w:smallCaps w:val="0"/>
          <w:sz w:val="20"/>
        </w:rPr>
        <w:t xml:space="preserve"> is the open area and </w:t>
      </w:r>
      <w:r>
        <w:rPr>
          <w:rFonts w:ascii="Times New Roman" w:hAnsi="Times New Roman" w:cs="Times New Roman" w:eastAsia="Times New Roman"/>
          <w:b w:val="0"/>
          <w:i/>
          <w:smallCaps w:val="0"/>
          <w:sz w:val="20"/>
        </w:rPr>
        <w:t>t</w:t>
      </w:r>
      <w:r>
        <w:rPr>
          <w:rFonts w:ascii="Times New Roman" w:hAnsi="Times New Roman" w:cs="Times New Roman" w:eastAsia="Times New Roman"/>
          <w:b w:val="0"/>
          <w:i w:val="0"/>
          <w:smallCaps w:val="0"/>
          <w:sz w:val="20"/>
          <w:vertAlign w:val="subscript"/>
        </w:rPr>
        <w:t>d</w:t>
      </w:r>
      <w:r>
        <w:rPr>
          <w:rFonts w:ascii="Times New Roman" w:hAnsi="Times New Roman" w:cs="Times New Roman" w:eastAsia="Times New Roman"/>
          <w:b w:val="0"/>
          <w:i w:val="0"/>
          <w:smallCaps w:val="0"/>
          <w:sz w:val="20"/>
        </w:rPr>
        <w:t xml:space="preserve"> is an effective infiltration time of 960 hours per year, from 120 rain days at eight hours each. The same routine produces a feasibility score on a 0-100 scale from water-table depth, soil class, open area and annual rainfall, which is displayed as a single badge. The score is a screening aid, not a substitute for a percolation test, and the report says so.</w:t>
      </w:r>
    </w:p>
    <w:p>
      <w:pPr>
        <w:keepNext/>
        <w:spacing w:before="140" w:after="40" w:line="240" w:lineRule="auto"/>
        <w:ind w:firstLine="0"/>
        <w:jc w:val="left"/>
      </w:pPr>
      <w:r>
        <w:rPr>
          <w:rFonts w:ascii="Times New Roman" w:hAnsi="Times New Roman" w:cs="Times New Roman" w:eastAsia="Times New Roman"/>
          <w:b w:val="0"/>
          <w:i/>
          <w:smallCaps w:val="0"/>
          <w:sz w:val="20"/>
        </w:rPr>
        <w:t>E. Ranking Structures with AHP</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Five candidates are scored: a rooftop storage tank, a soak pit or French drain, a recharge pit, a recharge trench and a recharge well. Five criteria are used: harvestable yield, annual rainfall, soil infiltration, open space and water-table depth. The pairwise matrix follows a consistent gradient, with yield judged strongly more important than the rest:</w:t>
      </w:r>
    </w:p>
    <w:p>
      <w:pPr>
        <w:keepNext/>
        <w:spacing w:before="160" w:after="40" w:line="240" w:lineRule="auto"/>
        <w:ind w:firstLine="0"/>
        <w:jc w:val="center"/>
      </w:pPr>
      <w:r>
        <w:rPr>
          <w:rFonts w:ascii="Times New Roman" w:hAnsi="Times New Roman" w:cs="Times New Roman" w:eastAsia="Times New Roman"/>
          <w:b w:val="0"/>
          <w:i w:val="0"/>
          <w:smallCaps/>
          <w:sz w:val="16"/>
        </w:rPr>
        <w:t>TABLE I</w:t>
      </w:r>
    </w:p>
    <w:p>
      <w:pPr>
        <w:keepNext/>
        <w:spacing w:before="0" w:after="60" w:line="240" w:lineRule="auto"/>
        <w:ind w:firstLine="0"/>
        <w:jc w:val="center"/>
      </w:pPr>
      <w:r>
        <w:rPr>
          <w:rFonts w:ascii="Times New Roman" w:hAnsi="Times New Roman" w:cs="Times New Roman" w:eastAsia="Times New Roman"/>
          <w:b w:val="0"/>
          <w:i w:val="0"/>
          <w:smallCaps/>
          <w:sz w:val="16"/>
        </w:rPr>
        <w:t>Pairwise comparison matrix and derived weights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CellMar>
          <w:top w:w="20" w:type="dxa"/>
          <w:left w:w="40" w:type="dxa"/>
          <w:bottom w:w="20" w:type="dxa"/>
          <w:right w:w="40" w:type="dxa"/>
        </w:tblCellMar>
      </w:tblPr>
      <w:tblGrid>
        <w:gridCol w:w="1469"/>
        <w:gridCol w:w="1469"/>
        <w:gridCol w:w="1469"/>
        <w:gridCol w:w="1469"/>
        <w:gridCol w:w="1469"/>
        <w:gridCol w:w="1469"/>
        <w:gridCol w:w="1469"/>
      </w:tblGrid>
      <w:tr>
        <w:tc>
          <w:tcPr>
            <w:tcW w:type="dxa" w:w="1468"/>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Criterion</w:t>
            </w:r>
          </w:p>
        </w:tc>
        <w:tc>
          <w:tcPr>
            <w:tcW w:type="dxa" w:w="559"/>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Yield</w:t>
            </w:r>
          </w:p>
        </w:tc>
        <w:tc>
          <w:tcPr>
            <w:tcW w:type="dxa" w:w="559"/>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Rain</w:t>
            </w:r>
          </w:p>
        </w:tc>
        <w:tc>
          <w:tcPr>
            <w:tcW w:type="dxa" w:w="559"/>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Soil</w:t>
            </w:r>
          </w:p>
        </w:tc>
        <w:tc>
          <w:tcPr>
            <w:tcW w:type="dxa" w:w="615"/>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Space</w:t>
            </w:r>
          </w:p>
        </w:tc>
        <w:tc>
          <w:tcPr>
            <w:tcW w:type="dxa" w:w="58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Depth</w:t>
            </w:r>
          </w:p>
        </w:tc>
        <w:tc>
          <w:tcPr>
            <w:tcW w:type="dxa" w:w="615"/>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Weight</w:t>
            </w:r>
          </w:p>
        </w:tc>
      </w:tr>
      <w:tr>
        <w:trPr>
          <w:cantSplit/>
        </w:trPr>
        <w:tc>
          <w:tcPr>
            <w:tcW w:type="dxa" w:w="1468"/>
          </w:tcPr>
          <w:p>
            <w:pPr>
              <w:spacing w:before="0" w:after="0" w:line="240" w:lineRule="auto"/>
              <w:ind w:firstLine="0"/>
              <w:jc w:val="left"/>
            </w:pPr>
            <w:r>
              <w:rPr>
                <w:rFonts w:ascii="Times New Roman" w:hAnsi="Times New Roman" w:cs="Times New Roman" w:eastAsia="Times New Roman"/>
                <w:b w:val="0"/>
                <w:i w:val="0"/>
                <w:smallCaps w:val="0"/>
                <w:sz w:val="16"/>
              </w:rPr>
              <w:t>Harvestable yield</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1.00</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2.00</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3.00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4.00</w:t>
            </w:r>
          </w:p>
        </w:tc>
        <w:tc>
          <w:tcPr>
            <w:tcW w:type="dxa" w:w="587"/>
          </w:tcPr>
          <w:p>
            <w:pPr>
              <w:spacing w:before="0" w:after="0" w:line="240" w:lineRule="auto"/>
              <w:ind w:firstLine="0"/>
              <w:jc w:val="center"/>
            </w:pPr>
            <w:r>
              <w:rPr>
                <w:rFonts w:ascii="Times New Roman" w:hAnsi="Times New Roman" w:cs="Times New Roman" w:eastAsia="Times New Roman"/>
                <w:b w:val="0"/>
                <w:i w:val="0"/>
                <w:smallCaps w:val="0"/>
                <w:sz w:val="16"/>
              </w:rPr>
              <w:t>5.00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0.4174</w:t>
            </w:r>
          </w:p>
        </w:tc>
      </w:tr>
      <w:tr>
        <w:trPr>
          <w:cantSplit/>
        </w:trPr>
        <w:tc>
          <w:tcPr>
            <w:tcW w:type="dxa" w:w="1468"/>
          </w:tcPr>
          <w:p>
            <w:pPr>
              <w:spacing w:before="0" w:after="0" w:line="240" w:lineRule="auto"/>
              <w:ind w:firstLine="0"/>
              <w:jc w:val="left"/>
            </w:pPr>
            <w:r>
              <w:rPr>
                <w:rFonts w:ascii="Times New Roman" w:hAnsi="Times New Roman" w:cs="Times New Roman" w:eastAsia="Times New Roman"/>
                <w:b w:val="0"/>
                <w:i w:val="0"/>
                <w:smallCaps w:val="0"/>
                <w:sz w:val="16"/>
              </w:rPr>
              <w:t>Annual rainfall</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0.50</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1.00</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2.00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3.00</w:t>
            </w:r>
          </w:p>
        </w:tc>
        <w:tc>
          <w:tcPr>
            <w:tcW w:type="dxa" w:w="587"/>
          </w:tcPr>
          <w:p>
            <w:pPr>
              <w:spacing w:before="0" w:after="0" w:line="240" w:lineRule="auto"/>
              <w:ind w:firstLine="0"/>
              <w:jc w:val="center"/>
            </w:pPr>
            <w:r>
              <w:rPr>
                <w:rFonts w:ascii="Times New Roman" w:hAnsi="Times New Roman" w:cs="Times New Roman" w:eastAsia="Times New Roman"/>
                <w:b w:val="0"/>
                <w:i w:val="0"/>
                <w:smallCaps w:val="0"/>
                <w:sz w:val="16"/>
              </w:rPr>
              <w:t>4.00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0.2634</w:t>
            </w:r>
          </w:p>
        </w:tc>
      </w:tr>
      <w:tr>
        <w:trPr>
          <w:cantSplit/>
        </w:trPr>
        <w:tc>
          <w:tcPr>
            <w:tcW w:type="dxa" w:w="1468"/>
          </w:tcPr>
          <w:p>
            <w:pPr>
              <w:spacing w:before="0" w:after="0" w:line="240" w:lineRule="auto"/>
              <w:ind w:firstLine="0"/>
              <w:jc w:val="left"/>
            </w:pPr>
            <w:r>
              <w:rPr>
                <w:rFonts w:ascii="Times New Roman" w:hAnsi="Times New Roman" w:cs="Times New Roman" w:eastAsia="Times New Roman"/>
                <w:b w:val="0"/>
                <w:i w:val="0"/>
                <w:smallCaps w:val="0"/>
                <w:sz w:val="16"/>
              </w:rPr>
              <w:t>Soil infiltration</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0.33</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0.50</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1.00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2.00</w:t>
            </w:r>
          </w:p>
        </w:tc>
        <w:tc>
          <w:tcPr>
            <w:tcW w:type="dxa" w:w="587"/>
          </w:tcPr>
          <w:p>
            <w:pPr>
              <w:spacing w:before="0" w:after="0" w:line="240" w:lineRule="auto"/>
              <w:ind w:firstLine="0"/>
              <w:jc w:val="center"/>
            </w:pPr>
            <w:r>
              <w:rPr>
                <w:rFonts w:ascii="Times New Roman" w:hAnsi="Times New Roman" w:cs="Times New Roman" w:eastAsia="Times New Roman"/>
                <w:b w:val="0"/>
                <w:i w:val="0"/>
                <w:smallCaps w:val="0"/>
                <w:sz w:val="16"/>
              </w:rPr>
              <w:t>3.00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0.1602</w:t>
            </w:r>
          </w:p>
        </w:tc>
      </w:tr>
      <w:tr>
        <w:trPr>
          <w:cantSplit/>
        </w:trPr>
        <w:tc>
          <w:tcPr>
            <w:tcW w:type="dxa" w:w="1468"/>
          </w:tcPr>
          <w:p>
            <w:pPr>
              <w:spacing w:before="0" w:after="0" w:line="240" w:lineRule="auto"/>
              <w:ind w:firstLine="0"/>
              <w:jc w:val="left"/>
            </w:pPr>
            <w:r>
              <w:rPr>
                <w:rFonts w:ascii="Times New Roman" w:hAnsi="Times New Roman" w:cs="Times New Roman" w:eastAsia="Times New Roman"/>
                <w:b w:val="0"/>
                <w:i w:val="0"/>
                <w:smallCaps w:val="0"/>
                <w:sz w:val="16"/>
              </w:rPr>
              <w:t>Open space</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0.25</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0.33</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0.50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1.00</w:t>
            </w:r>
          </w:p>
        </w:tc>
        <w:tc>
          <w:tcPr>
            <w:tcW w:type="dxa" w:w="587"/>
          </w:tcPr>
          <w:p>
            <w:pPr>
              <w:spacing w:before="0" w:after="0" w:line="240" w:lineRule="auto"/>
              <w:ind w:firstLine="0"/>
              <w:jc w:val="center"/>
            </w:pPr>
            <w:r>
              <w:rPr>
                <w:rFonts w:ascii="Times New Roman" w:hAnsi="Times New Roman" w:cs="Times New Roman" w:eastAsia="Times New Roman"/>
                <w:b w:val="0"/>
                <w:i w:val="0"/>
                <w:smallCaps w:val="0"/>
                <w:sz w:val="16"/>
              </w:rPr>
              <w:t>2.00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0.0975</w:t>
            </w:r>
          </w:p>
        </w:tc>
      </w:tr>
      <w:tr>
        <w:trPr>
          <w:cantSplit/>
        </w:trPr>
        <w:tc>
          <w:tcPr>
            <w:tcW w:type="dxa" w:w="1468"/>
          </w:tcPr>
          <w:p>
            <w:pPr>
              <w:spacing w:before="0" w:after="0" w:line="240" w:lineRule="auto"/>
              <w:ind w:firstLine="0"/>
              <w:jc w:val="left"/>
            </w:pPr>
            <w:r>
              <w:rPr>
                <w:rFonts w:ascii="Times New Roman" w:hAnsi="Times New Roman" w:cs="Times New Roman" w:eastAsia="Times New Roman"/>
                <w:b w:val="0"/>
                <w:i w:val="0"/>
                <w:smallCaps w:val="0"/>
                <w:sz w:val="16"/>
              </w:rPr>
              <w:t>Water-table depth</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0.20</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0.25</w:t>
            </w:r>
          </w:p>
        </w:tc>
        <w:tc>
          <w:tcPr>
            <w:tcW w:type="dxa" w:w="559"/>
          </w:tcPr>
          <w:p>
            <w:pPr>
              <w:spacing w:before="0" w:after="0" w:line="240" w:lineRule="auto"/>
              <w:ind w:firstLine="0"/>
              <w:jc w:val="center"/>
            </w:pPr>
            <w:r>
              <w:rPr>
                <w:rFonts w:ascii="Times New Roman" w:hAnsi="Times New Roman" w:cs="Times New Roman" w:eastAsia="Times New Roman"/>
                <w:b w:val="0"/>
                <w:i w:val="0"/>
                <w:smallCaps w:val="0"/>
                <w:sz w:val="16"/>
              </w:rPr>
              <w:t>0.33</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0.50</w:t>
            </w:r>
          </w:p>
        </w:tc>
        <w:tc>
          <w:tcPr>
            <w:tcW w:type="dxa" w:w="587"/>
          </w:tcPr>
          <w:p>
            <w:pPr>
              <w:spacing w:before="0" w:after="0" w:line="240" w:lineRule="auto"/>
              <w:ind w:firstLine="0"/>
              <w:jc w:val="center"/>
            </w:pPr>
            <w:r>
              <w:rPr>
                <w:rFonts w:ascii="Times New Roman" w:hAnsi="Times New Roman" w:cs="Times New Roman" w:eastAsia="Times New Roman"/>
                <w:b w:val="0"/>
                <w:i w:val="0"/>
                <w:smallCaps w:val="0"/>
                <w:sz w:val="16"/>
              </w:rPr>
              <w:t>1.00</w:t>
            </w:r>
          </w:p>
        </w:tc>
        <w:tc>
          <w:tcPr>
            <w:tcW w:type="dxa" w:w="615"/>
          </w:tcPr>
          <w:p>
            <w:pPr>
              <w:spacing w:before="0" w:after="0" w:line="240" w:lineRule="auto"/>
              <w:ind w:firstLine="0"/>
              <w:jc w:val="center"/>
            </w:pPr>
            <w:r>
              <w:rPr>
                <w:rFonts w:ascii="Times New Roman" w:hAnsi="Times New Roman" w:cs="Times New Roman" w:eastAsia="Times New Roman"/>
                <w:b w:val="0"/>
                <w:i w:val="0"/>
                <w:smallCaps w:val="0"/>
                <w:sz w:val="16"/>
              </w:rPr>
              <w:t>0.0615</w:t>
            </w:r>
          </w:p>
        </w:tc>
      </w:tr>
    </w:tbl>
    <w:p>
      <w:pPr>
        <w:spacing w:before="60" w:after="180" w:line="240" w:lineRule="auto"/>
        <w:ind w:firstLine="0"/>
        <w:jc w:val="both"/>
      </w:pPr>
      <w:r>
        <w:rPr>
          <w:rFonts w:ascii="Times New Roman" w:hAnsi="Times New Roman" w:cs="Times New Roman" w:eastAsia="Times New Roman"/>
          <w:b w:val="0"/>
          <w:i w:val="0"/>
          <w:smallCaps w:val="0"/>
          <w:sz w:val="15"/>
        </w:rPr>
        <w:t>Principal eigenvalue 5.068, CI 0.017, CR 0.015, well inside the 0.10 threshold.</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 xml:space="preserve">Weights are recovered as the normalised geometric mean of each row, which is numerically stabler than raising the matrix to a high power. Each criterion is mapped to a utility between zero and one by a ramp or trapezoid, and the composite score for structure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rPr>
        <w:t xml:space="preserve"> is</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vertAlign w:val="subscript"/>
        </w:rPr>
        <w:t>k</w:t>
      </w:r>
      <w:r>
        <w:rPr>
          <w:rFonts w:ascii="Times New Roman" w:hAnsi="Times New Roman" w:cs="Times New Roman" w:eastAsia="Times New Roman"/>
          <w:b w:val="0"/>
          <w:i w:val="0"/>
          <w:smallCaps w:val="0"/>
          <w:sz w:val="20"/>
        </w:rPr>
        <w:t xml:space="preserve"> = Σ</w:t>
      </w:r>
      <w:r>
        <w:rPr>
          <w:rFonts w:ascii="Times New Roman" w:hAnsi="Times New Roman" w:cs="Times New Roman" w:eastAsia="Times New Roman"/>
          <w:b w:val="0"/>
          <w:i w:val="0"/>
          <w:smallCaps w:val="0"/>
          <w:sz w:val="20"/>
          <w:vertAlign w:val="subscript"/>
        </w:rPr>
        <w:t>i</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val="0"/>
          <w:smallCaps w:val="0"/>
          <w:sz w:val="20"/>
          <w:vertAlign w:val="subscript"/>
        </w:rPr>
        <w:t>i</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vertAlign w:val="subscript"/>
        </w:rPr>
        <w:t>ik</w:t>
      </w:r>
      <w:r>
        <w:rPr>
          <w:rFonts w:ascii="Times New Roman" w:hAnsi="Times New Roman" w:cs="Times New Roman" w:eastAsia="Times New Roman"/>
          <w:b w:val="0"/>
          <w:i w:val="0"/>
          <w:smallCaps w:val="0"/>
          <w:sz w:val="20"/>
        </w:rPr>
        <w:tab/>
        <w:t>(6)</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Structures that cannot function at a site are removed by hard filters before scoring rather than being penalised. A percolation tank needs at least 100 square metres of open ground; a recharge well needs a water table shallower than 40 metres. Filtering first, scoring second, keeps a physically impossible option from appearing in the middle of the ranking.</w:t>
      </w:r>
    </w:p>
    <w:p>
      <w:pPr>
        <w:keepNext/>
        <w:spacing w:before="140" w:after="40" w:line="240" w:lineRule="auto"/>
        <w:ind w:firstLine="0"/>
        <w:jc w:val="left"/>
      </w:pPr>
      <w:r>
        <w:rPr>
          <w:rFonts w:ascii="Times New Roman" w:hAnsi="Times New Roman" w:cs="Times New Roman" w:eastAsia="Times New Roman"/>
          <w:b w:val="0"/>
          <w:i/>
          <w:smallCaps w:val="0"/>
          <w:sz w:val="20"/>
        </w:rPr>
        <w:t>F. Costing and Payback</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Capital cost is assembled from three components: storage at INR 1,550 per cubic metre of tank volume, recharge structures at INR 8,000 for a pit of standard size, and plumbing at INR 200 per square metre of roof. Annual benefit combines the avoided tariff on harvested water with a recharge credit valued at 20 percent of the tariff, since recharge water is not directly consumed. Maintenance is taken as two percent of capital. The payback in years is</w:t>
      </w:r>
    </w:p>
    <w:p>
      <w:pPr>
        <w:tabs>
          <w:tab w:pos="2511" w:val="center"/>
          <w:tab w:pos="4993" w:val="right"/>
        </w:tabs>
        <w:spacing w:before="100" w:after="100" w:line="240" w:lineRule="auto"/>
        <w:ind w:firstLine="0"/>
        <w:jc w:val="left"/>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T</w:t>
      </w:r>
      <w:r>
        <w:rPr>
          <w:rFonts w:ascii="Times New Roman" w:hAnsi="Times New Roman" w:cs="Times New Roman" w:eastAsia="Times New Roman"/>
          <w:b w:val="0"/>
          <w:i w:val="0"/>
          <w:smallCaps w:val="0"/>
          <w:sz w:val="20"/>
          <w:vertAlign w:val="subscript"/>
        </w:rPr>
        <w:t>p</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C</w:t>
      </w:r>
      <w:r>
        <w:rPr>
          <w:rFonts w:ascii="Times New Roman" w:hAnsi="Times New Roman" w:cs="Times New Roman" w:eastAsia="Times New Roman"/>
          <w:b w:val="0"/>
          <w:i w:val="0"/>
          <w:smallCaps w:val="0"/>
          <w:sz w:val="20"/>
          <w:vertAlign w:val="subscript"/>
        </w:rPr>
        <w:t>c</w:t>
      </w:r>
      <w:r>
        <w:rPr>
          <w:rFonts w:ascii="Times New Roman" w:hAnsi="Times New Roman" w:cs="Times New Roman" w:eastAsia="Times New Roman"/>
          <w:b w:val="0"/>
          <w:i w:val="0"/>
          <w:smallCaps w:val="0"/>
          <w:sz w:val="20"/>
        </w:rPr>
        <w:t xml:space="preserve"> / ( </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val="0"/>
          <w:smallCaps w:val="0"/>
          <w:sz w:val="20"/>
          <w:vertAlign w:val="subscript"/>
        </w:rPr>
        <w:t>a</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M</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val="0"/>
          <w:smallCaps w:val="0"/>
          <w:sz w:val="20"/>
        </w:rPr>
        <w:tab/>
        <w:t>(7)</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and the ten-year return on investment compares cumulative net benefit with capital cost. Both are reported, together with the break-even tariff at which payback would fall to ten years. That last number turned out to be more useful to users than the payback itself, as Section VI explains.</w:t>
      </w:r>
    </w:p>
    <w:p>
      <w:pPr>
        <w:keepNext/>
        <w:spacing w:before="200" w:after="80" w:line="240" w:lineRule="auto"/>
        <w:ind w:firstLine="0"/>
        <w:jc w:val="center"/>
      </w:pPr>
      <w:r>
        <w:rPr>
          <w:rFonts w:ascii="Times New Roman" w:hAnsi="Times New Roman" w:cs="Times New Roman" w:eastAsia="Times New Roman"/>
          <w:b w:val="0"/>
          <w:i w:val="0"/>
          <w:smallCaps/>
          <w:sz w:val="20"/>
        </w:rPr>
        <w:t>IV. IMPLEMENTATION</w:t>
      </w:r>
    </w:p>
    <w:p>
      <w:pPr>
        <w:keepNext/>
        <w:spacing w:before="140" w:after="40" w:line="240" w:lineRule="auto"/>
        <w:ind w:firstLine="0"/>
        <w:jc w:val="left"/>
      </w:pPr>
      <w:r>
        <w:rPr>
          <w:rFonts w:ascii="Times New Roman" w:hAnsi="Times New Roman" w:cs="Times New Roman" w:eastAsia="Times New Roman"/>
          <w:b w:val="0"/>
          <w:i/>
          <w:smallCaps w:val="0"/>
          <w:sz w:val="20"/>
        </w:rPr>
        <w:t>A. Back End</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API is written in FastAPI with Pydantic v2 models [12] that reject implausible input at the boundary: roof areas above 100,000 square metres, water tables deeper than 300 metres, or negative open space. Assessments are persisted through SQLAlchemy into SQLite, which is adequate for single-instance deployment and keeps the project reproducible on a laptop. The orchestrating endpoint runs the six services in sequence and returns one response object containing weather provenance, runoff, recharge, ranking, economics and hydrogeological notes. Because every intermediate value is in that response, the client can render any of it without recomputation, and the PDF composer receives exactly what the screen received.</w:t>
      </w:r>
    </w:p>
    <w:p>
      <w:pPr>
        <w:keepNext/>
        <w:spacing w:before="140" w:after="40" w:line="240" w:lineRule="auto"/>
        <w:ind w:firstLine="0"/>
        <w:jc w:val="left"/>
      </w:pPr>
      <w:r>
        <w:rPr>
          <w:rFonts w:ascii="Times New Roman" w:hAnsi="Times New Roman" w:cs="Times New Roman" w:eastAsia="Times New Roman"/>
          <w:b w:val="0"/>
          <w:i/>
          <w:smallCaps w:val="0"/>
          <w:sz w:val="20"/>
        </w:rPr>
        <w:t>B. Client and Three-Dimensional Preview</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client is a Next.js 14 application using the App Router [13], with Tailwind for layout, React Hook Form and Zod for the three-step wizard, Recharts for the monthly charts and Leaflet with Nominatim [14] for the map pin. The assessment flow is deliberately short: location and roof, then roof and rainfall, then soil and groundwater. Each step validates before advancing, and the rainfall preview can be refreshed from the grid without losing the rest of the form.</w:t>
      </w:r>
    </w:p>
    <w:p>
      <w:pPr>
        <w:keepNext/>
        <w:spacing w:before="120" w:after="60"/>
        <w:ind w:firstLine="0"/>
        <w:jc w:val="center"/>
      </w:pPr>
      <w:r>
        <w:drawing>
          <wp:inline xmlns:a="http://schemas.openxmlformats.org/drawingml/2006/main" xmlns:pic="http://schemas.openxmlformats.org/drawingml/2006/picture">
            <wp:extent cx="2697480" cy="1778410"/>
            <wp:docPr id="2" name="Picture 2"/>
            <wp:cNvGraphicFramePr>
              <a:graphicFrameLocks noChangeAspect="1"/>
            </wp:cNvGraphicFramePr>
            <a:graphic>
              <a:graphicData uri="http://schemas.openxmlformats.org/drawingml/2006/picture">
                <pic:pic>
                  <pic:nvPicPr>
                    <pic:cNvPr id="0" name="fig3_wizard.png"/>
                    <pic:cNvPicPr/>
                  </pic:nvPicPr>
                  <pic:blipFill>
                    <a:blip r:embed="rId10"/>
                    <a:stretch>
                      <a:fillRect/>
                    </a:stretch>
                  </pic:blipFill>
                  <pic:spPr>
                    <a:xfrm>
                      <a:off x="0" y="0"/>
                      <a:ext cx="2697480" cy="1778410"/>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2.  Roof step of the wizard. The rainfall card shows the grid value, its climatology period and cell centre, and accepts a local annual total.</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results page presents four headline figures, then tabs for monthly analysis, structures, cost-benefit and hydrogeology. A three-dimensional view, built with react-three-fiber, draws the recommended structure at its computed dimensions on a ground plane and supports WebXR [15] on Android devices, so a tank can placed on the actual floor before it is built. The scene is intentionally schematic; it is a communication device, not a structural drawing.</w:t>
      </w:r>
    </w:p>
    <w:p>
      <w:pPr>
        <w:keepNext/>
        <w:spacing w:before="120" w:after="60"/>
        <w:ind w:firstLine="0"/>
        <w:jc w:val="center"/>
      </w:pPr>
      <w:r>
        <w:drawing>
          <wp:inline xmlns:a="http://schemas.openxmlformats.org/drawingml/2006/main" xmlns:pic="http://schemas.openxmlformats.org/drawingml/2006/picture">
            <wp:extent cx="2697480" cy="1778410"/>
            <wp:docPr id="3" name="Picture 3"/>
            <wp:cNvGraphicFramePr>
              <a:graphicFrameLocks noChangeAspect="1"/>
            </wp:cNvGraphicFramePr>
            <a:graphic>
              <a:graphicData uri="http://schemas.openxmlformats.org/drawingml/2006/picture">
                <pic:pic>
                  <pic:nvPicPr>
                    <pic:cNvPr id="0" name="fig4_results.png"/>
                    <pic:cNvPicPr/>
                  </pic:nvPicPr>
                  <pic:blipFill>
                    <a:blip r:embed="rId11"/>
                    <a:stretch>
                      <a:fillRect/>
                    </a:stretch>
                  </pic:blipFill>
                  <pic:spPr>
                    <a:xfrm>
                      <a:off x="0" y="0"/>
                      <a:ext cx="2697480" cy="1778410"/>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3.  Results for the Pune reference case. Every headline figure links to the tab that produced it.</w:t>
      </w:r>
    </w:p>
    <w:p>
      <w:pPr>
        <w:keepNext/>
        <w:spacing w:before="120" w:after="60"/>
        <w:ind w:firstLine="0"/>
        <w:jc w:val="center"/>
      </w:pPr>
      <w:r>
        <w:drawing>
          <wp:inline xmlns:a="http://schemas.openxmlformats.org/drawingml/2006/main" xmlns:pic="http://schemas.openxmlformats.org/drawingml/2006/picture">
            <wp:extent cx="2240280" cy="2117305"/>
            <wp:docPr id="4" name="Picture 4"/>
            <wp:cNvGraphicFramePr>
              <a:graphicFrameLocks noChangeAspect="1"/>
            </wp:cNvGraphicFramePr>
            <a:graphic>
              <a:graphicData uri="http://schemas.openxmlformats.org/drawingml/2006/picture">
                <pic:pic>
                  <pic:nvPicPr>
                    <pic:cNvPr id="0" name="fig7_xr_panel.png"/>
                    <pic:cNvPicPr/>
                  </pic:nvPicPr>
                  <pic:blipFill>
                    <a:blip r:embed="rId12"/>
                    <a:stretch>
                      <a:fillRect/>
                    </a:stretch>
                  </pic:blipFill>
                  <pic:spPr>
                    <a:xfrm>
                      <a:off x="0" y="0"/>
                      <a:ext cx="2240280" cy="2117305"/>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4.  Three-dimensional preview panel: ranked structures with suitability scores, the computed dimensions that drive the scaled model, and the WebXR entry point.</w:t>
      </w:r>
    </w:p>
    <w:p>
      <w:pPr>
        <w:keepNext/>
        <w:spacing w:before="140" w:after="40" w:line="240" w:lineRule="auto"/>
        <w:ind w:firstLine="0"/>
        <w:jc w:val="left"/>
      </w:pPr>
      <w:r>
        <w:rPr>
          <w:rFonts w:ascii="Times New Roman" w:hAnsi="Times New Roman" w:cs="Times New Roman" w:eastAsia="Times New Roman"/>
          <w:b w:val="0"/>
          <w:i/>
          <w:smallCaps w:val="0"/>
          <w:sz w:val="20"/>
        </w:rPr>
        <w:t>C. Report Generation</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PDF is composed with ReportLab [16] and runs to five pages: summary, monthly water balance, structures dimensions and installation notes, economics, and assumptions with data provenance. Hindi and Marathi text required more than loading a font. ReportLab draws glyphs in logical order, so Devanagari conjuncts and matras come out reordered and disconnected unless the string is shaped first. We shape with HarfBuzz through uharfbuzz [17], convert the shaped glyph run into positioned text, and draw with Noto Sans Devanagari; a glyph-coverage check falls back to English for any character the font cannot supply. The result is that a Marathi location name entered in the form appears correctly in the heading, the tables and the recommendation text of the exported report.</w:t>
      </w:r>
    </w:p>
    <w:p>
      <w:pPr>
        <w:keepNext/>
        <w:spacing w:before="140" w:after="40" w:line="240" w:lineRule="auto"/>
        <w:ind w:firstLine="0"/>
        <w:jc w:val="left"/>
      </w:pPr>
      <w:r>
        <w:rPr>
          <w:rFonts w:ascii="Times New Roman" w:hAnsi="Times New Roman" w:cs="Times New Roman" w:eastAsia="Times New Roman"/>
          <w:b w:val="0"/>
          <w:i/>
          <w:smallCaps w:val="0"/>
          <w:sz w:val="20"/>
        </w:rPr>
        <w:t>D. Testing and Deployment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back end carries 38 tests run under pytest with HTTPX, covering each service in isolation and the API end to end against a temporary database. The suite pins the reference case to its published numbers, so a change in a coefficient fails a test rather than silently altering every report. PDF output is tested by extracting text from the generated file and asserting that key labels and the Devanagari name survive the round trip. The client builds with no TypeScript or lint errors and produces eight static pages. Both tiers are deployed on managed hosting, with the API on a Python runtime and the client on Vercel.</w:t>
      </w:r>
    </w:p>
    <w:p>
      <w:pPr>
        <w:keepNext/>
        <w:spacing w:before="200" w:after="80" w:line="240" w:lineRule="auto"/>
        <w:ind w:firstLine="0"/>
        <w:jc w:val="center"/>
      </w:pPr>
      <w:r>
        <w:rPr>
          <w:rFonts w:ascii="Times New Roman" w:hAnsi="Times New Roman" w:cs="Times New Roman" w:eastAsia="Times New Roman"/>
          <w:b w:val="0"/>
          <w:i w:val="0"/>
          <w:smallCaps/>
          <w:sz w:val="20"/>
        </w:rPr>
        <w:t>V. RESULTS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Results come from two sources: a reference assessment executed through the API and captured for this paper, and four additional scenarios chosen to exercise different soils, roof types, rainfall regimes and languages.</w:t>
      </w:r>
    </w:p>
    <w:p>
      <w:pPr>
        <w:keepNext/>
        <w:spacing w:before="140" w:after="40" w:line="240" w:lineRule="auto"/>
        <w:ind w:firstLine="0"/>
        <w:jc w:val="left"/>
      </w:pPr>
      <w:r>
        <w:rPr>
          <w:rFonts w:ascii="Times New Roman" w:hAnsi="Times New Roman" w:cs="Times New Roman" w:eastAsia="Times New Roman"/>
          <w:b w:val="0"/>
          <w:i/>
          <w:smallCaps w:val="0"/>
          <w:sz w:val="20"/>
        </w:rPr>
        <w:t>A. Reference Case</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reference building is a four-person household in Pune with a 100 square metre RCC roof, 50 square metres of open ground, loamy soil and a water table at 15 metres. Rainfall is 700 mm, of which 89 percent falls between June and September. The Rational estimate is 63.0 kL per year; after first-flush losses 43.0 kL remains available. Recharge potential is 24.5 kL, or about 67 litres a day, with a feasibility score of 55 out of 100, driven down by the moderate infiltration rate of loam rather than by depth to water.</w:t>
      </w:r>
    </w:p>
    <w:p>
      <w:pPr>
        <w:keepNext/>
        <w:spacing w:before="120" w:after="60"/>
        <w:ind w:firstLine="0"/>
        <w:jc w:val="center"/>
      </w:pPr>
      <w:r>
        <w:drawing>
          <wp:inline xmlns:a="http://schemas.openxmlformats.org/drawingml/2006/main" xmlns:pic="http://schemas.openxmlformats.org/drawingml/2006/picture">
            <wp:extent cx="2788920" cy="1564806"/>
            <wp:docPr id="5" name="Picture 5"/>
            <wp:cNvGraphicFramePr>
              <a:graphicFrameLocks noChangeAspect="1"/>
            </wp:cNvGraphicFramePr>
            <a:graphic>
              <a:graphicData uri="http://schemas.openxmlformats.org/drawingml/2006/picture">
                <pic:pic>
                  <pic:nvPicPr>
                    <pic:cNvPr id="0" name="fig5_monthly.png"/>
                    <pic:cNvPicPr/>
                  </pic:nvPicPr>
                  <pic:blipFill>
                    <a:blip r:embed="rId13"/>
                    <a:stretch>
                      <a:fillRect/>
                    </a:stretch>
                  </pic:blipFill>
                  <pic:spPr>
                    <a:xfrm>
                      <a:off x="0" y="0"/>
                      <a:ext cx="2788920" cy="1564806"/>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5.  Monthly rainfall against the two runoff estimates for the Pune reference case. The shaded area is the Rational volume; the dashed line is SCS-CN.</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Fig. 5 shows why a monthly view is needed. The two methods agree on the annual total to within 3.7 percent but differ by up to 11 percent in July and August, where the curve number method responds to the non-linearity that the Rational coefficient cannot. For storage sizing, the July peak of 18.6 kL is the number that matters, and it is well above the mean monthly figure of 5.3 kL.</w:t>
      </w:r>
    </w:p>
    <w:p>
      <w:pPr>
        <w:keepNext/>
        <w:spacing w:before="140" w:after="40" w:line="240" w:lineRule="auto"/>
        <w:ind w:firstLine="0"/>
        <w:jc w:val="left"/>
      </w:pPr>
      <w:r>
        <w:rPr>
          <w:rFonts w:ascii="Times New Roman" w:hAnsi="Times New Roman" w:cs="Times New Roman" w:eastAsia="Times New Roman"/>
          <w:b w:val="0"/>
          <w:i/>
          <w:smallCaps w:val="0"/>
          <w:sz w:val="20"/>
        </w:rPr>
        <w:t>B. Structure Ranking</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ranked output for the reference case is shown in Table II. The storage tank wins on yield, which carries 42 percent of the weight, and the soak pit comes second because loam accepts water at a moderate rate while a recharge well is penalised by the 15-metre water table. The percolation tank is removed by the area filter, since 50 square metres of open ground is half of what the structure needs.</w:t>
      </w:r>
    </w:p>
    <w:p>
      <w:pPr>
        <w:keepNext/>
        <w:spacing w:before="160" w:after="40" w:line="240" w:lineRule="auto"/>
        <w:ind w:firstLine="0"/>
        <w:jc w:val="center"/>
      </w:pPr>
      <w:r>
        <w:rPr>
          <w:rFonts w:ascii="Times New Roman" w:hAnsi="Times New Roman" w:cs="Times New Roman" w:eastAsia="Times New Roman"/>
          <w:b w:val="0"/>
          <w:i w:val="0"/>
          <w:smallCaps/>
          <w:sz w:val="16"/>
        </w:rPr>
        <w:t>TABLE II</w:t>
      </w:r>
    </w:p>
    <w:p>
      <w:pPr>
        <w:keepNext/>
        <w:spacing w:before="0" w:after="60" w:line="240" w:lineRule="auto"/>
        <w:ind w:firstLine="0"/>
        <w:jc w:val="center"/>
      </w:pPr>
      <w:r>
        <w:rPr>
          <w:rFonts w:ascii="Times New Roman" w:hAnsi="Times New Roman" w:cs="Times New Roman" w:eastAsia="Times New Roman"/>
          <w:b w:val="0"/>
          <w:i w:val="0"/>
          <w:smallCaps/>
          <w:sz w:val="16"/>
        </w:rPr>
        <w:t>Ranked structures for the reference case</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CellMar>
          <w:top w:w="20" w:type="dxa"/>
          <w:left w:w="40" w:type="dxa"/>
          <w:bottom w:w="20" w:type="dxa"/>
          <w:right w:w="40" w:type="dxa"/>
        </w:tblCellMar>
      </w:tblPr>
      <w:tblGrid>
        <w:gridCol w:w="2570"/>
        <w:gridCol w:w="2570"/>
        <w:gridCol w:w="2570"/>
        <w:gridCol w:w="2570"/>
      </w:tblGrid>
      <w:tr>
        <w:tc>
          <w:tcPr>
            <w:tcW w:type="dxa" w:w="1456"/>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Structure</w:t>
            </w:r>
          </w:p>
        </w:tc>
        <w:tc>
          <w:tcPr>
            <w:tcW w:type="dxa" w:w="688"/>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Score</w:t>
            </w:r>
          </w:p>
        </w:tc>
        <w:tc>
          <w:tcPr>
            <w:tcW w:type="dxa" w:w="129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Dimensions</w:t>
            </w:r>
          </w:p>
        </w:tc>
        <w:tc>
          <w:tcPr>
            <w:tcW w:type="dxa" w:w="1522"/>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Note</w:t>
            </w:r>
          </w:p>
        </w:tc>
      </w:tr>
      <w:tr>
        <w:trPr>
          <w:cantSplit/>
        </w:trPr>
        <w:tc>
          <w:tcPr>
            <w:tcW w:type="dxa" w:w="1456"/>
          </w:tcPr>
          <w:p>
            <w:pPr>
              <w:spacing w:before="0" w:after="0" w:line="240" w:lineRule="auto"/>
              <w:ind w:firstLine="0"/>
              <w:jc w:val="left"/>
            </w:pPr>
            <w:r>
              <w:rPr>
                <w:rFonts w:ascii="Times New Roman" w:hAnsi="Times New Roman" w:cs="Times New Roman" w:eastAsia="Times New Roman"/>
                <w:b w:val="0"/>
                <w:i w:val="0"/>
                <w:smallCaps w:val="0"/>
                <w:sz w:val="16"/>
              </w:rPr>
              <w:t>Rooftop storage tank</w:t>
            </w:r>
          </w:p>
        </w:tc>
        <w:tc>
          <w:tcPr>
            <w:tcW w:type="dxa" w:w="688"/>
          </w:tcPr>
          <w:p>
            <w:pPr>
              <w:spacing w:before="0" w:after="0" w:line="240" w:lineRule="auto"/>
              <w:ind w:firstLine="0"/>
              <w:jc w:val="center"/>
            </w:pPr>
            <w:r>
              <w:rPr>
                <w:rFonts w:ascii="Times New Roman" w:hAnsi="Times New Roman" w:cs="Times New Roman" w:eastAsia="Times New Roman"/>
                <w:b w:val="0"/>
                <w:i w:val="0"/>
                <w:smallCaps w:val="0"/>
                <w:sz w:val="16"/>
              </w:rPr>
              <w:t>93.0</w:t>
            </w:r>
          </w:p>
        </w:tc>
        <w:tc>
          <w:tcPr>
            <w:tcW w:type="dxa" w:w="1297"/>
          </w:tcPr>
          <w:p>
            <w:pPr>
              <w:spacing w:before="0" w:after="0" w:line="240" w:lineRule="auto"/>
              <w:ind w:firstLine="0"/>
              <w:jc w:val="center"/>
            </w:pPr>
            <w:r>
              <w:rPr>
                <w:rFonts w:ascii="Times New Roman" w:hAnsi="Times New Roman" w:cs="Times New Roman" w:eastAsia="Times New Roman"/>
                <w:b w:val="0"/>
                <w:i w:val="0"/>
                <w:smallCaps w:val="0"/>
                <w:sz w:val="16"/>
              </w:rPr>
              <w:t>16.2 m³, 3.21 m Ø × 2.0 m</w:t>
            </w:r>
          </w:p>
        </w:tc>
        <w:tc>
          <w:tcPr>
            <w:tcW w:type="dxa" w:w="1522"/>
          </w:tcPr>
          <w:p>
            <w:pPr>
              <w:spacing w:before="0" w:after="0" w:line="240" w:lineRule="auto"/>
              <w:ind w:firstLine="0"/>
              <w:jc w:val="center"/>
            </w:pPr>
            <w:r>
              <w:rPr>
                <w:rFonts w:ascii="Times New Roman" w:hAnsi="Times New Roman" w:cs="Times New Roman" w:eastAsia="Times New Roman"/>
                <w:b w:val="0"/>
                <w:i w:val="0"/>
                <w:smallCaps w:val="0"/>
                <w:sz w:val="16"/>
              </w:rPr>
              <w:t>RCC or PVC, ground level</w:t>
            </w:r>
          </w:p>
        </w:tc>
      </w:tr>
      <w:tr>
        <w:trPr>
          <w:cantSplit/>
        </w:trPr>
        <w:tc>
          <w:tcPr>
            <w:tcW w:type="dxa" w:w="1456"/>
          </w:tcPr>
          <w:p>
            <w:pPr>
              <w:spacing w:before="0" w:after="0" w:line="240" w:lineRule="auto"/>
              <w:ind w:firstLine="0"/>
              <w:jc w:val="left"/>
            </w:pPr>
            <w:r>
              <w:rPr>
                <w:rFonts w:ascii="Times New Roman" w:hAnsi="Times New Roman" w:cs="Times New Roman" w:eastAsia="Times New Roman"/>
                <w:b w:val="0"/>
                <w:i w:val="0"/>
                <w:smallCaps w:val="0"/>
                <w:sz w:val="16"/>
              </w:rPr>
              <w:t>Soak pit / French drain</w:t>
            </w:r>
          </w:p>
        </w:tc>
        <w:tc>
          <w:tcPr>
            <w:tcW w:type="dxa" w:w="688"/>
          </w:tcPr>
          <w:p>
            <w:pPr>
              <w:spacing w:before="0" w:after="0" w:line="240" w:lineRule="auto"/>
              <w:ind w:firstLine="0"/>
              <w:jc w:val="center"/>
            </w:pPr>
            <w:r>
              <w:rPr>
                <w:rFonts w:ascii="Times New Roman" w:hAnsi="Times New Roman" w:cs="Times New Roman" w:eastAsia="Times New Roman"/>
                <w:b w:val="0"/>
                <w:i w:val="0"/>
                <w:smallCaps w:val="0"/>
                <w:sz w:val="16"/>
              </w:rPr>
              <w:t>72.8</w:t>
            </w:r>
          </w:p>
        </w:tc>
        <w:tc>
          <w:tcPr>
            <w:tcW w:type="dxa" w:w="1297"/>
          </w:tcPr>
          <w:p>
            <w:pPr>
              <w:spacing w:before="0" w:after="0" w:line="240" w:lineRule="auto"/>
              <w:ind w:firstLine="0"/>
              <w:jc w:val="center"/>
            </w:pPr>
            <w:r>
              <w:rPr>
                <w:rFonts w:ascii="Times New Roman" w:hAnsi="Times New Roman" w:cs="Times New Roman" w:eastAsia="Times New Roman"/>
                <w:b w:val="0"/>
                <w:i w:val="0"/>
                <w:smallCaps w:val="0"/>
                <w:sz w:val="16"/>
              </w:rPr>
              <w:t>1.0 m Ø × 1.5 m</w:t>
            </w:r>
          </w:p>
        </w:tc>
        <w:tc>
          <w:tcPr>
            <w:tcW w:type="dxa" w:w="1522"/>
          </w:tcPr>
          <w:p>
            <w:pPr>
              <w:spacing w:before="0" w:after="0" w:line="240" w:lineRule="auto"/>
              <w:ind w:firstLine="0"/>
              <w:jc w:val="center"/>
            </w:pPr>
            <w:r>
              <w:rPr>
                <w:rFonts w:ascii="Times New Roman" w:hAnsi="Times New Roman" w:cs="Times New Roman" w:eastAsia="Times New Roman"/>
                <w:b w:val="0"/>
                <w:i w:val="0"/>
                <w:smallCaps w:val="0"/>
                <w:sz w:val="16"/>
              </w:rPr>
              <w:t>40 mm aggregate fill</w:t>
            </w:r>
          </w:p>
        </w:tc>
      </w:tr>
      <w:tr>
        <w:trPr>
          <w:cantSplit/>
        </w:trPr>
        <w:tc>
          <w:tcPr>
            <w:tcW w:type="dxa" w:w="1456"/>
          </w:tcPr>
          <w:p>
            <w:pPr>
              <w:spacing w:before="0" w:after="0" w:line="240" w:lineRule="auto"/>
              <w:ind w:firstLine="0"/>
              <w:jc w:val="left"/>
            </w:pPr>
            <w:r>
              <w:rPr>
                <w:rFonts w:ascii="Times New Roman" w:hAnsi="Times New Roman" w:cs="Times New Roman" w:eastAsia="Times New Roman"/>
                <w:b w:val="0"/>
                <w:i w:val="0"/>
                <w:smallCaps w:val="0"/>
                <w:sz w:val="16"/>
              </w:rPr>
              <w:t>Recharge pit</w:t>
            </w:r>
          </w:p>
        </w:tc>
        <w:tc>
          <w:tcPr>
            <w:tcW w:type="dxa" w:w="688"/>
          </w:tcPr>
          <w:p>
            <w:pPr>
              <w:spacing w:before="0" w:after="0" w:line="240" w:lineRule="auto"/>
              <w:ind w:firstLine="0"/>
              <w:jc w:val="center"/>
            </w:pPr>
            <w:r>
              <w:rPr>
                <w:rFonts w:ascii="Times New Roman" w:hAnsi="Times New Roman" w:cs="Times New Roman" w:eastAsia="Times New Roman"/>
                <w:b w:val="0"/>
                <w:i w:val="0"/>
                <w:smallCaps w:val="0"/>
                <w:sz w:val="16"/>
              </w:rPr>
              <w:t>69.0</w:t>
            </w:r>
          </w:p>
        </w:tc>
        <w:tc>
          <w:tcPr>
            <w:tcW w:type="dxa" w:w="1297"/>
          </w:tcPr>
          <w:p>
            <w:pPr>
              <w:spacing w:before="0" w:after="0" w:line="240" w:lineRule="auto"/>
              <w:ind w:firstLine="0"/>
              <w:jc w:val="center"/>
            </w:pPr>
            <w:r>
              <w:rPr>
                <w:rFonts w:ascii="Times New Roman" w:hAnsi="Times New Roman" w:cs="Times New Roman" w:eastAsia="Times New Roman"/>
                <w:b w:val="0"/>
                <w:i w:val="0"/>
                <w:smallCaps w:val="0"/>
                <w:sz w:val="16"/>
              </w:rPr>
              <w:t>1.5 × 1.5 × 2.0 m</w:t>
            </w:r>
          </w:p>
        </w:tc>
        <w:tc>
          <w:tcPr>
            <w:tcW w:type="dxa" w:w="1522"/>
          </w:tcPr>
          <w:p>
            <w:pPr>
              <w:spacing w:before="0" w:after="0" w:line="240" w:lineRule="auto"/>
              <w:ind w:firstLine="0"/>
              <w:jc w:val="center"/>
            </w:pPr>
            <w:r>
              <w:rPr>
                <w:rFonts w:ascii="Times New Roman" w:hAnsi="Times New Roman" w:cs="Times New Roman" w:eastAsia="Times New Roman"/>
                <w:b w:val="0"/>
                <w:i w:val="0"/>
                <w:smallCaps w:val="0"/>
                <w:sz w:val="16"/>
              </w:rPr>
              <w:t>Gravel, stone, sand layers</w:t>
            </w:r>
          </w:p>
        </w:tc>
      </w:tr>
      <w:tr>
        <w:trPr>
          <w:cantSplit/>
        </w:trPr>
        <w:tc>
          <w:tcPr>
            <w:tcW w:type="dxa" w:w="1456"/>
          </w:tcPr>
          <w:p>
            <w:pPr>
              <w:spacing w:before="0" w:after="0" w:line="240" w:lineRule="auto"/>
              <w:ind w:firstLine="0"/>
              <w:jc w:val="left"/>
            </w:pPr>
            <w:r>
              <w:rPr>
                <w:rFonts w:ascii="Times New Roman" w:hAnsi="Times New Roman" w:cs="Times New Roman" w:eastAsia="Times New Roman"/>
                <w:b w:val="0"/>
                <w:i w:val="0"/>
                <w:smallCaps w:val="0"/>
                <w:sz w:val="16"/>
              </w:rPr>
              <w:t>Recharge well</w:t>
            </w:r>
          </w:p>
        </w:tc>
        <w:tc>
          <w:tcPr>
            <w:tcW w:type="dxa" w:w="688"/>
          </w:tcPr>
          <w:p>
            <w:pPr>
              <w:spacing w:before="0" w:after="0" w:line="240" w:lineRule="auto"/>
              <w:ind w:firstLine="0"/>
              <w:jc w:val="center"/>
            </w:pPr>
            <w:r>
              <w:rPr>
                <w:rFonts w:ascii="Times New Roman" w:hAnsi="Times New Roman" w:cs="Times New Roman" w:eastAsia="Times New Roman"/>
                <w:b w:val="0"/>
                <w:i w:val="0"/>
                <w:smallCaps w:val="0"/>
                <w:sz w:val="16"/>
              </w:rPr>
              <w:t>51.8</w:t>
            </w:r>
          </w:p>
        </w:tc>
        <w:tc>
          <w:tcPr>
            <w:tcW w:type="dxa" w:w="1297"/>
          </w:tcPr>
          <w:p>
            <w:pPr>
              <w:spacing w:before="0" w:after="0" w:line="240" w:lineRule="auto"/>
              <w:ind w:firstLine="0"/>
              <w:jc w:val="center"/>
            </w:pPr>
            <w:r>
              <w:rPr>
                <w:rFonts w:ascii="Times New Roman" w:hAnsi="Times New Roman" w:cs="Times New Roman" w:eastAsia="Times New Roman"/>
                <w:b w:val="0"/>
                <w:i w:val="0"/>
                <w:smallCaps w:val="0"/>
                <w:sz w:val="16"/>
              </w:rPr>
              <w:t>250 mm Ø × 20 m</w:t>
            </w:r>
          </w:p>
        </w:tc>
        <w:tc>
          <w:tcPr>
            <w:tcW w:type="dxa" w:w="1522"/>
          </w:tcPr>
          <w:p>
            <w:pPr>
              <w:spacing w:before="0" w:after="0" w:line="240" w:lineRule="auto"/>
              <w:ind w:firstLine="0"/>
              <w:jc w:val="center"/>
            </w:pPr>
            <w:r>
              <w:rPr>
                <w:rFonts w:ascii="Times New Roman" w:hAnsi="Times New Roman" w:cs="Times New Roman" w:eastAsia="Times New Roman"/>
                <w:b w:val="0"/>
                <w:i w:val="0"/>
                <w:smallCaps w:val="0"/>
                <w:sz w:val="16"/>
              </w:rPr>
              <w:t>MS perforated casing</w:t>
            </w:r>
          </w:p>
        </w:tc>
      </w:tr>
      <w:tr>
        <w:trPr>
          <w:cantSplit/>
        </w:trPr>
        <w:tc>
          <w:tcPr>
            <w:tcW w:type="dxa" w:w="1456"/>
          </w:tcPr>
          <w:p>
            <w:pPr>
              <w:spacing w:before="0" w:after="0" w:line="240" w:lineRule="auto"/>
              <w:ind w:firstLine="0"/>
              <w:jc w:val="left"/>
            </w:pPr>
            <w:r>
              <w:rPr>
                <w:rFonts w:ascii="Times New Roman" w:hAnsi="Times New Roman" w:cs="Times New Roman" w:eastAsia="Times New Roman"/>
                <w:b w:val="0"/>
                <w:i w:val="0"/>
                <w:smallCaps w:val="0"/>
                <w:sz w:val="16"/>
              </w:rPr>
              <w:t>Percolation tank</w:t>
            </w:r>
          </w:p>
        </w:tc>
        <w:tc>
          <w:tcPr>
            <w:tcW w:type="dxa" w:w="688"/>
          </w:tcPr>
          <w:p>
            <w:pPr>
              <w:spacing w:before="0" w:after="0" w:line="240" w:lineRule="auto"/>
              <w:ind w:firstLine="0"/>
              <w:jc w:val="center"/>
            </w:pPr>
            <w:r>
              <w:rPr>
                <w:rFonts w:ascii="Times New Roman" w:hAnsi="Times New Roman" w:cs="Times New Roman" w:eastAsia="Times New Roman"/>
                <w:b w:val="0"/>
                <w:i w:val="0"/>
                <w:smallCaps w:val="0"/>
                <w:sz w:val="16"/>
              </w:rPr>
              <w:t>n/a</w:t>
            </w:r>
          </w:p>
        </w:tc>
        <w:tc>
          <w:tcPr>
            <w:tcW w:type="dxa" w:w="1297"/>
          </w:tcPr>
          <w:p>
            <w:pPr>
              <w:spacing w:before="0" w:after="0" w:line="240" w:lineRule="auto"/>
              <w:ind w:firstLine="0"/>
              <w:jc w:val="center"/>
            </w:pPr>
            <w:r>
              <w:rPr>
                <w:rFonts w:ascii="Times New Roman" w:hAnsi="Times New Roman" w:cs="Times New Roman" w:eastAsia="Times New Roman"/>
                <w:b w:val="0"/>
                <w:i w:val="0"/>
                <w:smallCaps w:val="0"/>
                <w:sz w:val="16"/>
              </w:rPr>
              <w:t>needs ≥ 100 m² open area</w:t>
            </w:r>
          </w:p>
        </w:tc>
        <w:tc>
          <w:tcPr>
            <w:tcW w:type="dxa" w:w="1522"/>
          </w:tcPr>
          <w:p>
            <w:pPr>
              <w:spacing w:before="0" w:after="0" w:line="240" w:lineRule="auto"/>
              <w:ind w:firstLine="0"/>
              <w:jc w:val="center"/>
            </w:pPr>
            <w:r>
              <w:rPr>
                <w:rFonts w:ascii="Times New Roman" w:hAnsi="Times New Roman" w:cs="Times New Roman" w:eastAsia="Times New Roman"/>
                <w:b w:val="0"/>
                <w:i w:val="0"/>
                <w:smallCaps w:val="0"/>
                <w:sz w:val="16"/>
              </w:rPr>
              <w:t>removed by filter</w:t>
            </w:r>
          </w:p>
        </w:tc>
      </w:tr>
    </w:tbl>
    <w:p>
      <w:pPr>
        <w:spacing w:before="60" w:after="180" w:line="240" w:lineRule="auto"/>
        <w:ind w:firstLine="0"/>
        <w:jc w:val="both"/>
      </w:pPr>
      <w:r>
        <w:rPr>
          <w:rFonts w:ascii="Times New Roman" w:hAnsi="Times New Roman" w:cs="Times New Roman" w:eastAsia="Times New Roman"/>
          <w:b w:val="0"/>
          <w:i w:val="0"/>
          <w:smallCaps w:val="0"/>
          <w:sz w:val="15"/>
        </w:rPr>
        <w:t>Scores are the weighted sum of five normalised criteria; the percolation tank fails the area filter before scoring.</w:t>
      </w:r>
    </w:p>
    <w:p>
      <w:pPr>
        <w:keepNext/>
        <w:spacing w:before="140" w:after="40" w:line="240" w:lineRule="auto"/>
        <w:ind w:firstLine="0"/>
        <w:jc w:val="left"/>
      </w:pPr>
      <w:r>
        <w:rPr>
          <w:rFonts w:ascii="Times New Roman" w:hAnsi="Times New Roman" w:cs="Times New Roman" w:eastAsia="Times New Roman"/>
          <w:b w:val="0"/>
          <w:i/>
          <w:smallCaps w:val="0"/>
          <w:sz w:val="20"/>
        </w:rPr>
        <w:t>C. Scenario Sweep</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Table III reports five sites. The contrast between the Pune and Mumbai rows is the clearest result in the study. Both buildings intercept rain, but Mumbai receives 2,300 mm, and the same equation that returns a 60-year payback in Pune returns three years there, because the capital cost scales with roof area while the yield scales with area and rainfall together.</w:t>
      </w:r>
    </w:p>
    <w:p>
      <w:pPr>
        <w:keepNext/>
        <w:spacing w:before="160" w:after="40" w:line="240" w:lineRule="auto"/>
        <w:ind w:firstLine="0"/>
        <w:jc w:val="center"/>
      </w:pPr>
      <w:r>
        <w:rPr>
          <w:rFonts w:ascii="Times New Roman" w:hAnsi="Times New Roman" w:cs="Times New Roman" w:eastAsia="Times New Roman"/>
          <w:b w:val="0"/>
          <w:i w:val="0"/>
          <w:smallCaps/>
          <w:sz w:val="16"/>
        </w:rPr>
        <w:t>TABLE III</w:t>
      </w:r>
    </w:p>
    <w:p>
      <w:pPr>
        <w:keepNext/>
        <w:spacing w:before="0" w:after="60" w:line="240" w:lineRule="auto"/>
        <w:ind w:firstLine="0"/>
        <w:jc w:val="center"/>
      </w:pPr>
      <w:r>
        <w:rPr>
          <w:rFonts w:ascii="Times New Roman" w:hAnsi="Times New Roman" w:cs="Times New Roman" w:eastAsia="Times New Roman"/>
          <w:b w:val="0"/>
          <w:i w:val="0"/>
          <w:smallCaps/>
          <w:sz w:val="16"/>
        </w:rPr>
        <w:t>Scenario sweep across five sites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CellMar>
          <w:top w:w="20" w:type="dxa"/>
          <w:left w:w="40" w:type="dxa"/>
          <w:bottom w:w="20" w:type="dxa"/>
          <w:right w:w="40" w:type="dxa"/>
        </w:tblCellMar>
      </w:tblPr>
      <w:tblGrid>
        <w:gridCol w:w="1469"/>
        <w:gridCol w:w="1469"/>
        <w:gridCol w:w="1469"/>
        <w:gridCol w:w="1469"/>
        <w:gridCol w:w="1469"/>
        <w:gridCol w:w="1469"/>
        <w:gridCol w:w="1469"/>
      </w:tblGrid>
      <w:tr>
        <w:tc>
          <w:tcPr>
            <w:tcW w:type="dxa" w:w="1548"/>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Site and roof</w:t>
            </w:r>
          </w:p>
        </w:tc>
        <w:tc>
          <w:tcPr>
            <w:tcW w:type="dxa" w:w="50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Rain</w:t>
            </w:r>
          </w:p>
        </w:tc>
        <w:tc>
          <w:tcPr>
            <w:tcW w:type="dxa" w:w="560"/>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Runoff</w:t>
            </w:r>
          </w:p>
        </w:tc>
        <w:tc>
          <w:tcPr>
            <w:tcW w:type="dxa" w:w="50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Harv.</w:t>
            </w:r>
          </w:p>
        </w:tc>
        <w:tc>
          <w:tcPr>
            <w:tcW w:type="dxa" w:w="50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Rech.</w:t>
            </w:r>
          </w:p>
        </w:tc>
        <w:tc>
          <w:tcPr>
            <w:tcW w:type="dxa" w:w="66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Cost</w:t>
            </w:r>
          </w:p>
        </w:tc>
        <w:tc>
          <w:tcPr>
            <w:tcW w:type="dxa" w:w="667"/>
            <w:tcBorders>
              <w:bottom w:val="single" w:sz="6" w:space="0" w:color="000000"/>
            </w:tcBorders>
          </w:tcPr>
          <w:p>
            <w:pPr>
              <w:spacing w:before="0" w:after="0" w:line="240" w:lineRule="auto"/>
              <w:ind w:firstLine="0"/>
              <w:jc w:val="center"/>
            </w:pPr>
            <w:r>
              <w:rPr>
                <w:rFonts w:ascii="Times New Roman" w:hAnsi="Times New Roman" w:cs="Times New Roman" w:eastAsia="Times New Roman"/>
                <w:b w:val="0"/>
                <w:i w:val="0"/>
                <w:smallCaps w:val="0"/>
                <w:sz w:val="16"/>
              </w:rPr>
              <w:t>Payback</w:t>
            </w:r>
          </w:p>
        </w:tc>
      </w:tr>
      <w:tr>
        <w:trPr>
          <w:cantSplit/>
        </w:trPr>
        <w:tc>
          <w:tcPr>
            <w:tcW w:type="dxa" w:w="1548"/>
          </w:tcPr>
          <w:p>
            <w:pPr>
              <w:spacing w:before="0" w:after="0" w:line="240" w:lineRule="auto"/>
              <w:ind w:firstLine="0"/>
              <w:jc w:val="left"/>
            </w:pPr>
            <w:r>
              <w:rPr>
                <w:rFonts w:ascii="Times New Roman" w:hAnsi="Times New Roman" w:cs="Times New Roman" w:eastAsia="Times New Roman"/>
                <w:b w:val="0"/>
                <w:i w:val="0"/>
                <w:smallCaps w:val="0"/>
                <w:sz w:val="16"/>
              </w:rPr>
              <w:t>Pune, RCC 100 m²</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700</w:t>
            </w:r>
          </w:p>
        </w:tc>
        <w:tc>
          <w:tcPr>
            <w:tcW w:type="dxa" w:w="560"/>
          </w:tcPr>
          <w:p>
            <w:pPr>
              <w:spacing w:before="0" w:after="0" w:line="240" w:lineRule="auto"/>
              <w:ind w:firstLine="0"/>
              <w:jc w:val="center"/>
            </w:pPr>
            <w:r>
              <w:rPr>
                <w:rFonts w:ascii="Times New Roman" w:hAnsi="Times New Roman" w:cs="Times New Roman" w:eastAsia="Times New Roman"/>
                <w:b w:val="0"/>
                <w:i w:val="0"/>
                <w:smallCaps w:val="0"/>
                <w:sz w:val="16"/>
              </w:rPr>
              <w:t>63.0</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43.0</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24.5</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53,000</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60.6</w:t>
            </w:r>
          </w:p>
        </w:tc>
      </w:tr>
      <w:tr>
        <w:trPr>
          <w:cantSplit/>
        </w:trPr>
        <w:tc>
          <w:tcPr>
            <w:tcW w:type="dxa" w:w="1548"/>
          </w:tcPr>
          <w:p>
            <w:pPr>
              <w:spacing w:before="0" w:after="0" w:line="240" w:lineRule="auto"/>
              <w:ind w:firstLine="0"/>
              <w:jc w:val="left"/>
            </w:pPr>
            <w:r>
              <w:rPr>
                <w:rFonts w:ascii="Times New Roman" w:hAnsi="Times New Roman" w:cs="Times New Roman" w:eastAsia="Times New Roman"/>
                <w:b w:val="0"/>
                <w:i w:val="0"/>
                <w:smallCaps w:val="0"/>
                <w:sz w:val="16"/>
              </w:rPr>
              <w:t>Pune, green 100 m²</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700</w:t>
            </w:r>
          </w:p>
        </w:tc>
        <w:tc>
          <w:tcPr>
            <w:tcW w:type="dxa" w:w="560"/>
          </w:tcPr>
          <w:p>
            <w:pPr>
              <w:spacing w:before="0" w:after="0" w:line="240" w:lineRule="auto"/>
              <w:ind w:firstLine="0"/>
              <w:jc w:val="center"/>
            </w:pPr>
            <w:r>
              <w:rPr>
                <w:rFonts w:ascii="Times New Roman" w:hAnsi="Times New Roman" w:cs="Times New Roman" w:eastAsia="Times New Roman"/>
                <w:b w:val="0"/>
                <w:i w:val="0"/>
                <w:smallCaps w:val="0"/>
                <w:sz w:val="16"/>
              </w:rPr>
              <w:t>21.0</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1.0</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24.5</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90,000</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not repaid</w:t>
            </w:r>
          </w:p>
        </w:tc>
      </w:tr>
      <w:tr>
        <w:trPr>
          <w:cantSplit/>
        </w:trPr>
        <w:tc>
          <w:tcPr>
            <w:tcW w:type="dxa" w:w="1548"/>
          </w:tcPr>
          <w:p>
            <w:pPr>
              <w:spacing w:before="0" w:after="0" w:line="240" w:lineRule="auto"/>
              <w:ind w:firstLine="0"/>
              <w:jc w:val="left"/>
            </w:pPr>
            <w:r>
              <w:rPr>
                <w:rFonts w:ascii="Times New Roman" w:hAnsi="Times New Roman" w:cs="Times New Roman" w:eastAsia="Times New Roman"/>
                <w:b w:val="0"/>
                <w:i w:val="0"/>
                <w:smallCaps w:val="0"/>
                <w:sz w:val="16"/>
              </w:rPr>
              <w:t>Kolhapur, RCC 150 m²</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1,530</w:t>
            </w:r>
          </w:p>
        </w:tc>
        <w:tc>
          <w:tcPr>
            <w:tcW w:type="dxa" w:w="560"/>
          </w:tcPr>
          <w:p>
            <w:pPr>
              <w:spacing w:before="0" w:after="0" w:line="240" w:lineRule="auto"/>
              <w:ind w:firstLine="0"/>
              <w:jc w:val="center"/>
            </w:pPr>
            <w:r>
              <w:rPr>
                <w:rFonts w:ascii="Times New Roman" w:hAnsi="Times New Roman" w:cs="Times New Roman" w:eastAsia="Times New Roman"/>
                <w:b w:val="0"/>
                <w:i w:val="0"/>
                <w:smallCaps w:val="0"/>
                <w:sz w:val="16"/>
              </w:rPr>
              <w:t>206.6</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176.6</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85.7</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94,495</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16.3</w:t>
            </w:r>
          </w:p>
        </w:tc>
      </w:tr>
      <w:tr>
        <w:trPr>
          <w:cantSplit/>
        </w:trPr>
        <w:tc>
          <w:tcPr>
            <w:tcW w:type="dxa" w:w="1548"/>
          </w:tcPr>
          <w:p>
            <w:pPr>
              <w:spacing w:before="0" w:after="0" w:line="240" w:lineRule="auto"/>
              <w:ind w:firstLine="0"/>
              <w:jc w:val="left"/>
            </w:pPr>
            <w:r>
              <w:rPr>
                <w:rFonts w:ascii="Times New Roman" w:hAnsi="Times New Roman" w:cs="Times New Roman" w:eastAsia="Times New Roman"/>
                <w:b w:val="0"/>
                <w:i w:val="0"/>
                <w:smallCaps w:val="0"/>
                <w:sz w:val="16"/>
              </w:rPr>
              <w:t>Mumbai, metal 500 m²</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2,300</w:t>
            </w:r>
          </w:p>
        </w:tc>
        <w:tc>
          <w:tcPr>
            <w:tcW w:type="dxa" w:w="560"/>
          </w:tcPr>
          <w:p>
            <w:pPr>
              <w:spacing w:before="0" w:after="0" w:line="240" w:lineRule="auto"/>
              <w:ind w:firstLine="0"/>
              <w:jc w:val="center"/>
            </w:pPr>
            <w:r>
              <w:rPr>
                <w:rFonts w:ascii="Times New Roman" w:hAnsi="Times New Roman" w:cs="Times New Roman" w:eastAsia="Times New Roman"/>
                <w:b w:val="0"/>
                <w:i w:val="0"/>
                <w:smallCaps w:val="0"/>
                <w:sz w:val="16"/>
              </w:rPr>
              <w:t>977.5</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877.5</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483.0</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114,721</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3.1</w:t>
            </w:r>
          </w:p>
        </w:tc>
      </w:tr>
      <w:tr>
        <w:trPr>
          <w:cantSplit/>
        </w:trPr>
        <w:tc>
          <w:tcPr>
            <w:tcW w:type="dxa" w:w="1548"/>
          </w:tcPr>
          <w:p>
            <w:pPr>
              <w:spacing w:before="0" w:after="0" w:line="240" w:lineRule="auto"/>
              <w:ind w:firstLine="0"/>
              <w:jc w:val="left"/>
            </w:pPr>
            <w:r>
              <w:rPr>
                <w:rFonts w:ascii="Times New Roman" w:hAnsi="Times New Roman" w:cs="Times New Roman" w:eastAsia="Times New Roman"/>
                <w:b w:val="0"/>
                <w:i w:val="0"/>
                <w:smallCaps w:val="0"/>
                <w:sz w:val="16"/>
              </w:rPr>
              <w:t>Delhi, RCC 1,000 m²</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780</w:t>
            </w:r>
          </w:p>
        </w:tc>
        <w:tc>
          <w:tcPr>
            <w:tcW w:type="dxa" w:w="560"/>
          </w:tcPr>
          <w:p>
            <w:pPr>
              <w:spacing w:before="0" w:after="0" w:line="240" w:lineRule="auto"/>
              <w:ind w:firstLine="0"/>
              <w:jc w:val="center"/>
            </w:pPr>
            <w:r>
              <w:rPr>
                <w:rFonts w:ascii="Times New Roman" w:hAnsi="Times New Roman" w:cs="Times New Roman" w:eastAsia="Times New Roman"/>
                <w:b w:val="0"/>
                <w:i w:val="0"/>
                <w:smallCaps w:val="0"/>
                <w:sz w:val="16"/>
              </w:rPr>
              <w:t>702.0</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502.0</w:t>
            </w:r>
          </w:p>
        </w:tc>
        <w:tc>
          <w:tcPr>
            <w:tcW w:type="dxa" w:w="507"/>
          </w:tcPr>
          <w:p>
            <w:pPr>
              <w:spacing w:before="0" w:after="0" w:line="240" w:lineRule="auto"/>
              <w:ind w:firstLine="0"/>
              <w:jc w:val="center"/>
            </w:pPr>
            <w:r>
              <w:rPr>
                <w:rFonts w:ascii="Times New Roman" w:hAnsi="Times New Roman" w:cs="Times New Roman" w:eastAsia="Times New Roman"/>
                <w:b w:val="0"/>
                <w:i w:val="0"/>
                <w:smallCaps w:val="0"/>
                <w:sz w:val="16"/>
              </w:rPr>
              <w:t>218.4</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133,246</w:t>
            </w:r>
          </w:p>
        </w:tc>
        <w:tc>
          <w:tcPr>
            <w:tcW w:type="dxa" w:w="667"/>
          </w:tcPr>
          <w:p>
            <w:pPr>
              <w:spacing w:before="0" w:after="0" w:line="240" w:lineRule="auto"/>
              <w:ind w:firstLine="0"/>
              <w:jc w:val="center"/>
            </w:pPr>
            <w:r>
              <w:rPr>
                <w:rFonts w:ascii="Times New Roman" w:hAnsi="Times New Roman" w:cs="Times New Roman" w:eastAsia="Times New Roman"/>
                <w:b w:val="0"/>
                <w:i w:val="0"/>
                <w:smallCaps w:val="0"/>
                <w:sz w:val="16"/>
              </w:rPr>
              <w:t>4.8</w:t>
            </w:r>
          </w:p>
        </w:tc>
      </w:tr>
    </w:tbl>
    <w:p>
      <w:pPr>
        <w:spacing w:before="60" w:after="180" w:line="240" w:lineRule="auto"/>
        <w:ind w:firstLine="0"/>
        <w:jc w:val="both"/>
      </w:pPr>
      <w:r>
        <w:rPr>
          <w:rFonts w:ascii="Times New Roman" w:hAnsi="Times New Roman" w:cs="Times New Roman" w:eastAsia="Times New Roman"/>
          <w:b w:val="0"/>
          <w:i w:val="0"/>
          <w:smallCaps w:val="0"/>
          <w:sz w:val="15"/>
        </w:rPr>
        <w:t>Rainfall in mm, volumes in kL per year, capital in INR, payback in years at a tariff of INR 35/kL (INR 50 for Delhi).</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green-roof row is the most instructive negative result. A green roof cuts the runoff coefficient to 0.30, so the same 700 mm produces 21 kL instead of 63 kL, and after first flush only 1 kL is available for storage. The recharge estimate is unchanged, because that calculation depends on the open ground rather than the roof, which is a modelling artefact worth flagging: in practice a green roof would also reduce the water reaching a downpipe-fed pit. Capital cost rises to INR 90,000 because of the substrate, so the system never repays. A green roof is a stormwater and thermal-comfort measure, and the tool now says so instead of quietly recommending a tank.</w:t>
      </w:r>
    </w:p>
    <w:p>
      <w:pPr>
        <w:keepNext/>
        <w:spacing w:before="120" w:after="60"/>
        <w:ind w:firstLine="0"/>
        <w:jc w:val="center"/>
      </w:pPr>
      <w:r>
        <w:drawing>
          <wp:inline xmlns:a="http://schemas.openxmlformats.org/drawingml/2006/main" xmlns:pic="http://schemas.openxmlformats.org/drawingml/2006/picture">
            <wp:extent cx="2788920" cy="2255060"/>
            <wp:docPr id="6" name="Picture 6"/>
            <wp:cNvGraphicFramePr>
              <a:graphicFrameLocks noChangeAspect="1"/>
            </wp:cNvGraphicFramePr>
            <a:graphic>
              <a:graphicData uri="http://schemas.openxmlformats.org/drawingml/2006/picture">
                <pic:pic>
                  <pic:nvPicPr>
                    <pic:cNvPr id="0" name="fig9_scenarios.png"/>
                    <pic:cNvPicPr/>
                  </pic:nvPicPr>
                  <pic:blipFill>
                    <a:blip r:embed="rId14"/>
                    <a:stretch>
                      <a:fillRect/>
                    </a:stretch>
                  </pic:blipFill>
                  <pic:spPr>
                    <a:xfrm>
                      <a:off x="0" y="0"/>
                      <a:ext cx="2788920" cy="2255060"/>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6.  Normalised yield per square metre of roof and simple payback across the five scenarios in Table III.</w:t>
      </w:r>
    </w:p>
    <w:p>
      <w:pPr>
        <w:keepNext/>
        <w:spacing w:before="140" w:after="40" w:line="240" w:lineRule="auto"/>
        <w:ind w:firstLine="0"/>
        <w:jc w:val="left"/>
      </w:pPr>
      <w:r>
        <w:rPr>
          <w:rFonts w:ascii="Times New Roman" w:hAnsi="Times New Roman" w:cs="Times New Roman" w:eastAsia="Times New Roman"/>
          <w:b w:val="0"/>
          <w:i/>
          <w:smallCaps w:val="0"/>
          <w:sz w:val="20"/>
        </w:rPr>
        <w:t>D. Economics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For the reference case the capital cost is INR 53,000, split between storage (25,000), plumbing (20,000) and the recharge pit (8,000). Annual benefit is INR 1,505 from avoided water purchase plus INR 429 as a recharge credit; maintenance is INR 1,060, leaving INR 874 net. Payback is 60.6 years and the ten-year ROI is minus 83.5 percent. At the municipal tariff the system does not pay for itself, and the interface says this in a warning rather than a footnote.</w:t>
      </w:r>
    </w:p>
    <w:p>
      <w:pPr>
        <w:keepNext/>
        <w:spacing w:before="120" w:after="60"/>
        <w:ind w:firstLine="0"/>
        <w:jc w:val="center"/>
      </w:pPr>
      <w:r>
        <w:drawing>
          <wp:inline xmlns:a="http://schemas.openxmlformats.org/drawingml/2006/main" xmlns:pic="http://schemas.openxmlformats.org/drawingml/2006/picture">
            <wp:extent cx="2697480" cy="1778410"/>
            <wp:docPr id="7" name="Picture 7"/>
            <wp:cNvGraphicFramePr>
              <a:graphicFrameLocks noChangeAspect="1"/>
            </wp:cNvGraphicFramePr>
            <a:graphic>
              <a:graphicData uri="http://schemas.openxmlformats.org/drawingml/2006/picture">
                <pic:pic>
                  <pic:nvPicPr>
                    <pic:cNvPr id="0" name="fig8_cost.png"/>
                    <pic:cNvPicPr/>
                  </pic:nvPicPr>
                  <pic:blipFill>
                    <a:blip r:embed="rId15"/>
                    <a:stretch>
                      <a:fillRect/>
                    </a:stretch>
                  </pic:blipFill>
                  <pic:spPr>
                    <a:xfrm>
                      <a:off x="0" y="0"/>
                      <a:ext cx="2697480" cy="1778410"/>
                    </a:xfrm>
                    <a:prstGeom prst="rect"/>
                  </pic:spPr>
                </pic:pic>
              </a:graphicData>
            </a:graphic>
          </wp:inline>
        </w:drawing>
      </w:r>
    </w:p>
    <w:p>
      <w:pPr>
        <w:spacing w:before="0" w:after="160" w:line="240" w:lineRule="auto"/>
        <w:ind w:firstLine="0"/>
        <w:jc w:val="center"/>
      </w:pPr>
      <w:r>
        <w:rPr>
          <w:rFonts w:ascii="Times New Roman" w:hAnsi="Times New Roman" w:cs="Times New Roman" w:eastAsia="Times New Roman"/>
          <w:b w:val="0"/>
          <w:i w:val="0"/>
          <w:smallCaps w:val="0"/>
          <w:sz w:val="16"/>
        </w:rPr>
        <w:t>Fig. 7.  Cost-benefit tab. The warning states the tariff assumption and the break-even condition instead of hiding a negative result.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picture changes with the counterfactual. Where the alternative is tanker water at INR 150 to 200 per kilolitre, the same system repays in roughly ten years; the API exposes the tariff as an input for exactly this reason. This is the single most important thing the model communicates. The economics of rooftop harvesting in Indian cities are decided by what the water would otherwise cost, not by roof area or by rainfall.</w:t>
      </w:r>
    </w:p>
    <w:p>
      <w:pPr>
        <w:keepNext/>
        <w:spacing w:before="140" w:after="40" w:line="240" w:lineRule="auto"/>
        <w:ind w:firstLine="0"/>
        <w:jc w:val="left"/>
      </w:pPr>
      <w:r>
        <w:rPr>
          <w:rFonts w:ascii="Times New Roman" w:hAnsi="Times New Roman" w:cs="Times New Roman" w:eastAsia="Times New Roman"/>
          <w:b w:val="0"/>
          <w:i/>
          <w:smallCaps w:val="0"/>
          <w:sz w:val="20"/>
        </w:rPr>
        <w:t>E. Software Verification</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All 38 back-end tests pass, including the API round trip, the PDF text extraction, and the Devanagari shaping test that checks a Marathi location name survives into the exported document. The front end builds without errors and emits eight static pages. The reference assessment is reproducible from a single seeded request, and the values in this paper were read from that response rather than copied from an earlier draft.</w:t>
      </w:r>
    </w:p>
    <w:p>
      <w:pPr>
        <w:keepNext/>
        <w:spacing w:before="200" w:after="80" w:line="240" w:lineRule="auto"/>
        <w:ind w:firstLine="0"/>
        <w:jc w:val="center"/>
      </w:pPr>
      <w:r>
        <w:rPr>
          <w:rFonts w:ascii="Times New Roman" w:hAnsi="Times New Roman" w:cs="Times New Roman" w:eastAsia="Times New Roman"/>
          <w:b w:val="0"/>
          <w:i w:val="0"/>
          <w:smallCaps/>
          <w:sz w:val="20"/>
        </w:rPr>
        <w:t>VI. DISCUSSION</w:t>
      </w:r>
    </w:p>
    <w:p>
      <w:pPr>
        <w:keepNext/>
        <w:spacing w:before="140" w:after="40" w:line="240" w:lineRule="auto"/>
        <w:ind w:firstLine="0"/>
        <w:jc w:val="left"/>
      </w:pPr>
      <w:r>
        <w:rPr>
          <w:rFonts w:ascii="Times New Roman" w:hAnsi="Times New Roman" w:cs="Times New Roman" w:eastAsia="Times New Roman"/>
          <w:b w:val="0"/>
          <w:i/>
          <w:smallCaps w:val="0"/>
          <w:sz w:val="20"/>
        </w:rPr>
        <w:t>A. What the Payback Really Says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A 60-year payback looks like a failed project, and it would be dishonest to present it any other way. But the calculation is sensitive to one input and almost nothing else. Doubling the tariff halves the payback; including a recharge credit priced at the marginal cost of groundwater rather than 20 percent of the tariff changes it again. The tool therefore reports the break-even tariff next to the payback, which converts a verdict into a question: at what price of water does this become worth building? For a housing society buying tankers in May, the answer is usually yes. For a household on a subsidised municipal connection, it is usually no, and the money is better spent on a smaller pit that addresses recharge and flooding rather than storage.</w:t>
      </w:r>
    </w:p>
    <w:p>
      <w:pPr>
        <w:keepNext/>
        <w:spacing w:before="140" w:after="40" w:line="240" w:lineRule="auto"/>
        <w:ind w:firstLine="0"/>
        <w:jc w:val="left"/>
      </w:pPr>
      <w:r>
        <w:rPr>
          <w:rFonts w:ascii="Times New Roman" w:hAnsi="Times New Roman" w:cs="Times New Roman" w:eastAsia="Times New Roman"/>
          <w:b w:val="0"/>
          <w:i/>
          <w:smallCaps w:val="0"/>
          <w:sz w:val="20"/>
        </w:rPr>
        <w:t>B. Limits of the Model</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Four limitations should be read alongside the results. First, applying a daily curve number to monthly totals is approximate; a proper event-based model would need sub-daily rainfall, which is not available at the 2.5 degree resolution of the archive [18], since it stores monthly means only [19]. Second, the grid cannot resolve intra-city variation, so the local annual total matters more than the interpolated monthly shape. Third, the cost model uses fixed unit rates that will date quickly and vary by city; they are inputs, not constants, but the defaults are Pune-specific. Fourth, and most importantly, none of this has been checked against a built system. The model predicts 24.5 kL of recharge for the reference building; whether a 1.5-metre pit actually delivers that depends on the percolation test we did not run. A monitored installation is the obvious next step, and we would rather state that than imply a validation we do not have.</w:t>
      </w:r>
    </w:p>
    <w:p>
      <w:pPr>
        <w:keepNext/>
        <w:spacing w:before="140" w:after="40" w:line="240" w:lineRule="auto"/>
        <w:ind w:firstLine="0"/>
        <w:jc w:val="left"/>
      </w:pPr>
      <w:r>
        <w:rPr>
          <w:rFonts w:ascii="Times New Roman" w:hAnsi="Times New Roman" w:cs="Times New Roman" w:eastAsia="Times New Roman"/>
          <w:b w:val="0"/>
          <w:i/>
          <w:smallCaps w:val="0"/>
          <w:sz w:val="20"/>
        </w:rPr>
        <w:t>C. Where the Tool Fits</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system is not a substitute for a hydrogeologist or a structural engineer. It is a way to make the first conversation concrete. A society can arrive at a consultant with a computed yield, a ranked list of structures, a capital estimate and a stated payback, and the consultant can challenge specific numbers instead of starting from a blank sheet. The same argument applies to the reporting layer: a Marathi PDF with the assumptions printed on page five is more useful to a ward committee than an English spreadsheet. Groundwater levels in Maharashtra are published every year [20], and a report that cites them is easier to place in front of a regulator than a number with no provenance.</w:t>
      </w:r>
    </w:p>
    <w:p>
      <w:pPr>
        <w:keepNext/>
        <w:spacing w:before="200" w:after="80" w:line="240" w:lineRule="auto"/>
        <w:ind w:firstLine="0"/>
        <w:jc w:val="center"/>
      </w:pPr>
      <w:r>
        <w:rPr>
          <w:rFonts w:ascii="Times New Roman" w:hAnsi="Times New Roman" w:cs="Times New Roman" w:eastAsia="Times New Roman"/>
          <w:b w:val="0"/>
          <w:i w:val="0"/>
          <w:smallCaps/>
          <w:sz w:val="20"/>
        </w:rPr>
        <w:t>VII. CONCLUSION</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We built a decision-support pipeline that takes a rooftop and a location and returns a costed, ranked, explainable recommendation, and we reported what it produced without adjusting the inputs to make the story neater. The engineering claims are modest: two runoff models that agree to within four percent annually and disagree where it matters monthly, an AHP ranking with a consistency ratio of 0.015, and a reporting pipeline that renders Devanagari correctly. The substantive finding is economic. Rooftop harvesting in Pune does not repay its capital at the municipal tariff, and it does at the tanker price; the tool makes that difference visible instead of burying it.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Work in progress follows directly from the limitations. We are adding a percolation-test input so the recharge estimate can be anchored to a measurement rather than a soil class, a rainfall time series option for tank-sizing with reliability curves, and a monitored pilot building to compare predicted and observed recharge over one monsoon. On the software side, the next step is a batch mode for a housing society or a ward, since the interesting questions at that scale are about aggregate yield and shared infrastructure rather than one roof.</w:t>
      </w:r>
    </w:p>
    <w:p>
      <w:pPr>
        <w:keepNext/>
        <w:spacing w:before="200" w:after="80" w:line="240" w:lineRule="auto"/>
        <w:ind w:firstLine="0"/>
        <w:jc w:val="center"/>
      </w:pPr>
      <w:r>
        <w:rPr>
          <w:rFonts w:ascii="Times New Roman" w:hAnsi="Times New Roman" w:cs="Times New Roman" w:eastAsia="Times New Roman"/>
          <w:b w:val="0"/>
          <w:i w:val="0"/>
          <w:smallCaps/>
          <w:sz w:val="20"/>
        </w:rPr>
        <w:t>ACKNOWLEDGMENT</w:t>
      </w:r>
    </w:p>
    <w:p>
      <w:pPr>
        <w:keepNext w:val="0"/>
        <w:widowControl/>
        <w:spacing w:before="0" w:after="0" w:line="240" w:lineRule="auto"/>
        <w:ind w:firstLine="288" w:left="0"/>
        <w:jc w:val="both"/>
      </w:pPr>
      <w:r>
        <w:rPr>
          <w:rFonts w:ascii="Times New Roman" w:hAnsi="Times New Roman" w:cs="Times New Roman" w:eastAsia="Times New Roman"/>
          <w:b w:val="0"/>
          <w:i w:val="0"/>
          <w:smallCaps w:val="0"/>
          <w:sz w:val="20"/>
        </w:rPr>
        <w:t>The authors thank the Department of Information Technology at JSPM's Rajarshi Shahu College of Engineering for laboratory access and review time, and the open-source communities behind FastAPI, Next.js, ReportLab, HarfBuzz and the public NOAA PSL gridded precipitation archive, whose documentation made a reproducible implementation possible.</w:t>
      </w:r>
    </w:p>
    <w:p>
      <w:pPr>
        <w:keepNext/>
        <w:spacing w:before="200" w:after="80" w:line="240" w:lineRule="auto"/>
        <w:ind w:firstLine="0"/>
        <w:jc w:val="center"/>
      </w:pPr>
      <w:r>
        <w:rPr>
          <w:rFonts w:ascii="Times New Roman" w:hAnsi="Times New Roman" w:cs="Times New Roman" w:eastAsia="Times New Roman"/>
          <w:b w:val="0"/>
          <w:i w:val="0"/>
          <w:smallCaps/>
          <w:sz w:val="20"/>
        </w:rPr>
        <w:t>REFERENCES</w:t>
      </w:r>
    </w:p>
    <w:p>
      <w:pPr>
        <w:spacing w:before="0" w:after="40" w:line="240" w:lineRule="auto"/>
        <w:ind w:left="360" w:hanging="360"/>
        <w:jc w:val="both"/>
      </w:pPr>
      <w:r>
        <w:rPr>
          <w:rFonts w:ascii="Times New Roman" w:hAnsi="Times New Roman" w:cs="Times New Roman" w:eastAsia="Times New Roman"/>
          <w:b w:val="0"/>
          <w:i w:val="0"/>
          <w:smallCaps w:val="0"/>
          <w:sz w:val="16"/>
        </w:rPr>
        <w:t>[1]</w:t>
        <w:tab/>
      </w:r>
      <w:r>
        <w:rPr>
          <w:rFonts w:ascii="Times New Roman" w:hAnsi="Times New Roman" w:cs="Times New Roman" w:eastAsia="Times New Roman"/>
          <w:b w:val="0"/>
          <w:i w:val="0"/>
          <w:smallCaps w:val="0"/>
          <w:sz w:val="16"/>
        </w:rPr>
        <w:t>USDA Natural Resources Conservation Service, Urban Hydrology for Small Watersheds, Technical Release 55, 2nd ed., Washington, DC, USA, 1986.</w:t>
      </w:r>
    </w:p>
    <w:p>
      <w:pPr>
        <w:spacing w:before="0" w:after="40" w:line="240" w:lineRule="auto"/>
        <w:ind w:left="360" w:hanging="360"/>
        <w:jc w:val="both"/>
      </w:pPr>
      <w:r>
        <w:rPr>
          <w:rFonts w:ascii="Times New Roman" w:hAnsi="Times New Roman" w:cs="Times New Roman" w:eastAsia="Times New Roman"/>
          <w:b w:val="0"/>
          <w:i w:val="0"/>
          <w:smallCaps w:val="0"/>
          <w:sz w:val="16"/>
        </w:rPr>
        <w:t>[2]</w:t>
        <w:tab/>
      </w:r>
      <w:r>
        <w:rPr>
          <w:rFonts w:ascii="Times New Roman" w:hAnsi="Times New Roman" w:cs="Times New Roman" w:eastAsia="Times New Roman"/>
          <w:b w:val="0"/>
          <w:i w:val="0"/>
          <w:smallCaps w:val="0"/>
          <w:sz w:val="16"/>
        </w:rPr>
        <w:t>Q.-O. Lu, R. Bahramloo, J. Rodrigo-Comino, J. Wang, A. Talebi, Q. T. P. Tran, A. Ghahramani, and M. Sepehri, “Evaluating the impact of roof rainwater harvesting on hydrological connectivity and urban flood mitigation,” Results Eng., vol. 25, Art. no. 104022, 2025, doi: 10.1016/j.rineng.2025.104022.</w:t>
      </w:r>
    </w:p>
    <w:p>
      <w:pPr>
        <w:spacing w:before="0" w:after="40" w:line="240" w:lineRule="auto"/>
        <w:ind w:left="360" w:hanging="360"/>
        <w:jc w:val="both"/>
      </w:pPr>
      <w:r>
        <w:rPr>
          <w:rFonts w:ascii="Times New Roman" w:hAnsi="Times New Roman" w:cs="Times New Roman" w:eastAsia="Times New Roman"/>
          <w:b w:val="0"/>
          <w:i w:val="0"/>
          <w:smallCaps w:val="0"/>
          <w:sz w:val="16"/>
        </w:rPr>
        <w:t>[3]</w:t>
        <w:tab/>
      </w:r>
      <w:r>
        <w:rPr>
          <w:rFonts w:ascii="Times New Roman" w:hAnsi="Times New Roman" w:cs="Times New Roman" w:eastAsia="Times New Roman"/>
          <w:b w:val="0"/>
          <w:i w:val="0"/>
          <w:smallCaps w:val="0"/>
          <w:sz w:val="16"/>
        </w:rPr>
        <w:t>D. Hari and R. R. Kasa, “A geospatial approach for rooftop rainwater harvesting potential in Hyderabad City, Telangana, India,” Grassroots J. Nat. Resour., vol. 8, no. 2, pp. 701–716, 2025, doi: 10.33002/nr2581.6853.080233.</w:t>
      </w:r>
    </w:p>
    <w:p>
      <w:pPr>
        <w:spacing w:before="0" w:after="40" w:line="240" w:lineRule="auto"/>
        <w:ind w:left="360" w:hanging="360"/>
        <w:jc w:val="both"/>
      </w:pPr>
      <w:r>
        <w:rPr>
          <w:rFonts w:ascii="Times New Roman" w:hAnsi="Times New Roman" w:cs="Times New Roman" w:eastAsia="Times New Roman"/>
          <w:b w:val="0"/>
          <w:i w:val="0"/>
          <w:smallCaps w:val="0"/>
          <w:sz w:val="16"/>
        </w:rPr>
        <w:t>[4]</w:t>
        <w:tab/>
      </w:r>
      <w:r>
        <w:rPr>
          <w:rFonts w:ascii="Times New Roman" w:hAnsi="Times New Roman" w:cs="Times New Roman" w:eastAsia="Times New Roman"/>
          <w:b w:val="0"/>
          <w:i w:val="0"/>
          <w:smallCaps w:val="0"/>
          <w:sz w:val="16"/>
        </w:rPr>
        <w:t>P. Xie and P. A. Arkin, “Global precipitation: A 17-year monthly analysis based on gauge observations, satellite estimates, and numerical model outputs,” Bull. Amer. Meteor. Soc., vol. 78, no. 11, pp. 2539–2558, 1997.</w:t>
      </w:r>
    </w:p>
    <w:p>
      <w:pPr>
        <w:spacing w:before="0" w:after="40" w:line="240" w:lineRule="auto"/>
        <w:ind w:left="360" w:hanging="360"/>
        <w:jc w:val="both"/>
      </w:pPr>
      <w:r>
        <w:rPr>
          <w:rFonts w:ascii="Times New Roman" w:hAnsi="Times New Roman" w:cs="Times New Roman" w:eastAsia="Times New Roman"/>
          <w:b w:val="0"/>
          <w:i w:val="0"/>
          <w:smallCaps w:val="0"/>
          <w:sz w:val="16"/>
        </w:rPr>
        <w:t>[5]</w:t>
        <w:tab/>
      </w:r>
      <w:r>
        <w:rPr>
          <w:rFonts w:ascii="Times New Roman" w:hAnsi="Times New Roman" w:cs="Times New Roman" w:eastAsia="Times New Roman"/>
          <w:b w:val="0"/>
          <w:i w:val="0"/>
          <w:smallCaps w:val="0"/>
          <w:sz w:val="16"/>
        </w:rPr>
        <w:t>P. Preeti and A. Rahman, “Application of GIS in rainwater harvesting research: A scoping review,” Asian J. Water Environ. Pollut., vol. 18, no. 4, pp. 29–35, 2021.</w:t>
      </w:r>
    </w:p>
    <w:p>
      <w:pPr>
        <w:spacing w:before="0" w:after="40" w:line="240" w:lineRule="auto"/>
        <w:ind w:left="360" w:hanging="360"/>
        <w:jc w:val="both"/>
      </w:pPr>
      <w:r>
        <w:rPr>
          <w:rFonts w:ascii="Times New Roman" w:hAnsi="Times New Roman" w:cs="Times New Roman" w:eastAsia="Times New Roman"/>
          <w:b w:val="0"/>
          <w:i w:val="0"/>
          <w:smallCaps w:val="0"/>
          <w:sz w:val="16"/>
        </w:rPr>
        <w:t>[6]</w:t>
        <w:tab/>
      </w:r>
      <w:r>
        <w:rPr>
          <w:rFonts w:ascii="Times New Roman" w:hAnsi="Times New Roman" w:cs="Times New Roman" w:eastAsia="Times New Roman"/>
          <w:b w:val="0"/>
          <w:i w:val="0"/>
          <w:smallCaps w:val="0"/>
          <w:sz w:val="16"/>
        </w:rPr>
        <w:t>S. Ali, Y.-F. Sang, F. Pilla, V. P. Singh, and A. Dilawar, “Implementing urban rainwater harvesting systems: Multiple potential performances, barriers, challenges, solutions, and future perspectives,” Renew. Sustain. Energy Rev., vol. 218, Art. no. 115793, 2025.</w:t>
      </w:r>
    </w:p>
    <w:p>
      <w:pPr>
        <w:spacing w:before="0" w:after="40" w:line="240" w:lineRule="auto"/>
        <w:ind w:left="360" w:hanging="360"/>
        <w:jc w:val="both"/>
      </w:pPr>
      <w:r>
        <w:rPr>
          <w:rFonts w:ascii="Times New Roman" w:hAnsi="Times New Roman" w:cs="Times New Roman" w:eastAsia="Times New Roman"/>
          <w:b w:val="0"/>
          <w:i w:val="0"/>
          <w:smallCaps w:val="0"/>
          <w:sz w:val="16"/>
        </w:rPr>
        <w:t>[7]</w:t>
        <w:tab/>
      </w:r>
      <w:r>
        <w:rPr>
          <w:rFonts w:ascii="Times New Roman" w:hAnsi="Times New Roman" w:cs="Times New Roman" w:eastAsia="Times New Roman"/>
          <w:b w:val="0"/>
          <w:i w:val="0"/>
          <w:smallCaps w:val="0"/>
          <w:sz w:val="16"/>
        </w:rPr>
        <w:t>T. L. Saaty, The Analytic Hierarchy Process. New York, NY, USA: McGraw-Hill, 1980.</w:t>
      </w:r>
    </w:p>
    <w:p>
      <w:pPr>
        <w:spacing w:before="0" w:after="40" w:line="240" w:lineRule="auto"/>
        <w:ind w:left="360" w:hanging="360"/>
        <w:jc w:val="both"/>
      </w:pPr>
      <w:r>
        <w:rPr>
          <w:rFonts w:ascii="Times New Roman" w:hAnsi="Times New Roman" w:cs="Times New Roman" w:eastAsia="Times New Roman"/>
          <w:b w:val="0"/>
          <w:i w:val="0"/>
          <w:smallCaps w:val="0"/>
          <w:sz w:val="16"/>
        </w:rPr>
        <w:t>[8]</w:t>
        <w:tab/>
      </w:r>
      <w:r>
        <w:rPr>
          <w:rFonts w:ascii="Times New Roman" w:hAnsi="Times New Roman" w:cs="Times New Roman" w:eastAsia="Times New Roman"/>
          <w:b w:val="0"/>
          <w:i w:val="0"/>
          <w:smallCaps w:val="0"/>
          <w:sz w:val="16"/>
        </w:rPr>
        <w:t>N. Doorn, “Artificial intelligence in the water domain: Opportunities for responsible use,” Sci. Total Environ., vol. 755, Art. no. 142561, 2021, doi: 10.1016/j.scitotenv.2020.142561.</w:t>
      </w:r>
    </w:p>
    <w:p>
      <w:pPr>
        <w:spacing w:before="0" w:after="40" w:line="240" w:lineRule="auto"/>
        <w:ind w:left="360" w:hanging="360"/>
        <w:jc w:val="both"/>
      </w:pPr>
      <w:r>
        <w:rPr>
          <w:rFonts w:ascii="Times New Roman" w:hAnsi="Times New Roman" w:cs="Times New Roman" w:eastAsia="Times New Roman"/>
          <w:b w:val="0"/>
          <w:i w:val="0"/>
          <w:smallCaps w:val="0"/>
          <w:sz w:val="16"/>
        </w:rPr>
        <w:t>[9]</w:t>
        <w:tab/>
      </w:r>
      <w:r>
        <w:rPr>
          <w:rFonts w:ascii="Times New Roman" w:hAnsi="Times New Roman" w:cs="Times New Roman" w:eastAsia="Times New Roman"/>
          <w:b w:val="0"/>
          <w:i w:val="0"/>
          <w:smallCaps w:val="0"/>
          <w:sz w:val="16"/>
        </w:rPr>
        <w:t>L. H. Hansen, P. Fleck, M. Stranner, D. Schmalstieg, and C. Arth, “Augmented reality for subsurface utility engineering, revisited,” IEEE Trans. Vis. Comput. Graph., vol. 27, no. 11, pp. 4119–4128, 2021.</w:t>
      </w:r>
    </w:p>
    <w:p>
      <w:pPr>
        <w:spacing w:before="0" w:after="40" w:line="240" w:lineRule="auto"/>
        <w:ind w:left="360" w:hanging="360"/>
        <w:jc w:val="both"/>
      </w:pPr>
      <w:r>
        <w:rPr>
          <w:rFonts w:ascii="Times New Roman" w:hAnsi="Times New Roman" w:cs="Times New Roman" w:eastAsia="Times New Roman"/>
          <w:b w:val="0"/>
          <w:i w:val="0"/>
          <w:smallCaps w:val="0"/>
          <w:sz w:val="16"/>
        </w:rPr>
        <w:t>[10]</w:t>
        <w:tab/>
      </w:r>
      <w:r>
        <w:rPr>
          <w:rFonts w:ascii="Times New Roman" w:hAnsi="Times New Roman" w:cs="Times New Roman" w:eastAsia="Times New Roman"/>
          <w:b w:val="0"/>
          <w:i w:val="0"/>
          <w:smallCaps w:val="0"/>
          <w:sz w:val="16"/>
        </w:rPr>
        <w:t>Central Ground Water Board, Manual on Artificial Recharge of Groundwater. New Delhi, India: Ministry of Water Resources, Government of India, 2007.</w:t>
      </w:r>
    </w:p>
    <w:p>
      <w:pPr>
        <w:spacing w:before="0" w:after="40" w:line="240" w:lineRule="auto"/>
        <w:ind w:left="360" w:hanging="360"/>
        <w:jc w:val="both"/>
      </w:pPr>
      <w:r>
        <w:rPr>
          <w:rFonts w:ascii="Times New Roman" w:hAnsi="Times New Roman" w:cs="Times New Roman" w:eastAsia="Times New Roman"/>
          <w:b w:val="0"/>
          <w:i w:val="0"/>
          <w:smallCaps w:val="0"/>
          <w:sz w:val="16"/>
        </w:rPr>
        <w:t>[11]</w:t>
        <w:tab/>
      </w:r>
      <w:r>
        <w:rPr>
          <w:rFonts w:ascii="Times New Roman" w:hAnsi="Times New Roman" w:cs="Times New Roman" w:eastAsia="Times New Roman"/>
          <w:b w:val="0"/>
          <w:i w:val="0"/>
          <w:smallCaps w:val="0"/>
          <w:sz w:val="16"/>
        </w:rPr>
        <w:t>Bureau of Indian Standards, Roof Top Rain Water Harvesting, IS 15797:2008, New Delhi, India, 2008.</w:t>
      </w:r>
    </w:p>
    <w:p>
      <w:pPr>
        <w:spacing w:before="0" w:after="40" w:line="240" w:lineRule="auto"/>
        <w:ind w:left="360" w:hanging="360"/>
        <w:jc w:val="both"/>
      </w:pPr>
      <w:r>
        <w:rPr>
          <w:rFonts w:ascii="Times New Roman" w:hAnsi="Times New Roman" w:cs="Times New Roman" w:eastAsia="Times New Roman"/>
          <w:b w:val="0"/>
          <w:i w:val="0"/>
          <w:smallCaps w:val="0"/>
          <w:sz w:val="16"/>
        </w:rPr>
        <w:t>[12]</w:t>
        <w:tab/>
      </w:r>
      <w:r>
        <w:rPr>
          <w:rFonts w:ascii="Times New Roman" w:hAnsi="Times New Roman" w:cs="Times New Roman" w:eastAsia="Times New Roman"/>
          <w:b w:val="0"/>
          <w:i w:val="0"/>
          <w:smallCaps w:val="0"/>
          <w:sz w:val="16"/>
        </w:rPr>
        <w:t>Pydantic Developers, “Pydantic v2 documentation,” 2024. [Online]. Available: https://docs.pydantic.dev</w:t>
      </w:r>
    </w:p>
    <w:p>
      <w:pPr>
        <w:spacing w:before="0" w:after="40" w:line="240" w:lineRule="auto"/>
        <w:ind w:left="360" w:hanging="360"/>
        <w:jc w:val="both"/>
      </w:pPr>
      <w:r>
        <w:rPr>
          <w:rFonts w:ascii="Times New Roman" w:hAnsi="Times New Roman" w:cs="Times New Roman" w:eastAsia="Times New Roman"/>
          <w:b w:val="0"/>
          <w:i w:val="0"/>
          <w:smallCaps w:val="0"/>
          <w:sz w:val="16"/>
        </w:rPr>
        <w:t>[13]</w:t>
        <w:tab/>
      </w:r>
      <w:r>
        <w:rPr>
          <w:rFonts w:ascii="Times New Roman" w:hAnsi="Times New Roman" w:cs="Times New Roman" w:eastAsia="Times New Roman"/>
          <w:b w:val="0"/>
          <w:i w:val="0"/>
          <w:smallCaps w:val="0"/>
          <w:sz w:val="16"/>
        </w:rPr>
        <w:t>Vercel Inc., “Next.js 14 App Router documentation,” 2024. [Online]. Available: https://nextjs.org/docs</w:t>
      </w:r>
    </w:p>
    <w:p>
      <w:pPr>
        <w:spacing w:before="0" w:after="40" w:line="240" w:lineRule="auto"/>
        <w:ind w:left="360" w:hanging="360"/>
        <w:jc w:val="both"/>
      </w:pPr>
      <w:r>
        <w:rPr>
          <w:rFonts w:ascii="Times New Roman" w:hAnsi="Times New Roman" w:cs="Times New Roman" w:eastAsia="Times New Roman"/>
          <w:b w:val="0"/>
          <w:i w:val="0"/>
          <w:smallCaps w:val="0"/>
          <w:sz w:val="16"/>
        </w:rPr>
        <w:t>[14]</w:t>
        <w:tab/>
      </w:r>
      <w:r>
        <w:rPr>
          <w:rFonts w:ascii="Times New Roman" w:hAnsi="Times New Roman" w:cs="Times New Roman" w:eastAsia="Times New Roman"/>
          <w:b w:val="0"/>
          <w:i w:val="0"/>
          <w:smallCaps w:val="0"/>
          <w:sz w:val="16"/>
        </w:rPr>
        <w:t>OpenStreetMap contributors, “OpenStreetMap and Nominatim geographic data services,” 2026. [Online]. Available: https://www.openstreetmap.org</w:t>
      </w:r>
    </w:p>
    <w:p>
      <w:pPr>
        <w:spacing w:before="0" w:after="40" w:line="240" w:lineRule="auto"/>
        <w:ind w:left="360" w:hanging="360"/>
        <w:jc w:val="both"/>
      </w:pPr>
      <w:r>
        <w:rPr>
          <w:rFonts w:ascii="Times New Roman" w:hAnsi="Times New Roman" w:cs="Times New Roman" w:eastAsia="Times New Roman"/>
          <w:b w:val="0"/>
          <w:i w:val="0"/>
          <w:smallCaps w:val="0"/>
          <w:sz w:val="16"/>
        </w:rPr>
        <w:t>[15]</w:t>
        <w:tab/>
      </w:r>
      <w:r>
        <w:rPr>
          <w:rFonts w:ascii="Times New Roman" w:hAnsi="Times New Roman" w:cs="Times New Roman" w:eastAsia="Times New Roman"/>
          <w:b w:val="0"/>
          <w:i w:val="0"/>
          <w:smallCaps w:val="0"/>
          <w:sz w:val="16"/>
        </w:rPr>
        <w:t>W3C Immersive Web Working Group, “WebXR Device API,” 2024. [Online]. Available: https://immersive-web.github.io/webxr/</w:t>
      </w:r>
    </w:p>
    <w:p>
      <w:pPr>
        <w:spacing w:before="0" w:after="40" w:line="240" w:lineRule="auto"/>
        <w:ind w:left="360" w:hanging="360"/>
        <w:jc w:val="both"/>
      </w:pPr>
      <w:r>
        <w:rPr>
          <w:rFonts w:ascii="Times New Roman" w:hAnsi="Times New Roman" w:cs="Times New Roman" w:eastAsia="Times New Roman"/>
          <w:b w:val="0"/>
          <w:i w:val="0"/>
          <w:smallCaps w:val="0"/>
          <w:sz w:val="16"/>
        </w:rPr>
        <w:t>[16]</w:t>
        <w:tab/>
      </w:r>
      <w:r>
        <w:rPr>
          <w:rFonts w:ascii="Times New Roman" w:hAnsi="Times New Roman" w:cs="Times New Roman" w:eastAsia="Times New Roman"/>
          <w:b w:val="0"/>
          <w:i w:val="0"/>
          <w:smallCaps w:val="0"/>
          <w:sz w:val="16"/>
        </w:rPr>
        <w:t>ReportLab Inc., “ReportLab PDF toolkit user guide, version 4.2,” 2024. [Online]. Available: https://www.reportlab.com/docs/reportlab-userguide.pdf</w:t>
      </w:r>
    </w:p>
    <w:p>
      <w:pPr>
        <w:spacing w:before="0" w:after="40" w:line="240" w:lineRule="auto"/>
        <w:ind w:left="360" w:hanging="360"/>
        <w:jc w:val="both"/>
      </w:pPr>
      <w:r>
        <w:rPr>
          <w:rFonts w:ascii="Times New Roman" w:hAnsi="Times New Roman" w:cs="Times New Roman" w:eastAsia="Times New Roman"/>
          <w:b w:val="0"/>
          <w:i w:val="0"/>
          <w:smallCaps w:val="0"/>
          <w:sz w:val="16"/>
        </w:rPr>
        <w:t>[17]</w:t>
        <w:tab/>
      </w:r>
      <w:r>
        <w:rPr>
          <w:rFonts w:ascii="Times New Roman" w:hAnsi="Times New Roman" w:cs="Times New Roman" w:eastAsia="Times New Roman"/>
          <w:b w:val="0"/>
          <w:i w:val="0"/>
          <w:smallCaps w:val="0"/>
          <w:sz w:val="16"/>
        </w:rPr>
        <w:t>HarfBuzz Project, “HarfBuzz text shaping engine documentation,” 2024. [Online]. Available: https://harfbuzz.github.io</w:t>
      </w:r>
    </w:p>
    <w:p>
      <w:pPr>
        <w:spacing w:before="0" w:after="40" w:line="240" w:lineRule="auto"/>
        <w:ind w:left="360" w:hanging="360"/>
        <w:jc w:val="both"/>
      </w:pPr>
      <w:r>
        <w:rPr>
          <w:rFonts w:ascii="Times New Roman" w:hAnsi="Times New Roman" w:cs="Times New Roman" w:eastAsia="Times New Roman"/>
          <w:b w:val="0"/>
          <w:i w:val="0"/>
          <w:smallCaps w:val="0"/>
          <w:sz w:val="16"/>
        </w:rPr>
        <w:t>[18]</w:t>
        <w:tab/>
      </w:r>
      <w:r>
        <w:rPr>
          <w:rFonts w:ascii="Times New Roman" w:hAnsi="Times New Roman" w:cs="Times New Roman" w:eastAsia="Times New Roman"/>
          <w:b w:val="0"/>
          <w:i w:val="0"/>
          <w:smallCaps w:val="0"/>
          <w:sz w:val="16"/>
        </w:rPr>
        <w:t>India Meteorological Department, Yearly Gridded Rainfall Data, Climate Research Services, Pune, India, 2024.</w:t>
      </w:r>
    </w:p>
    <w:p>
      <w:pPr>
        <w:spacing w:before="0" w:after="40" w:line="240" w:lineRule="auto"/>
        <w:ind w:left="360" w:hanging="360"/>
        <w:jc w:val="both"/>
      </w:pPr>
      <w:r>
        <w:rPr>
          <w:rFonts w:ascii="Times New Roman" w:hAnsi="Times New Roman" w:cs="Times New Roman" w:eastAsia="Times New Roman"/>
          <w:b w:val="0"/>
          <w:i w:val="0"/>
          <w:smallCaps w:val="0"/>
          <w:sz w:val="16"/>
        </w:rPr>
        <w:t>[19]</w:t>
        <w:tab/>
      </w:r>
      <w:r>
        <w:rPr>
          <w:rFonts w:ascii="Times New Roman" w:hAnsi="Times New Roman" w:cs="Times New Roman" w:eastAsia="Times New Roman"/>
          <w:b w:val="0"/>
          <w:i w:val="0"/>
          <w:smallCaps w:val="0"/>
          <w:sz w:val="16"/>
        </w:rPr>
        <w:t>NOAA Physical Sciences Laboratory, “CPC Merged Analysis of Precipitation monthly climatology, 1991–2020,” public domain dataset. [Online]. Available: https://psl.noaa.gov</w:t>
      </w:r>
    </w:p>
    <w:p>
      <w:pPr>
        <w:spacing w:before="0" w:after="40" w:line="240" w:lineRule="auto"/>
        <w:ind w:left="360" w:hanging="360"/>
        <w:jc w:val="both"/>
      </w:pPr>
      <w:r>
        <w:rPr>
          <w:rFonts w:ascii="Times New Roman" w:hAnsi="Times New Roman" w:cs="Times New Roman" w:eastAsia="Times New Roman"/>
          <w:b w:val="0"/>
          <w:i w:val="0"/>
          <w:smallCaps w:val="0"/>
          <w:sz w:val="16"/>
        </w:rPr>
        <w:t>[20]</w:t>
        <w:tab/>
      </w:r>
      <w:r>
        <w:rPr>
          <w:rFonts w:ascii="Times New Roman" w:hAnsi="Times New Roman" w:cs="Times New Roman" w:eastAsia="Times New Roman"/>
          <w:b w:val="0"/>
          <w:i w:val="0"/>
          <w:smallCaps w:val="0"/>
          <w:sz w:val="16"/>
        </w:rPr>
        <w:t>Central Ground Water Board, Ground Water Year Book of Maharashtra. New Delhi, India: Ministry of Jal Shakti, 2023.</w:t>
      </w:r>
    </w:p>
    <w:sectPr w:rsidR="00FC693F" w:rsidRPr="0006063C" w:rsidSect="00034616">
      <w:type w:val="continuous"/>
      <w:pgSz w:w="11906" w:h="16838"/>
      <w:pgMar w:top="1077" w:right="812" w:bottom="2438" w:left="812" w:header="567" w:footer="567" w:gutter="0"/>
      <w:cols w:space="23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