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ECDAT — 36-Hour SIH Demo Execution Plan</w:t>
      </w:r>
    </w:p>
    <w:p>
      <w:pPr>
        <w:jc w:val="center"/>
      </w:pPr>
      <w:r>
        <w:t>SIH26164 · NTRO · Corrected demo cut · 2026-09-30</w:t>
      </w:r>
    </w:p>
    <w:p>
      <w:pPr>
        <w:pStyle w:val="Heading1"/>
      </w:pPr>
      <w:r>
        <w:t>1. What this plan is</w:t>
      </w:r>
    </w:p>
    <w:p>
      <w:r>
        <w:t>This is the minimum honest SIH demonstrator. It is not the boundary of the full ECDAT research/product project. The demo should prove the core loop while keeping deeper modules behind clean interfaces.</w:t>
      </w:r>
    </w:p>
    <w:p>
      <w:pPr>
        <w:pStyle w:val="Heading1"/>
      </w:pPr>
      <w:r>
        <w:t>2. The 36-hour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What to build</w:t>
            </w:r>
          </w:p>
        </w:tc>
      </w:tr>
      <w:tr>
        <w:tc>
          <w:tcPr>
            <w:tcW w:type="dxa" w:w="3312"/>
            <w:vAlign w:val="center"/>
          </w:tcPr>
          <w:p>
            <w:r>
              <w:t>0–3 h</w:t>
            </w:r>
          </w:p>
        </w:tc>
        <w:tc>
          <w:tcPr>
            <w:tcW w:type="dxa" w:w="3312"/>
            <w:vAlign w:val="center"/>
          </w:tcPr>
          <w:p>
            <w:r>
              <w:t>Foundation</w:t>
            </w:r>
          </w:p>
        </w:tc>
        <w:tc>
          <w:tcPr>
            <w:tcW w:type="dxa" w:w="3312"/>
            <w:vAlign w:val="center"/>
          </w:tcPr>
          <w:p>
            <w:r>
              <w:t>Repo skeleton, Docker Compose, PostgreSQL, FastAPI, UI shell, replay schema.</w:t>
            </w:r>
          </w:p>
        </w:tc>
      </w:tr>
      <w:tr>
        <w:tc>
          <w:tcPr>
            <w:tcW w:type="dxa" w:w="3312"/>
            <w:vAlign w:val="center"/>
          </w:tcPr>
          <w:p>
            <w:r>
              <w:t>3–7 h</w:t>
            </w:r>
          </w:p>
        </w:tc>
        <w:tc>
          <w:tcPr>
            <w:tcW w:type="dxa" w:w="3312"/>
            <w:vAlign w:val="center"/>
          </w:tcPr>
          <w:p>
            <w:r>
              <w:t>Ground truth</w:t>
            </w:r>
          </w:p>
        </w:tc>
        <w:tc>
          <w:tcPr>
            <w:tcW w:type="dxa" w:w="3312"/>
            <w:vAlign w:val="center"/>
          </w:tcPr>
          <w:p>
            <w:r>
              <w:t>Enterprise Lab, planted findings, negative/control cases, expected outputs.</w:t>
            </w:r>
          </w:p>
        </w:tc>
      </w:tr>
      <w:tr>
        <w:tc>
          <w:tcPr>
            <w:tcW w:type="dxa" w:w="3312"/>
            <w:vAlign w:val="center"/>
          </w:tcPr>
          <w:p>
            <w:r>
              <w:t>7–12 h</w:t>
            </w:r>
          </w:p>
        </w:tc>
        <w:tc>
          <w:tcPr>
            <w:tcW w:type="dxa" w:w="3312"/>
            <w:vAlign w:val="center"/>
          </w:tcPr>
          <w:p>
            <w:r>
              <w:t>Discovery</w:t>
            </w:r>
          </w:p>
        </w:tc>
        <w:tc>
          <w:tcPr>
            <w:tcW w:type="dxa" w:w="3312"/>
            <w:vAlign w:val="center"/>
          </w:tcPr>
          <w:p>
            <w:r>
              <w:t>Python + Java detection, dependency/lockfile scan, X.509 parsing.</w:t>
            </w:r>
          </w:p>
        </w:tc>
      </w:tr>
      <w:tr>
        <w:tc>
          <w:tcPr>
            <w:tcW w:type="dxa" w:w="3312"/>
            <w:vAlign w:val="center"/>
          </w:tcPr>
          <w:p>
            <w:r>
              <w:t>12–15 h</w:t>
            </w:r>
          </w:p>
        </w:tc>
        <w:tc>
          <w:tcPr>
            <w:tcW w:type="dxa" w:w="3312"/>
            <w:vAlign w:val="center"/>
          </w:tcPr>
          <w:p>
            <w:r>
              <w:t>Bounded artifact scan</w:t>
            </w:r>
          </w:p>
        </w:tc>
        <w:tc>
          <w:tcPr>
            <w:tcW w:type="dxa" w:w="3312"/>
            <w:vAlign w:val="center"/>
          </w:tcPr>
          <w:p>
            <w:r>
              <w:t>Static binary imports/symbols/linked libraries; container filesystem/package inspection. No execution.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t>15–18 h</w:t>
            </w:r>
          </w:p>
        </w:tc>
        <w:tc>
          <w:tcPr>
            <w:tcW w:type="dxa" w:w="3312"/>
            <w:vAlign w:val="center"/>
          </w:tcPr>
          <w:p>
            <w:r>
              <w:t>Evidence fusion</w:t>
            </w:r>
          </w:p>
        </w:tc>
        <w:tc>
          <w:tcPr>
            <w:tcW w:type="dxa" w:w="3312"/>
            <w:vAlign w:val="center"/>
          </w:tcPr>
          <w:p>
            <w:r>
              <w:t>Normalize findings, five evidence roles, confidence, provenance, contradiction display.</w:t>
            </w:r>
          </w:p>
        </w:tc>
      </w:tr>
      <w:tr>
        <w:tc>
          <w:tcPr>
            <w:tcW w:type="dxa" w:w="3312"/>
            <w:vAlign w:val="center"/>
          </w:tcPr>
          <w:p>
            <w:r>
              <w:t>18–21 h</w:t>
            </w:r>
          </w:p>
        </w:tc>
        <w:tc>
          <w:tcPr>
            <w:tcW w:type="dxa" w:w="3312"/>
            <w:vAlign w:val="center"/>
          </w:tcPr>
          <w:p>
            <w:r>
              <w:t>Graph</w:t>
            </w:r>
          </w:p>
        </w:tc>
        <w:tc>
          <w:tcPr>
            <w:tcW w:type="dxa" w:w="3312"/>
            <w:vAlign w:val="center"/>
          </w:tcPr>
          <w:p>
            <w:r>
              <w:t>Persist nodes/edges, topology, dependency traversal, blast radius.</w:t>
            </w:r>
          </w:p>
        </w:tc>
      </w:tr>
      <w:tr>
        <w:tc>
          <w:tcPr>
            <w:tcW w:type="dxa" w:w="3312"/>
            <w:vAlign w:val="center"/>
          </w:tcPr>
          <w:p>
            <w:r>
              <w:t>21–24 h</w:t>
            </w:r>
          </w:p>
        </w:tc>
        <w:tc>
          <w:tcPr>
            <w:tcW w:type="dxa" w:w="3312"/>
            <w:vAlign w:val="center"/>
          </w:tcPr>
          <w:p>
            <w:r>
              <w:t>Quantum risk</w:t>
            </w:r>
          </w:p>
        </w:tc>
        <w:tc>
          <w:tcPr>
            <w:tcW w:type="dxa" w:w="3312"/>
            <w:vAlign w:val="center"/>
          </w:tcPr>
          <w:p>
            <w:r>
              <w:t>Mosca baseline X+Y&gt;Z, seeded Monte Carlo P(X+Y&gt;Z), visible assumptions.</w:t>
            </w:r>
          </w:p>
        </w:tc>
      </w:tr>
      <w:tr>
        <w:tc>
          <w:tcPr>
            <w:tcW w:type="dxa" w:w="3312"/>
            <w:vAlign w:val="center"/>
          </w:tcPr>
          <w:p>
            <w:r>
              <w:t>24–27 h</w:t>
            </w:r>
          </w:p>
        </w:tc>
        <w:tc>
          <w:tcPr>
            <w:tcW w:type="dxa" w:w="3312"/>
            <w:vAlign w:val="center"/>
          </w:tcPr>
          <w:p>
            <w:r>
              <w:t>Migration</w:t>
            </w:r>
          </w:p>
        </w:tc>
        <w:tc>
          <w:tcPr>
            <w:tcW w:type="dxa" w:w="3312"/>
            <w:vAlign w:val="center"/>
          </w:tcPr>
          <w:p>
            <w:r>
              <w:t>Versioned PQC/hybrid registry, role-aware candidates, predicted impact, migration waves.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27–31 h</w:t>
            </w:r>
          </w:p>
        </w:tc>
        <w:tc>
          <w:tcPr>
            <w:tcW w:type="dxa" w:w="3312"/>
            <w:vAlign w:val="center"/>
          </w:tcPr>
          <w:p>
            <w:r>
              <w:t>UI</w:t>
            </w:r>
          </w:p>
        </w:tc>
        <w:tc>
          <w:tcPr>
            <w:tcW w:type="dxa" w:w="3312"/>
            <w:vAlign w:val="center"/>
          </w:tcPr>
          <w:p>
            <w:r>
              <w:t>Overview, scan, inventory, evidence, graph, risk, simulator, reports, replay banner.</w:t>
            </w:r>
          </w:p>
        </w:tc>
      </w:tr>
      <w:tr>
        <w:tc>
          <w:tcPr>
            <w:tcW w:type="dxa" w:w="3312"/>
            <w:vAlign w:val="center"/>
          </w:tcPr>
          <w:p>
            <w:r>
              <w:t>31–33 h</w:t>
            </w:r>
          </w:p>
        </w:tc>
        <w:tc>
          <w:tcPr>
            <w:tcW w:type="dxa" w:w="3312"/>
            <w:vAlign w:val="center"/>
          </w:tcPr>
          <w:p>
            <w:r>
              <w:t>CBOM</w:t>
            </w:r>
          </w:p>
        </w:tc>
        <w:tc>
          <w:tcPr>
            <w:tcW w:type="dxa" w:w="3312"/>
            <w:vAlign w:val="center"/>
          </w:tcPr>
          <w:p>
            <w:r>
              <w:t>CycloneDX 1.7 export and validation.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t>33–34 h</w:t>
            </w:r>
          </w:p>
        </w:tc>
        <w:tc>
          <w:tcPr>
            <w:tcW w:type="dxa" w:w="3312"/>
            <w:vAlign w:val="center"/>
          </w:tcPr>
          <w:p>
            <w:r>
              <w:t>Reliability</w:t>
            </w:r>
          </w:p>
        </w:tc>
        <w:tc>
          <w:tcPr>
            <w:tcW w:type="dxa" w:w="3312"/>
            <w:vAlign w:val="center"/>
          </w:tcPr>
          <w:p>
            <w:r>
              <w:t>Load verified replay snapshot, confirm same API/UI path, freeze API shapes.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34–36 h</w:t>
            </w:r>
          </w:p>
        </w:tc>
        <w:tc>
          <w:tcPr>
            <w:tcW w:type="dxa" w:w="3312"/>
            <w:vAlign w:val="center"/>
          </w:tcPr>
          <w:p>
            <w:r>
              <w:t>Final checks</w:t>
            </w:r>
          </w:p>
        </w:tc>
        <w:tc>
          <w:tcPr>
            <w:tcW w:type="dxa" w:w="3312"/>
            <w:vAlign w:val="center"/>
          </w:tcPr>
          <w:p>
            <w:r>
              <w:t>Benchmark snapshot, security smoke tests, live dry-run, replay dry-run, final pitch run.</w:t>
            </w:r>
          </w:p>
        </w:tc>
      </w:tr>
    </w:tbl>
    <w:p>
      <w:pPr>
        <w:pStyle w:val="Heading1"/>
      </w:pPr>
      <w:r>
        <w:t>3. What the judge should see</w:t>
      </w:r>
    </w:p>
    <w:p>
      <w:pPr>
        <w:pStyle w:val="ListBullet"/>
      </w:pPr>
      <w:r>
        <w:t>Upload a prepared repository or use the staged Enterprise Lab.</w:t>
      </w:r>
    </w:p>
    <w:p>
      <w:pPr>
        <w:pStyle w:val="ListBullet"/>
      </w:pPr>
      <w:r>
        <w:t>Show a finding with source location, evidence role and confidence.</w:t>
      </w:r>
    </w:p>
    <w:p>
      <w:pPr>
        <w:pStyle w:val="ListBullet"/>
      </w:pPr>
      <w:r>
        <w:t>Show a capability-only dependency and a proven usage case as different claims.</w:t>
      </w:r>
    </w:p>
    <w:p>
      <w:pPr>
        <w:pStyle w:val="ListBullet"/>
      </w:pPr>
      <w:r>
        <w:t>Open one asset and traverse its graph dependents.</w:t>
      </w:r>
    </w:p>
    <w:p>
      <w:pPr>
        <w:pStyle w:val="ListBullet"/>
      </w:pPr>
      <w:r>
        <w:t>Open quantum risk and show X, Y, Z, assumptions and probability.</w:t>
      </w:r>
    </w:p>
    <w:p>
      <w:pPr>
        <w:pStyle w:val="ListBullet"/>
      </w:pPr>
      <w:r>
        <w:t>Choose a PQC/hybrid migration candidate and show explicit trade-offs.</w:t>
      </w:r>
    </w:p>
    <w:p>
      <w:pPr>
        <w:pStyle w:val="ListBullet"/>
      </w:pPr>
      <w:r>
        <w:t>Run the simulator and label affected components as predicted impact.</w:t>
      </w:r>
    </w:p>
    <w:p>
      <w:pPr>
        <w:pStyle w:val="ListBullet"/>
      </w:pPr>
      <w:r>
        <w:t>Export a validated CycloneDX 1.7 CBOM.</w:t>
      </w:r>
    </w:p>
    <w:p>
      <w:pPr>
        <w:pStyle w:val="ListBullet"/>
      </w:pPr>
      <w:r>
        <w:t>Switch to replay mode and continue the same UI journey without changing screens.</w:t>
      </w:r>
    </w:p>
    <w:p>
      <w:pPr>
        <w:pStyle w:val="Heading1"/>
      </w:pPr>
      <w:r>
        <w:t>4. What must not be claimed</w:t>
      </w:r>
    </w:p>
    <w:p>
      <w:pPr>
        <w:pStyle w:val="ListBullet"/>
      </w:pPr>
      <w:r>
        <w:t>Complete enterprise coverage of every runtime, cloud KMS/HSM or network protocol.</w:t>
      </w:r>
    </w:p>
    <w:p>
      <w:pPr>
        <w:pStyle w:val="ListBullet"/>
      </w:pPr>
      <w:r>
        <w:t>Deep reverse engineering of arbitrary stripped binaries.</w:t>
      </w:r>
    </w:p>
    <w:p>
      <w:pPr>
        <w:pStyle w:val="ListBullet"/>
      </w:pPr>
      <w:r>
        <w:t>Runtime proof from dependency presence alone.</w:t>
      </w:r>
    </w:p>
    <w:p>
      <w:pPr>
        <w:pStyle w:val="ListBullet"/>
      </w:pPr>
      <w:r>
        <w:t>A fixed year in which a cryptographically relevant quantum computer will arrive.</w:t>
      </w:r>
    </w:p>
    <w:p>
      <w:pPr>
        <w:pStyle w:val="ListBullet"/>
      </w:pPr>
      <w:r>
        <w:t>Guaranteed migration impact; impact is a graph-based prediction until validated.</w:t>
      </w:r>
    </w:p>
    <w:p>
      <w:pPr>
        <w:pStyle w:val="ListBullet"/>
      </w:pPr>
      <w:r>
        <w:t>Benchmark scores that were not actually measured on the saved benchmark artifact.</w:t>
      </w:r>
    </w:p>
    <w:p>
      <w:pPr>
        <w:pStyle w:val="Heading1"/>
      </w:pPr>
      <w:r>
        <w:t>5. Emergency cut order</w:t>
      </w:r>
    </w:p>
    <w:p>
      <w:r>
        <w:t>1. Drop advanced migration-wave optimization first.</w:t>
      </w:r>
    </w:p>
    <w:p>
      <w:r>
        <w:t>2. Keep a simple BFS blast-radius calculation.</w:t>
      </w:r>
    </w:p>
    <w:p>
      <w:r>
        <w:t>3. Keep binary/container support bounded and static.</w:t>
      </w:r>
    </w:p>
    <w:p>
      <w:r>
        <w:t>4. Keep evidence/provenance and capability-vs-usage distinction.</w:t>
      </w:r>
    </w:p>
    <w:p>
      <w:r>
        <w:t>5. Keep replay mode; it is the primary operational fallback.</w:t>
      </w:r>
    </w:p>
    <w:p>
      <w:r>
        <w:t>6. Never replace the live product path with only a screen recording unless every live option has failed.</w:t>
      </w:r>
    </w:p>
    <w:p>
      <w:pPr>
        <w:pStyle w:val="Heading1"/>
      </w:pPr>
      <w:r>
        <w:t>6. Final 30-minute checklist</w:t>
      </w:r>
    </w:p>
    <w:p>
      <w:pPr>
        <w:pStyle w:val="ListBullet"/>
      </w:pPr>
      <w:r>
        <w:t>Run the live demo from a clean reset.</w:t>
      </w:r>
    </w:p>
    <w:p>
      <w:pPr>
        <w:pStyle w:val="ListBullet"/>
      </w:pPr>
      <w:r>
        <w:t>Run the same demo from replay mode.</w:t>
      </w:r>
    </w:p>
    <w:p>
      <w:pPr>
        <w:pStyle w:val="ListBullet"/>
      </w:pPr>
      <w:r>
        <w:t>Open the evidence for the headline finding.</w:t>
      </w:r>
    </w:p>
    <w:p>
      <w:pPr>
        <w:pStyle w:val="ListBullet"/>
      </w:pPr>
      <w:r>
        <w:t>Open graph and blast radius.</w:t>
      </w:r>
    </w:p>
    <w:p>
      <w:pPr>
        <w:pStyle w:val="ListBullet"/>
      </w:pPr>
      <w:r>
        <w:t>Open risk assumptions and probability.</w:t>
      </w:r>
    </w:p>
    <w:p>
      <w:pPr>
        <w:pStyle w:val="ListBullet"/>
      </w:pPr>
      <w:r>
        <w:t>Export and validate CBOM.</w:t>
      </w:r>
    </w:p>
    <w:p>
      <w:pPr>
        <w:pStyle w:val="ListBullet"/>
      </w:pPr>
      <w:r>
        <w:t>Confirm the API contract has not changed.</w:t>
      </w:r>
    </w:p>
    <w:p>
      <w:pPr>
        <w:pStyle w:val="ListBullet"/>
      </w:pPr>
      <w:r>
        <w:t>Save the exact benchmark output and input hashes.</w:t>
      </w:r>
    </w:p>
    <w:p>
      <w:pPr>
        <w:pStyle w:val="ListBullet"/>
      </w:pPr>
      <w:r>
        <w:t>Save the final demo dataset snapshot and its hash.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