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ECDAT — Software Requirements Specification</w:t>
      </w:r>
    </w:p>
    <w:p>
      <w:pPr>
        <w:jc w:val="center"/>
      </w:pPr>
      <w:r>
        <w:t>SIH26164 · NTRO · Version 1.0 · 2026-09-30</w:t>
      </w:r>
    </w:p>
    <w:p>
      <w:r>
        <w:t>System: Enterprise Cryptographic Discovery &amp; Analysis Tool (ECDAT)</w:t>
      </w:r>
    </w:p>
    <w:p>
      <w:r>
        <w:t>Identifier: SIH26164</w:t>
      </w:r>
    </w:p>
    <w:p>
      <w:r>
        <w:t>Version: 1.0</w:t>
      </w:r>
    </w:p>
    <w:p>
      <w:r>
        <w:t>Date: 2026-09-30</w:t>
      </w:r>
    </w:p>
    <w:p>
      <w:pPr>
        <w:pStyle w:val="Heading1"/>
      </w:pPr>
      <w:r>
        <w:t>1. Introduction</w:t>
      </w:r>
    </w:p>
    <w:p>
      <w:pPr>
        <w:pStyle w:val="Heading3"/>
      </w:pPr>
      <w:r>
        <w:t>1.1 Purpose</w:t>
      </w:r>
    </w:p>
    <w:p>
      <w:r>
        <w:t>This SRS defines the functional, non-functional, data, security, interface and acceptance requirements for ECDAT. It is the implementation contract derived from the project PRD and architecture.</w:t>
      </w:r>
    </w:p>
    <w:p>
      <w:pPr>
        <w:pStyle w:val="Heading3"/>
      </w:pPr>
      <w:r>
        <w:t>1.2 Intended audience</w:t>
      </w:r>
    </w:p>
    <w:p>
      <w:r>
        <w:t>Development team, security reviewers, research authors, SIH judges and future maintainers.</w:t>
      </w:r>
    </w:p>
    <w:p>
      <w:pPr>
        <w:pStyle w:val="Heading3"/>
      </w:pPr>
      <w:r>
        <w:t>1.3 Product scope</w:t>
      </w:r>
    </w:p>
    <w:p>
      <w:r>
        <w:t>ECDAT discovers cryptographic artefacts from source repositories, dependencies, certificates, bounded binary/container inputs and future protocol/cloud adapters. It preserves evidence, resolves crypto claims, builds a graph, evaluates quantum risk, recommends migration candidates and exports a CBOM.</w:t>
      </w:r>
    </w:p>
    <w:p>
      <w:pPr>
        <w:pStyle w:val="Heading3"/>
      </w:pPr>
      <w:r>
        <w:t>1.4 Out of scope for V1</w:t>
      </w:r>
    </w:p>
    <w:p>
      <w:r>
        <w:t>Deep reverse engineering, live network probing, deep cloud/HSM inventory, autonomous production code changes and advanced global optimization.</w:t>
      </w:r>
    </w:p>
    <w:p>
      <w:r>
        <w:br w:type="page"/>
      </w:r>
    </w:p>
    <w:p>
      <w:pPr>
        <w:pStyle w:val="Heading1"/>
      </w:pPr>
      <w:r>
        <w:t>2.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Asset</w:t>
            </w:r>
          </w:p>
        </w:tc>
        <w:tc>
          <w:tcPr>
            <w:tcW w:type="dxa" w:w="4968"/>
            <w:vAlign w:val="center"/>
          </w:tcPr>
          <w:p>
            <w:r>
              <w:t>A normalized cryptographic entity or context object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</w:t>
            </w:r>
          </w:p>
        </w:tc>
        <w:tc>
          <w:tcPr>
            <w:tcW w:type="dxa" w:w="4968"/>
            <w:vAlign w:val="center"/>
          </w:tcPr>
          <w:p>
            <w:r>
              <w:t>A raw, traceable observation supporting a claim</w:t>
            </w:r>
          </w:p>
        </w:tc>
      </w:tr>
      <w:tr>
        <w:tc>
          <w:tcPr>
            <w:tcW w:type="dxa" w:w="4968"/>
            <w:vAlign w:val="center"/>
          </w:tcPr>
          <w:p>
            <w:r>
              <w:t>Capability</w:t>
            </w:r>
          </w:p>
        </w:tc>
        <w:tc>
          <w:tcPr>
            <w:tcW w:type="dxa" w:w="4968"/>
            <w:vAlign w:val="center"/>
          </w:tcPr>
          <w:p>
            <w:r>
              <w:t>A component can provide a crypto function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Implementation</w:t>
            </w:r>
          </w:p>
        </w:tc>
        <w:tc>
          <w:tcPr>
            <w:tcW w:type="dxa" w:w="4968"/>
            <w:vAlign w:val="center"/>
          </w:tcPr>
          <w:p>
            <w:r>
              <w:t>Crypto implementation/API exists</w:t>
            </w:r>
          </w:p>
        </w:tc>
      </w:tr>
      <w:tr>
        <w:tc>
          <w:tcPr>
            <w:tcW w:type="dxa" w:w="4968"/>
            <w:vAlign w:val="center"/>
          </w:tcPr>
          <w:p>
            <w:r>
              <w:t>Usage</w:t>
            </w:r>
          </w:p>
        </w:tc>
        <w:tc>
          <w:tcPr>
            <w:tcW w:type="dxa" w:w="4968"/>
            <w:vAlign w:val="center"/>
          </w:tcPr>
          <w:p>
            <w:r>
              <w:t>Application path actually invokes/wires the crypto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Configuration</w:t>
            </w:r>
          </w:p>
        </w:tc>
        <w:tc>
          <w:tcPr>
            <w:tcW w:type="dxa" w:w="4968"/>
            <w:vAlign w:val="center"/>
          </w:tcPr>
          <w:p>
            <w:r>
              <w:t>Config selects/constrains crypto</w:t>
            </w:r>
          </w:p>
        </w:tc>
      </w:tr>
      <w:tr>
        <w:tc>
          <w:tcPr>
            <w:tcW w:type="dxa" w:w="4968"/>
            <w:vAlign w:val="center"/>
          </w:tcPr>
          <w:p>
            <w:r>
              <w:t>Observed</w:t>
            </w:r>
          </w:p>
        </w:tc>
        <w:tc>
          <w:tcPr>
            <w:tcW w:type="dxa" w:w="4968"/>
            <w:vAlign w:val="center"/>
          </w:tcPr>
          <w:p>
            <w:r>
              <w:t>Artifact/protocol/runtime observation directly shows presence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CBOM</w:t>
            </w:r>
          </w:p>
        </w:tc>
        <w:tc>
          <w:tcPr>
            <w:tcW w:type="dxa" w:w="4968"/>
            <w:vAlign w:val="center"/>
          </w:tcPr>
          <w:p>
            <w:r>
              <w:t>Cryptography Bill of Materials</w:t>
            </w:r>
          </w:p>
        </w:tc>
      </w:tr>
      <w:tr>
        <w:tc>
          <w:tcPr>
            <w:tcW w:type="dxa" w:w="4968"/>
            <w:vAlign w:val="center"/>
          </w:tcPr>
          <w:p>
            <w:r>
              <w:t>CRQC</w:t>
            </w:r>
          </w:p>
        </w:tc>
        <w:tc>
          <w:tcPr>
            <w:tcW w:type="dxa" w:w="4968"/>
            <w:vAlign w:val="center"/>
          </w:tcPr>
          <w:p>
            <w:r>
              <w:t>Cryptographically relevant quantum computer</w:t>
            </w:r>
          </w:p>
        </w:tc>
      </w:tr>
      <w:tr>
        <w:tc>
          <w:tcPr>
            <w:tcW w:type="dxa" w:w="4968"/>
            <w:vAlign w:val="center"/>
          </w:tcPr>
          <w:p>
            <w:r>
              <w:t>PQC</w:t>
            </w:r>
          </w:p>
        </w:tc>
        <w:tc>
          <w:tcPr>
            <w:tcW w:type="dxa" w:w="4968"/>
            <w:vAlign w:val="center"/>
          </w:tcPr>
          <w:p>
            <w:r>
              <w:t>Post-quantum cryptography</w:t>
            </w:r>
          </w:p>
        </w:tc>
      </w:tr>
      <w:tr>
        <w:tc>
          <w:tcPr>
            <w:tcW w:type="dxa" w:w="4968"/>
            <w:vAlign w:val="center"/>
          </w:tcPr>
          <w:p>
            <w:r>
              <w:t>Mosca model</w:t>
            </w:r>
          </w:p>
        </w:tc>
        <w:tc>
          <w:tcPr>
            <w:tcW w:type="dxa" w:w="4968"/>
            <w:vAlign w:val="center"/>
          </w:tcPr>
          <w:p>
            <w:r>
              <w:t>Timing comparison of data lifetime + migration time against CRQC timing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Blast radius</w:t>
            </w:r>
          </w:p>
        </w:tc>
        <w:tc>
          <w:tcPr>
            <w:tcW w:type="dxa" w:w="4968"/>
            <w:vAlign w:val="center"/>
          </w:tcPr>
          <w:p>
            <w:r>
              <w:t>Predicted dependent scope affected by a migration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Replay mode</w:t>
            </w:r>
          </w:p>
        </w:tc>
        <w:tc>
          <w:tcPr>
            <w:tcW w:type="dxa" w:w="4968"/>
            <w:vAlign w:val="center"/>
          </w:tcPr>
          <w:p>
            <w:r>
              <w:t>Live UI backed by precomputed, verified scan results</w:t>
            </w:r>
          </w:p>
        </w:tc>
      </w:tr>
    </w:tbl>
    <w:p>
      <w:pPr>
        <w:pStyle w:val="Heading1"/>
      </w:pPr>
      <w:r>
        <w:t>3. System overview</w:t>
      </w:r>
    </w:p>
    <w:p>
      <w:r>
        <w:rPr>
          <w:rFonts w:ascii="Consolas" w:hAnsi="Consolas"/>
          <w:sz w:val="16"/>
        </w:rPr>
        <w:t>Input artifacts</w:t>
        <w:br/>
        <w:t xml:space="preserve">   ↓</w:t>
        <w:br/>
        <w:t>Discovery adapters</w:t>
        <w:br/>
        <w:t xml:space="preserve">   ↓</w:t>
        <w:br/>
        <w:t>Evidence store</w:t>
        <w:br/>
        <w:t xml:space="preserve">   ↓</w:t>
        <w:br/>
        <w:t>Evidence fusion / claim resolution</w:t>
        <w:br/>
        <w:t xml:space="preserve">   ↓</w:t>
        <w:br/>
        <w:t>Crypto graph</w:t>
        <w:br/>
        <w:t xml:space="preserve">   ↓</w:t>
        <w:br/>
        <w:t>Risk + agility</w:t>
        <w:br/>
        <w:t xml:space="preserve">   ↓</w:t>
        <w:br/>
        <w:t>Migration candidates + blast radius</w:t>
        <w:br/>
        <w:t xml:space="preserve">   ↓</w:t>
        <w:br/>
        <w:t>Simulation + validation</w:t>
        <w:br/>
        <w:t xml:space="preserve">   ↓</w:t>
        <w:br/>
        <w:t>CBOM/report/UI</w:t>
      </w:r>
    </w:p>
    <w:p>
      <w:pPr>
        <w:pStyle w:val="Heading1"/>
      </w:pPr>
      <w:r>
        <w:t>4. Functional requirements</w:t>
      </w:r>
    </w:p>
    <w:p>
      <w:pPr>
        <w:pStyle w:val="Heading3"/>
      </w:pPr>
      <w:r>
        <w:t>4.1 Project and scan lifecycle</w:t>
      </w:r>
    </w:p>
    <w:p>
      <w:r>
        <w:t>SRS-FR-001 The system shall create a project with a unique ID.</w:t>
      </w:r>
    </w:p>
    <w:p>
      <w:r>
        <w:t>SRS-FR-002 The system shall accept a repository ZIP or staged directory manifest.</w:t>
      </w:r>
    </w:p>
    <w:p>
      <w:r>
        <w:t>SRS-FR-003 The system shall accept X.509 certificate files.</w:t>
      </w:r>
    </w:p>
    <w:p>
      <w:r>
        <w:t>SRS-FR-004 The system shall accept bounded binary files and container image tarballs.</w:t>
      </w:r>
    </w:p>
    <w:p>
      <w:r>
        <w:t>SRS-FR-005 The system shall calculate a SHA-256 digest for every top-level input artifact.</w:t>
      </w:r>
    </w:p>
    <w:p>
      <w:r>
        <w:t>SRS-FR-006 The system shall create a unique scan ID and store scan mode as `live` or `replay`.</w:t>
      </w:r>
    </w:p>
    <w:p>
      <w:r>
        <w:t>SRS-FR-007 The system shall expose scan stages and per-stage status.</w:t>
      </w:r>
    </w:p>
    <w:p>
      <w:pPr>
        <w:pStyle w:val="Heading3"/>
      </w:pPr>
      <w:r>
        <w:t>4.2 Source discovery</w:t>
      </w:r>
    </w:p>
    <w:p>
      <w:r>
        <w:t>SRS-FR-010 The system shall parse supported Python source without executing it.</w:t>
      </w:r>
    </w:p>
    <w:p>
      <w:r>
        <w:t>SRS-FR-011 The system shall parse supported Java source using a structural parser/rule engine.</w:t>
      </w:r>
    </w:p>
    <w:p>
      <w:r>
        <w:t>SRS-FR-012 The system shall resolve simple import aliases.</w:t>
      </w:r>
    </w:p>
    <w:p>
      <w:r>
        <w:t>SRS-FR-013 The system shall detect configured algorithms in YAML/JSON/properties when statically available.</w:t>
      </w:r>
    </w:p>
    <w:p>
      <w:r>
        <w:t>SRS-FR-014 The system shall detect known cryptographic API calls and record exact source locations.</w:t>
      </w:r>
    </w:p>
    <w:p>
      <w:r>
        <w:t>SRS-FR-015 The system shall preserve the original detector signal with each finding.</w:t>
      </w:r>
    </w:p>
    <w:p>
      <w:pPr>
        <w:pStyle w:val="Heading3"/>
      </w:pPr>
      <w:r>
        <w:t>4.3 Dependency discovery</w:t>
      </w:r>
    </w:p>
    <w:p>
      <w:r>
        <w:t>SRS-FR-020 The system shall parse dependency manifests/lockfiles for supported ecosystems.</w:t>
      </w:r>
    </w:p>
    <w:p>
      <w:r>
        <w:t>SRS-FR-021 Dependency-only evidence shall be classified as capability unless stronger evidence is proven.</w:t>
      </w:r>
    </w:p>
    <w:p>
      <w:r>
        <w:t>SRS-FR-022 The system shall record package name, version and source manifest location.</w:t>
      </w:r>
    </w:p>
    <w:p>
      <w:pPr>
        <w:pStyle w:val="Heading3"/>
      </w:pPr>
      <w:r>
        <w:t>4.4 Certificate discovery</w:t>
      </w:r>
    </w:p>
    <w:p>
      <w:r>
        <w:t>SRS-FR-030 The system shall parse X.509 certificates.</w:t>
      </w:r>
    </w:p>
    <w:p>
      <w:r>
        <w:t>SRS-FR-031 The system shall extract subject, issuer, validity, SAN, public-key type/parameters and certificate signature algorithm where present.</w:t>
      </w:r>
    </w:p>
    <w:p>
      <w:r>
        <w:t>SRS-FR-032 The system shall not infer application key-exchange use directly from certificate signature metadata.</w:t>
      </w:r>
    </w:p>
    <w:p>
      <w:pPr>
        <w:pStyle w:val="Heading3"/>
      </w:pPr>
      <w:r>
        <w:t>4.5 Binary/container discovery</w:t>
      </w:r>
    </w:p>
    <w:p>
      <w:r>
        <w:t>SRS-FR-040 The system shall inspect binary metadata without executing the binary.</w:t>
      </w:r>
    </w:p>
    <w:p>
      <w:r>
        <w:t>SRS-FR-041 The system shall extract bounded imports, symbols and linked-library evidence when available.</w:t>
      </w:r>
    </w:p>
    <w:p>
      <w:r>
        <w:t>SRS-FR-042 The system shall inspect container package manifests/filesystems without executing container entrypoints.</w:t>
      </w:r>
    </w:p>
    <w:p>
      <w:r>
        <w:t>SRS-FR-043 Binary/container signals shall default to capability or observed evidence unless an explicit rule proves stronger usage.</w:t>
      </w:r>
    </w:p>
    <w:p>
      <w:pPr>
        <w:pStyle w:val="Heading3"/>
      </w:pPr>
      <w:r>
        <w:t>4.6 Evidence and fusion</w:t>
      </w:r>
    </w:p>
    <w:p>
      <w:r>
        <w:t>SRS-FR-050 Every evidence record shall contain source location and detector identity.</w:t>
      </w:r>
    </w:p>
    <w:p>
      <w:r>
        <w:t>SRS-FR-051 Every record shall contain at least one evidence role.</w:t>
      </w:r>
    </w:p>
    <w:p>
      <w:r>
        <w:t>SRS-FR-052 The system shall normalize equivalent algorithm names.</w:t>
      </w:r>
    </w:p>
    <w:p>
      <w:r>
        <w:t>SRS-FR-053 The system shall merge corroborating evidence into a claim while retaining all underlying evidence.</w:t>
      </w:r>
    </w:p>
    <w:p>
      <w:r>
        <w:t>SRS-FR-054 The system shall expose contradictions.</w:t>
      </w:r>
    </w:p>
    <w:p>
      <w:r>
        <w:t>SRS-FR-055 Confidence shall be reproducible from versioned rules and configuration.</w:t>
      </w:r>
    </w:p>
    <w:p>
      <w:r>
        <w:t>SRS-FR-056 The system shall support claim states `supported`, `ambiguous`, `insufficient-context`, and `contradictory`.</w:t>
      </w:r>
    </w:p>
    <w:p>
      <w:pPr>
        <w:pStyle w:val="Heading3"/>
      </w:pPr>
      <w:r>
        <w:t>4.7 Graph</w:t>
      </w:r>
    </w:p>
    <w:p>
      <w:r>
        <w:t>SRS-FR-060 The system shall persist crypto graph nodes and edges.</w:t>
      </w:r>
    </w:p>
    <w:p>
      <w:r>
        <w:t>SRS-FR-061 The system shall support service topology input from `enterprise.yaml`.</w:t>
      </w:r>
    </w:p>
    <w:p>
      <w:r>
        <w:t>SRS-FR-062 The system shall compute direct and transitive dependents.</w:t>
      </w:r>
    </w:p>
    <w:p>
      <w:r>
        <w:t>SRS-FR-063 The system shall expose a blast-radius endpoint for a selected asset.</w:t>
      </w:r>
    </w:p>
    <w:p>
      <w:pPr>
        <w:pStyle w:val="Heading3"/>
      </w:pPr>
      <w:r>
        <w:t>4.8 Risk</w:t>
      </w:r>
    </w:p>
    <w:p>
      <w:r>
        <w:t>SRS-FR-070 The system shall collect X and Y values or a documented enterprise-default source.</w:t>
      </w:r>
    </w:p>
    <w:p>
      <w:r>
        <w:t>SRS-FR-071 The system shall compute the baseline condition `X + Y &gt; Z`.</w:t>
      </w:r>
    </w:p>
    <w:p>
      <w:r>
        <w:t>SRS-FR-072 The system shall allow Z as a distribution with configurable parameters.</w:t>
      </w:r>
    </w:p>
    <w:p>
      <w:r>
        <w:t>SRS-FR-073 The system shall calculate `P(X + Y &gt; Z)` with a seeded Monte Carlo process.</w:t>
      </w:r>
    </w:p>
    <w:p>
      <w:r>
        <w:t>SRS-FR-074 The UI shall show assumptions, seed and distribution parameters.</w:t>
      </w:r>
    </w:p>
    <w:p>
      <w:r>
        <w:t>SRS-FR-075 Context weights shall be loaded from configuration and marked as ECDAT policy defaults.</w:t>
      </w:r>
    </w:p>
    <w:p>
      <w:pPr>
        <w:pStyle w:val="Heading3"/>
      </w:pPr>
      <w:r>
        <w:t>4.9 Migration</w:t>
      </w:r>
    </w:p>
    <w:p>
      <w:r>
        <w:t>SRS-FR-080 The system shall maintain a versioned PQC registry.</w:t>
      </w:r>
    </w:p>
    <w:p>
      <w:r>
        <w:t>SRS-FR-081 The system shall generate candidates by cryptographic usage role.</w:t>
      </w:r>
    </w:p>
    <w:p>
      <w:r>
        <w:t>SRS-FR-082 The system shall distinguish final standards from standards-track and experimental options.</w:t>
      </w:r>
    </w:p>
    <w:p>
      <w:r>
        <w:t>SRS-FR-083 The system shall present performance/size/compatibility/implementation trade-offs.</w:t>
      </w:r>
    </w:p>
    <w:p>
      <w:r>
        <w:t>SRS-FR-084 The system shall calculate predicted migration impact from graph dependencies.</w:t>
      </w:r>
    </w:p>
    <w:p>
      <w:r>
        <w:t>SRS-FR-085 Predicted impact shall be explicitly labelled as a model prediction.</w:t>
      </w:r>
    </w:p>
    <w:p>
      <w:r>
        <w:t>SRS-FR-086 The system shall create an ordered wave plan.</w:t>
      </w:r>
    </w:p>
    <w:p>
      <w:pPr>
        <w:pStyle w:val="Heading3"/>
      </w:pPr>
      <w:r>
        <w:t>4.10 Output</w:t>
      </w:r>
    </w:p>
    <w:p>
      <w:r>
        <w:t>SRS-FR-090 The system shall export CycloneDX 1.7 JSON.</w:t>
      </w:r>
    </w:p>
    <w:p>
      <w:r>
        <w:t>SRS-FR-091 The system shall validate exported CBOM before download.</w:t>
      </w:r>
    </w:p>
    <w:p>
      <w:r>
        <w:t>SRS-FR-092 The system shall include provenance references in the report/CBOM extension fields where applicable.</w:t>
      </w:r>
    </w:p>
    <w:p>
      <w:r>
        <w:t>SRS-FR-093 The system shall support digest and optional detached signature output.</w:t>
      </w:r>
    </w:p>
    <w:p>
      <w:pPr>
        <w:pStyle w:val="Heading3"/>
      </w:pPr>
      <w:r>
        <w:t>4.11 Replay</w:t>
      </w:r>
    </w:p>
    <w:p>
      <w:r>
        <w:t>SRS-FR-100 The system shall load a verified replay snapshot into the database.</w:t>
      </w:r>
    </w:p>
    <w:p>
      <w:r>
        <w:t>SRS-FR-101 Replay data shall be served through the same API endpoints used by the live UI.</w:t>
      </w:r>
    </w:p>
    <w:p>
      <w:r>
        <w:t>SRS-FR-102 The UI shall visibly indicate replay mode.</w:t>
      </w:r>
    </w:p>
    <w:p>
      <w:r>
        <w:t>SRS-FR-103 Replay mode shall expose snapshot ID, source hash and generation timestamp.</w:t>
      </w:r>
    </w:p>
    <w:p>
      <w:pPr>
        <w:pStyle w:val="Heading1"/>
      </w:pPr>
      <w:r>
        <w:t>5. Non-functional requirements</w:t>
      </w:r>
    </w:p>
    <w:p>
      <w:pPr>
        <w:pStyle w:val="Heading3"/>
      </w:pPr>
      <w:r>
        <w:t>5.1 Performance</w:t>
      </w:r>
    </w:p>
    <w:p>
      <w:pPr>
        <w:pStyle w:val="ListBullet"/>
      </w:pPr>
      <w:r>
        <w:t>NFR-001: Lab scan target under 60 seconds on the designated demo laptop.</w:t>
      </w:r>
    </w:p>
    <w:p>
      <w:pPr>
        <w:pStyle w:val="ListBullet"/>
      </w:pPr>
      <w:r>
        <w:t>NFR-002: Blast radius target under 2 seconds for the lab graph.</w:t>
      </w:r>
    </w:p>
    <w:p>
      <w:pPr>
        <w:pStyle w:val="ListBullet"/>
      </w:pPr>
      <w:r>
        <w:t>NFR-003: Record actual benchmark hardware and timings.</w:t>
      </w:r>
    </w:p>
    <w:p>
      <w:pPr>
        <w:pStyle w:val="Heading3"/>
      </w:pPr>
      <w:r>
        <w:t>5.2 Reliability</w:t>
      </w:r>
    </w:p>
    <w:p>
      <w:pPr>
        <w:pStyle w:val="ListBullet"/>
      </w:pPr>
      <w:r>
        <w:t>NFR-010: One scanner failure shall not erase independent results.</w:t>
      </w:r>
    </w:p>
    <w:p>
      <w:pPr>
        <w:pStyle w:val="ListBullet"/>
      </w:pPr>
      <w:r>
        <w:t>NFR-011: Live failure shall not change replay API/UI shapes.</w:t>
      </w:r>
    </w:p>
    <w:p>
      <w:pPr>
        <w:pStyle w:val="Heading3"/>
      </w:pPr>
      <w:r>
        <w:t>5.3 Security</w:t>
      </w:r>
    </w:p>
    <w:p>
      <w:pPr>
        <w:pStyle w:val="ListBullet"/>
      </w:pPr>
      <w:r>
        <w:t>NFR-020: No source execution.</w:t>
      </w:r>
    </w:p>
    <w:p>
      <w:pPr>
        <w:pStyle w:val="ListBullet"/>
      </w:pPr>
      <w:r>
        <w:t>NFR-021: No private-key persistence.</w:t>
      </w:r>
    </w:p>
    <w:p>
      <w:pPr>
        <w:pStyle w:val="ListBullet"/>
      </w:pPr>
      <w:r>
        <w:t>NFR-022: Hostile archive containment.</w:t>
      </w:r>
    </w:p>
    <w:p>
      <w:pPr>
        <w:pStyle w:val="ListBullet"/>
      </w:pPr>
      <w:r>
        <w:t>NFR-023: No outbound network during offline demo.</w:t>
      </w:r>
    </w:p>
    <w:p>
      <w:pPr>
        <w:pStyle w:val="Heading3"/>
      </w:pPr>
      <w:r>
        <w:t>5.4 Determinism</w:t>
      </w:r>
    </w:p>
    <w:p>
      <w:pPr>
        <w:pStyle w:val="ListBullet"/>
      </w:pPr>
      <w:r>
        <w:t>NFR-030: Same input, rules, registry, configuration and seed shall produce the same normalized result set.</w:t>
      </w:r>
    </w:p>
    <w:p>
      <w:pPr>
        <w:pStyle w:val="Heading3"/>
      </w:pPr>
      <w:r>
        <w:t>5.5 Usability</w:t>
      </w:r>
    </w:p>
    <w:p>
      <w:pPr>
        <w:pStyle w:val="ListBullet"/>
      </w:pPr>
      <w:r>
        <w:t>NFR-040: Judge-facing path from overview to evidence to graph to migration should be completable without developer intervention.</w:t>
      </w:r>
    </w:p>
    <w:p>
      <w:pPr>
        <w:pStyle w:val="ListBullet"/>
      </w:pPr>
      <w:r>
        <w:t>NFR-041: Inventory tables shall support keyboard navigation.</w:t>
      </w:r>
    </w:p>
    <w:p>
      <w:pPr>
        <w:pStyle w:val="Heading1"/>
      </w:pPr>
      <w:r>
        <w:t>6. Data requirements</w:t>
      </w:r>
    </w:p>
    <w:p>
      <w:pPr>
        <w:pStyle w:val="Heading3"/>
      </w:pPr>
      <w:r>
        <w:t>6.1 Evidence schema</w:t>
      </w:r>
    </w:p>
    <w:p>
      <w:r>
        <w:rPr>
          <w:rFonts w:ascii="Consolas" w:hAnsi="Consolas"/>
          <w:sz w:val="16"/>
        </w:rPr>
        <w:t>Evidence {</w:t>
        <w:br/>
        <w:t xml:space="preserve">  evidence_id</w:t>
        <w:br/>
        <w:t xml:space="preserve">  asset_id</w:t>
        <w:br/>
        <w:t xml:space="preserve">  source_type</w:t>
        <w:br/>
        <w:t xml:space="preserve">  source_location</w:t>
        <w:br/>
        <w:t xml:space="preserve">  observation_time</w:t>
        <w:br/>
        <w:t xml:space="preserve">  detector</w:t>
        <w:br/>
        <w:t xml:space="preserve">  raw_signal</w:t>
        <w:br/>
        <w:t xml:space="preserve">  normalized_claim</w:t>
        <w:br/>
        <w:t xml:space="preserve">  role[]</w:t>
        <w:br/>
        <w:t xml:space="preserve">  confidence</w:t>
        <w:br/>
        <w:t xml:space="preserve">  provenance</w:t>
        <w:br/>
        <w:t xml:space="preserve">  validity</w:t>
        <w:br/>
        <w:t>}</w:t>
      </w:r>
    </w:p>
    <w:p>
      <w:pPr>
        <w:pStyle w:val="Heading3"/>
      </w:pPr>
      <w:r>
        <w:t>6.2 Asset schema</w:t>
      </w:r>
    </w:p>
    <w:p>
      <w:r>
        <w:rPr>
          <w:rFonts w:ascii="Consolas" w:hAnsi="Consolas"/>
          <w:sz w:val="16"/>
        </w:rPr>
        <w:t>CryptoAsset {</w:t>
        <w:br/>
        <w:t xml:space="preserve">  asset_id</w:t>
        <w:br/>
        <w:t xml:space="preserve">  family</w:t>
        <w:br/>
        <w:t xml:space="preserve">  algorithm</w:t>
        <w:br/>
        <w:t xml:space="preserve">  variant</w:t>
        <w:br/>
        <w:t xml:space="preserve">  parameters</w:t>
        <w:br/>
        <w:t xml:space="preserve">  usage_role</w:t>
        <w:br/>
        <w:t xml:space="preserve">  lifecycle</w:t>
        <w:br/>
        <w:t xml:space="preserve">  implementation</w:t>
        <w:br/>
        <w:t xml:space="preserve">  quantum_status</w:t>
        <w:br/>
        <w:t xml:space="preserve">  confidence</w:t>
        <w:br/>
        <w:t xml:space="preserve">  context</w:t>
        <w:br/>
        <w:t>}</w:t>
      </w:r>
    </w:p>
    <w:p>
      <w:pPr>
        <w:pStyle w:val="Heading1"/>
      </w:pPr>
      <w:r>
        <w:t>7. Interface requirements</w:t>
      </w:r>
    </w:p>
    <w:p>
      <w:pPr>
        <w:pStyle w:val="Heading3"/>
      </w:pPr>
      <w:r>
        <w:t>7.1 API</w:t>
      </w:r>
    </w:p>
    <w:p>
      <w:r>
        <w:t>The API shall be REST/JSON and match `21-API-CONTRACT-FREEZE.md`.</w:t>
      </w:r>
    </w:p>
    <w:p>
      <w:pPr>
        <w:pStyle w:val="Heading3"/>
      </w:pPr>
      <w:r>
        <w:t>7.2 UI</w:t>
      </w:r>
    </w:p>
    <w:p>
      <w:r>
        <w:t>The UI shall provide overview, scan, inventory, evidence, graph, risk, simulator, reports and replay status.</w:t>
      </w:r>
    </w:p>
    <w:p>
      <w:pPr>
        <w:pStyle w:val="Heading1"/>
      </w:pPr>
      <w:r>
        <w:t>8. Security requirements</w:t>
      </w:r>
    </w:p>
    <w:p>
      <w:r>
        <w:t>Uploaded content is untrusted. Binary/container stages are bounded and static. Private keys are never stored. Error messages must not echo sensitive file contents.</w:t>
      </w:r>
    </w:p>
    <w:p>
      <w:pPr>
        <w:pStyle w:val="Heading1"/>
      </w:pPr>
      <w:r>
        <w:t>9. Acceptance tests</w:t>
      </w:r>
    </w:p>
    <w:p>
      <w:r>
        <w:t>The project passes SRS acceptance when:</w:t>
      </w:r>
    </w:p>
    <w:p>
      <w:pPr>
        <w:pStyle w:val="ListBullet"/>
      </w:pPr>
      <w:r>
        <w:t>Enterprise Lab produces expected planted findings.</w:t>
      </w:r>
    </w:p>
    <w:p>
      <w:pPr>
        <w:pStyle w:val="ListBullet"/>
      </w:pPr>
      <w:r>
        <w:t>Control/negative cases do not become false usage claims.</w:t>
      </w:r>
    </w:p>
    <w:p>
      <w:pPr>
        <w:pStyle w:val="ListBullet"/>
      </w:pPr>
      <w:r>
        <w:t>Java and Python labelled tests can be scored.</w:t>
      </w:r>
    </w:p>
    <w:p>
      <w:pPr>
        <w:pStyle w:val="ListBullet"/>
      </w:pPr>
      <w:r>
        <w:t>A selected asset produces a graph/blast-radius result.</w:t>
      </w:r>
    </w:p>
    <w:p>
      <w:pPr>
        <w:pStyle w:val="ListBullet"/>
      </w:pPr>
      <w:r>
        <w:t>Risk output shows assumptions and probability.</w:t>
      </w:r>
    </w:p>
    <w:p>
      <w:pPr>
        <w:pStyle w:val="ListBullet"/>
      </w:pPr>
      <w:r>
        <w:t>Migration simulator returns a predicted impact list.</w:t>
      </w:r>
    </w:p>
    <w:p>
      <w:pPr>
        <w:pStyle w:val="ListBullet"/>
      </w:pPr>
      <w:r>
        <w:t>CBOM validates as CycloneDX 1.7.</w:t>
      </w:r>
    </w:p>
    <w:p>
      <w:pPr>
        <w:pStyle w:val="ListBullet"/>
      </w:pPr>
      <w:r>
        <w:t>Replay mode reproduces the same response shapes and judge-facing screens.</w:t>
      </w: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Requirement area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Primary document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 behavior</w:t>
            </w:r>
          </w:p>
        </w:tc>
        <w:tc>
          <w:tcPr>
            <w:tcW w:type="dxa" w:w="4968"/>
            <w:vAlign w:val="center"/>
          </w:tcPr>
          <w:p>
            <w:r>
              <w:t>`02-PRD.md`</w:t>
            </w:r>
          </w:p>
        </w:tc>
      </w:tr>
      <w:tr>
        <w:tc>
          <w:tcPr>
            <w:tcW w:type="dxa" w:w="4968"/>
            <w:vAlign w:val="center"/>
          </w:tcPr>
          <w:p>
            <w:r>
              <w:t>Architecture</w:t>
            </w:r>
          </w:p>
        </w:tc>
        <w:tc>
          <w:tcPr>
            <w:tcW w:type="dxa" w:w="4968"/>
            <w:vAlign w:val="center"/>
          </w:tcPr>
          <w:p>
            <w:r>
              <w:t>`03-ARCHITECTURE.md`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</w:t>
            </w:r>
          </w:p>
        </w:tc>
        <w:tc>
          <w:tcPr>
            <w:tcW w:type="dxa" w:w="4968"/>
            <w:vAlign w:val="center"/>
          </w:tcPr>
          <w:p>
            <w:r>
              <w:t>`04-DATA-SOURCES.md`</w:t>
            </w:r>
          </w:p>
        </w:tc>
      </w:tr>
      <w:tr>
        <w:tc>
          <w:tcPr>
            <w:tcW w:type="dxa" w:w="4968"/>
            <w:vAlign w:val="center"/>
          </w:tcPr>
          <w:p>
            <w:r>
              <w:t>Security</w:t>
            </w:r>
          </w:p>
        </w:tc>
        <w:tc>
          <w:tcPr>
            <w:tcW w:type="dxa" w:w="4968"/>
            <w:vAlign w:val="center"/>
          </w:tcPr>
          <w:p>
            <w:r>
              <w:t>`11-SECURITY.md`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</w:t>
            </w:r>
          </w:p>
        </w:tc>
        <w:tc>
          <w:tcPr>
            <w:tcW w:type="dxa" w:w="4968"/>
            <w:vAlign w:val="center"/>
          </w:tcPr>
          <w:p>
            <w:r>
              <w:t>`12-TESTING.md`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</w:t>
            </w:r>
          </w:p>
        </w:tc>
        <w:tc>
          <w:tcPr>
            <w:tcW w:type="dxa" w:w="4968"/>
            <w:vAlign w:val="center"/>
          </w:tcPr>
          <w:p>
            <w:r>
              <w:t>`21-API-CONTRACT-FREEZE.md`</w:t>
            </w:r>
          </w:p>
        </w:tc>
      </w:tr>
      <w:tr>
        <w:tc>
          <w:tcPr>
            <w:tcW w:type="dxa" w:w="4968"/>
            <w:vAlign w:val="center"/>
          </w:tcPr>
          <w:p>
            <w:r>
              <w:t>Demo</w:t>
            </w:r>
          </w:p>
        </w:tc>
        <w:tc>
          <w:tcPr>
            <w:tcW w:type="dxa" w:w="4968"/>
            <w:vAlign w:val="center"/>
          </w:tcPr>
          <w:p>
            <w:r>
              <w:t>`18-DEMO-SCRIPT.md`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