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469"/>
          <w:sz w:val="64"/>
        </w:rPr>
        <w:t>ECDAT</w:t>
      </w:r>
    </w:p>
    <w:p>
      <w:pPr>
        <w:jc w:val="center"/>
      </w:pPr>
      <w:r>
        <w:rPr>
          <w:b/>
          <w:sz w:val="36"/>
        </w:rPr>
        <w:t>Enterprise Cryptographic Discovery &amp; Analysis Tool</w:t>
      </w:r>
    </w:p>
    <w:p>
      <w:pPr>
        <w:jc w:val="center"/>
      </w:pPr>
      <w:r>
        <w:rPr>
          <w:sz w:val="24"/>
        </w:rPr>
        <w:t>SIH26164 - NTRO | Demo Product Architecture + Product Requirements Document</w:t>
      </w:r>
    </w:p>
    <w:p/>
    <w:p>
      <w:pPr>
        <w:jc w:val="center"/>
      </w:pPr>
      <w:r>
        <w:rPr>
          <w:i/>
          <w:sz w:val="28"/>
        </w:rPr>
        <w:t>Discover. Prove. Assess. Plan. Validate.</w:t>
      </w:r>
    </w:p>
    <w:p/>
    <w:p>
      <w:pPr>
        <w:jc w:val="center"/>
      </w:pPr>
      <w:r>
        <w:rPr>
          <w:sz w:val="20"/>
        </w:rPr>
        <w:t>Product type: defensive security / cryptographic intelligence platform</w:t>
      </w:r>
    </w:p>
    <w:p>
      <w:pPr>
        <w:jc w:val="center"/>
      </w:pPr>
      <w:r>
        <w:rPr>
          <w:sz w:val="20"/>
        </w:rPr>
        <w:t>Primary output: cryptographic inventory + CycloneDX 1.7 CBOM + quantum-risk and migration analysis</w:t>
      </w:r>
    </w:p>
    <w:p>
      <w:pPr>
        <w:jc w:val="center"/>
      </w:pPr>
      <w:r>
        <w:rPr>
          <w:sz w:val="20"/>
        </w:rPr>
        <w:t>Development posture: demo product first, research-grade architecture underneath</w:t>
      </w:r>
    </w:p>
    <w:p>
      <w:pPr>
        <w:jc w:val="center"/>
      </w:pPr>
      <w:r>
        <w:rPr>
          <w:sz w:val="20"/>
        </w:rPr>
        <w:t>Current standards basis: NIST PQC / crypto-agility + CycloneDX + current IETF PQ TLS work</w:t>
      </w:r>
    </w:p>
    <w:p>
      <w:r>
        <w:br w:type="page"/>
      </w:r>
    </w:p>
    <w:p>
      <w:r>
        <w:rPr>
          <w:b/>
          <w:color w:val="1C4469"/>
        </w:rPr>
        <w:t>Scope note</w:t>
      </w:r>
    </w:p>
    <w:p>
      <w:r>
        <w:t>This PRD keeps the product anchored to SIH26164. The 36-hour submission is not treated as the project boundary. The demo is a focused vertical slice of the full architecture; advanced modalities and research experiments are staged behind extensible interfaces.</w:t>
      </w:r>
    </w:p>
    <w:p>
      <w:pPr>
        <w:pStyle w:val="Heading1"/>
      </w:pPr>
      <w:r>
        <w:t>1. Product concept</w:t>
      </w:r>
    </w:p>
    <w:p>
      <w:r>
        <w:t>ECDAT discovers cryptographic artefacts across software and infrastructure, records evidence for each finding, builds a cryptographic dependency graph, evaluates quantum and business risk, and produces evidence-backed PQC/hybrid migration recommendations.</w:t>
      </w:r>
    </w:p>
    <w:p>
      <w:r>
        <w:t>Core product loop:</w:t>
      </w:r>
    </w:p>
    <w:p>
      <w:pPr>
        <w:spacing w:after="120"/>
        <w:ind w:left="360" w:right="360"/>
      </w:pPr>
      <w:r>
        <w:rPr>
          <w:rFonts w:ascii="Consolas" w:hAnsi="Consolas"/>
          <w:sz w:val="16"/>
        </w:rPr>
        <w:t>DISCOVER -&gt; VERIFY -&gt; INVENTORY -&gt; FUSE EVIDENCE -&gt; GRAPH -&gt; ASSESS -&gt; PRIORITIZE -&gt; RECOMMEND -&gt; SIMULATE -&gt; VALIDATE -&gt; EXPORT</w:t>
      </w:r>
    </w:p>
    <w:p>
      <w:r>
        <w:t>This remains the SIH26164 solution. Evidence fusion, dependency reasoning, uncertainty-aware risk, crypto-agility, blast-radius analysis, and migration optimization are deeper layers that make the same requested capabilities more useful and more researchable.</w:t>
      </w:r>
    </w:p>
    <w:p>
      <w:pPr>
        <w:pStyle w:val="Heading1"/>
      </w:pPr>
      <w:r>
        <w:t>2. SIH requirement mapping</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SIH requirement</w:t>
            </w:r>
          </w:p>
        </w:tc>
        <w:tc>
          <w:tcPr>
            <w:tcW w:type="dxa" w:w="5112"/>
            <w:vAlign w:val="center"/>
            <w:shd w:fill="1F4E79"/>
          </w:tcPr>
          <w:p>
            <w:pPr>
              <w:spacing w:after="0"/>
            </w:pPr>
            <w:r>
              <w:rPr>
                <w:b/>
                <w:color w:val="FFFFFF"/>
                <w:sz w:val="16"/>
              </w:rPr>
              <w:t>ECDAT implementation</w:t>
            </w:r>
          </w:p>
        </w:tc>
      </w:tr>
      <w:tr>
        <w:trPr>
          <w:cantSplit/>
        </w:trPr>
        <w:tc>
          <w:tcPr>
            <w:tcW w:type="dxa" w:w="5112"/>
            <w:vAlign w:val="top"/>
          </w:tcPr>
          <w:p>
            <w:pPr>
              <w:spacing w:after="0"/>
            </w:pPr>
            <w:r>
              <w:rPr>
                <w:sz w:val="16"/>
              </w:rPr>
              <w:t>Discover algorithms, keys, certificates, protocols, libraries, hardware modules and cloud services</w:t>
            </w:r>
          </w:p>
        </w:tc>
        <w:tc>
          <w:tcPr>
            <w:tcW w:type="dxa" w:w="5112"/>
            <w:vAlign w:val="top"/>
          </w:tcPr>
          <w:p>
            <w:pPr>
              <w:spacing w:after="0"/>
            </w:pPr>
            <w:r>
              <w:rPr>
                <w:sz w:val="16"/>
              </w:rPr>
              <w:t>Discovery Engine + Knowledge Registry</w:t>
            </w:r>
          </w:p>
        </w:tc>
      </w:tr>
      <w:tr>
        <w:trPr>
          <w:cantSplit/>
        </w:trPr>
        <w:tc>
          <w:tcPr>
            <w:tcW w:type="dxa" w:w="5112"/>
            <w:vAlign w:val="top"/>
          </w:tcPr>
          <w:p>
            <w:pPr>
              <w:spacing w:after="0"/>
            </w:pPr>
            <w:r>
              <w:rPr>
                <w:sz w:val="16"/>
              </w:rPr>
              <w:t>Scan source repositories</w:t>
            </w:r>
          </w:p>
        </w:tc>
        <w:tc>
          <w:tcPr>
            <w:tcW w:type="dxa" w:w="5112"/>
            <w:vAlign w:val="top"/>
          </w:tcPr>
          <w:p>
            <w:pPr>
              <w:spacing w:after="0"/>
            </w:pPr>
            <w:r>
              <w:rPr>
                <w:sz w:val="16"/>
              </w:rPr>
              <w:t>Source/AST Engine</w:t>
            </w:r>
          </w:p>
        </w:tc>
      </w:tr>
      <w:tr>
        <w:trPr>
          <w:cantSplit/>
        </w:trPr>
        <w:tc>
          <w:tcPr>
            <w:tcW w:type="dxa" w:w="5112"/>
            <w:vAlign w:val="top"/>
          </w:tcPr>
          <w:p>
            <w:pPr>
              <w:spacing w:after="0"/>
            </w:pPr>
            <w:r>
              <w:rPr>
                <w:sz w:val="16"/>
              </w:rPr>
              <w:t>Scan binaries</w:t>
            </w:r>
          </w:p>
        </w:tc>
        <w:tc>
          <w:tcPr>
            <w:tcW w:type="dxa" w:w="5112"/>
            <w:vAlign w:val="top"/>
          </w:tcPr>
          <w:p>
            <w:pPr>
              <w:spacing w:after="0"/>
            </w:pPr>
            <w:r>
              <w:rPr>
                <w:sz w:val="16"/>
              </w:rPr>
              <w:t>Binary Engine</w:t>
            </w:r>
          </w:p>
        </w:tc>
      </w:tr>
      <w:tr>
        <w:trPr>
          <w:cantSplit/>
        </w:trPr>
        <w:tc>
          <w:tcPr>
            <w:tcW w:type="dxa" w:w="5112"/>
            <w:vAlign w:val="top"/>
          </w:tcPr>
          <w:p>
            <w:pPr>
              <w:spacing w:after="0"/>
            </w:pPr>
            <w:r>
              <w:rPr>
                <w:sz w:val="16"/>
              </w:rPr>
              <w:t>Scan libraries/dependencies</w:t>
            </w:r>
          </w:p>
        </w:tc>
        <w:tc>
          <w:tcPr>
            <w:tcW w:type="dxa" w:w="5112"/>
            <w:vAlign w:val="top"/>
          </w:tcPr>
          <w:p>
            <w:pPr>
              <w:spacing w:after="0"/>
            </w:pPr>
            <w:r>
              <w:rPr>
                <w:sz w:val="16"/>
              </w:rPr>
              <w:t>Dependency Engine</w:t>
            </w:r>
          </w:p>
        </w:tc>
      </w:tr>
      <w:tr>
        <w:trPr>
          <w:cantSplit/>
        </w:trPr>
        <w:tc>
          <w:tcPr>
            <w:tcW w:type="dxa" w:w="5112"/>
            <w:vAlign w:val="top"/>
          </w:tcPr>
          <w:p>
            <w:pPr>
              <w:spacing w:after="0"/>
            </w:pPr>
            <w:r>
              <w:rPr>
                <w:sz w:val="16"/>
              </w:rPr>
              <w:t>Scan container images</w:t>
            </w:r>
          </w:p>
        </w:tc>
        <w:tc>
          <w:tcPr>
            <w:tcW w:type="dxa" w:w="5112"/>
            <w:vAlign w:val="top"/>
          </w:tcPr>
          <w:p>
            <w:pPr>
              <w:spacing w:after="0"/>
            </w:pPr>
            <w:r>
              <w:rPr>
                <w:sz w:val="16"/>
              </w:rPr>
              <w:t>Container Engine</w:t>
            </w:r>
          </w:p>
        </w:tc>
      </w:tr>
      <w:tr>
        <w:trPr>
          <w:cantSplit/>
        </w:trPr>
        <w:tc>
          <w:tcPr>
            <w:tcW w:type="dxa" w:w="5112"/>
            <w:vAlign w:val="top"/>
          </w:tcPr>
          <w:p>
            <w:pPr>
              <w:spacing w:after="0"/>
            </w:pPr>
            <w:r>
              <w:rPr>
                <w:sz w:val="16"/>
              </w:rPr>
              <w:t>Comprehensive quantum risk assessment</w:t>
            </w:r>
          </w:p>
        </w:tc>
        <w:tc>
          <w:tcPr>
            <w:tcW w:type="dxa" w:w="5112"/>
            <w:vAlign w:val="top"/>
          </w:tcPr>
          <w:p>
            <w:pPr>
              <w:spacing w:after="0"/>
            </w:pPr>
            <w:r>
              <w:rPr>
                <w:sz w:val="16"/>
              </w:rPr>
              <w:t>Quantum Risk Engine</w:t>
            </w:r>
          </w:p>
        </w:tc>
      </w:tr>
      <w:tr>
        <w:trPr>
          <w:cantSplit/>
        </w:trPr>
        <w:tc>
          <w:tcPr>
            <w:tcW w:type="dxa" w:w="5112"/>
            <w:vAlign w:val="top"/>
          </w:tcPr>
          <w:p>
            <w:pPr>
              <w:spacing w:after="0"/>
            </w:pPr>
            <w:r>
              <w:rPr>
                <w:sz w:val="16"/>
              </w:rPr>
              <w:t>Classify by type, lifetime, criticality</w:t>
            </w:r>
          </w:p>
        </w:tc>
        <w:tc>
          <w:tcPr>
            <w:tcW w:type="dxa" w:w="5112"/>
            <w:vAlign w:val="top"/>
          </w:tcPr>
          <w:p>
            <w:pPr>
              <w:spacing w:after="0"/>
            </w:pPr>
            <w:r>
              <w:rPr>
                <w:sz w:val="16"/>
              </w:rPr>
              <w:t>Asset + Context model</w:t>
            </w:r>
          </w:p>
        </w:tc>
      </w:tr>
      <w:tr>
        <w:trPr>
          <w:cantSplit/>
        </w:trPr>
        <w:tc>
          <w:tcPr>
            <w:tcW w:type="dxa" w:w="5112"/>
            <w:vAlign w:val="top"/>
          </w:tcPr>
          <w:p>
            <w:pPr>
              <w:spacing w:after="0"/>
            </w:pPr>
            <w:r>
              <w:rPr>
                <w:sz w:val="16"/>
              </w:rPr>
              <w:t>Mosca-style analysis</w:t>
            </w:r>
          </w:p>
        </w:tc>
        <w:tc>
          <w:tcPr>
            <w:tcW w:type="dxa" w:w="5112"/>
            <w:vAlign w:val="top"/>
          </w:tcPr>
          <w:p>
            <w:pPr>
              <w:spacing w:after="0"/>
            </w:pPr>
            <w:r>
              <w:rPr>
                <w:sz w:val="16"/>
              </w:rPr>
              <w:t>Temporal risk model</w:t>
            </w:r>
          </w:p>
        </w:tc>
      </w:tr>
      <w:tr>
        <w:trPr>
          <w:cantSplit/>
        </w:trPr>
        <w:tc>
          <w:tcPr>
            <w:tcW w:type="dxa" w:w="5112"/>
            <w:vAlign w:val="top"/>
          </w:tcPr>
          <w:p>
            <w:pPr>
              <w:spacing w:after="0"/>
            </w:pPr>
            <w:r>
              <w:rPr>
                <w:sz w:val="16"/>
              </w:rPr>
              <w:t>Recommend PQC/hybrid alternatives</w:t>
            </w:r>
          </w:p>
        </w:tc>
        <w:tc>
          <w:tcPr>
            <w:tcW w:type="dxa" w:w="5112"/>
            <w:vAlign w:val="top"/>
          </w:tcPr>
          <w:p>
            <w:pPr>
              <w:spacing w:after="0"/>
            </w:pPr>
            <w:r>
              <w:rPr>
                <w:sz w:val="16"/>
              </w:rPr>
              <w:t>Migration Engine</w:t>
            </w:r>
          </w:p>
        </w:tc>
      </w:tr>
      <w:tr>
        <w:trPr>
          <w:cantSplit/>
        </w:trPr>
        <w:tc>
          <w:tcPr>
            <w:tcW w:type="dxa" w:w="5112"/>
            <w:vAlign w:val="top"/>
          </w:tcPr>
          <w:p>
            <w:pPr>
              <w:spacing w:after="0"/>
            </w:pPr>
            <w:r>
              <w:rPr>
                <w:sz w:val="16"/>
              </w:rPr>
              <w:t>Standardized crypto report</w:t>
            </w:r>
          </w:p>
        </w:tc>
        <w:tc>
          <w:tcPr>
            <w:tcW w:type="dxa" w:w="5112"/>
            <w:vAlign w:val="top"/>
          </w:tcPr>
          <w:p>
            <w:pPr>
              <w:spacing w:after="0"/>
            </w:pPr>
            <w:r>
              <w:rPr>
                <w:sz w:val="16"/>
              </w:rPr>
              <w:t>CycloneDX 1.7 CBOM export</w:t>
            </w:r>
          </w:p>
        </w:tc>
      </w:tr>
      <w:tr>
        <w:trPr>
          <w:cantSplit/>
        </w:trPr>
        <w:tc>
          <w:tcPr>
            <w:tcW w:type="dxa" w:w="5112"/>
            <w:vAlign w:val="top"/>
          </w:tcPr>
          <w:p>
            <w:pPr>
              <w:spacing w:after="0"/>
            </w:pPr>
            <w:r>
              <w:rPr>
                <w:sz w:val="16"/>
              </w:rPr>
              <w:t>Interactive GUI</w:t>
            </w:r>
          </w:p>
        </w:tc>
        <w:tc>
          <w:tcPr>
            <w:tcW w:type="dxa" w:w="5112"/>
            <w:vAlign w:val="top"/>
          </w:tcPr>
          <w:p>
            <w:pPr>
              <w:spacing w:after="0"/>
            </w:pPr>
            <w:r>
              <w:rPr>
                <w:sz w:val="16"/>
              </w:rPr>
              <w:t>Next.js dashboard</w:t>
            </w:r>
          </w:p>
        </w:tc>
      </w:tr>
    </w:tbl>
    <w:p>
      <w:pPr>
        <w:pStyle w:val="Heading1"/>
      </w:pPr>
      <w:r>
        <w:t>3. Target demo product</w:t>
      </w:r>
    </w:p>
    <w:p>
      <w:pPr>
        <w:pStyle w:val="Heading2"/>
      </w:pPr>
      <w:r>
        <w:t>Demo promise</w:t>
      </w:r>
    </w:p>
    <w:p>
      <w:pPr>
        <w:pStyle w:val="ListBullet"/>
      </w:pPr>
      <w:r>
        <w:t>A cryptographic inventory with algorithm, role, version/mode and lifecycle metadata.</w:t>
      </w:r>
    </w:p>
    <w:p>
      <w:pPr>
        <w:pStyle w:val="ListBullet"/>
      </w:pPr>
      <w:r>
        <w:t>A CycloneDX 1.7 CBOM.</w:t>
      </w:r>
    </w:p>
    <w:p>
      <w:pPr>
        <w:pStyle w:val="ListBullet"/>
      </w:pPr>
      <w:r>
        <w:t>Evidence and provenance for every finding.</w:t>
      </w:r>
    </w:p>
    <w:p>
      <w:pPr>
        <w:pStyle w:val="ListBullet"/>
      </w:pPr>
      <w:r>
        <w:t>A dependency/cryptographic graph.</w:t>
      </w:r>
    </w:p>
    <w:p>
      <w:pPr>
        <w:pStyle w:val="ListBullet"/>
      </w:pPr>
      <w:r>
        <w:t>Mosca-style quantum-risk analysis with visible inputs.</w:t>
      </w:r>
    </w:p>
    <w:p>
      <w:pPr>
        <w:pStyle w:val="ListBullet"/>
      </w:pPr>
      <w:r>
        <w:t>A crypto-agility profile.</w:t>
      </w:r>
    </w:p>
    <w:p>
      <w:pPr>
        <w:pStyle w:val="ListBullet"/>
      </w:pPr>
      <w:r>
        <w:t>Migration-impact / blast-radius analysis.</w:t>
      </w:r>
    </w:p>
    <w:p>
      <w:pPr>
        <w:pStyle w:val="ListBullet"/>
      </w:pPr>
      <w:r>
        <w:t>PQC/hybrid candidate recommendations.</w:t>
      </w:r>
    </w:p>
    <w:p>
      <w:pPr>
        <w:pStyle w:val="ListBullet"/>
      </w:pPr>
      <w:r>
        <w:t>A migration plan with validation gates.</w:t>
      </w:r>
    </w:p>
    <w:p>
      <w:pPr>
        <w:pStyle w:val="Heading2"/>
      </w:pPr>
      <w:r>
        <w:t>Demo boundary</w:t>
      </w:r>
    </w:p>
    <w:p>
      <w:r>
        <w:t>The demo should be truthful about coverage. It should deeply support a controlled set of modalities and provide extensible adapters for the rest. It should not claim exhaustive binary reverse engineering or complete live cloud coverage.</w:t>
      </w:r>
    </w:p>
    <w:p>
      <w:pPr>
        <w:pStyle w:val="Heading1"/>
      </w:pPr>
      <w:r>
        <w:t>4. System architecture</w:t>
      </w:r>
    </w:p>
    <w:p>
      <w:r>
        <w:t>The architecture is intentionally layered so the demo can ship without forcing every enterprise connector into the first release.</w:t>
      </w:r>
    </w:p>
    <w:p>
      <w:pPr>
        <w:jc w:val="center"/>
      </w:pPr>
      <w:r>
        <w:drawing>
          <wp:inline xmlns:a="http://schemas.openxmlformats.org/drawingml/2006/main" xmlns:pic="http://schemas.openxmlformats.org/drawingml/2006/picture">
            <wp:extent cx="6263640" cy="692577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63640" cy="6925774"/>
                    </a:xfrm>
                    <a:prstGeom prst="rect"/>
                  </pic:spPr>
                </pic:pic>
              </a:graphicData>
            </a:graphic>
          </wp:inline>
        </w:drawing>
      </w:r>
    </w:p>
    <w:p>
      <w:pPr>
        <w:pStyle w:val="Heading2"/>
      </w:pPr>
      <w:r>
        <w:t>End-to-end workflow</w:t>
      </w:r>
    </w:p>
    <w:p>
      <w:pPr>
        <w:spacing w:after="120"/>
        <w:ind w:left="360" w:right="360"/>
      </w:pPr>
      <w:r>
        <w:rPr>
          <w:rFonts w:ascii="Consolas" w:hAnsi="Consolas"/>
          <w:sz w:val="16"/>
        </w:rPr>
        <w:t>CONNECT / UPLOAD -&gt; DISCOVER -&gt; VERIFY -&gt; INVENTORY -&gt; FUSE EVIDENCE -&gt; BUILD GRAPH -&gt; ASSESS RISK -&gt; ASSESS AGILITY -&gt; RECOMMEND -&gt; SIMULATE -&gt; VALIDATE -&gt; EXPORT</w:t>
      </w:r>
    </w:p>
    <w:p>
      <w:pPr>
        <w:pStyle w:val="Heading2"/>
      </w:pPr>
      <w:r>
        <w:t>Component responsibilities</w:t>
      </w:r>
    </w:p>
    <w:p>
      <w:r>
        <w:rPr>
          <w:b/>
        </w:rPr>
        <w:t xml:space="preserve">Web UI: </w:t>
      </w:r>
      <w:r>
        <w:t>Scan submission, asset inventory, asset detail, risk dashboard, graph explorer, migration planner and reports.</w:t>
      </w:r>
    </w:p>
    <w:p>
      <w:r>
        <w:rPr>
          <w:b/>
        </w:rPr>
        <w:t xml:space="preserve">API / Orchestrator: </w:t>
      </w:r>
      <w:r>
        <w:t>Authentication, scan lifecycle, job orchestration, result aggregation, export and audit logging.</w:t>
      </w:r>
    </w:p>
    <w:p>
      <w:r>
        <w:rPr>
          <w:b/>
        </w:rPr>
        <w:t xml:space="preserve">Discovery Engine: </w:t>
      </w:r>
      <w:r>
        <w:t>Pluggable collectors for source, AST, dependency, certificates, binaries, containers, protocols and cloud metadata.</w:t>
      </w:r>
    </w:p>
    <w:p>
      <w:r>
        <w:rPr>
          <w:b/>
        </w:rPr>
        <w:t xml:space="preserve">Evidence Store: </w:t>
      </w:r>
      <w:r>
        <w:t>Every finding is represented as evidence with provenance, detector, source location, observation time and confidence.</w:t>
      </w:r>
    </w:p>
    <w:p>
      <w:r>
        <w:rPr>
          <w:b/>
        </w:rPr>
        <w:t xml:space="preserve">Evidence Fusion: </w:t>
      </w:r>
      <w:r>
        <w:t>Combines multiple observations into claims and handles corroboration or contradiction.</w:t>
      </w:r>
    </w:p>
    <w:p>
      <w:r>
        <w:rPr>
          <w:b/>
        </w:rPr>
        <w:t xml:space="preserve">Cryptographic Graph: </w:t>
      </w:r>
      <w:r>
        <w:t>Connects applications, services, repositories, libraries, algorithms, certificates, keys, protocols, containers, KMS/HSM and data assets.</w:t>
      </w:r>
    </w:p>
    <w:p>
      <w:r>
        <w:rPr>
          <w:b/>
        </w:rPr>
        <w:t xml:space="preserve">Quantum Risk Engine: </w:t>
      </w:r>
      <w:r>
        <w:t>Mosca-style temporal analysis, uncertainty, harvest-now-decrypt-later sensitivity, business criticality and exposure.</w:t>
      </w:r>
    </w:p>
    <w:p>
      <w:r>
        <w:rPr>
          <w:b/>
        </w:rPr>
        <w:t xml:space="preserve">Crypto-Agility Engine: </w:t>
      </w:r>
      <w:r>
        <w:t>Assesses abstraction, configuration flexibility, dependency coupling, certificate/key agility, vendor coupling, testing and rollback.</w:t>
      </w:r>
    </w:p>
    <w:p>
      <w:r>
        <w:rPr>
          <w:b/>
        </w:rPr>
        <w:t xml:space="preserve">Migration Engine: </w:t>
      </w:r>
      <w:r>
        <w:t>Compares PQC/hybrid candidates using security, latency, compatibility, cost and lifecycle constraints.</w:t>
      </w:r>
    </w:p>
    <w:p>
      <w:r>
        <w:rPr>
          <w:b/>
        </w:rPr>
        <w:t xml:space="preserve">Blast Radius + Optimizer: </w:t>
      </w:r>
      <w:r>
        <w:t>Computes affected assets and migration waves; later supports constrained/Pareto optimization.</w:t>
      </w:r>
    </w:p>
    <w:p>
      <w:r>
        <w:rPr>
          <w:b/>
        </w:rPr>
        <w:t xml:space="preserve">Validation Engine: </w:t>
      </w:r>
      <w:r>
        <w:t>Checks migration proposals with static, dependency, build, test and security gates.</w:t>
      </w:r>
    </w:p>
    <w:p>
      <w:pPr>
        <w:pStyle w:val="Heading1"/>
      </w:pPr>
      <w:r>
        <w:t>5. Discovery architecture</w:t>
      </w:r>
    </w:p>
    <w:p>
      <w:pPr>
        <w:pStyle w:val="Heading2"/>
      </w:pPr>
      <w:r>
        <w:t>Deeply supported in the demo</w:t>
      </w:r>
    </w:p>
    <w:p>
      <w:pPr>
        <w:pStyle w:val="ListBullet"/>
      </w:pPr>
      <w:r>
        <w:t>Git repository / ZIP upload</w:t>
      </w:r>
    </w:p>
    <w:p>
      <w:pPr>
        <w:pStyle w:val="ListBullet"/>
      </w:pPr>
      <w:r>
        <w:t>Python source and AST analysis</w:t>
      </w:r>
    </w:p>
    <w:p>
      <w:pPr>
        <w:pStyle w:val="ListBullet"/>
      </w:pPr>
      <w:r>
        <w:t>Dependency manifests and lockfiles</w:t>
      </w:r>
    </w:p>
    <w:p>
      <w:pPr>
        <w:pStyle w:val="ListBullet"/>
      </w:pPr>
      <w:r>
        <w:t>X.509 certificate parsing</w:t>
      </w:r>
    </w:p>
    <w:p>
      <w:pPr>
        <w:pStyle w:val="ListBullet"/>
      </w:pPr>
      <w:r>
        <w:t>Container image filesystem/package inspection</w:t>
      </w:r>
    </w:p>
    <w:p>
      <w:pPr>
        <w:pStyle w:val="ListBullet"/>
      </w:pPr>
      <w:r>
        <w:t>Controlled TLS endpoint observation</w:t>
      </w:r>
    </w:p>
    <w:p>
      <w:pPr>
        <w:pStyle w:val="Heading2"/>
      </w:pPr>
      <w:r>
        <w:t>Controlled adapters</w:t>
      </w:r>
    </w:p>
    <w:p>
      <w:pPr>
        <w:pStyle w:val="ListBullet"/>
      </w:pPr>
      <w:r>
        <w:t>Java / Go / C/C++ source rules</w:t>
      </w:r>
    </w:p>
    <w:p>
      <w:pPr>
        <w:pStyle w:val="ListBullet"/>
      </w:pPr>
      <w:r>
        <w:t>Binary strings and symbol signals</w:t>
      </w:r>
    </w:p>
    <w:p>
      <w:pPr>
        <w:pStyle w:val="ListBullet"/>
      </w:pPr>
      <w:r>
        <w:t>Cloud/KMS/HSM metadata via imported JSON</w:t>
      </w:r>
    </w:p>
    <w:p>
      <w:pPr>
        <w:pStyle w:val="Heading2"/>
      </w:pPr>
      <w:r>
        <w:t>Future adapters</w:t>
      </w:r>
    </w:p>
    <w:p>
      <w:pPr>
        <w:pStyle w:val="ListBullet"/>
      </w:pPr>
      <w:r>
        <w:t>Full binary implementation analysis</w:t>
      </w:r>
    </w:p>
    <w:p>
      <w:pPr>
        <w:pStyle w:val="ListBullet"/>
      </w:pPr>
      <w:r>
        <w:t>Runtime / eBPF observation</w:t>
      </w:r>
    </w:p>
    <w:p>
      <w:pPr>
        <w:pStyle w:val="ListBullet"/>
      </w:pPr>
      <w:r>
        <w:t>AWS/Azure/GCP live connectors</w:t>
      </w:r>
    </w:p>
    <w:p>
      <w:pPr>
        <w:pStyle w:val="ListBullet"/>
      </w:pPr>
      <w:r>
        <w:t>SSH / QUIC / EAP-TLS / DTLS / IoT protocol adapters</w:t>
      </w:r>
    </w:p>
    <w:p>
      <w:pPr>
        <w:pStyle w:val="Heading1"/>
      </w:pPr>
      <w:r>
        <w:t>6. Evidence model</w:t>
      </w:r>
    </w:p>
    <w:p>
      <w:r>
        <w:t>Every cryptographic claim should have multiple supporting observations when available.</w:t>
      </w:r>
    </w:p>
    <w:p>
      <w:pPr>
        <w:spacing w:after="120"/>
        <w:ind w:left="360" w:right="360"/>
      </w:pPr>
      <w:r>
        <w:rPr>
          <w:rFonts w:ascii="Consolas" w:hAnsi="Consolas"/>
          <w:sz w:val="16"/>
        </w:rPr>
        <w:t>Evidence</w:t>
        <w:br/>
        <w:t xml:space="preserve">  - evidence_id</w:t>
        <w:br/>
        <w:t xml:space="preserve">  - asset_id</w:t>
        <w:br/>
        <w:t xml:space="preserve">  - source_type</w:t>
        <w:br/>
        <w:t xml:space="preserve">  - source_location</w:t>
        <w:br/>
        <w:t xml:space="preserve">  - detector</w:t>
        <w:br/>
        <w:t xml:space="preserve">  - raw_signal</w:t>
        <w:br/>
        <w:t xml:space="preserve">  - normalized_claim</w:t>
        <w:br/>
        <w:t xml:space="preserve">  - observation_time</w:t>
        <w:br/>
        <w:t xml:space="preserve">  - confidence</w:t>
        <w:br/>
        <w:t xml:space="preserve">  - provenance</w:t>
        <w:br/>
        <w:t xml:space="preserve">  - status</w:t>
      </w:r>
    </w:p>
    <w:p>
      <w:r>
        <w:t>Core semantic rule: Capability != implementation != configured use != negotiated use.</w:t>
      </w:r>
    </w:p>
    <w:p>
      <w:pPr>
        <w:pStyle w:val="Heading1"/>
      </w:pPr>
      <w:r>
        <w:t>7. Asset and graph model</w:t>
      </w:r>
    </w:p>
    <w:p>
      <w:pPr>
        <w:pStyle w:val="Heading2"/>
      </w:pPr>
      <w:r>
        <w:t>Core asset types</w:t>
      </w:r>
    </w:p>
    <w:p>
      <w:r>
        <w:t>Application, Service, Repository, Library, Binary, Container, Algorithm, Key metadata, Certificate, Protocol, KMS/HSM, Data asset, Business service.</w:t>
      </w:r>
    </w:p>
    <w:p>
      <w:pPr>
        <w:pStyle w:val="Heading2"/>
      </w:pPr>
      <w:r>
        <w:t>Core relationships</w:t>
      </w:r>
    </w:p>
    <w:p>
      <w:r>
        <w:t>USES, DEPENDS_ON, IMPLEMENTS, PROTECTS, SIGNS, ENCRYPTS, NEGOTIATES, DEPLOYED_ON, ISSUED_BY, STORED_IN.</w:t>
      </w:r>
    </w:p>
    <w:p>
      <w:pPr>
        <w:spacing w:after="120"/>
        <w:ind w:left="360" w:right="360"/>
      </w:pPr>
      <w:r>
        <w:rPr>
          <w:rFonts w:ascii="Consolas" w:hAnsi="Consolas"/>
          <w:sz w:val="16"/>
        </w:rPr>
        <w:t>Payment Service</w:t>
        <w:br/>
        <w:t xml:space="preserve">  |-- DEPENDS_ON --&gt; OpenSSL</w:t>
        <w:br/>
        <w:t xml:space="preserve">  |                     |-- PROVIDES --&gt; RSA</w:t>
        <w:br/>
        <w:t xml:space="preserve">  |                     |-- PROVIDES --&gt; ECDSA</w:t>
        <w:br/>
        <w:t xml:space="preserve">  |</w:t>
        <w:br/>
        <w:t xml:space="preserve">  |-- USES --&gt; RSA-2048 --&gt; SIGNS --&gt; JWT</w:t>
        <w:br/>
        <w:t xml:space="preserve">  |-- USES --&gt; ECDSA-P256 --&gt; CERTIFICATE</w:t>
        <w:br/>
        <w:t xml:space="preserve">  |-- NEGOTIATES --&gt; X25519 + ML-KEM-768 --&gt; TLS</w:t>
        <w:br/>
        <w:t xml:space="preserve">  |-- PROTECTS --&gt; Payment Data</w:t>
      </w:r>
    </w:p>
    <w:p>
      <w:pPr>
        <w:pStyle w:val="Heading1"/>
      </w:pPr>
      <w:r>
        <w:t>8. Quantum-risk model</w:t>
      </w:r>
    </w:p>
    <w:p>
      <w:pPr>
        <w:pStyle w:val="Heading2"/>
      </w:pPr>
      <w:r>
        <w:t>Baseline</w:t>
      </w:r>
    </w:p>
    <w:p>
      <w:pPr>
        <w:spacing w:after="120"/>
        <w:ind w:left="360" w:right="360"/>
      </w:pPr>
      <w:r>
        <w:rPr>
          <w:rFonts w:ascii="Consolas" w:hAnsi="Consolas"/>
          <w:sz w:val="16"/>
        </w:rPr>
        <w:t>X + Y &gt; Z</w:t>
        <w:br/>
        <w:br/>
        <w:t>X = data/security lifetime</w:t>
        <w:br/>
        <w:t>Y = migration time</w:t>
        <w:br/>
        <w:t>Z = time horizon to a cryptographically relevant quantum capability</w:t>
      </w:r>
    </w:p>
    <w:p>
      <w:pPr>
        <w:pStyle w:val="Heading2"/>
      </w:pPr>
      <w:r>
        <w:t>Research-grade extension</w:t>
      </w:r>
    </w:p>
    <w:p>
      <w:r>
        <w:t>Rather than forcing a single hard-coded Z, allow Z to be represented as a distribution and compute P(X + Y &gt; Z). The business/context layer can then incorporate criticality, sensitivity, exposure and migration difficulty. Any weights are an ECDAT analytic model and must be configurable and validated; they are not NIST normative weights.</w:t>
      </w:r>
    </w:p>
    <w:p>
      <w:pPr>
        <w:pStyle w:val="Heading2"/>
      </w:pPr>
      <w:r>
        <w:t>Demo output</w:t>
      </w:r>
    </w:p>
    <w:p>
      <w:r>
        <w:t>Quantum exposure probability/band; data lifetime; estimated migration duration; business criticality; data sensitivity; exposure; migration difficulty; confidence; recommended migration wave.</w:t>
      </w:r>
    </w:p>
    <w:p>
      <w:pPr>
        <w:pStyle w:val="Heading1"/>
      </w:pPr>
      <w:r>
        <w:t>9. Crypto-agility model</w:t>
      </w:r>
    </w:p>
    <w:p>
      <w:pPr>
        <w:pStyle w:val="ListBullet"/>
      </w:pPr>
      <w:r>
        <w:t>Algorithm abstraction</w:t>
      </w:r>
    </w:p>
    <w:p>
      <w:pPr>
        <w:pStyle w:val="ListBullet"/>
      </w:pPr>
      <w:r>
        <w:t>Configuration externalization</w:t>
      </w:r>
    </w:p>
    <w:p>
      <w:pPr>
        <w:pStyle w:val="ListBullet"/>
      </w:pPr>
      <w:r>
        <w:t>Protocol negotiation flexibility</w:t>
      </w:r>
    </w:p>
    <w:p>
      <w:pPr>
        <w:pStyle w:val="ListBullet"/>
      </w:pPr>
      <w:r>
        <w:t>Dependency coupling</w:t>
      </w:r>
    </w:p>
    <w:p>
      <w:pPr>
        <w:pStyle w:val="ListBullet"/>
      </w:pPr>
      <w:r>
        <w:t>Certificate agility</w:t>
      </w:r>
    </w:p>
    <w:p>
      <w:pPr>
        <w:pStyle w:val="ListBullet"/>
      </w:pPr>
      <w:r>
        <w:t>Key-management flexibility</w:t>
      </w:r>
    </w:p>
    <w:p>
      <w:pPr>
        <w:pStyle w:val="ListBullet"/>
      </w:pPr>
      <w:r>
        <w:t>Vendor dependency</w:t>
      </w:r>
    </w:p>
    <w:p>
      <w:pPr>
        <w:pStyle w:val="ListBullet"/>
      </w:pPr>
      <w:r>
        <w:t>Deployment coupling</w:t>
      </w:r>
    </w:p>
    <w:p>
      <w:pPr>
        <w:pStyle w:val="ListBullet"/>
      </w:pPr>
      <w:r>
        <w:t>Test coverage</w:t>
      </w:r>
    </w:p>
    <w:p>
      <w:pPr>
        <w:pStyle w:val="ListBullet"/>
      </w:pPr>
      <w:r>
        <w:t>Rollback capability</w:t>
      </w:r>
    </w:p>
    <w:p>
      <w:r>
        <w:t>Research question: do these measurable architectural features predict migration effort and blast radius?</w:t>
      </w:r>
    </w:p>
    <w:p>
      <w:pPr>
        <w:pStyle w:val="Heading1"/>
      </w:pPr>
      <w:r>
        <w:t>10. PQC knowledge and recommendation engine</w:t>
      </w:r>
    </w:p>
    <w:p>
      <w:r>
        <w:t>Baseline standards registry: ML-KEM (FIPS 203) for key establishment, ML-DSA (FIPS 204) for signatures, and SLH-DSA (FIPS 205) for signatures.</w:t>
      </w:r>
    </w:p>
    <w:p>
      <w:r>
        <w:t>The long-term recommendation engine should use a versioned registry containing algorithm identifier, family/role, standard/status, security level, parameter set, size characteristics, performance, protocol support, implementation availability, certification/lifecycle metadata, evidence sources and last verification date.</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shd w:fill="1F4E79"/>
          </w:tcPr>
          <w:p>
            <w:pPr>
              <w:spacing w:after="0"/>
            </w:pPr>
            <w:r>
              <w:rPr>
                <w:b/>
                <w:color w:val="FFFFFF"/>
                <w:sz w:val="16"/>
              </w:rPr>
              <w:t>Current use</w:t>
            </w:r>
          </w:p>
        </w:tc>
        <w:tc>
          <w:tcPr>
            <w:tcW w:type="dxa" w:w="3408"/>
            <w:vAlign w:val="center"/>
            <w:shd w:fill="1F4E79"/>
          </w:tcPr>
          <w:p>
            <w:pPr>
              <w:spacing w:after="0"/>
            </w:pPr>
            <w:r>
              <w:rPr>
                <w:b/>
                <w:color w:val="FFFFFF"/>
                <w:sz w:val="16"/>
              </w:rPr>
              <w:t>Candidate direction</w:t>
            </w:r>
          </w:p>
        </w:tc>
        <w:tc>
          <w:tcPr>
            <w:tcW w:type="dxa" w:w="3408"/>
            <w:vAlign w:val="center"/>
            <w:shd w:fill="1F4E79"/>
          </w:tcPr>
          <w:p>
            <w:pPr>
              <w:spacing w:after="0"/>
            </w:pPr>
            <w:r>
              <w:rPr>
                <w:b/>
                <w:color w:val="FFFFFF"/>
                <w:sz w:val="16"/>
              </w:rPr>
              <w:t>Important constraint</w:t>
            </w:r>
          </w:p>
        </w:tc>
      </w:tr>
      <w:tr>
        <w:trPr>
          <w:cantSplit/>
        </w:trPr>
        <w:tc>
          <w:tcPr>
            <w:tcW w:type="dxa" w:w="3408"/>
            <w:vAlign w:val="top"/>
          </w:tcPr>
          <w:p>
            <w:pPr>
              <w:spacing w:after="0"/>
            </w:pPr>
            <w:r>
              <w:rPr>
                <w:sz w:val="16"/>
              </w:rPr>
              <w:t>RSA/ECDSA signing</w:t>
            </w:r>
          </w:p>
        </w:tc>
        <w:tc>
          <w:tcPr>
            <w:tcW w:type="dxa" w:w="3408"/>
            <w:vAlign w:val="top"/>
          </w:tcPr>
          <w:p>
            <w:pPr>
              <w:spacing w:after="0"/>
            </w:pPr>
            <w:r>
              <w:rPr>
                <w:sz w:val="16"/>
              </w:rPr>
              <w:t>Evaluate ML-DSA candidates</w:t>
            </w:r>
          </w:p>
        </w:tc>
        <w:tc>
          <w:tcPr>
            <w:tcW w:type="dxa" w:w="3408"/>
            <w:vAlign w:val="top"/>
          </w:tcPr>
          <w:p>
            <w:pPr>
              <w:spacing w:after="0"/>
            </w:pPr>
            <w:r>
              <w:rPr>
                <w:sz w:val="16"/>
              </w:rPr>
              <w:t>Certificate and protocol support</w:t>
            </w:r>
          </w:p>
        </w:tc>
      </w:tr>
      <w:tr>
        <w:trPr>
          <w:cantSplit/>
        </w:trPr>
        <w:tc>
          <w:tcPr>
            <w:tcW w:type="dxa" w:w="3408"/>
            <w:vAlign w:val="top"/>
          </w:tcPr>
          <w:p>
            <w:pPr>
              <w:spacing w:after="0"/>
            </w:pPr>
            <w:r>
              <w:rPr>
                <w:sz w:val="16"/>
              </w:rPr>
              <w:t>X25519/ECDH in TLS</w:t>
            </w:r>
          </w:p>
        </w:tc>
        <w:tc>
          <w:tcPr>
            <w:tcW w:type="dxa" w:w="3408"/>
            <w:vAlign w:val="top"/>
          </w:tcPr>
          <w:p>
            <w:pPr>
              <w:spacing w:after="0"/>
            </w:pPr>
            <w:r>
              <w:rPr>
                <w:sz w:val="16"/>
              </w:rPr>
              <w:t>Evaluate hybrid ML-KEM integration</w:t>
            </w:r>
          </w:p>
        </w:tc>
        <w:tc>
          <w:tcPr>
            <w:tcW w:type="dxa" w:w="3408"/>
            <w:vAlign w:val="top"/>
          </w:tcPr>
          <w:p>
            <w:pPr>
              <w:spacing w:after="0"/>
            </w:pPr>
            <w:r>
              <w:rPr>
                <w:sz w:val="16"/>
              </w:rPr>
              <w:t>Protocol/library/client support</w:t>
            </w:r>
          </w:p>
        </w:tc>
      </w:tr>
      <w:tr>
        <w:trPr>
          <w:cantSplit/>
        </w:trPr>
        <w:tc>
          <w:tcPr>
            <w:tcW w:type="dxa" w:w="3408"/>
            <w:vAlign w:val="top"/>
          </w:tcPr>
          <w:p>
            <w:pPr>
              <w:spacing w:after="0"/>
            </w:pPr>
            <w:r>
              <w:rPr>
                <w:sz w:val="16"/>
              </w:rPr>
              <w:t>AES-256-GCM</w:t>
            </w:r>
          </w:p>
        </w:tc>
        <w:tc>
          <w:tcPr>
            <w:tcW w:type="dxa" w:w="3408"/>
            <w:vAlign w:val="top"/>
          </w:tcPr>
          <w:p>
            <w:pPr>
              <w:spacing w:after="0"/>
            </w:pPr>
            <w:r>
              <w:rPr>
                <w:sz w:val="16"/>
              </w:rPr>
              <w:t>Usually retain; context-sensitive quantum review</w:t>
            </w:r>
          </w:p>
        </w:tc>
        <w:tc>
          <w:tcPr>
            <w:tcW w:type="dxa" w:w="3408"/>
            <w:vAlign w:val="top"/>
          </w:tcPr>
          <w:p>
            <w:pPr>
              <w:spacing w:after="0"/>
            </w:pPr>
            <w:r>
              <w:rPr>
                <w:sz w:val="16"/>
              </w:rPr>
              <w:t>Do not auto-classify as a PQ migration replacement</w:t>
            </w:r>
          </w:p>
        </w:tc>
      </w:tr>
    </w:tbl>
    <w:p>
      <w:pPr>
        <w:pStyle w:val="Heading1"/>
      </w:pPr>
      <w:r>
        <w:t>11. Migration engine</w:t>
      </w:r>
    </w:p>
    <w:p>
      <w:pPr>
        <w:spacing w:after="120"/>
        <w:ind w:left="360" w:right="360"/>
      </w:pPr>
      <w:r>
        <w:rPr>
          <w:rFonts w:ascii="Consolas" w:hAnsi="Consolas"/>
          <w:sz w:val="16"/>
        </w:rPr>
        <w:t>CLASSICAL</w:t>
        <w:br/>
        <w:t xml:space="preserve">   -&gt; PQ-CAPABLE</w:t>
        <w:br/>
        <w:t xml:space="preserve">   -&gt; HYBRID / DUAL-STACK</w:t>
        <w:br/>
        <w:t xml:space="preserve">   -&gt; PQ AUTHENTICATION / PQ KEM</w:t>
        <w:br/>
        <w:t xml:space="preserve">   -&gt; PQ PREFERRED</w:t>
        <w:br/>
        <w:t xml:space="preserve">   -&gt; CLASSICAL RETIREMENT</w:t>
      </w:r>
    </w:p>
    <w:p>
      <w:r>
        <w:t>Migration strategies: source refactor, dependency upgrade, configuration change, certificate/PKI migration, protocol migration, gateway/termination change, and future sidecar/infrastructure strategies.</w:t>
      </w:r>
    </w:p>
    <w:p>
      <w:pPr>
        <w:pStyle w:val="Heading1"/>
      </w:pPr>
      <w:r>
        <w:t>12. Blast-radius engine</w:t>
      </w:r>
    </w:p>
    <w:p>
      <w:r>
        <w:t>For a selected crypto change, traverse graph edges to identify affected services, repositories, libraries, certificates, protocols, containers and business/data assets.</w:t>
      </w:r>
    </w:p>
    <w:p>
      <w:pPr>
        <w:spacing w:after="120"/>
        <w:ind w:left="360" w:right="360"/>
      </w:pPr>
      <w:r>
        <w:rPr>
          <w:rFonts w:ascii="Consolas" w:hAnsi="Consolas"/>
          <w:sz w:val="16"/>
        </w:rPr>
        <w:t>Proposed change: RSA-2048 -&gt; ML-DSA</w:t>
        <w:br/>
        <w:br/>
        <w:t>Affected services: derived from graph</w:t>
        <w:br/>
        <w:t>Affected repositories: derived from graph</w:t>
        <w:br/>
        <w:t>Affected certificates: derived from graph</w:t>
        <w:br/>
        <w:t>Dependency upgrades: derived from graph</w:t>
        <w:br/>
        <w:t>Protocol constraints: derived from graph</w:t>
        <w:br/>
        <w:t>Rollback checkpoints: derived from migration plan</w:t>
      </w:r>
    </w:p>
    <w:p>
      <w:pPr>
        <w:pStyle w:val="Heading1"/>
      </w:pPr>
      <w:r>
        <w:t>13. Migration optimizer</w:t>
      </w:r>
    </w:p>
    <w:p>
      <w:r>
        <w:t>For the demo, use a transparent heuristic whose inputs are visible to the user. For research, compare greedy risk-first, risk/cost ratio, constrained optimization and Pareto-frontier approaches. No internal heuristic should be presented as a standards formula.</w:t>
      </w:r>
    </w:p>
    <w:p>
      <w:pPr>
        <w:pStyle w:val="Heading1"/>
      </w:pPr>
      <w:r>
        <w:t>14. Validation engine</w:t>
      </w:r>
    </w:p>
    <w:p>
      <w:pPr>
        <w:spacing w:after="120"/>
        <w:ind w:left="360" w:right="360"/>
      </w:pPr>
      <w:r>
        <w:rPr>
          <w:rFonts w:ascii="Consolas" w:hAnsi="Consolas"/>
          <w:sz w:val="16"/>
        </w:rPr>
        <w:t>Migration proposal</w:t>
        <w:br/>
        <w:t xml:space="preserve">  -&gt; syntax / static checks</w:t>
        <w:br/>
        <w:t xml:space="preserve">  -&gt; dependency consistency</w:t>
        <w:br/>
        <w:t xml:space="preserve">  -&gt; build</w:t>
        <w:br/>
        <w:t xml:space="preserve">  -&gt; unit / integration tests</w:t>
        <w:br/>
        <w:t xml:space="preserve">  -&gt; cryptographic tests</w:t>
        <w:br/>
        <w:t xml:space="preserve">  -&gt; protocol regression</w:t>
        <w:br/>
        <w:t xml:space="preserve">  -&gt; security regression</w:t>
        <w:br/>
        <w:t xml:space="preserve">  -&gt; human approval</w:t>
      </w:r>
    </w:p>
    <w:p>
      <w:pPr>
        <w:pStyle w:val="Heading1"/>
      </w:pPr>
      <w:r>
        <w:t>15. Product screens</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Screen</w:t>
            </w:r>
          </w:p>
        </w:tc>
        <w:tc>
          <w:tcPr>
            <w:tcW w:type="dxa" w:w="5112"/>
            <w:vAlign w:val="center"/>
            <w:shd w:fill="1F4E79"/>
          </w:tcPr>
          <w:p>
            <w:pPr>
              <w:spacing w:after="0"/>
            </w:pPr>
            <w:r>
              <w:rPr>
                <w:b/>
                <w:color w:val="FFFFFF"/>
                <w:sz w:val="16"/>
              </w:rPr>
              <w:t>Primary purpose</w:t>
            </w:r>
          </w:p>
        </w:tc>
      </w:tr>
      <w:tr>
        <w:trPr>
          <w:cantSplit/>
        </w:trPr>
        <w:tc>
          <w:tcPr>
            <w:tcW w:type="dxa" w:w="5112"/>
            <w:vAlign w:val="top"/>
          </w:tcPr>
          <w:p>
            <w:pPr>
              <w:spacing w:after="0"/>
            </w:pPr>
            <w:r>
              <w:rPr>
                <w:sz w:val="16"/>
              </w:rPr>
              <w:t>Overview</w:t>
            </w:r>
          </w:p>
        </w:tc>
        <w:tc>
          <w:tcPr>
            <w:tcW w:type="dxa" w:w="5112"/>
            <w:vAlign w:val="top"/>
          </w:tcPr>
          <w:p>
            <w:pPr>
              <w:spacing w:after="0"/>
            </w:pPr>
            <w:r>
              <w:rPr>
                <w:sz w:val="16"/>
              </w:rPr>
              <w:t>Enterprise crypto posture, scan history, top risks</w:t>
            </w:r>
          </w:p>
        </w:tc>
      </w:tr>
      <w:tr>
        <w:trPr>
          <w:cantSplit/>
        </w:trPr>
        <w:tc>
          <w:tcPr>
            <w:tcW w:type="dxa" w:w="5112"/>
            <w:vAlign w:val="top"/>
          </w:tcPr>
          <w:p>
            <w:pPr>
              <w:spacing w:after="0"/>
            </w:pPr>
            <w:r>
              <w:rPr>
                <w:sz w:val="16"/>
              </w:rPr>
              <w:t>Scan Center</w:t>
            </w:r>
          </w:p>
        </w:tc>
        <w:tc>
          <w:tcPr>
            <w:tcW w:type="dxa" w:w="5112"/>
            <w:vAlign w:val="top"/>
          </w:tcPr>
          <w:p>
            <w:pPr>
              <w:spacing w:after="0"/>
            </w:pPr>
            <w:r>
              <w:rPr>
                <w:sz w:val="16"/>
              </w:rPr>
              <w:t>Repository/image/endpoint ingestion and scan controls</w:t>
            </w:r>
          </w:p>
        </w:tc>
      </w:tr>
      <w:tr>
        <w:trPr>
          <w:cantSplit/>
        </w:trPr>
        <w:tc>
          <w:tcPr>
            <w:tcW w:type="dxa" w:w="5112"/>
            <w:vAlign w:val="top"/>
          </w:tcPr>
          <w:p>
            <w:pPr>
              <w:spacing w:after="0"/>
            </w:pPr>
            <w:r>
              <w:rPr>
                <w:sz w:val="16"/>
              </w:rPr>
              <w:t>Inventory</w:t>
            </w:r>
          </w:p>
        </w:tc>
        <w:tc>
          <w:tcPr>
            <w:tcW w:type="dxa" w:w="5112"/>
            <w:vAlign w:val="top"/>
          </w:tcPr>
          <w:p>
            <w:pPr>
              <w:spacing w:after="0"/>
            </w:pPr>
            <w:r>
              <w:rPr>
                <w:sz w:val="16"/>
              </w:rPr>
              <w:t>Search/filter cryptographic assets and findings</w:t>
            </w:r>
          </w:p>
        </w:tc>
      </w:tr>
      <w:tr>
        <w:trPr>
          <w:cantSplit/>
        </w:trPr>
        <w:tc>
          <w:tcPr>
            <w:tcW w:type="dxa" w:w="5112"/>
            <w:vAlign w:val="top"/>
          </w:tcPr>
          <w:p>
            <w:pPr>
              <w:spacing w:after="0"/>
            </w:pPr>
            <w:r>
              <w:rPr>
                <w:sz w:val="16"/>
              </w:rPr>
              <w:t>Asset Detail</w:t>
            </w:r>
          </w:p>
        </w:tc>
        <w:tc>
          <w:tcPr>
            <w:tcW w:type="dxa" w:w="5112"/>
            <w:vAlign w:val="top"/>
          </w:tcPr>
          <w:p>
            <w:pPr>
              <w:spacing w:after="0"/>
            </w:pPr>
            <w:r>
              <w:rPr>
                <w:sz w:val="16"/>
              </w:rPr>
              <w:t>Evidence, dependencies, protocol/cert context, risk and migration</w:t>
            </w:r>
          </w:p>
        </w:tc>
      </w:tr>
      <w:tr>
        <w:trPr>
          <w:cantSplit/>
        </w:trPr>
        <w:tc>
          <w:tcPr>
            <w:tcW w:type="dxa" w:w="5112"/>
            <w:vAlign w:val="top"/>
          </w:tcPr>
          <w:p>
            <w:pPr>
              <w:spacing w:after="0"/>
            </w:pPr>
            <w:r>
              <w:rPr>
                <w:sz w:val="16"/>
              </w:rPr>
              <w:t>Graph Explorer</w:t>
            </w:r>
          </w:p>
        </w:tc>
        <w:tc>
          <w:tcPr>
            <w:tcW w:type="dxa" w:w="5112"/>
            <w:vAlign w:val="top"/>
          </w:tcPr>
          <w:p>
            <w:pPr>
              <w:spacing w:after="0"/>
            </w:pPr>
            <w:r>
              <w:rPr>
                <w:sz w:val="16"/>
              </w:rPr>
              <w:t>Explore cryptographic and business dependencies</w:t>
            </w:r>
          </w:p>
        </w:tc>
      </w:tr>
      <w:tr>
        <w:trPr>
          <w:cantSplit/>
        </w:trPr>
        <w:tc>
          <w:tcPr>
            <w:tcW w:type="dxa" w:w="5112"/>
            <w:vAlign w:val="top"/>
          </w:tcPr>
          <w:p>
            <w:pPr>
              <w:spacing w:after="0"/>
            </w:pPr>
            <w:r>
              <w:rPr>
                <w:sz w:val="16"/>
              </w:rPr>
              <w:t>Risk Dashboard</w:t>
            </w:r>
          </w:p>
        </w:tc>
        <w:tc>
          <w:tcPr>
            <w:tcW w:type="dxa" w:w="5112"/>
            <w:vAlign w:val="top"/>
          </w:tcPr>
          <w:p>
            <w:pPr>
              <w:spacing w:after="0"/>
            </w:pPr>
            <w:r>
              <w:rPr>
                <w:sz w:val="16"/>
              </w:rPr>
              <w:t>Quantum exposure, criticality, agility and migration priorities</w:t>
            </w:r>
          </w:p>
        </w:tc>
      </w:tr>
      <w:tr>
        <w:trPr>
          <w:cantSplit/>
        </w:trPr>
        <w:tc>
          <w:tcPr>
            <w:tcW w:type="dxa" w:w="5112"/>
            <w:vAlign w:val="top"/>
          </w:tcPr>
          <w:p>
            <w:pPr>
              <w:spacing w:after="0"/>
            </w:pPr>
            <w:r>
              <w:rPr>
                <w:sz w:val="16"/>
              </w:rPr>
              <w:t>Migration Planner</w:t>
            </w:r>
          </w:p>
        </w:tc>
        <w:tc>
          <w:tcPr>
            <w:tcW w:type="dxa" w:w="5112"/>
            <w:vAlign w:val="top"/>
          </w:tcPr>
          <w:p>
            <w:pPr>
              <w:spacing w:after="0"/>
            </w:pPr>
            <w:r>
              <w:rPr>
                <w:sz w:val="16"/>
              </w:rPr>
              <w:t>Candidate algorithms, constraints, blast radius, migration waves</w:t>
            </w:r>
          </w:p>
        </w:tc>
      </w:tr>
      <w:tr>
        <w:trPr>
          <w:cantSplit/>
        </w:trPr>
        <w:tc>
          <w:tcPr>
            <w:tcW w:type="dxa" w:w="5112"/>
            <w:vAlign w:val="top"/>
          </w:tcPr>
          <w:p>
            <w:pPr>
              <w:spacing w:after="0"/>
            </w:pPr>
            <w:r>
              <w:rPr>
                <w:sz w:val="16"/>
              </w:rPr>
              <w:t>Reports</w:t>
            </w:r>
          </w:p>
        </w:tc>
        <w:tc>
          <w:tcPr>
            <w:tcW w:type="dxa" w:w="5112"/>
            <w:vAlign w:val="top"/>
          </w:tcPr>
          <w:p>
            <w:pPr>
              <w:spacing w:after="0"/>
            </w:pPr>
            <w:r>
              <w:rPr>
                <w:sz w:val="16"/>
              </w:rPr>
              <w:t>CBOM, risk register, executive report, migration roadmap</w:t>
            </w:r>
          </w:p>
        </w:tc>
      </w:tr>
    </w:tbl>
    <w:p>
      <w:pPr>
        <w:pStyle w:val="Heading1"/>
      </w:pPr>
      <w:r>
        <w:t>16. PRD -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shd w:fill="1F4E79"/>
          </w:tcPr>
          <w:p>
            <w:pPr>
              <w:spacing w:after="0"/>
            </w:pPr>
            <w:r>
              <w:rPr>
                <w:b/>
                <w:color w:val="FFFFFF"/>
                <w:sz w:val="16"/>
              </w:rPr>
              <w:t>ID</w:t>
            </w:r>
          </w:p>
        </w:tc>
        <w:tc>
          <w:tcPr>
            <w:tcW w:type="dxa" w:w="3408"/>
            <w:vAlign w:val="center"/>
            <w:shd w:fill="1F4E79"/>
          </w:tcPr>
          <w:p>
            <w:pPr>
              <w:spacing w:after="0"/>
            </w:pPr>
            <w:r>
              <w:rPr>
                <w:b/>
                <w:color w:val="FFFFFF"/>
                <w:sz w:val="16"/>
              </w:rPr>
              <w:t>Requirement</w:t>
            </w:r>
          </w:p>
        </w:tc>
        <w:tc>
          <w:tcPr>
            <w:tcW w:type="dxa" w:w="3408"/>
            <w:vAlign w:val="center"/>
            <w:shd w:fill="1F4E79"/>
          </w:tcPr>
          <w:p>
            <w:pPr>
              <w:spacing w:after="0"/>
            </w:pPr>
            <w:r>
              <w:rPr>
                <w:b/>
                <w:color w:val="FFFFFF"/>
                <w:sz w:val="16"/>
              </w:rPr>
              <w:t>Acceptance-oriented description</w:t>
            </w:r>
          </w:p>
        </w:tc>
      </w:tr>
      <w:tr>
        <w:trPr>
          <w:cantSplit/>
        </w:trPr>
        <w:tc>
          <w:tcPr>
            <w:tcW w:type="dxa" w:w="3408"/>
            <w:vAlign w:val="top"/>
          </w:tcPr>
          <w:p>
            <w:pPr>
              <w:spacing w:after="0"/>
            </w:pPr>
            <w:r>
              <w:rPr>
                <w:sz w:val="16"/>
              </w:rPr>
              <w:t>FR-01</w:t>
            </w:r>
          </w:p>
        </w:tc>
        <w:tc>
          <w:tcPr>
            <w:tcW w:type="dxa" w:w="3408"/>
            <w:vAlign w:val="top"/>
          </w:tcPr>
          <w:p>
            <w:pPr>
              <w:spacing w:after="0"/>
            </w:pPr>
            <w:r>
              <w:rPr>
                <w:sz w:val="16"/>
              </w:rPr>
              <w:t>Target ingestion</w:t>
            </w:r>
          </w:p>
        </w:tc>
        <w:tc>
          <w:tcPr>
            <w:tcW w:type="dxa" w:w="3408"/>
            <w:vAlign w:val="top"/>
          </w:tcPr>
          <w:p>
            <w:pPr>
              <w:spacing w:after="0"/>
            </w:pPr>
            <w:r>
              <w:rPr>
                <w:sz w:val="16"/>
              </w:rPr>
              <w:t>Accept a Git repository URL or uploaded repository archive.</w:t>
            </w:r>
          </w:p>
        </w:tc>
      </w:tr>
      <w:tr>
        <w:trPr>
          <w:cantSplit/>
        </w:trPr>
        <w:tc>
          <w:tcPr>
            <w:tcW w:type="dxa" w:w="3408"/>
            <w:vAlign w:val="top"/>
          </w:tcPr>
          <w:p>
            <w:pPr>
              <w:spacing w:after="0"/>
            </w:pPr>
            <w:r>
              <w:rPr>
                <w:sz w:val="16"/>
              </w:rPr>
              <w:t>FR-02</w:t>
            </w:r>
          </w:p>
        </w:tc>
        <w:tc>
          <w:tcPr>
            <w:tcW w:type="dxa" w:w="3408"/>
            <w:vAlign w:val="top"/>
          </w:tcPr>
          <w:p>
            <w:pPr>
              <w:spacing w:after="0"/>
            </w:pPr>
            <w:r>
              <w:rPr>
                <w:sz w:val="16"/>
              </w:rPr>
              <w:t>Scan orchestration</w:t>
            </w:r>
          </w:p>
        </w:tc>
        <w:tc>
          <w:tcPr>
            <w:tcW w:type="dxa" w:w="3408"/>
            <w:vAlign w:val="top"/>
          </w:tcPr>
          <w:p>
            <w:pPr>
              <w:spacing w:after="0"/>
            </w:pPr>
            <w:r>
              <w:rPr>
                <w:sz w:val="16"/>
              </w:rPr>
              <w:t>Create a scan record, execute enabled collectors, and expose scan state/progress.</w:t>
            </w:r>
          </w:p>
        </w:tc>
      </w:tr>
      <w:tr>
        <w:trPr>
          <w:cantSplit/>
        </w:trPr>
        <w:tc>
          <w:tcPr>
            <w:tcW w:type="dxa" w:w="3408"/>
            <w:vAlign w:val="top"/>
          </w:tcPr>
          <w:p>
            <w:pPr>
              <w:spacing w:after="0"/>
            </w:pPr>
            <w:r>
              <w:rPr>
                <w:sz w:val="16"/>
              </w:rPr>
              <w:t>FR-03</w:t>
            </w:r>
          </w:p>
        </w:tc>
        <w:tc>
          <w:tcPr>
            <w:tcW w:type="dxa" w:w="3408"/>
            <w:vAlign w:val="top"/>
          </w:tcPr>
          <w:p>
            <w:pPr>
              <w:spacing w:after="0"/>
            </w:pPr>
            <w:r>
              <w:rPr>
                <w:sz w:val="16"/>
              </w:rPr>
              <w:t>Source crypto detection</w:t>
            </w:r>
          </w:p>
        </w:tc>
        <w:tc>
          <w:tcPr>
            <w:tcW w:type="dxa" w:w="3408"/>
            <w:vAlign w:val="top"/>
          </w:tcPr>
          <w:p>
            <w:pPr>
              <w:spacing w:after="0"/>
            </w:pPr>
            <w:r>
              <w:rPr>
                <w:sz w:val="16"/>
              </w:rPr>
              <w:t>Detect supported crypto APIs, algorithms, modes and common usage patterns.</w:t>
            </w:r>
          </w:p>
        </w:tc>
      </w:tr>
      <w:tr>
        <w:trPr>
          <w:cantSplit/>
        </w:trPr>
        <w:tc>
          <w:tcPr>
            <w:tcW w:type="dxa" w:w="3408"/>
            <w:vAlign w:val="top"/>
          </w:tcPr>
          <w:p>
            <w:pPr>
              <w:spacing w:after="0"/>
            </w:pPr>
            <w:r>
              <w:rPr>
                <w:sz w:val="16"/>
              </w:rPr>
              <w:t>FR-04</w:t>
            </w:r>
          </w:p>
        </w:tc>
        <w:tc>
          <w:tcPr>
            <w:tcW w:type="dxa" w:w="3408"/>
            <w:vAlign w:val="top"/>
          </w:tcPr>
          <w:p>
            <w:pPr>
              <w:spacing w:after="0"/>
            </w:pPr>
            <w:r>
              <w:rPr>
                <w:sz w:val="16"/>
              </w:rPr>
              <w:t>AST context</w:t>
            </w:r>
          </w:p>
        </w:tc>
        <w:tc>
          <w:tcPr>
            <w:tcW w:type="dxa" w:w="3408"/>
            <w:vAlign w:val="top"/>
          </w:tcPr>
          <w:p>
            <w:pPr>
              <w:spacing w:after="0"/>
            </w:pPr>
            <w:r>
              <w:rPr>
                <w:sz w:val="16"/>
              </w:rPr>
              <w:t>Associate findings with file, line/range and syntactic context where available.</w:t>
            </w:r>
          </w:p>
        </w:tc>
      </w:tr>
      <w:tr>
        <w:trPr>
          <w:cantSplit/>
        </w:trPr>
        <w:tc>
          <w:tcPr>
            <w:tcW w:type="dxa" w:w="3408"/>
            <w:vAlign w:val="top"/>
          </w:tcPr>
          <w:p>
            <w:pPr>
              <w:spacing w:after="0"/>
            </w:pPr>
            <w:r>
              <w:rPr>
                <w:sz w:val="16"/>
              </w:rPr>
              <w:t>FR-05</w:t>
            </w:r>
          </w:p>
        </w:tc>
        <w:tc>
          <w:tcPr>
            <w:tcW w:type="dxa" w:w="3408"/>
            <w:vAlign w:val="top"/>
          </w:tcPr>
          <w:p>
            <w:pPr>
              <w:spacing w:after="0"/>
            </w:pPr>
            <w:r>
              <w:rPr>
                <w:sz w:val="16"/>
              </w:rPr>
              <w:t>Dependency discovery</w:t>
            </w:r>
          </w:p>
        </w:tc>
        <w:tc>
          <w:tcPr>
            <w:tcW w:type="dxa" w:w="3408"/>
            <w:vAlign w:val="top"/>
          </w:tcPr>
          <w:p>
            <w:pPr>
              <w:spacing w:after="0"/>
            </w:pPr>
            <w:r>
              <w:rPr>
                <w:sz w:val="16"/>
              </w:rPr>
              <w:t>Parse supported manifests/lockfiles and connect libraries to applications.</w:t>
            </w:r>
          </w:p>
        </w:tc>
      </w:tr>
      <w:tr>
        <w:trPr>
          <w:cantSplit/>
        </w:trPr>
        <w:tc>
          <w:tcPr>
            <w:tcW w:type="dxa" w:w="3408"/>
            <w:vAlign w:val="top"/>
          </w:tcPr>
          <w:p>
            <w:pPr>
              <w:spacing w:after="0"/>
            </w:pPr>
            <w:r>
              <w:rPr>
                <w:sz w:val="16"/>
              </w:rPr>
              <w:t>FR-06</w:t>
            </w:r>
          </w:p>
        </w:tc>
        <w:tc>
          <w:tcPr>
            <w:tcW w:type="dxa" w:w="3408"/>
            <w:vAlign w:val="top"/>
          </w:tcPr>
          <w:p>
            <w:pPr>
              <w:spacing w:after="0"/>
            </w:pPr>
            <w:r>
              <w:rPr>
                <w:sz w:val="16"/>
              </w:rPr>
              <w:t>Certificate discovery</w:t>
            </w:r>
          </w:p>
        </w:tc>
        <w:tc>
          <w:tcPr>
            <w:tcW w:type="dxa" w:w="3408"/>
            <w:vAlign w:val="top"/>
          </w:tcPr>
          <w:p>
            <w:pPr>
              <w:spacing w:after="0"/>
            </w:pPr>
            <w:r>
              <w:rPr>
                <w:sz w:val="16"/>
              </w:rPr>
              <w:t>Discover X.509 certificates and public metadata without persisting private key material.</w:t>
            </w:r>
          </w:p>
        </w:tc>
      </w:tr>
      <w:tr>
        <w:trPr>
          <w:cantSplit/>
        </w:trPr>
        <w:tc>
          <w:tcPr>
            <w:tcW w:type="dxa" w:w="3408"/>
            <w:vAlign w:val="top"/>
          </w:tcPr>
          <w:p>
            <w:pPr>
              <w:spacing w:after="0"/>
            </w:pPr>
            <w:r>
              <w:rPr>
                <w:sz w:val="16"/>
              </w:rPr>
              <w:t>FR-07</w:t>
            </w:r>
          </w:p>
        </w:tc>
        <w:tc>
          <w:tcPr>
            <w:tcW w:type="dxa" w:w="3408"/>
            <w:vAlign w:val="top"/>
          </w:tcPr>
          <w:p>
            <w:pPr>
              <w:spacing w:after="0"/>
            </w:pPr>
            <w:r>
              <w:rPr>
                <w:sz w:val="16"/>
              </w:rPr>
              <w:t>Container inspection</w:t>
            </w:r>
          </w:p>
        </w:tc>
        <w:tc>
          <w:tcPr>
            <w:tcW w:type="dxa" w:w="3408"/>
            <w:vAlign w:val="top"/>
          </w:tcPr>
          <w:p>
            <w:pPr>
              <w:spacing w:after="0"/>
            </w:pPr>
            <w:r>
              <w:rPr>
                <w:sz w:val="16"/>
              </w:rPr>
              <w:t>Inspect provided container images or extracted image contents for crypto artefacts and dependencies.</w:t>
            </w:r>
          </w:p>
        </w:tc>
      </w:tr>
      <w:tr>
        <w:trPr>
          <w:cantSplit/>
        </w:trPr>
        <w:tc>
          <w:tcPr>
            <w:tcW w:type="dxa" w:w="3408"/>
            <w:vAlign w:val="top"/>
          </w:tcPr>
          <w:p>
            <w:pPr>
              <w:spacing w:after="0"/>
            </w:pPr>
            <w:r>
              <w:rPr>
                <w:sz w:val="16"/>
              </w:rPr>
              <w:t>FR-08</w:t>
            </w:r>
          </w:p>
        </w:tc>
        <w:tc>
          <w:tcPr>
            <w:tcW w:type="dxa" w:w="3408"/>
            <w:vAlign w:val="top"/>
          </w:tcPr>
          <w:p>
            <w:pPr>
              <w:spacing w:after="0"/>
            </w:pPr>
            <w:r>
              <w:rPr>
                <w:sz w:val="16"/>
              </w:rPr>
              <w:t>Protocol evidence</w:t>
            </w:r>
          </w:p>
        </w:tc>
        <w:tc>
          <w:tcPr>
            <w:tcW w:type="dxa" w:w="3408"/>
            <w:vAlign w:val="top"/>
          </w:tcPr>
          <w:p>
            <w:pPr>
              <w:spacing w:after="0"/>
            </w:pPr>
            <w:r>
              <w:rPr>
                <w:sz w:val="16"/>
              </w:rPr>
              <w:t>Support controlled TLS endpoint inspection in the demo.</w:t>
            </w:r>
          </w:p>
        </w:tc>
      </w:tr>
      <w:tr>
        <w:trPr>
          <w:cantSplit/>
        </w:trPr>
        <w:tc>
          <w:tcPr>
            <w:tcW w:type="dxa" w:w="3408"/>
            <w:vAlign w:val="top"/>
          </w:tcPr>
          <w:p>
            <w:pPr>
              <w:spacing w:after="0"/>
            </w:pPr>
            <w:r>
              <w:rPr>
                <w:sz w:val="16"/>
              </w:rPr>
              <w:t>FR-09</w:t>
            </w:r>
          </w:p>
        </w:tc>
        <w:tc>
          <w:tcPr>
            <w:tcW w:type="dxa" w:w="3408"/>
            <w:vAlign w:val="top"/>
          </w:tcPr>
          <w:p>
            <w:pPr>
              <w:spacing w:after="0"/>
            </w:pPr>
            <w:r>
              <w:rPr>
                <w:sz w:val="16"/>
              </w:rPr>
              <w:t>Evidence capture</w:t>
            </w:r>
          </w:p>
        </w:tc>
        <w:tc>
          <w:tcPr>
            <w:tcW w:type="dxa" w:w="3408"/>
            <w:vAlign w:val="top"/>
          </w:tcPr>
          <w:p>
            <w:pPr>
              <w:spacing w:after="0"/>
            </w:pPr>
            <w:r>
              <w:rPr>
                <w:sz w:val="16"/>
              </w:rPr>
              <w:t>Retain source type, detector, location, timestamp and confidence for each finding.</w:t>
            </w:r>
          </w:p>
        </w:tc>
      </w:tr>
      <w:tr>
        <w:trPr>
          <w:cantSplit/>
        </w:trPr>
        <w:tc>
          <w:tcPr>
            <w:tcW w:type="dxa" w:w="3408"/>
            <w:vAlign w:val="top"/>
          </w:tcPr>
          <w:p>
            <w:pPr>
              <w:spacing w:after="0"/>
            </w:pPr>
            <w:r>
              <w:rPr>
                <w:sz w:val="16"/>
              </w:rPr>
              <w:t>FR-10</w:t>
            </w:r>
          </w:p>
        </w:tc>
        <w:tc>
          <w:tcPr>
            <w:tcW w:type="dxa" w:w="3408"/>
            <w:vAlign w:val="top"/>
          </w:tcPr>
          <w:p>
            <w:pPr>
              <w:spacing w:after="0"/>
            </w:pPr>
            <w:r>
              <w:rPr>
                <w:sz w:val="16"/>
              </w:rPr>
              <w:t>Evidence fusion</w:t>
            </w:r>
          </w:p>
        </w:tc>
        <w:tc>
          <w:tcPr>
            <w:tcW w:type="dxa" w:w="3408"/>
            <w:vAlign w:val="top"/>
          </w:tcPr>
          <w:p>
            <w:pPr>
              <w:spacing w:after="0"/>
            </w:pPr>
            <w:r>
              <w:rPr>
                <w:sz w:val="16"/>
              </w:rPr>
              <w:t>Merge corroborating observations and explicitly mark contradictions.</w:t>
            </w:r>
          </w:p>
        </w:tc>
      </w:tr>
      <w:tr>
        <w:trPr>
          <w:cantSplit/>
        </w:trPr>
        <w:tc>
          <w:tcPr>
            <w:tcW w:type="dxa" w:w="3408"/>
            <w:vAlign w:val="top"/>
          </w:tcPr>
          <w:p>
            <w:pPr>
              <w:spacing w:after="0"/>
            </w:pPr>
            <w:r>
              <w:rPr>
                <w:sz w:val="16"/>
              </w:rPr>
              <w:t>FR-11</w:t>
            </w:r>
          </w:p>
        </w:tc>
        <w:tc>
          <w:tcPr>
            <w:tcW w:type="dxa" w:w="3408"/>
            <w:vAlign w:val="top"/>
          </w:tcPr>
          <w:p>
            <w:pPr>
              <w:spacing w:after="0"/>
            </w:pPr>
            <w:r>
              <w:rPr>
                <w:sz w:val="16"/>
              </w:rPr>
              <w:t>Crypto graph</w:t>
            </w:r>
          </w:p>
        </w:tc>
        <w:tc>
          <w:tcPr>
            <w:tcW w:type="dxa" w:w="3408"/>
            <w:vAlign w:val="top"/>
          </w:tcPr>
          <w:p>
            <w:pPr>
              <w:spacing w:after="0"/>
            </w:pPr>
            <w:r>
              <w:rPr>
                <w:sz w:val="16"/>
              </w:rPr>
              <w:t>Build nodes/edges connecting crypto assets to software, protocols, certificates, dependencies and data/business context.</w:t>
            </w:r>
          </w:p>
        </w:tc>
      </w:tr>
      <w:tr>
        <w:trPr>
          <w:cantSplit/>
        </w:trPr>
        <w:tc>
          <w:tcPr>
            <w:tcW w:type="dxa" w:w="3408"/>
            <w:vAlign w:val="top"/>
          </w:tcPr>
          <w:p>
            <w:pPr>
              <w:spacing w:after="0"/>
            </w:pPr>
            <w:r>
              <w:rPr>
                <w:sz w:val="16"/>
              </w:rPr>
              <w:t>FR-12</w:t>
            </w:r>
          </w:p>
        </w:tc>
        <w:tc>
          <w:tcPr>
            <w:tcW w:type="dxa" w:w="3408"/>
            <w:vAlign w:val="top"/>
          </w:tcPr>
          <w:p>
            <w:pPr>
              <w:spacing w:after="0"/>
            </w:pPr>
            <w:r>
              <w:rPr>
                <w:sz w:val="16"/>
              </w:rPr>
              <w:t>CBOM export</w:t>
            </w:r>
          </w:p>
        </w:tc>
        <w:tc>
          <w:tcPr>
            <w:tcW w:type="dxa" w:w="3408"/>
            <w:vAlign w:val="top"/>
          </w:tcPr>
          <w:p>
            <w:pPr>
              <w:spacing w:after="0"/>
            </w:pPr>
            <w:r>
              <w:rPr>
                <w:sz w:val="16"/>
              </w:rPr>
              <w:t>Export a CycloneDX 1.7 compatible CBOM.</w:t>
            </w:r>
          </w:p>
        </w:tc>
      </w:tr>
      <w:tr>
        <w:trPr>
          <w:cantSplit/>
        </w:trPr>
        <w:tc>
          <w:tcPr>
            <w:tcW w:type="dxa" w:w="3408"/>
            <w:vAlign w:val="top"/>
          </w:tcPr>
          <w:p>
            <w:pPr>
              <w:spacing w:after="0"/>
            </w:pPr>
            <w:r>
              <w:rPr>
                <w:sz w:val="16"/>
              </w:rPr>
              <w:t>FR-13</w:t>
            </w:r>
          </w:p>
        </w:tc>
        <w:tc>
          <w:tcPr>
            <w:tcW w:type="dxa" w:w="3408"/>
            <w:vAlign w:val="top"/>
          </w:tcPr>
          <w:p>
            <w:pPr>
              <w:spacing w:after="0"/>
            </w:pPr>
            <w:r>
              <w:rPr>
                <w:sz w:val="16"/>
              </w:rPr>
              <w:t>Quantum risk</w:t>
            </w:r>
          </w:p>
        </w:tc>
        <w:tc>
          <w:tcPr>
            <w:tcW w:type="dxa" w:w="3408"/>
            <w:vAlign w:val="top"/>
          </w:tcPr>
          <w:p>
            <w:pPr>
              <w:spacing w:after="0"/>
            </w:pPr>
            <w:r>
              <w:rPr>
                <w:sz w:val="16"/>
              </w:rPr>
              <w:t>Calculate a Mosca-style temporal risk result and show its parameters.</w:t>
            </w:r>
          </w:p>
        </w:tc>
      </w:tr>
      <w:tr>
        <w:trPr>
          <w:cantSplit/>
        </w:trPr>
        <w:tc>
          <w:tcPr>
            <w:tcW w:type="dxa" w:w="3408"/>
            <w:vAlign w:val="top"/>
          </w:tcPr>
          <w:p>
            <w:pPr>
              <w:spacing w:after="0"/>
            </w:pPr>
            <w:r>
              <w:rPr>
                <w:sz w:val="16"/>
              </w:rPr>
              <w:t>FR-14</w:t>
            </w:r>
          </w:p>
        </w:tc>
        <w:tc>
          <w:tcPr>
            <w:tcW w:type="dxa" w:w="3408"/>
            <w:vAlign w:val="top"/>
          </w:tcPr>
          <w:p>
            <w:pPr>
              <w:spacing w:after="0"/>
            </w:pPr>
            <w:r>
              <w:rPr>
                <w:sz w:val="16"/>
              </w:rPr>
              <w:t>Business context</w:t>
            </w:r>
          </w:p>
        </w:tc>
        <w:tc>
          <w:tcPr>
            <w:tcW w:type="dxa" w:w="3408"/>
            <w:vAlign w:val="top"/>
          </w:tcPr>
          <w:p>
            <w:pPr>
              <w:spacing w:after="0"/>
            </w:pPr>
            <w:r>
              <w:rPr>
                <w:sz w:val="16"/>
              </w:rPr>
              <w:t>Allow input for data lifetime, business criticality, sensitivity and exposure.</w:t>
            </w:r>
          </w:p>
        </w:tc>
      </w:tr>
      <w:tr>
        <w:trPr>
          <w:cantSplit/>
        </w:trPr>
        <w:tc>
          <w:tcPr>
            <w:tcW w:type="dxa" w:w="3408"/>
            <w:vAlign w:val="top"/>
          </w:tcPr>
          <w:p>
            <w:pPr>
              <w:spacing w:after="0"/>
            </w:pPr>
            <w:r>
              <w:rPr>
                <w:sz w:val="16"/>
              </w:rPr>
              <w:t>FR-15</w:t>
            </w:r>
          </w:p>
        </w:tc>
        <w:tc>
          <w:tcPr>
            <w:tcW w:type="dxa" w:w="3408"/>
            <w:vAlign w:val="top"/>
          </w:tcPr>
          <w:p>
            <w:pPr>
              <w:spacing w:after="0"/>
            </w:pPr>
            <w:r>
              <w:rPr>
                <w:sz w:val="16"/>
              </w:rPr>
              <w:t>Crypto agility</w:t>
            </w:r>
          </w:p>
        </w:tc>
        <w:tc>
          <w:tcPr>
            <w:tcW w:type="dxa" w:w="3408"/>
            <w:vAlign w:val="top"/>
          </w:tcPr>
          <w:p>
            <w:pPr>
              <w:spacing w:after="0"/>
            </w:pPr>
            <w:r>
              <w:rPr>
                <w:sz w:val="16"/>
              </w:rPr>
              <w:t>Present an explicit crypto-agility profile.</w:t>
            </w:r>
          </w:p>
        </w:tc>
      </w:tr>
      <w:tr>
        <w:trPr>
          <w:cantSplit/>
        </w:trPr>
        <w:tc>
          <w:tcPr>
            <w:tcW w:type="dxa" w:w="3408"/>
            <w:vAlign w:val="top"/>
          </w:tcPr>
          <w:p>
            <w:pPr>
              <w:spacing w:after="0"/>
            </w:pPr>
            <w:r>
              <w:rPr>
                <w:sz w:val="16"/>
              </w:rPr>
              <w:t>FR-16</w:t>
            </w:r>
          </w:p>
        </w:tc>
        <w:tc>
          <w:tcPr>
            <w:tcW w:type="dxa" w:w="3408"/>
            <w:vAlign w:val="top"/>
          </w:tcPr>
          <w:p>
            <w:pPr>
              <w:spacing w:after="0"/>
            </w:pPr>
            <w:r>
              <w:rPr>
                <w:sz w:val="16"/>
              </w:rPr>
              <w:t>PQC recommendations</w:t>
            </w:r>
          </w:p>
        </w:tc>
        <w:tc>
          <w:tcPr>
            <w:tcW w:type="dxa" w:w="3408"/>
            <w:vAlign w:val="top"/>
          </w:tcPr>
          <w:p>
            <w:pPr>
              <w:spacing w:after="0"/>
            </w:pPr>
            <w:r>
              <w:rPr>
                <w:sz w:val="16"/>
              </w:rPr>
              <w:t>Recommend candidate PQC/hybrid options from a versioned registry.</w:t>
            </w:r>
          </w:p>
        </w:tc>
      </w:tr>
      <w:tr>
        <w:trPr>
          <w:cantSplit/>
        </w:trPr>
        <w:tc>
          <w:tcPr>
            <w:tcW w:type="dxa" w:w="3408"/>
            <w:vAlign w:val="top"/>
          </w:tcPr>
          <w:p>
            <w:pPr>
              <w:spacing w:after="0"/>
            </w:pPr>
            <w:r>
              <w:rPr>
                <w:sz w:val="16"/>
              </w:rPr>
              <w:t>FR-17</w:t>
            </w:r>
          </w:p>
        </w:tc>
        <w:tc>
          <w:tcPr>
            <w:tcW w:type="dxa" w:w="3408"/>
            <w:vAlign w:val="top"/>
          </w:tcPr>
          <w:p>
            <w:pPr>
              <w:spacing w:after="0"/>
            </w:pPr>
            <w:r>
              <w:rPr>
                <w:sz w:val="16"/>
              </w:rPr>
              <w:t>Blast radius</w:t>
            </w:r>
          </w:p>
        </w:tc>
        <w:tc>
          <w:tcPr>
            <w:tcW w:type="dxa" w:w="3408"/>
            <w:vAlign w:val="top"/>
          </w:tcPr>
          <w:p>
            <w:pPr>
              <w:spacing w:after="0"/>
            </w:pPr>
            <w:r>
              <w:rPr>
                <w:sz w:val="16"/>
              </w:rPr>
              <w:t>Simulate graph impact for a selected migration change.</w:t>
            </w:r>
          </w:p>
        </w:tc>
      </w:tr>
      <w:tr>
        <w:trPr>
          <w:cantSplit/>
        </w:trPr>
        <w:tc>
          <w:tcPr>
            <w:tcW w:type="dxa" w:w="3408"/>
            <w:vAlign w:val="top"/>
          </w:tcPr>
          <w:p>
            <w:pPr>
              <w:spacing w:after="0"/>
            </w:pPr>
            <w:r>
              <w:rPr>
                <w:sz w:val="16"/>
              </w:rPr>
              <w:t>FR-18</w:t>
            </w:r>
          </w:p>
        </w:tc>
        <w:tc>
          <w:tcPr>
            <w:tcW w:type="dxa" w:w="3408"/>
            <w:vAlign w:val="top"/>
          </w:tcPr>
          <w:p>
            <w:pPr>
              <w:spacing w:after="0"/>
            </w:pPr>
            <w:r>
              <w:rPr>
                <w:sz w:val="16"/>
              </w:rPr>
              <w:t>Migration plan</w:t>
            </w:r>
          </w:p>
        </w:tc>
        <w:tc>
          <w:tcPr>
            <w:tcW w:type="dxa" w:w="3408"/>
            <w:vAlign w:val="top"/>
          </w:tcPr>
          <w:p>
            <w:pPr>
              <w:spacing w:after="0"/>
            </w:pPr>
            <w:r>
              <w:rPr>
                <w:sz w:val="16"/>
              </w:rPr>
              <w:t>Generate an ordered migration plan with dependencies and validation gates.</w:t>
            </w:r>
          </w:p>
        </w:tc>
      </w:tr>
      <w:tr>
        <w:trPr>
          <w:cantSplit/>
        </w:trPr>
        <w:tc>
          <w:tcPr>
            <w:tcW w:type="dxa" w:w="3408"/>
            <w:vAlign w:val="top"/>
          </w:tcPr>
          <w:p>
            <w:pPr>
              <w:spacing w:after="0"/>
            </w:pPr>
            <w:r>
              <w:rPr>
                <w:sz w:val="16"/>
              </w:rPr>
              <w:t>FR-19</w:t>
            </w:r>
          </w:p>
        </w:tc>
        <w:tc>
          <w:tcPr>
            <w:tcW w:type="dxa" w:w="3408"/>
            <w:vAlign w:val="top"/>
          </w:tcPr>
          <w:p>
            <w:pPr>
              <w:spacing w:after="0"/>
            </w:pPr>
            <w:r>
              <w:rPr>
                <w:sz w:val="16"/>
              </w:rPr>
              <w:t>Auditability</w:t>
            </w:r>
          </w:p>
        </w:tc>
        <w:tc>
          <w:tcPr>
            <w:tcW w:type="dxa" w:w="3408"/>
            <w:vAlign w:val="top"/>
          </w:tcPr>
          <w:p>
            <w:pPr>
              <w:spacing w:after="0"/>
            </w:pPr>
            <w:r>
              <w:rPr>
                <w:sz w:val="16"/>
              </w:rPr>
              <w:t>Retain scan IDs, detector versions, timestamps and report versions.</w:t>
            </w:r>
          </w:p>
        </w:tc>
      </w:tr>
      <w:tr>
        <w:trPr>
          <w:cantSplit/>
        </w:trPr>
        <w:tc>
          <w:tcPr>
            <w:tcW w:type="dxa" w:w="3408"/>
            <w:vAlign w:val="top"/>
          </w:tcPr>
          <w:p>
            <w:pPr>
              <w:spacing w:after="0"/>
            </w:pPr>
            <w:r>
              <w:rPr>
                <w:sz w:val="16"/>
              </w:rPr>
              <w:t>FR-20</w:t>
            </w:r>
          </w:p>
        </w:tc>
        <w:tc>
          <w:tcPr>
            <w:tcW w:type="dxa" w:w="3408"/>
            <w:vAlign w:val="top"/>
          </w:tcPr>
          <w:p>
            <w:pPr>
              <w:spacing w:after="0"/>
            </w:pPr>
            <w:r>
              <w:rPr>
                <w:sz w:val="16"/>
              </w:rPr>
              <w:t>Export</w:t>
            </w:r>
          </w:p>
        </w:tc>
        <w:tc>
          <w:tcPr>
            <w:tcW w:type="dxa" w:w="3408"/>
            <w:vAlign w:val="top"/>
          </w:tcPr>
          <w:p>
            <w:pPr>
              <w:spacing w:after="0"/>
            </w:pPr>
            <w:r>
              <w:rPr>
                <w:sz w:val="16"/>
              </w:rPr>
              <w:t>Support JSON and CSV exports in addition to CBOM.</w:t>
            </w:r>
          </w:p>
        </w:tc>
      </w:tr>
    </w:tbl>
    <w:p>
      <w:pPr>
        <w:pStyle w:val="Heading1"/>
      </w:pPr>
      <w:r>
        <w:t>17. Non-functional requirements</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ID</w:t>
            </w:r>
          </w:p>
        </w:tc>
        <w:tc>
          <w:tcPr>
            <w:tcW w:type="dxa" w:w="5112"/>
            <w:vAlign w:val="center"/>
            <w:shd w:fill="1F4E79"/>
          </w:tcPr>
          <w:p>
            <w:pPr>
              <w:spacing w:after="0"/>
            </w:pPr>
            <w:r>
              <w:rPr>
                <w:b/>
                <w:color w:val="FFFFFF"/>
                <w:sz w:val="16"/>
              </w:rPr>
              <w:t>Requirement</w:t>
            </w:r>
          </w:p>
        </w:tc>
      </w:tr>
      <w:tr>
        <w:trPr>
          <w:cantSplit/>
        </w:trPr>
        <w:tc>
          <w:tcPr>
            <w:tcW w:type="dxa" w:w="5112"/>
            <w:vAlign w:val="top"/>
          </w:tcPr>
          <w:p>
            <w:pPr>
              <w:spacing w:after="0"/>
            </w:pPr>
            <w:r>
              <w:rPr>
                <w:sz w:val="16"/>
              </w:rPr>
              <w:t>NFR-01</w:t>
            </w:r>
          </w:p>
        </w:tc>
        <w:tc>
          <w:tcPr>
            <w:tcW w:type="dxa" w:w="5112"/>
            <w:vAlign w:val="top"/>
          </w:tcPr>
          <w:p>
            <w:pPr>
              <w:spacing w:after="0"/>
            </w:pPr>
            <w:r>
              <w:rPr>
                <w:sz w:val="16"/>
              </w:rPr>
              <w:t>Reproducible scan: same input + same detector version should produce stable normalized findings.</w:t>
            </w:r>
          </w:p>
        </w:tc>
      </w:tr>
      <w:tr>
        <w:trPr>
          <w:cantSplit/>
        </w:trPr>
        <w:tc>
          <w:tcPr>
            <w:tcW w:type="dxa" w:w="5112"/>
            <w:vAlign w:val="top"/>
          </w:tcPr>
          <w:p>
            <w:pPr>
              <w:spacing w:after="0"/>
            </w:pPr>
            <w:r>
              <w:rPr>
                <w:sz w:val="16"/>
              </w:rPr>
              <w:t>NFR-02</w:t>
            </w:r>
          </w:p>
        </w:tc>
        <w:tc>
          <w:tcPr>
            <w:tcW w:type="dxa" w:w="5112"/>
            <w:vAlign w:val="top"/>
          </w:tcPr>
          <w:p>
            <w:pPr>
              <w:spacing w:after="0"/>
            </w:pPr>
            <w:r>
              <w:rPr>
                <w:sz w:val="16"/>
              </w:rPr>
              <w:t>No private key material should be persisted by the platform.</w:t>
            </w:r>
          </w:p>
        </w:tc>
      </w:tr>
      <w:tr>
        <w:trPr>
          <w:cantSplit/>
        </w:trPr>
        <w:tc>
          <w:tcPr>
            <w:tcW w:type="dxa" w:w="5112"/>
            <w:vAlign w:val="top"/>
          </w:tcPr>
          <w:p>
            <w:pPr>
              <w:spacing w:after="0"/>
            </w:pPr>
            <w:r>
              <w:rPr>
                <w:sz w:val="16"/>
              </w:rPr>
              <w:t>NFR-03</w:t>
            </w:r>
          </w:p>
        </w:tc>
        <w:tc>
          <w:tcPr>
            <w:tcW w:type="dxa" w:w="5112"/>
            <w:vAlign w:val="top"/>
          </w:tcPr>
          <w:p>
            <w:pPr>
              <w:spacing w:after="0"/>
            </w:pPr>
            <w:r>
              <w:rPr>
                <w:sz w:val="16"/>
              </w:rPr>
              <w:t>Scans must run in isolated workspaces.</w:t>
            </w:r>
          </w:p>
        </w:tc>
      </w:tr>
      <w:tr>
        <w:trPr>
          <w:cantSplit/>
        </w:trPr>
        <w:tc>
          <w:tcPr>
            <w:tcW w:type="dxa" w:w="5112"/>
            <w:vAlign w:val="top"/>
          </w:tcPr>
          <w:p>
            <w:pPr>
              <w:spacing w:after="0"/>
            </w:pPr>
            <w:r>
              <w:rPr>
                <w:sz w:val="16"/>
              </w:rPr>
              <w:t>NFR-04</w:t>
            </w:r>
          </w:p>
        </w:tc>
        <w:tc>
          <w:tcPr>
            <w:tcW w:type="dxa" w:w="5112"/>
            <w:vAlign w:val="top"/>
          </w:tcPr>
          <w:p>
            <w:pPr>
              <w:spacing w:after="0"/>
            </w:pPr>
            <w:r>
              <w:rPr>
                <w:sz w:val="16"/>
              </w:rPr>
              <w:t>Every risk result must show the inputs used.</w:t>
            </w:r>
          </w:p>
        </w:tc>
      </w:tr>
      <w:tr>
        <w:trPr>
          <w:cantSplit/>
        </w:trPr>
        <w:tc>
          <w:tcPr>
            <w:tcW w:type="dxa" w:w="5112"/>
            <w:vAlign w:val="top"/>
          </w:tcPr>
          <w:p>
            <w:pPr>
              <w:spacing w:after="0"/>
            </w:pPr>
            <w:r>
              <w:rPr>
                <w:sz w:val="16"/>
              </w:rPr>
              <w:t>NFR-05</w:t>
            </w:r>
          </w:p>
        </w:tc>
        <w:tc>
          <w:tcPr>
            <w:tcW w:type="dxa" w:w="5112"/>
            <w:vAlign w:val="top"/>
          </w:tcPr>
          <w:p>
            <w:pPr>
              <w:spacing w:after="0"/>
            </w:pPr>
            <w:r>
              <w:rPr>
                <w:sz w:val="16"/>
              </w:rPr>
              <w:t>UI should remain usable for at least tens of thousands of findings in the demo dataset.</w:t>
            </w:r>
          </w:p>
        </w:tc>
      </w:tr>
      <w:tr>
        <w:trPr>
          <w:cantSplit/>
        </w:trPr>
        <w:tc>
          <w:tcPr>
            <w:tcW w:type="dxa" w:w="5112"/>
            <w:vAlign w:val="top"/>
          </w:tcPr>
          <w:p>
            <w:pPr>
              <w:spacing w:after="0"/>
            </w:pPr>
            <w:r>
              <w:rPr>
                <w:sz w:val="16"/>
              </w:rPr>
              <w:t>NFR-06</w:t>
            </w:r>
          </w:p>
        </w:tc>
        <w:tc>
          <w:tcPr>
            <w:tcW w:type="dxa" w:w="5112"/>
            <w:vAlign w:val="top"/>
          </w:tcPr>
          <w:p>
            <w:pPr>
              <w:spacing w:after="0"/>
            </w:pPr>
            <w:r>
              <w:rPr>
                <w:sz w:val="16"/>
              </w:rPr>
              <w:t>APIs should expose scan IDs and deterministic result retrieval.</w:t>
            </w:r>
          </w:p>
        </w:tc>
      </w:tr>
      <w:tr>
        <w:trPr>
          <w:cantSplit/>
        </w:trPr>
        <w:tc>
          <w:tcPr>
            <w:tcW w:type="dxa" w:w="5112"/>
            <w:vAlign w:val="top"/>
          </w:tcPr>
          <w:p>
            <w:pPr>
              <w:spacing w:after="0"/>
            </w:pPr>
            <w:r>
              <w:rPr>
                <w:sz w:val="16"/>
              </w:rPr>
              <w:t>NFR-07</w:t>
            </w:r>
          </w:p>
        </w:tc>
        <w:tc>
          <w:tcPr>
            <w:tcW w:type="dxa" w:w="5112"/>
            <w:vAlign w:val="top"/>
          </w:tcPr>
          <w:p>
            <w:pPr>
              <w:spacing w:after="0"/>
            </w:pPr>
            <w:r>
              <w:rPr>
                <w:sz w:val="16"/>
              </w:rPr>
              <w:t>System should degrade gracefully when a detector cannot prove a finding.</w:t>
            </w:r>
          </w:p>
        </w:tc>
      </w:tr>
      <w:tr>
        <w:trPr>
          <w:cantSplit/>
        </w:trPr>
        <w:tc>
          <w:tcPr>
            <w:tcW w:type="dxa" w:w="5112"/>
            <w:vAlign w:val="top"/>
          </w:tcPr>
          <w:p>
            <w:pPr>
              <w:spacing w:after="0"/>
            </w:pPr>
            <w:r>
              <w:rPr>
                <w:sz w:val="16"/>
              </w:rPr>
              <w:t>NFR-08</w:t>
            </w:r>
          </w:p>
        </w:tc>
        <w:tc>
          <w:tcPr>
            <w:tcW w:type="dxa" w:w="5112"/>
            <w:vAlign w:val="top"/>
          </w:tcPr>
          <w:p>
            <w:pPr>
              <w:spacing w:after="0"/>
            </w:pPr>
            <w:r>
              <w:rPr>
                <w:sz w:val="16"/>
              </w:rPr>
              <w:t>Security-sensitive actions require authorization and audit logging.</w:t>
            </w:r>
          </w:p>
        </w:tc>
      </w:tr>
    </w:tbl>
    <w:p>
      <w:pPr>
        <w:pStyle w:val="Heading1"/>
      </w:pPr>
      <w:r>
        <w:t>18. Data model</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Table</w:t>
            </w:r>
          </w:p>
        </w:tc>
        <w:tc>
          <w:tcPr>
            <w:tcW w:type="dxa" w:w="5112"/>
            <w:vAlign w:val="center"/>
            <w:shd w:fill="1F4E79"/>
          </w:tcPr>
          <w:p>
            <w:pPr>
              <w:spacing w:after="0"/>
            </w:pPr>
            <w:r>
              <w:rPr>
                <w:b/>
                <w:color w:val="FFFFFF"/>
                <w:sz w:val="16"/>
              </w:rPr>
              <w:t>Important fields</w:t>
            </w:r>
          </w:p>
        </w:tc>
      </w:tr>
      <w:tr>
        <w:trPr>
          <w:cantSplit/>
        </w:trPr>
        <w:tc>
          <w:tcPr>
            <w:tcW w:type="dxa" w:w="5112"/>
            <w:vAlign w:val="top"/>
          </w:tcPr>
          <w:p>
            <w:pPr>
              <w:spacing w:after="0"/>
            </w:pPr>
            <w:r>
              <w:rPr>
                <w:sz w:val="16"/>
              </w:rPr>
              <w:t>projects</w:t>
            </w:r>
          </w:p>
        </w:tc>
        <w:tc>
          <w:tcPr>
            <w:tcW w:type="dxa" w:w="5112"/>
            <w:vAlign w:val="top"/>
          </w:tcPr>
          <w:p>
            <w:pPr>
              <w:spacing w:after="0"/>
            </w:pPr>
            <w:r>
              <w:rPr>
                <w:sz w:val="16"/>
              </w:rPr>
              <w:t>id, name, owner, created_at</w:t>
            </w:r>
          </w:p>
        </w:tc>
      </w:tr>
      <w:tr>
        <w:trPr>
          <w:cantSplit/>
        </w:trPr>
        <w:tc>
          <w:tcPr>
            <w:tcW w:type="dxa" w:w="5112"/>
            <w:vAlign w:val="top"/>
          </w:tcPr>
          <w:p>
            <w:pPr>
              <w:spacing w:after="0"/>
            </w:pPr>
            <w:r>
              <w:rPr>
                <w:sz w:val="16"/>
              </w:rPr>
              <w:t>scans</w:t>
            </w:r>
          </w:p>
        </w:tc>
        <w:tc>
          <w:tcPr>
            <w:tcW w:type="dxa" w:w="5112"/>
            <w:vAlign w:val="top"/>
          </w:tcPr>
          <w:p>
            <w:pPr>
              <w:spacing w:after="0"/>
            </w:pPr>
            <w:r>
              <w:rPr>
                <w:sz w:val="16"/>
              </w:rPr>
              <w:t>id, project_id, target_type, target_ref, status, detector_version, started_at, completed_at</w:t>
            </w:r>
          </w:p>
        </w:tc>
      </w:tr>
      <w:tr>
        <w:trPr>
          <w:cantSplit/>
        </w:trPr>
        <w:tc>
          <w:tcPr>
            <w:tcW w:type="dxa" w:w="5112"/>
            <w:vAlign w:val="top"/>
          </w:tcPr>
          <w:p>
            <w:pPr>
              <w:spacing w:after="0"/>
            </w:pPr>
            <w:r>
              <w:rPr>
                <w:sz w:val="16"/>
              </w:rPr>
              <w:t>assets</w:t>
            </w:r>
          </w:p>
        </w:tc>
        <w:tc>
          <w:tcPr>
            <w:tcW w:type="dxa" w:w="5112"/>
            <w:vAlign w:val="top"/>
          </w:tcPr>
          <w:p>
            <w:pPr>
              <w:spacing w:after="0"/>
            </w:pPr>
            <w:r>
              <w:rPr>
                <w:sz w:val="16"/>
              </w:rPr>
              <w:t>id, scan_id, asset_type, name, algorithm, parameter_set, role, version, mode, lifecycle_status</w:t>
            </w:r>
          </w:p>
        </w:tc>
      </w:tr>
      <w:tr>
        <w:trPr>
          <w:cantSplit/>
        </w:trPr>
        <w:tc>
          <w:tcPr>
            <w:tcW w:type="dxa" w:w="5112"/>
            <w:vAlign w:val="top"/>
          </w:tcPr>
          <w:p>
            <w:pPr>
              <w:spacing w:after="0"/>
            </w:pPr>
            <w:r>
              <w:rPr>
                <w:sz w:val="16"/>
              </w:rPr>
              <w:t>evidence</w:t>
            </w:r>
          </w:p>
        </w:tc>
        <w:tc>
          <w:tcPr>
            <w:tcW w:type="dxa" w:w="5112"/>
            <w:vAlign w:val="top"/>
          </w:tcPr>
          <w:p>
            <w:pPr>
              <w:spacing w:after="0"/>
            </w:pPr>
            <w:r>
              <w:rPr>
                <w:sz w:val="16"/>
              </w:rPr>
              <w:t>id, asset_id, source_type, location, detector, raw_signal, confidence, observed_at, provenance</w:t>
            </w:r>
          </w:p>
        </w:tc>
      </w:tr>
      <w:tr>
        <w:trPr>
          <w:cantSplit/>
        </w:trPr>
        <w:tc>
          <w:tcPr>
            <w:tcW w:type="dxa" w:w="5112"/>
            <w:vAlign w:val="top"/>
          </w:tcPr>
          <w:p>
            <w:pPr>
              <w:spacing w:after="0"/>
            </w:pPr>
            <w:r>
              <w:rPr>
                <w:sz w:val="16"/>
              </w:rPr>
              <w:t>relationships</w:t>
            </w:r>
          </w:p>
        </w:tc>
        <w:tc>
          <w:tcPr>
            <w:tcW w:type="dxa" w:w="5112"/>
            <w:vAlign w:val="top"/>
          </w:tcPr>
          <w:p>
            <w:pPr>
              <w:spacing w:after="0"/>
            </w:pPr>
            <w:r>
              <w:rPr>
                <w:sz w:val="16"/>
              </w:rPr>
              <w:t>id, src_asset_id, dst_asset_id, relationship_type, confidence</w:t>
            </w:r>
          </w:p>
        </w:tc>
      </w:tr>
      <w:tr>
        <w:trPr>
          <w:cantSplit/>
        </w:trPr>
        <w:tc>
          <w:tcPr>
            <w:tcW w:type="dxa" w:w="5112"/>
            <w:vAlign w:val="top"/>
          </w:tcPr>
          <w:p>
            <w:pPr>
              <w:spacing w:after="0"/>
            </w:pPr>
            <w:r>
              <w:rPr>
                <w:sz w:val="16"/>
              </w:rPr>
              <w:t>contexts</w:t>
            </w:r>
          </w:p>
        </w:tc>
        <w:tc>
          <w:tcPr>
            <w:tcW w:type="dxa" w:w="5112"/>
            <w:vAlign w:val="top"/>
          </w:tcPr>
          <w:p>
            <w:pPr>
              <w:spacing w:after="0"/>
            </w:pPr>
            <w:r>
              <w:rPr>
                <w:sz w:val="16"/>
              </w:rPr>
              <w:t>id, asset_id, data_lifetime, criticality, sensitivity, exposure, migration_time</w:t>
            </w:r>
          </w:p>
        </w:tc>
      </w:tr>
      <w:tr>
        <w:trPr>
          <w:cantSplit/>
        </w:trPr>
        <w:tc>
          <w:tcPr>
            <w:tcW w:type="dxa" w:w="5112"/>
            <w:vAlign w:val="top"/>
          </w:tcPr>
          <w:p>
            <w:pPr>
              <w:spacing w:after="0"/>
            </w:pPr>
            <w:r>
              <w:rPr>
                <w:sz w:val="16"/>
              </w:rPr>
              <w:t>risk_assessments</w:t>
            </w:r>
          </w:p>
        </w:tc>
        <w:tc>
          <w:tcPr>
            <w:tcW w:type="dxa" w:w="5112"/>
            <w:vAlign w:val="top"/>
          </w:tcPr>
          <w:p>
            <w:pPr>
              <w:spacing w:after="0"/>
            </w:pPr>
            <w:r>
              <w:rPr>
                <w:sz w:val="16"/>
              </w:rPr>
              <w:t>id, asset_id, temporal_probability, contextual_score, overall_band, model_version</w:t>
            </w:r>
          </w:p>
        </w:tc>
      </w:tr>
      <w:tr>
        <w:trPr>
          <w:cantSplit/>
        </w:trPr>
        <w:tc>
          <w:tcPr>
            <w:tcW w:type="dxa" w:w="5112"/>
            <w:vAlign w:val="top"/>
          </w:tcPr>
          <w:p>
            <w:pPr>
              <w:spacing w:after="0"/>
            </w:pPr>
            <w:r>
              <w:rPr>
                <w:sz w:val="16"/>
              </w:rPr>
              <w:t>migration_options</w:t>
            </w:r>
          </w:p>
        </w:tc>
        <w:tc>
          <w:tcPr>
            <w:tcW w:type="dxa" w:w="5112"/>
            <w:vAlign w:val="top"/>
          </w:tcPr>
          <w:p>
            <w:pPr>
              <w:spacing w:after="0"/>
            </w:pPr>
            <w:r>
              <w:rPr>
                <w:sz w:val="16"/>
              </w:rPr>
              <w:t>id, asset_id, target_algorithm, strategy, compatibility, estimated_cost, latency_impact</w:t>
            </w:r>
          </w:p>
        </w:tc>
      </w:tr>
      <w:tr>
        <w:trPr>
          <w:cantSplit/>
        </w:trPr>
        <w:tc>
          <w:tcPr>
            <w:tcW w:type="dxa" w:w="5112"/>
            <w:vAlign w:val="top"/>
          </w:tcPr>
          <w:p>
            <w:pPr>
              <w:spacing w:after="0"/>
            </w:pPr>
            <w:r>
              <w:rPr>
                <w:sz w:val="16"/>
              </w:rPr>
              <w:t>migration_plans</w:t>
            </w:r>
          </w:p>
        </w:tc>
        <w:tc>
          <w:tcPr>
            <w:tcW w:type="dxa" w:w="5112"/>
            <w:vAlign w:val="top"/>
          </w:tcPr>
          <w:p>
            <w:pPr>
              <w:spacing w:after="0"/>
            </w:pPr>
            <w:r>
              <w:rPr>
                <w:sz w:val="16"/>
              </w:rPr>
              <w:t>id, name, objective, constraint_json, status</w:t>
            </w:r>
          </w:p>
        </w:tc>
      </w:tr>
      <w:tr>
        <w:trPr>
          <w:cantSplit/>
        </w:trPr>
        <w:tc>
          <w:tcPr>
            <w:tcW w:type="dxa" w:w="5112"/>
            <w:vAlign w:val="top"/>
          </w:tcPr>
          <w:p>
            <w:pPr>
              <w:spacing w:after="0"/>
            </w:pPr>
            <w:r>
              <w:rPr>
                <w:sz w:val="16"/>
              </w:rPr>
              <w:t>migration_steps</w:t>
            </w:r>
          </w:p>
        </w:tc>
        <w:tc>
          <w:tcPr>
            <w:tcW w:type="dxa" w:w="5112"/>
            <w:vAlign w:val="top"/>
          </w:tcPr>
          <w:p>
            <w:pPr>
              <w:spacing w:after="0"/>
            </w:pPr>
            <w:r>
              <w:rPr>
                <w:sz w:val="16"/>
              </w:rPr>
              <w:t>id, plan_id, asset_id, sequence_no, strategy, prerequisites, rollback, validation_status</w:t>
            </w:r>
          </w:p>
        </w:tc>
      </w:tr>
      <w:tr>
        <w:trPr>
          <w:cantSplit/>
        </w:trPr>
        <w:tc>
          <w:tcPr>
            <w:tcW w:type="dxa" w:w="5112"/>
            <w:vAlign w:val="top"/>
          </w:tcPr>
          <w:p>
            <w:pPr>
              <w:spacing w:after="0"/>
            </w:pPr>
            <w:r>
              <w:rPr>
                <w:sz w:val="16"/>
              </w:rPr>
              <w:t>audit_events</w:t>
            </w:r>
          </w:p>
        </w:tc>
        <w:tc>
          <w:tcPr>
            <w:tcW w:type="dxa" w:w="5112"/>
            <w:vAlign w:val="top"/>
          </w:tcPr>
          <w:p>
            <w:pPr>
              <w:spacing w:after="0"/>
            </w:pPr>
            <w:r>
              <w:rPr>
                <w:sz w:val="16"/>
              </w:rPr>
              <w:t>id, actor, action, object_type, object_id, timestamp, metadata</w:t>
            </w:r>
          </w:p>
        </w:tc>
      </w:tr>
    </w:tbl>
    <w:p>
      <w:pPr>
        <w:pStyle w:val="Heading1"/>
      </w:pPr>
      <w:r>
        <w:t>19. API surface</w:t>
      </w:r>
    </w:p>
    <w:p>
      <w:pPr>
        <w:spacing w:after="120"/>
        <w:ind w:left="360" w:right="360"/>
      </w:pPr>
      <w:r>
        <w:rPr>
          <w:rFonts w:ascii="Consolas" w:hAnsi="Consolas"/>
          <w:sz w:val="16"/>
        </w:rPr>
        <w:t>POST   /api/v1/projects</w:t>
        <w:br/>
        <w:t>POST   /api/v1/scans</w:t>
        <w:br/>
        <w:t>GET    /api/v1/scans/{scan_id}</w:t>
        <w:br/>
        <w:t>GET    /api/v1/scans/{scan_id}/assets</w:t>
        <w:br/>
        <w:t>GET    /api/v1/assets/{asset_id}</w:t>
        <w:br/>
        <w:t>GET    /api/v1/assets/{asset_id}/evidence</w:t>
        <w:br/>
        <w:t>GET    /api/v1/graph/{scan_id}</w:t>
        <w:br/>
        <w:t>GET    /api/v1/risks/{scan_id}</w:t>
        <w:br/>
        <w:t>POST   /api/v1/migrations/simulate</w:t>
        <w:br/>
        <w:t>POST   /api/v1/migrations/plan</w:t>
        <w:br/>
        <w:t>GET    /api/v1/migrations/{plan_id}</w:t>
        <w:br/>
        <w:t>GET    /api/v1/reports/{scan_id}/cbom</w:t>
        <w:br/>
        <w:t>GET    /api/v1/reports/{scan_id}/risk</w:t>
        <w:br/>
        <w:t>GET    /api/v1/reports/{scan_id}/migration</w:t>
      </w:r>
    </w:p>
    <w:p>
      <w:r>
        <w:br w:type="page"/>
      </w:r>
    </w:p>
    <w:p>
      <w:pPr>
        <w:pStyle w:val="Heading1"/>
      </w:pPr>
      <w:r>
        <w:t>20. Recommended implementation stack</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shd w:fill="1F4E79"/>
          </w:tcPr>
          <w:p>
            <w:pPr>
              <w:spacing w:after="0"/>
            </w:pPr>
            <w:r>
              <w:rPr>
                <w:b/>
                <w:color w:val="FFFFFF"/>
                <w:sz w:val="16"/>
              </w:rPr>
              <w:t>Layer</w:t>
            </w:r>
          </w:p>
        </w:tc>
        <w:tc>
          <w:tcPr>
            <w:tcW w:type="dxa" w:w="3408"/>
            <w:vAlign w:val="center"/>
            <w:shd w:fill="1F4E79"/>
          </w:tcPr>
          <w:p>
            <w:pPr>
              <w:spacing w:after="0"/>
            </w:pPr>
            <w:r>
              <w:rPr>
                <w:b/>
                <w:color w:val="FFFFFF"/>
                <w:sz w:val="16"/>
              </w:rPr>
              <w:t>Recommended stack</w:t>
            </w:r>
          </w:p>
        </w:tc>
        <w:tc>
          <w:tcPr>
            <w:tcW w:type="dxa" w:w="3408"/>
            <w:vAlign w:val="center"/>
            <w:shd w:fill="1F4E79"/>
          </w:tcPr>
          <w:p>
            <w:pPr>
              <w:spacing w:after="0"/>
            </w:pPr>
            <w:r>
              <w:rPr>
                <w:b/>
                <w:color w:val="FFFFFF"/>
                <w:sz w:val="16"/>
              </w:rPr>
              <w:t>Demo notes</w:t>
            </w:r>
          </w:p>
        </w:tc>
      </w:tr>
      <w:tr>
        <w:trPr>
          <w:cantSplit/>
        </w:trPr>
        <w:tc>
          <w:tcPr>
            <w:tcW w:type="dxa" w:w="3408"/>
            <w:vAlign w:val="top"/>
          </w:tcPr>
          <w:p>
            <w:pPr>
              <w:spacing w:after="0"/>
            </w:pPr>
            <w:r>
              <w:rPr>
                <w:sz w:val="16"/>
              </w:rPr>
              <w:t>Frontend</w:t>
            </w:r>
          </w:p>
        </w:tc>
        <w:tc>
          <w:tcPr>
            <w:tcW w:type="dxa" w:w="3408"/>
            <w:vAlign w:val="top"/>
          </w:tcPr>
          <w:p>
            <w:pPr>
              <w:spacing w:after="0"/>
            </w:pPr>
            <w:r>
              <w:rPr>
                <w:sz w:val="16"/>
              </w:rPr>
              <w:t>Next.js / React, TypeScript, Tailwind, shadcn/ui</w:t>
            </w:r>
          </w:p>
        </w:tc>
        <w:tc>
          <w:tcPr>
            <w:tcW w:type="dxa" w:w="3408"/>
            <w:vAlign w:val="top"/>
          </w:tcPr>
          <w:p>
            <w:pPr>
              <w:spacing w:after="0"/>
            </w:pPr>
            <w:r>
              <w:rPr>
                <w:sz w:val="16"/>
              </w:rPr>
              <w:t>Fast, clean security-dashboard UI</w:t>
            </w:r>
          </w:p>
        </w:tc>
      </w:tr>
      <w:tr>
        <w:trPr>
          <w:cantSplit/>
        </w:trPr>
        <w:tc>
          <w:tcPr>
            <w:tcW w:type="dxa" w:w="3408"/>
            <w:vAlign w:val="top"/>
          </w:tcPr>
          <w:p>
            <w:pPr>
              <w:spacing w:after="0"/>
            </w:pPr>
            <w:r>
              <w:rPr>
                <w:sz w:val="16"/>
              </w:rPr>
              <w:t>Charts / graph</w:t>
            </w:r>
          </w:p>
        </w:tc>
        <w:tc>
          <w:tcPr>
            <w:tcW w:type="dxa" w:w="3408"/>
            <w:vAlign w:val="top"/>
          </w:tcPr>
          <w:p>
            <w:pPr>
              <w:spacing w:after="0"/>
            </w:pPr>
            <w:r>
              <w:rPr>
                <w:sz w:val="16"/>
              </w:rPr>
              <w:t>Recharts or Plotly; Cytoscape.js or React Flow</w:t>
            </w:r>
          </w:p>
        </w:tc>
        <w:tc>
          <w:tcPr>
            <w:tcW w:type="dxa" w:w="3408"/>
            <w:vAlign w:val="top"/>
          </w:tcPr>
          <w:p>
            <w:pPr>
              <w:spacing w:after="0"/>
            </w:pPr>
            <w:r>
              <w:rPr>
                <w:sz w:val="16"/>
              </w:rPr>
              <w:t>Use graph for blast-radius exploration</w:t>
            </w:r>
          </w:p>
        </w:tc>
      </w:tr>
      <w:tr>
        <w:trPr>
          <w:cantSplit/>
        </w:trPr>
        <w:tc>
          <w:tcPr>
            <w:tcW w:type="dxa" w:w="3408"/>
            <w:vAlign w:val="top"/>
          </w:tcPr>
          <w:p>
            <w:pPr>
              <w:spacing w:after="0"/>
            </w:pPr>
            <w:r>
              <w:rPr>
                <w:sz w:val="16"/>
              </w:rPr>
              <w:t>Backend</w:t>
            </w:r>
          </w:p>
        </w:tc>
        <w:tc>
          <w:tcPr>
            <w:tcW w:type="dxa" w:w="3408"/>
            <w:vAlign w:val="top"/>
          </w:tcPr>
          <w:p>
            <w:pPr>
              <w:spacing w:after="0"/>
            </w:pPr>
            <w:r>
              <w:rPr>
                <w:sz w:val="16"/>
              </w:rPr>
              <w:t>Python 3.12+, FastAPI, Pydantic, SQLAlchemy</w:t>
            </w:r>
          </w:p>
        </w:tc>
        <w:tc>
          <w:tcPr>
            <w:tcW w:type="dxa" w:w="3408"/>
            <w:vAlign w:val="top"/>
          </w:tcPr>
          <w:p>
            <w:pPr>
              <w:spacing w:after="0"/>
            </w:pPr>
            <w:r>
              <w:rPr>
                <w:sz w:val="16"/>
              </w:rPr>
              <w:t>Single API boundary</w:t>
            </w:r>
          </w:p>
        </w:tc>
      </w:tr>
      <w:tr>
        <w:trPr>
          <w:cantSplit/>
        </w:trPr>
        <w:tc>
          <w:tcPr>
            <w:tcW w:type="dxa" w:w="3408"/>
            <w:vAlign w:val="top"/>
          </w:tcPr>
          <w:p>
            <w:pPr>
              <w:spacing w:after="0"/>
            </w:pPr>
            <w:r>
              <w:rPr>
                <w:sz w:val="16"/>
              </w:rPr>
              <w:t>Storage</w:t>
            </w:r>
          </w:p>
        </w:tc>
        <w:tc>
          <w:tcPr>
            <w:tcW w:type="dxa" w:w="3408"/>
            <w:vAlign w:val="top"/>
          </w:tcPr>
          <w:p>
            <w:pPr>
              <w:spacing w:after="0"/>
            </w:pPr>
            <w:r>
              <w:rPr>
                <w:sz w:val="16"/>
              </w:rPr>
              <w:t>PostgreSQL</w:t>
            </w:r>
          </w:p>
        </w:tc>
        <w:tc>
          <w:tcPr>
            <w:tcW w:type="dxa" w:w="3408"/>
            <w:vAlign w:val="top"/>
          </w:tcPr>
          <w:p>
            <w:pPr>
              <w:spacing w:after="0"/>
            </w:pPr>
            <w:r>
              <w:rPr>
                <w:sz w:val="16"/>
              </w:rPr>
              <w:t>System of record; adjacency tables sufficient for demo</w:t>
            </w:r>
          </w:p>
        </w:tc>
      </w:tr>
      <w:tr>
        <w:trPr>
          <w:cantSplit/>
        </w:trPr>
        <w:tc>
          <w:tcPr>
            <w:tcW w:type="dxa" w:w="3408"/>
            <w:vAlign w:val="top"/>
          </w:tcPr>
          <w:p>
            <w:pPr>
              <w:spacing w:after="0"/>
            </w:pPr>
            <w:r>
              <w:rPr>
                <w:sz w:val="16"/>
              </w:rPr>
              <w:t>Jobs</w:t>
            </w:r>
          </w:p>
        </w:tc>
        <w:tc>
          <w:tcPr>
            <w:tcW w:type="dxa" w:w="3408"/>
            <w:vAlign w:val="top"/>
          </w:tcPr>
          <w:p>
            <w:pPr>
              <w:spacing w:after="0"/>
            </w:pPr>
            <w:r>
              <w:rPr>
                <w:sz w:val="16"/>
              </w:rPr>
              <w:t>Redis + worker</w:t>
            </w:r>
          </w:p>
        </w:tc>
        <w:tc>
          <w:tcPr>
            <w:tcW w:type="dxa" w:w="3408"/>
            <w:vAlign w:val="top"/>
          </w:tcPr>
          <w:p>
            <w:pPr>
              <w:spacing w:after="0"/>
            </w:pPr>
            <w:r>
              <w:rPr>
                <w:sz w:val="16"/>
              </w:rPr>
              <w:t>Background scan jobs and progress</w:t>
            </w:r>
          </w:p>
        </w:tc>
      </w:tr>
      <w:tr>
        <w:trPr>
          <w:cantSplit/>
        </w:trPr>
        <w:tc>
          <w:tcPr>
            <w:tcW w:type="dxa" w:w="3408"/>
            <w:vAlign w:val="top"/>
          </w:tcPr>
          <w:p>
            <w:pPr>
              <w:spacing w:after="0"/>
            </w:pPr>
            <w:r>
              <w:rPr>
                <w:sz w:val="16"/>
              </w:rPr>
              <w:t>AST</w:t>
            </w:r>
          </w:p>
        </w:tc>
        <w:tc>
          <w:tcPr>
            <w:tcW w:type="dxa" w:w="3408"/>
            <w:vAlign w:val="top"/>
          </w:tcPr>
          <w:p>
            <w:pPr>
              <w:spacing w:after="0"/>
            </w:pPr>
            <w:r>
              <w:rPr>
                <w:sz w:val="16"/>
              </w:rPr>
              <w:t>Tree-sitter + custom rules; optional Semgrep adapters</w:t>
            </w:r>
          </w:p>
        </w:tc>
        <w:tc>
          <w:tcPr>
            <w:tcW w:type="dxa" w:w="3408"/>
            <w:vAlign w:val="top"/>
          </w:tcPr>
          <w:p>
            <w:pPr>
              <w:spacing w:after="0"/>
            </w:pPr>
            <w:r>
              <w:rPr>
                <w:sz w:val="16"/>
              </w:rPr>
              <w:t>Multi-language architecture</w:t>
            </w:r>
          </w:p>
        </w:tc>
      </w:tr>
      <w:tr>
        <w:trPr>
          <w:cantSplit/>
        </w:trPr>
        <w:tc>
          <w:tcPr>
            <w:tcW w:type="dxa" w:w="3408"/>
            <w:vAlign w:val="top"/>
          </w:tcPr>
          <w:p>
            <w:pPr>
              <w:spacing w:after="0"/>
            </w:pPr>
            <w:r>
              <w:rPr>
                <w:sz w:val="16"/>
              </w:rPr>
              <w:t>Certificates</w:t>
            </w:r>
          </w:p>
        </w:tc>
        <w:tc>
          <w:tcPr>
            <w:tcW w:type="dxa" w:w="3408"/>
            <w:vAlign w:val="top"/>
          </w:tcPr>
          <w:p>
            <w:pPr>
              <w:spacing w:after="0"/>
            </w:pPr>
            <w:r>
              <w:rPr>
                <w:sz w:val="16"/>
              </w:rPr>
              <w:t>Python cryptography library</w:t>
            </w:r>
          </w:p>
        </w:tc>
        <w:tc>
          <w:tcPr>
            <w:tcW w:type="dxa" w:w="3408"/>
            <w:vAlign w:val="top"/>
          </w:tcPr>
          <w:p>
            <w:pPr>
              <w:spacing w:after="0"/>
            </w:pPr>
            <w:r>
              <w:rPr>
                <w:sz w:val="16"/>
              </w:rPr>
              <w:t>Parse public X.509 metadata</w:t>
            </w:r>
          </w:p>
        </w:tc>
      </w:tr>
      <w:tr>
        <w:trPr>
          <w:cantSplit/>
        </w:trPr>
        <w:tc>
          <w:tcPr>
            <w:tcW w:type="dxa" w:w="3408"/>
            <w:vAlign w:val="top"/>
          </w:tcPr>
          <w:p>
            <w:pPr>
              <w:spacing w:after="0"/>
            </w:pPr>
            <w:r>
              <w:rPr>
                <w:sz w:val="16"/>
              </w:rPr>
              <w:t>TLS</w:t>
            </w:r>
          </w:p>
        </w:tc>
        <w:tc>
          <w:tcPr>
            <w:tcW w:type="dxa" w:w="3408"/>
            <w:vAlign w:val="top"/>
          </w:tcPr>
          <w:p>
            <w:pPr>
              <w:spacing w:after="0"/>
            </w:pPr>
            <w:r>
              <w:rPr>
                <w:sz w:val="16"/>
              </w:rPr>
              <w:t>OpenSSL CLI / controlled endpoint adapter</w:t>
            </w:r>
          </w:p>
        </w:tc>
        <w:tc>
          <w:tcPr>
            <w:tcW w:type="dxa" w:w="3408"/>
            <w:vAlign w:val="top"/>
          </w:tcPr>
          <w:p>
            <w:pPr>
              <w:spacing w:after="0"/>
            </w:pPr>
            <w:r>
              <w:rPr>
                <w:sz w:val="16"/>
              </w:rPr>
              <w:t>Demo protocol evidence</w:t>
            </w:r>
          </w:p>
        </w:tc>
      </w:tr>
      <w:tr>
        <w:trPr>
          <w:cantSplit/>
        </w:trPr>
        <w:tc>
          <w:tcPr>
            <w:tcW w:type="dxa" w:w="3408"/>
            <w:vAlign w:val="top"/>
          </w:tcPr>
          <w:p>
            <w:pPr>
              <w:spacing w:after="0"/>
            </w:pPr>
            <w:r>
              <w:rPr>
                <w:sz w:val="16"/>
              </w:rPr>
              <w:t>Binary</w:t>
            </w:r>
          </w:p>
        </w:tc>
        <w:tc>
          <w:tcPr>
            <w:tcW w:type="dxa" w:w="3408"/>
            <w:vAlign w:val="top"/>
          </w:tcPr>
          <w:p>
            <w:pPr>
              <w:spacing w:after="0"/>
            </w:pPr>
            <w:r>
              <w:rPr>
                <w:sz w:val="16"/>
              </w:rPr>
              <w:t>LIEF + strings/symbol signals</w:t>
            </w:r>
          </w:p>
        </w:tc>
        <w:tc>
          <w:tcPr>
            <w:tcW w:type="dxa" w:w="3408"/>
            <w:vAlign w:val="top"/>
          </w:tcPr>
          <w:p>
            <w:pPr>
              <w:spacing w:after="0"/>
            </w:pPr>
            <w:r>
              <w:rPr>
                <w:sz w:val="16"/>
              </w:rPr>
              <w:t>Honest limited binary coverage</w:t>
            </w:r>
          </w:p>
        </w:tc>
      </w:tr>
      <w:tr>
        <w:trPr>
          <w:cantSplit/>
        </w:trPr>
        <w:tc>
          <w:tcPr>
            <w:tcW w:type="dxa" w:w="3408"/>
            <w:vAlign w:val="top"/>
          </w:tcPr>
          <w:p>
            <w:pPr>
              <w:spacing w:after="0"/>
            </w:pPr>
            <w:r>
              <w:rPr>
                <w:sz w:val="16"/>
              </w:rPr>
              <w:t>Containers</w:t>
            </w:r>
          </w:p>
        </w:tc>
        <w:tc>
          <w:tcPr>
            <w:tcW w:type="dxa" w:w="3408"/>
            <w:vAlign w:val="top"/>
          </w:tcPr>
          <w:p>
            <w:pPr>
              <w:spacing w:after="0"/>
            </w:pPr>
            <w:r>
              <w:rPr>
                <w:sz w:val="16"/>
              </w:rPr>
              <w:t>OCI/image extraction tooling</w:t>
            </w:r>
          </w:p>
        </w:tc>
        <w:tc>
          <w:tcPr>
            <w:tcW w:type="dxa" w:w="3408"/>
            <w:vAlign w:val="top"/>
          </w:tcPr>
          <w:p>
            <w:pPr>
              <w:spacing w:after="0"/>
            </w:pPr>
            <w:r>
              <w:rPr>
                <w:sz w:val="16"/>
              </w:rPr>
              <w:t>Inspect files and package metadata</w:t>
            </w:r>
          </w:p>
        </w:tc>
      </w:tr>
      <w:tr>
        <w:trPr>
          <w:cantSplit/>
        </w:trPr>
        <w:tc>
          <w:tcPr>
            <w:tcW w:type="dxa" w:w="3408"/>
            <w:vAlign w:val="top"/>
          </w:tcPr>
          <w:p>
            <w:pPr>
              <w:spacing w:after="0"/>
            </w:pPr>
            <w:r>
              <w:rPr>
                <w:sz w:val="16"/>
              </w:rPr>
              <w:t>Graph future</w:t>
            </w:r>
          </w:p>
        </w:tc>
        <w:tc>
          <w:tcPr>
            <w:tcW w:type="dxa" w:w="3408"/>
            <w:vAlign w:val="top"/>
          </w:tcPr>
          <w:p>
            <w:pPr>
              <w:spacing w:after="0"/>
            </w:pPr>
            <w:r>
              <w:rPr>
                <w:sz w:val="16"/>
              </w:rPr>
              <w:t>Neo4j adapter</w:t>
            </w:r>
          </w:p>
        </w:tc>
        <w:tc>
          <w:tcPr>
            <w:tcW w:type="dxa" w:w="3408"/>
            <w:vAlign w:val="top"/>
          </w:tcPr>
          <w:p>
            <w:pPr>
              <w:spacing w:after="0"/>
            </w:pPr>
            <w:r>
              <w:rPr>
                <w:sz w:val="16"/>
              </w:rPr>
              <w:t>Only when graph workloads justify it</w:t>
            </w:r>
          </w:p>
        </w:tc>
      </w:tr>
      <w:tr>
        <w:trPr>
          <w:cantSplit/>
        </w:trPr>
        <w:tc>
          <w:tcPr>
            <w:tcW w:type="dxa" w:w="3408"/>
            <w:vAlign w:val="top"/>
          </w:tcPr>
          <w:p>
            <w:pPr>
              <w:spacing w:after="0"/>
            </w:pPr>
            <w:r>
              <w:rPr>
                <w:sz w:val="16"/>
              </w:rPr>
              <w:t>Deployment</w:t>
            </w:r>
          </w:p>
        </w:tc>
        <w:tc>
          <w:tcPr>
            <w:tcW w:type="dxa" w:w="3408"/>
            <w:vAlign w:val="top"/>
          </w:tcPr>
          <w:p>
            <w:pPr>
              <w:spacing w:after="0"/>
            </w:pPr>
            <w:r>
              <w:rPr>
                <w:sz w:val="16"/>
              </w:rPr>
              <w:t>Docker Compose</w:t>
            </w:r>
          </w:p>
        </w:tc>
        <w:tc>
          <w:tcPr>
            <w:tcW w:type="dxa" w:w="3408"/>
            <w:vAlign w:val="top"/>
          </w:tcPr>
          <w:p>
            <w:pPr>
              <w:spacing w:after="0"/>
            </w:pPr>
            <w:r>
              <w:rPr>
                <w:sz w:val="16"/>
              </w:rPr>
              <w:t>One-command local demo</w:t>
            </w:r>
          </w:p>
        </w:tc>
      </w:tr>
    </w:tbl>
    <w:p>
      <w:pPr>
        <w:pStyle w:val="Heading1"/>
      </w:pPr>
      <w:r>
        <w:t>21. Demo data strategy</w:t>
      </w:r>
    </w:p>
    <w:p>
      <w:r>
        <w:t>Use a synthetic, controlled repository corpus so every finding has known ground truth.</w:t>
      </w:r>
    </w:p>
    <w:p>
      <w:pPr>
        <w:pStyle w:val="ListBullet"/>
      </w:pPr>
      <w:r>
        <w:t>legacy-auth-service - RSA signing + JWT</w:t>
      </w:r>
    </w:p>
    <w:p>
      <w:pPr>
        <w:pStyle w:val="ListBullet"/>
      </w:pPr>
      <w:r>
        <w:t>legacy-api - ECDSA certificate metadata</w:t>
      </w:r>
    </w:p>
    <w:p>
      <w:pPr>
        <w:pStyle w:val="ListBullet"/>
      </w:pPr>
      <w:r>
        <w:t>payment-service - AES-256-GCM</w:t>
      </w:r>
    </w:p>
    <w:p>
      <w:pPr>
        <w:pStyle w:val="ListBullet"/>
      </w:pPr>
      <w:r>
        <w:t>tls-gateway - X25519 / hybrid TLS evidence</w:t>
      </w:r>
    </w:p>
    <w:p>
      <w:pPr>
        <w:pStyle w:val="ListBullet"/>
      </w:pPr>
      <w:r>
        <w:t>old-utils - deprecated hash examples</w:t>
      </w:r>
    </w:p>
    <w:p>
      <w:pPr>
        <w:pStyle w:val="ListBullet"/>
      </w:pPr>
      <w:r>
        <w:t>pqc-ready-service - ML-KEM / ML-DSA examples</w:t>
      </w:r>
    </w:p>
    <w:p>
      <w:pPr>
        <w:pStyle w:val="ListBullet"/>
      </w:pPr>
      <w:r>
        <w:t>lockfiles, sample PEM certificates, container manifests and dependency relationships</w:t>
      </w:r>
    </w:p>
    <w:p>
      <w:pPr>
        <w:pStyle w:val="ListBullet"/>
      </w:pPr>
      <w:r>
        <w:t>hidden/wrapped crypto calls for benchmark cases</w:t>
      </w:r>
    </w:p>
    <w:p>
      <w:r>
        <w:t>Store the ground truth separately from the scanner and use it only for evaluation.</w:t>
      </w:r>
    </w:p>
    <w:p>
      <w:pPr>
        <w:pStyle w:val="Heading1"/>
      </w:pPr>
      <w:r>
        <w:t>22. Demo narrative</w:t>
      </w:r>
    </w:p>
    <w:p>
      <w:pPr>
        <w:pStyle w:val="ListNumber"/>
      </w:pPr>
      <w:r>
        <w:t>Open ECDAT.</w:t>
      </w:r>
    </w:p>
    <w:p>
      <w:pPr>
        <w:pStyle w:val="ListNumber"/>
      </w:pPr>
      <w:r>
        <w:t>Upload the controlled enterprise demo repository.</w:t>
      </w:r>
    </w:p>
    <w:p>
      <w:pPr>
        <w:pStyle w:val="ListNumber"/>
      </w:pPr>
      <w:r>
        <w:t>Start a scan.</w:t>
      </w:r>
    </w:p>
    <w:p>
      <w:pPr>
        <w:pStyle w:val="ListNumber"/>
      </w:pPr>
      <w:r>
        <w:t>View cryptographic assets discovered across source, dependencies, certificates and containers.</w:t>
      </w:r>
    </w:p>
    <w:p>
      <w:pPr>
        <w:pStyle w:val="ListNumber"/>
      </w:pPr>
      <w:r>
        <w:t>Open an RSA-2048 JWT-signing asset and inspect evidence/provenance.</w:t>
      </w:r>
    </w:p>
    <w:p>
      <w:pPr>
        <w:pStyle w:val="ListNumber"/>
      </w:pPr>
      <w:r>
        <w:t>Open the graph and select the RSA asset to preview migration blast radius.</w:t>
      </w:r>
    </w:p>
    <w:p>
      <w:pPr>
        <w:pStyle w:val="ListNumber"/>
      </w:pPr>
      <w:r>
        <w:t>Set data lifetime and business criticality.</w:t>
      </w:r>
    </w:p>
    <w:p>
      <w:pPr>
        <w:pStyle w:val="ListNumber"/>
      </w:pPr>
      <w:r>
        <w:t>Run Mosca-style temporal and contextual risk analysis.</w:t>
      </w:r>
    </w:p>
    <w:p>
      <w:pPr>
        <w:pStyle w:val="ListNumber"/>
      </w:pPr>
      <w:r>
        <w:t>Compare ML-DSA / hybrid candidates and their constraints.</w:t>
      </w:r>
    </w:p>
    <w:p>
      <w:pPr>
        <w:pStyle w:val="ListNumber"/>
      </w:pPr>
      <w:r>
        <w:t>Run migration simulation and view ordered plan/validation gates.</w:t>
      </w:r>
    </w:p>
    <w:p>
      <w:pPr>
        <w:pStyle w:val="ListNumber"/>
      </w:pPr>
      <w:r>
        <w:t>Export the CycloneDX 1.7 CBOM and migration report.</w:t>
      </w:r>
    </w:p>
    <w:p>
      <w:pPr>
        <w:pStyle w:val="Heading1"/>
      </w:pPr>
      <w:r>
        <w:t>23. Research layer after the demo</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Research track</w:t>
            </w:r>
          </w:p>
        </w:tc>
        <w:tc>
          <w:tcPr>
            <w:tcW w:type="dxa" w:w="5112"/>
            <w:vAlign w:val="center"/>
            <w:shd w:fill="1F4E79"/>
          </w:tcPr>
          <w:p>
            <w:pPr>
              <w:spacing w:after="0"/>
            </w:pPr>
            <w:r>
              <w:rPr>
                <w:b/>
                <w:color w:val="FFFFFF"/>
                <w:sz w:val="16"/>
              </w:rPr>
              <w:t>Experiment</w:t>
            </w:r>
          </w:p>
        </w:tc>
      </w:tr>
      <w:tr>
        <w:trPr>
          <w:cantSplit/>
        </w:trPr>
        <w:tc>
          <w:tcPr>
            <w:tcW w:type="dxa" w:w="5112"/>
            <w:vAlign w:val="top"/>
          </w:tcPr>
          <w:p>
            <w:pPr>
              <w:spacing w:after="0"/>
            </w:pPr>
            <w:r>
              <w:rPr>
                <w:sz w:val="16"/>
              </w:rPr>
              <w:t>Evidence fusion</w:t>
            </w:r>
          </w:p>
        </w:tc>
        <w:tc>
          <w:tcPr>
            <w:tcW w:type="dxa" w:w="5112"/>
            <w:vAlign w:val="top"/>
          </w:tcPr>
          <w:p>
            <w:pPr>
              <w:spacing w:after="0"/>
            </w:pPr>
            <w:r>
              <w:rPr>
                <w:sz w:val="16"/>
              </w:rPr>
              <w:t>Single-modality vs multimodal discovery; measure precision, recall, F1, false-negative rate, localization and confidence calibration.</w:t>
            </w:r>
          </w:p>
        </w:tc>
      </w:tr>
      <w:tr>
        <w:trPr>
          <w:cantSplit/>
        </w:trPr>
        <w:tc>
          <w:tcPr>
            <w:tcW w:type="dxa" w:w="5112"/>
            <w:vAlign w:val="top"/>
          </w:tcPr>
          <w:p>
            <w:pPr>
              <w:spacing w:after="0"/>
            </w:pPr>
            <w:r>
              <w:rPr>
                <w:sz w:val="16"/>
              </w:rPr>
              <w:t>Graph reasoning</w:t>
            </w:r>
          </w:p>
        </w:tc>
        <w:tc>
          <w:tcPr>
            <w:tcW w:type="dxa" w:w="5112"/>
            <w:vAlign w:val="top"/>
          </w:tcPr>
          <w:p>
            <w:pPr>
              <w:spacing w:after="0"/>
            </w:pPr>
            <w:r>
              <w:rPr>
                <w:sz w:val="16"/>
              </w:rPr>
              <w:t>Compare flat-CBOM prioritization vs graph-based vs evidence+graph prioritization.</w:t>
            </w:r>
          </w:p>
        </w:tc>
      </w:tr>
      <w:tr>
        <w:trPr>
          <w:cantSplit/>
        </w:trPr>
        <w:tc>
          <w:tcPr>
            <w:tcW w:type="dxa" w:w="5112"/>
            <w:vAlign w:val="top"/>
          </w:tcPr>
          <w:p>
            <w:pPr>
              <w:spacing w:after="0"/>
            </w:pPr>
            <w:r>
              <w:rPr>
                <w:sz w:val="16"/>
              </w:rPr>
              <w:t>Probabilistic Mosca</w:t>
            </w:r>
          </w:p>
        </w:tc>
        <w:tc>
          <w:tcPr>
            <w:tcW w:type="dxa" w:w="5112"/>
            <w:vAlign w:val="top"/>
          </w:tcPr>
          <w:p>
            <w:pPr>
              <w:spacing w:after="0"/>
            </w:pPr>
            <w:r>
              <w:rPr>
                <w:sz w:val="16"/>
              </w:rPr>
              <w:t>Compare deterministic and probabilistic quantum-risk ranking under uncertain quantum timelines.</w:t>
            </w:r>
          </w:p>
        </w:tc>
      </w:tr>
      <w:tr>
        <w:trPr>
          <w:cantSplit/>
        </w:trPr>
        <w:tc>
          <w:tcPr>
            <w:tcW w:type="dxa" w:w="5112"/>
            <w:vAlign w:val="top"/>
          </w:tcPr>
          <w:p>
            <w:pPr>
              <w:spacing w:after="0"/>
            </w:pPr>
            <w:r>
              <w:rPr>
                <w:sz w:val="16"/>
              </w:rPr>
              <w:t>Crypto agility</w:t>
            </w:r>
          </w:p>
        </w:tc>
        <w:tc>
          <w:tcPr>
            <w:tcW w:type="dxa" w:w="5112"/>
            <w:vAlign w:val="top"/>
          </w:tcPr>
          <w:p>
            <w:pPr>
              <w:spacing w:after="0"/>
            </w:pPr>
            <w:r>
              <w:rPr>
                <w:sz w:val="16"/>
              </w:rPr>
              <w:t>Test whether explicit agility features predict migration effort.</w:t>
            </w:r>
          </w:p>
        </w:tc>
      </w:tr>
      <w:tr>
        <w:trPr>
          <w:cantSplit/>
        </w:trPr>
        <w:tc>
          <w:tcPr>
            <w:tcW w:type="dxa" w:w="5112"/>
            <w:vAlign w:val="top"/>
          </w:tcPr>
          <w:p>
            <w:pPr>
              <w:spacing w:after="0"/>
            </w:pPr>
            <w:r>
              <w:rPr>
                <w:sz w:val="16"/>
              </w:rPr>
              <w:t>Blast radius</w:t>
            </w:r>
          </w:p>
        </w:tc>
        <w:tc>
          <w:tcPr>
            <w:tcW w:type="dxa" w:w="5112"/>
            <w:vAlign w:val="top"/>
          </w:tcPr>
          <w:p>
            <w:pPr>
              <w:spacing w:after="0"/>
            </w:pPr>
            <w:r>
              <w:rPr>
                <w:sz w:val="16"/>
              </w:rPr>
              <w:t>Test whether graph structure predicts impacted components after seeded migrations.</w:t>
            </w:r>
          </w:p>
        </w:tc>
      </w:tr>
      <w:tr>
        <w:trPr>
          <w:cantSplit/>
        </w:trPr>
        <w:tc>
          <w:tcPr>
            <w:tcW w:type="dxa" w:w="5112"/>
            <w:vAlign w:val="top"/>
          </w:tcPr>
          <w:p>
            <w:pPr>
              <w:spacing w:after="0"/>
            </w:pPr>
            <w:r>
              <w:rPr>
                <w:sz w:val="16"/>
              </w:rPr>
              <w:t>Agentic migration</w:t>
            </w:r>
          </w:p>
        </w:tc>
        <w:tc>
          <w:tcPr>
            <w:tcW w:type="dxa" w:w="5112"/>
            <w:vAlign w:val="top"/>
          </w:tcPr>
          <w:p>
            <w:pPr>
              <w:spacing w:after="0"/>
            </w:pPr>
            <w:r>
              <w:rPr>
                <w:sz w:val="16"/>
              </w:rPr>
              <w:t>Test whether evidence-grounded validation reduces migration regression versus unconstrained LLM editing.</w:t>
            </w:r>
          </w:p>
        </w:tc>
      </w:tr>
    </w:tbl>
    <w:p>
      <w:pPr>
        <w:pStyle w:val="Heading1"/>
      </w:pPr>
      <w:r>
        <w:t>24. Demo acceptance criteria</w:t>
      </w:r>
    </w:p>
    <w:p>
      <w:pPr>
        <w:pStyle w:val="ListBullet"/>
      </w:pPr>
      <w:r>
        <w:t>A controlled repository scans end-to-end.</w:t>
      </w:r>
    </w:p>
    <w:p>
      <w:pPr>
        <w:pStyle w:val="ListBullet"/>
      </w:pPr>
      <w:r>
        <w:t>At least 20+ crypto assets are discovered with known ground truth.</w:t>
      </w:r>
    </w:p>
    <w:p>
      <w:pPr>
        <w:pStyle w:val="ListBullet"/>
      </w:pPr>
      <w:r>
        <w:t>At least 4 discovery modalities contribute evidence.</w:t>
      </w:r>
    </w:p>
    <w:p>
      <w:pPr>
        <w:pStyle w:val="ListBullet"/>
      </w:pPr>
      <w:r>
        <w:t>Every finding has source location and confidence.</w:t>
      </w:r>
    </w:p>
    <w:p>
      <w:pPr>
        <w:pStyle w:val="ListBullet"/>
      </w:pPr>
      <w:r>
        <w:t>A graph renders asset/dependency relationships.</w:t>
      </w:r>
    </w:p>
    <w:p>
      <w:pPr>
        <w:pStyle w:val="ListBullet"/>
      </w:pPr>
      <w:r>
        <w:t>Mosca parameters are visible for each risk decision.</w:t>
      </w:r>
    </w:p>
    <w:p>
      <w:pPr>
        <w:pStyle w:val="ListBullet"/>
      </w:pPr>
      <w:r>
        <w:t>At least three PQC/hybrid recommendations are demonstrated.</w:t>
      </w:r>
    </w:p>
    <w:p>
      <w:pPr>
        <w:pStyle w:val="ListBullet"/>
      </w:pPr>
      <w:r>
        <w:t>A selected migration displays its blast radius.</w:t>
      </w:r>
    </w:p>
    <w:p>
      <w:pPr>
        <w:pStyle w:val="ListBullet"/>
      </w:pPr>
      <w:r>
        <w:t>A migration plan is generated with validation gates.</w:t>
      </w:r>
    </w:p>
    <w:p>
      <w:pPr>
        <w:pStyle w:val="ListBullet"/>
      </w:pPr>
      <w:r>
        <w:t>A CycloneDX 1.7 CBOM is downloadable.</w:t>
      </w:r>
    </w:p>
    <w:p>
      <w:pPr>
        <w:pStyle w:val="ListBullet"/>
      </w:pPr>
      <w:r>
        <w:t>Inventory, risk and migration views are usable.</w:t>
      </w:r>
    </w:p>
    <w:p>
      <w:pPr>
        <w:pStyle w:val="ListBullet"/>
      </w:pPr>
      <w:r>
        <w:t>The product does not store private key material.</w:t>
      </w:r>
    </w:p>
    <w:p>
      <w:pPr>
        <w:pStyle w:val="Heading1"/>
      </w:pPr>
      <w:r>
        <w:t>25. Product roadmap</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5112"/>
            <w:vAlign w:val="center"/>
            <w:shd w:fill="1F4E79"/>
          </w:tcPr>
          <w:p>
            <w:pPr>
              <w:spacing w:after="0"/>
            </w:pPr>
            <w:r>
              <w:rPr>
                <w:b/>
                <w:color w:val="FFFFFF"/>
                <w:sz w:val="16"/>
              </w:rPr>
              <w:t>Release</w:t>
            </w:r>
          </w:p>
        </w:tc>
        <w:tc>
          <w:tcPr>
            <w:tcW w:type="dxa" w:w="5112"/>
            <w:vAlign w:val="center"/>
            <w:shd w:fill="1F4E79"/>
          </w:tcPr>
          <w:p>
            <w:pPr>
              <w:spacing w:after="0"/>
            </w:pPr>
            <w:r>
              <w:rPr>
                <w:b/>
                <w:color w:val="FFFFFF"/>
                <w:sz w:val="16"/>
              </w:rPr>
              <w:t>Scope</w:t>
            </w:r>
          </w:p>
        </w:tc>
      </w:tr>
      <w:tr>
        <w:trPr>
          <w:cantSplit/>
        </w:trPr>
        <w:tc>
          <w:tcPr>
            <w:tcW w:type="dxa" w:w="5112"/>
            <w:vAlign w:val="top"/>
          </w:tcPr>
          <w:p>
            <w:pPr>
              <w:spacing w:after="0"/>
            </w:pPr>
            <w:r>
              <w:rPr>
                <w:sz w:val="16"/>
              </w:rPr>
              <w:t>A - Demo foundation</w:t>
            </w:r>
          </w:p>
        </w:tc>
        <w:tc>
          <w:tcPr>
            <w:tcW w:type="dxa" w:w="5112"/>
            <w:vAlign w:val="top"/>
          </w:tcPr>
          <w:p>
            <w:pPr>
              <w:spacing w:after="0"/>
            </w:pPr>
            <w:r>
              <w:rPr>
                <w:sz w:val="16"/>
              </w:rPr>
              <w:t>Repository ingestion, source/AST, dependencies, certificates, evidence store, CBOM, basic risk dashboard.</w:t>
            </w:r>
          </w:p>
        </w:tc>
      </w:tr>
      <w:tr>
        <w:trPr>
          <w:cantSplit/>
        </w:trPr>
        <w:tc>
          <w:tcPr>
            <w:tcW w:type="dxa" w:w="5112"/>
            <w:vAlign w:val="top"/>
          </w:tcPr>
          <w:p>
            <w:pPr>
              <w:spacing w:after="0"/>
            </w:pPr>
            <w:r>
              <w:rPr>
                <w:sz w:val="16"/>
              </w:rPr>
              <w:t>B - Intelligence</w:t>
            </w:r>
          </w:p>
        </w:tc>
        <w:tc>
          <w:tcPr>
            <w:tcW w:type="dxa" w:w="5112"/>
            <w:vAlign w:val="top"/>
          </w:tcPr>
          <w:p>
            <w:pPr>
              <w:spacing w:after="0"/>
            </w:pPr>
            <w:r>
              <w:rPr>
                <w:sz w:val="16"/>
              </w:rPr>
              <w:t>Evidence fusion, graph explorer, contextual risk, crypto-agility profile, TLS evidence.</w:t>
            </w:r>
          </w:p>
        </w:tc>
      </w:tr>
      <w:tr>
        <w:trPr>
          <w:cantSplit/>
        </w:trPr>
        <w:tc>
          <w:tcPr>
            <w:tcW w:type="dxa" w:w="5112"/>
            <w:vAlign w:val="top"/>
          </w:tcPr>
          <w:p>
            <w:pPr>
              <w:spacing w:after="0"/>
            </w:pPr>
            <w:r>
              <w:rPr>
                <w:sz w:val="16"/>
              </w:rPr>
              <w:t>C - Migration</w:t>
            </w:r>
          </w:p>
        </w:tc>
        <w:tc>
          <w:tcPr>
            <w:tcW w:type="dxa" w:w="5112"/>
            <w:vAlign w:val="top"/>
          </w:tcPr>
          <w:p>
            <w:pPr>
              <w:spacing w:after="0"/>
            </w:pPr>
            <w:r>
              <w:rPr>
                <w:sz w:val="16"/>
              </w:rPr>
              <w:t>PQC registry, migration options, blast radius, migration planner, simulator.</w:t>
            </w:r>
          </w:p>
        </w:tc>
      </w:tr>
      <w:tr>
        <w:trPr>
          <w:cantSplit/>
        </w:trPr>
        <w:tc>
          <w:tcPr>
            <w:tcW w:type="dxa" w:w="5112"/>
            <w:vAlign w:val="top"/>
          </w:tcPr>
          <w:p>
            <w:pPr>
              <w:spacing w:after="0"/>
            </w:pPr>
            <w:r>
              <w:rPr>
                <w:sz w:val="16"/>
              </w:rPr>
              <w:t>D - Advanced discovery</w:t>
            </w:r>
          </w:p>
        </w:tc>
        <w:tc>
          <w:tcPr>
            <w:tcW w:type="dxa" w:w="5112"/>
            <w:vAlign w:val="top"/>
          </w:tcPr>
          <w:p>
            <w:pPr>
              <w:spacing w:after="0"/>
            </w:pPr>
            <w:r>
              <w:rPr>
                <w:sz w:val="16"/>
              </w:rPr>
              <w:t>Binary, containers, runtime, cloud/KMS/HSM and additional protocols.</w:t>
            </w:r>
          </w:p>
        </w:tc>
      </w:tr>
      <w:tr>
        <w:trPr>
          <w:cantSplit/>
        </w:trPr>
        <w:tc>
          <w:tcPr>
            <w:tcW w:type="dxa" w:w="5112"/>
            <w:vAlign w:val="top"/>
          </w:tcPr>
          <w:p>
            <w:pPr>
              <w:spacing w:after="0"/>
            </w:pPr>
            <w:r>
              <w:rPr>
                <w:sz w:val="16"/>
              </w:rPr>
              <w:t>E - Research / agentic</w:t>
            </w:r>
          </w:p>
        </w:tc>
        <w:tc>
          <w:tcPr>
            <w:tcW w:type="dxa" w:w="5112"/>
            <w:vAlign w:val="top"/>
          </w:tcPr>
          <w:p>
            <w:pPr>
              <w:spacing w:after="0"/>
            </w:pPr>
            <w:r>
              <w:rPr>
                <w:sz w:val="16"/>
              </w:rPr>
              <w:t>Uncertainty models, optimization, benchmark suite, validated migration copilot.</w:t>
            </w:r>
          </w:p>
        </w:tc>
      </w:tr>
    </w:tbl>
    <w:p>
      <w:pPr>
        <w:pStyle w:val="Heading1"/>
      </w:pPr>
      <w:r>
        <w:t>26. Security and trust principles</w:t>
      </w:r>
    </w:p>
    <w:p>
      <w:pPr>
        <w:pStyle w:val="ListBullet"/>
      </w:pPr>
      <w:r>
        <w:t>Scan only repositories/endpoints the operator is authorized to analyze.</w:t>
      </w:r>
    </w:p>
    <w:p>
      <w:pPr>
        <w:pStyle w:val="ListBullet"/>
      </w:pPr>
      <w:r>
        <w:t>Never ingest private key material into the analytics database.</w:t>
      </w:r>
    </w:p>
    <w:p>
      <w:pPr>
        <w:pStyle w:val="ListBullet"/>
      </w:pPr>
      <w:r>
        <w:t>Store certificate/key metadata and hashes where possible.</w:t>
      </w:r>
    </w:p>
    <w:p>
      <w:pPr>
        <w:pStyle w:val="ListBullet"/>
      </w:pPr>
      <w:r>
        <w:t>Isolate uploaded repositories and container extraction.</w:t>
      </w:r>
    </w:p>
    <w:p>
      <w:pPr>
        <w:pStyle w:val="ListBullet"/>
      </w:pPr>
      <w:r>
        <w:t>Record detector/version provenance.</w:t>
      </w:r>
    </w:p>
    <w:p>
      <w:pPr>
        <w:pStyle w:val="ListBullet"/>
      </w:pPr>
      <w:r>
        <w:t>Make every risk score explainable from stored inputs.</w:t>
      </w:r>
    </w:p>
    <w:p>
      <w:pPr>
        <w:pStyle w:val="ListBullet"/>
      </w:pPr>
      <w:r>
        <w:t>Treat external intelligence and LLM output as advisory until validated.</w:t>
      </w:r>
    </w:p>
    <w:p>
      <w:pPr>
        <w:pStyle w:val="ListBullet"/>
      </w:pPr>
      <w:r>
        <w:t>Keep human approval before production-changing remediation.</w:t>
      </w:r>
    </w:p>
    <w:p>
      <w:pPr>
        <w:pStyle w:val="Heading1"/>
      </w:pPr>
      <w:r>
        <w:t>27. Source and standards basis</w:t>
      </w:r>
    </w:p>
    <w:p>
      <w:r>
        <w:t>[1] SIH26164, NTRO - Enterprise Cryptographic Discovery &amp; Analysis Tool. Requirements are based on the SIH26164 problem statement supplied for this project and corroborated by current indexed SIH2026 copies. The official SIH portal was not directly retrievable in this session, so this report does not claim a newly verified official modification.</w:t>
      </w:r>
    </w:p>
    <w:p>
      <w:r>
        <w:t>[2] NIST CSWP 39-upd1 - Considerations for Achieving Crypto Agility: Strategies and Practices, final June 29, 2026.</w:t>
      </w:r>
    </w:p>
    <w:p>
      <w:r>
        <w:t>[3] NIST NCCoE - Migration to Post-Quantum Cryptography FAQ, updated June 30, 2026.</w:t>
      </w:r>
    </w:p>
    <w:p>
      <w:r>
        <w:t>[4] CycloneDX v1.7 - released October 21, 2025, with expanded CBOM capabilities and provenance-oriented features.</w:t>
      </w:r>
    </w:p>
    <w:p>
      <w:r>
        <w:t>[5] CycloneDX Cryptography Registry - machine-readable algorithm family and curve normalization introduced with v1.7.</w:t>
      </w:r>
    </w:p>
    <w:p>
      <w:r>
        <w:t>[6] IETF draft-ietf-tls-mlkem-11 - ML-KEM Post-Quantum Key Agreement for TLS 1.3, dated September 17, 2026.</w:t>
      </w:r>
    </w:p>
    <w:p>
      <w:pPr>
        <w:pStyle w:val="Heading1"/>
      </w:pPr>
      <w:r>
        <w:t>28. Final product definition</w:t>
      </w:r>
    </w:p>
    <w:p>
      <w:r>
        <w:t>ECDAT is an evidence-driven enterprise cryptographic intelligence platform. It does not stop at finding an algorithm. It connects evidence to actual usage, dependencies, business context and data, translates those facts into quantum and lifecycle risk, and produces a migration plan that can be simulated and validated.</w:t>
      </w:r>
    </w:p>
    <w:p>
      <w:r>
        <w:t>For the demo, the winning vertical slice is:</w:t>
      </w:r>
    </w:p>
    <w:p>
      <w:pPr>
        <w:spacing w:after="120"/>
        <w:ind w:left="360" w:right="360"/>
      </w:pPr>
      <w:r>
        <w:rPr>
          <w:rFonts w:ascii="Consolas" w:hAnsi="Consolas"/>
          <w:sz w:val="16"/>
        </w:rPr>
        <w:t>Repository -&gt; Discovery -&gt; Evidence -&gt; CBOM -&gt; Risk -&gt; Graph -&gt; Blast Radius -&gt; PQC Recommendation -&gt; Migration Plan -&gt; Validation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ECDAT | SIH26164 | Demo Product Architecture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44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44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44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C44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ECDAT - Demo Product Architecture and PRD</dc:title>
  <dc:subject>SIH26164 NTRO Enterprise Cryptographic Discovery &amp; Analysis Tool</dc:subject>
  <dc:creator>ECDAT Project Team</dc:creator>
  <cp:keywords>ECDAT, SIH26164, CBOM, PQC, cryptographic discovery, migration</cp:keywords>
  <dc:description>generated by python-docx</dc:description>
  <cp:lastModifiedBy/>
  <cp:revision>1</cp:revision>
  <dcterms:created xsi:type="dcterms:W3CDTF">2013-12-23T23:15:00Z</dcterms:created>
  <dcterms:modified xsi:type="dcterms:W3CDTF">2013-12-23T23:15:00Z</dcterms:modified>
  <cp:category/>
</cp:coreProperties>
</file>