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pPr>
      <w:r>
        <w:rPr>
          <w:rFonts w:ascii="Aptos" w:hAnsi="Aptos"/>
        </w:rPr>
        <w:t>Comprehensive Technical Report &amp; Architectural Blueprint: Enterprise Cryptographic Discovery &amp; Analysis Tool (ECDAT)</w:t>
      </w:r>
    </w:p>
    <w:p>
      <w:pPr>
        <w:widowControl/>
        <w:spacing w:after="120"/>
      </w:pPr>
      <w:r>
        <w:rPr>
          <w:rFonts w:ascii="Aptos" w:hAnsi="Aptos"/>
          <w:b/>
          <w:sz w:val="21"/>
        </w:rPr>
        <w:t>Project Identifier:</w:t>
      </w:r>
      <w:r>
        <w:rPr>
          <w:rFonts w:ascii="Aptos" w:hAnsi="Aptos"/>
          <w:b w:val="0"/>
          <w:sz w:val="21"/>
        </w:rPr>
        <w:t xml:space="preserve"> SIH26164  </w:t>
      </w:r>
    </w:p>
    <w:p>
      <w:pPr>
        <w:widowControl/>
        <w:spacing w:after="120"/>
      </w:pPr>
      <w:r>
        <w:rPr>
          <w:rFonts w:ascii="Aptos" w:hAnsi="Aptos"/>
          <w:b/>
          <w:sz w:val="21"/>
        </w:rPr>
        <w:t>Organization:</w:t>
      </w:r>
      <w:r>
        <w:rPr>
          <w:rFonts w:ascii="Aptos" w:hAnsi="Aptos"/>
          <w:b w:val="0"/>
          <w:sz w:val="21"/>
        </w:rPr>
        <w:t xml:space="preserve"> National Technical Research Organisation (NTRO)  </w:t>
      </w:r>
    </w:p>
    <w:p>
      <w:pPr>
        <w:widowControl/>
        <w:spacing w:after="120"/>
      </w:pPr>
      <w:r>
        <w:rPr>
          <w:rFonts w:ascii="Aptos" w:hAnsi="Aptos"/>
          <w:b/>
          <w:sz w:val="21"/>
        </w:rPr>
        <w:t>Theme:</w:t>
      </w:r>
      <w:r>
        <w:rPr>
          <w:rFonts w:ascii="Aptos" w:hAnsi="Aptos"/>
          <w:b w:val="0"/>
          <w:sz w:val="21"/>
        </w:rPr>
        <w:t xml:space="preserve"> Blockchain &amp; Cybersecurity (Category: Software)  </w:t>
      </w:r>
    </w:p>
    <w:p>
      <w:pPr>
        <w:spacing w:after="80"/>
        <w:widowControl/>
        <w:pBdr>
          <w:bottom w:val="single" w:sz="6" w:space="1" w:color="B7C9D6"/>
        </w:pBdr>
      </w:pPr>
    </w:p>
    <w:p>
      <w:pPr>
        <w:pStyle w:val="Heading1"/>
        <w:keepNext/>
        <w:widowControl/>
      </w:pPr>
      <w:r>
        <w:rPr>
          <w:rFonts w:ascii="Aptos" w:hAnsi="Aptos"/>
        </w:rPr>
        <w:t>1. Executive Summary &amp; Strategic Problem Context</w:t>
      </w:r>
    </w:p>
    <w:p>
      <w:pPr>
        <w:widowControl/>
        <w:spacing w:after="120"/>
      </w:pPr>
      <w:r>
        <w:rPr>
          <w:rFonts w:ascii="Aptos" w:hAnsi="Aptos"/>
          <w:b w:val="0"/>
          <w:sz w:val="21"/>
        </w:rPr>
        <w:t xml:space="preserve">Enterprise software landscapes distribute cryptographic primitives across source repositories, build pipelines, stripped native binaries, OCI container images, cloud Key Management Services (KMS), and live TLS endpoints. This lack of centralized visibility prevents organizations from establishing an auditable inventory of deployed algorithms, key lengths, and trust paths. In the face of impending Cryptographically Relevant Quantum Computers (CRQCs) capable of breaking classical public-key cryptography (RSA, ECC, Finite-Field Diffie-Hellman) via Shor’s algorithm, unmonitored cryptography introduces immediate exposure to retroactive </w:t>
      </w:r>
      <w:r>
        <w:rPr>
          <w:rFonts w:ascii="Aptos" w:hAnsi="Aptos"/>
          <w:b/>
          <w:sz w:val="21"/>
        </w:rPr>
        <w:t>"Harvest Now, Decrypt Later"</w:t>
      </w:r>
      <w:r>
        <w:rPr>
          <w:rFonts w:ascii="Aptos" w:hAnsi="Aptos"/>
          <w:b w:val="0"/>
          <w:sz w:val="21"/>
        </w:rPr>
        <w:t xml:space="preserve"> attacks.</w:t>
      </w:r>
    </w:p>
    <w:p>
      <w:pPr>
        <w:widowControl/>
        <w:spacing w:after="120"/>
      </w:pPr>
      <w:r>
        <w:rPr>
          <w:rFonts w:ascii="Aptos" w:hAnsi="Aptos"/>
          <w:b w:val="0"/>
          <w:sz w:val="21"/>
        </w:rPr>
        <w:t xml:space="preserve">The </w:t>
      </w:r>
      <w:r>
        <w:rPr>
          <w:rFonts w:ascii="Aptos" w:hAnsi="Aptos"/>
          <w:b/>
          <w:sz w:val="21"/>
        </w:rPr>
        <w:t>Enterprise Cryptographic Discovery &amp; Analysis Tool (ECDAT)</w:t>
      </w:r>
      <w:r>
        <w:rPr>
          <w:rFonts w:ascii="Aptos" w:hAnsi="Aptos"/>
          <w:b w:val="0"/>
          <w:sz w:val="21"/>
        </w:rPr>
        <w:t xml:space="preserve"> bridges the critical research gap in software assurance. Rather than operating as a conventional passive scanner, ECDAT is designed as a </w:t>
      </w:r>
      <w:r>
        <w:rPr>
          <w:rFonts w:ascii="Aptos" w:hAnsi="Aptos"/>
          <w:b/>
          <w:sz w:val="21"/>
        </w:rPr>
        <w:t>cryptographic intelligence and decision-support platform</w:t>
      </w:r>
      <w:r>
        <w:rPr>
          <w:rFonts w:ascii="Aptos" w:hAnsi="Aptos"/>
          <w:b w:val="0"/>
          <w:sz w:val="21"/>
        </w:rPr>
        <w:t>. It fuses multi-modal evidence across the full technology stack into a unified cryptographic asset graph, executes probabilistic quantum risk simulations based on Mosca’s inequality, enforces policy drift gates in CI/CD pipelines, and outputs optimized, risk-prioritized Post-Quantum Cryptography (PQC) migration roadmaps.</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 Multi-Modal Discovery Engines                 │</w:t>
      </w:r>
    </w:p>
    <w:p>
      <w:pPr>
        <w:spacing w:after="0" w:line="240" w:lineRule="auto"/>
        <w:ind w:left="288"/>
        <w:widowControl/>
        <w:shd w:fill="F3F4F6"/>
      </w:pPr>
      <w:r>
        <w:rPr>
          <w:rFonts w:ascii="Consolas" w:hAnsi="Consolas"/>
          <w:sz w:val="16"/>
        </w:rPr>
        <w:t xml:space="preserve">                     │ (AST, Binary NTT, Containers, TLS, Cloud KMS) │</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 Evidence Fusion &amp; Cryptographic Asset Graph   │</w:t>
      </w:r>
    </w:p>
    <w:p>
      <w:pPr>
        <w:spacing w:after="0" w:line="240" w:lineRule="auto"/>
        <w:ind w:left="288"/>
        <w:widowControl/>
        <w:shd w:fill="F3F4F6"/>
      </w:pPr>
      <w:r>
        <w:rPr>
          <w:rFonts w:ascii="Consolas" w:hAnsi="Consolas"/>
          <w:sz w:val="16"/>
        </w:rPr>
        <w:t xml:space="preserve">                     │  (CycloneDX v1.6/v1.7 / QRCS .qcbom.json)    │</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                                               ▼</w:t>
      </w:r>
    </w:p>
    <w:p>
      <w:pPr>
        <w:spacing w:after="0" w:line="240" w:lineRule="auto"/>
        <w:ind w:left="288"/>
        <w:widowControl/>
        <w:shd w:fill="F3F4F6"/>
      </w:pPr>
      <w:r>
        <w:rPr>
          <w:rFonts w:ascii="Consolas" w:hAnsi="Consolas"/>
          <w:sz w:val="16"/>
        </w:rPr>
        <w:t>┌─────────────────────────────────────────┐     ┌─────────────────────────────────────────┐</w:t>
      </w:r>
    </w:p>
    <w:p>
      <w:pPr>
        <w:spacing w:after="0" w:line="240" w:lineRule="auto"/>
        <w:ind w:left="288"/>
        <w:widowControl/>
        <w:shd w:fill="F3F4F6"/>
      </w:pPr>
      <w:r>
        <w:rPr>
          <w:rFonts w:ascii="Consolas" w:hAnsi="Consolas"/>
          <w:sz w:val="16"/>
        </w:rPr>
        <w:t>│ Layer 1: Quantitative Quantum Risk      │     │ Layer 2: Cloud Contextual Risk          │</w:t>
      </w:r>
    </w:p>
    <w:p>
      <w:pPr>
        <w:spacing w:after="0" w:line="240" w:lineRule="auto"/>
        <w:ind w:left="288"/>
        <w:widowControl/>
        <w:shd w:fill="F3F4F6"/>
      </w:pPr>
      <w:r>
        <w:rPr>
          <w:rFonts w:ascii="Consolas" w:hAnsi="Consolas"/>
          <w:sz w:val="16"/>
        </w:rPr>
        <w:t>│ • Monte Carlo Mosca (X + Y &gt; Z)       │     │ • Passive Harvest vs. Active Forgery    │</w:t>
      </w:r>
    </w:p>
    <w:p>
      <w:pPr>
        <w:spacing w:after="0" w:line="240" w:lineRule="auto"/>
        <w:ind w:left="288"/>
        <w:widowControl/>
        <w:shd w:fill="F3F4F6"/>
      </w:pPr>
      <w:r>
        <w:rPr>
          <w:rFonts w:ascii="Consolas" w:hAnsi="Consolas"/>
          <w:sz w:val="16"/>
        </w:rPr>
        <w:t>│ • Probabilities P(f&gt;0) &amp; E[f]       │     │ • Reachability, Blast Radius &amp; Agility │</w:t>
      </w:r>
    </w:p>
    <w:p>
      <w:pPr>
        <w:spacing w:after="0" w:line="240" w:lineRule="auto"/>
        <w:ind w:left="288"/>
        <w:widowControl/>
        <w:shd w:fill="F3F4F6"/>
      </w:pPr>
      <w:r>
        <w:rPr>
          <w:rFonts w:ascii="Consolas" w:hAnsi="Consolas"/>
          <w:sz w:val="16"/>
        </w:rPr>
        <w:t>└────────────────────┬────────────────────┘     └────────────────────┬────────────────────┘</w:t>
      </w:r>
    </w:p>
    <w:p>
      <w:pPr>
        <w:spacing w:after="0" w:line="240" w:lineRule="auto"/>
        <w:ind w:left="288"/>
        <w:widowControl/>
        <w:shd w:fill="F3F4F6"/>
      </w:pPr>
      <w:r>
        <w:rPr>
          <w:rFonts w:ascii="Consolas" w:hAnsi="Consolas"/>
          <w:sz w:val="16"/>
        </w:rPr>
        <w:t xml:space="preserve">                     │                                               │</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 Migration Decision &amp; Policy Engine            │</w:t>
      </w:r>
    </w:p>
    <w:p>
      <w:pPr>
        <w:spacing w:after="0" w:line="240" w:lineRule="auto"/>
        <w:ind w:left="288"/>
        <w:widowControl/>
        <w:shd w:fill="F3F4F6"/>
      </w:pPr>
      <w:r>
        <w:rPr>
          <w:rFonts w:ascii="Consolas" w:hAnsi="Consolas"/>
          <w:sz w:val="16"/>
        </w:rPr>
        <w:t xml:space="preserve">                     │  (FIPS 203–205, Hybrid TLS, CEL CI Gates)     │</w:t>
      </w:r>
    </w:p>
    <w:p>
      <w:pPr>
        <w:spacing w:after="0" w:line="240" w:lineRule="auto"/>
        <w:ind w:left="288"/>
        <w:widowControl/>
        <w:shd w:fill="F3F4F6"/>
      </w:pPr>
      <w:r>
        <w:rPr>
          <w:rFonts w:ascii="Consolas" w:hAnsi="Consolas"/>
          <w:sz w:val="16"/>
        </w:rPr>
        <w:t xml:space="preserve">                     └───────────────────────────────────────────────┘</w:t>
      </w:r>
    </w:p>
    <w:p>
      <w:pPr>
        <w:spacing w:after="80"/>
        <w:widowControl/>
        <w:pBdr>
          <w:bottom w:val="single" w:sz="6" w:space="1" w:color="B7C9D6"/>
        </w:pBdr>
      </w:pPr>
    </w:p>
    <w:p>
      <w:pPr>
        <w:pStyle w:val="Heading1"/>
        <w:keepNext/>
        <w:widowControl/>
      </w:pPr>
      <w:r>
        <w:rPr>
          <w:rFonts w:ascii="Aptos" w:hAnsi="Aptos"/>
        </w:rPr>
        <w:t>2. Multi-Modal Evidence Fusion Architecture</w:t>
      </w:r>
    </w:p>
    <w:p>
      <w:pPr>
        <w:widowControl/>
        <w:spacing w:after="120"/>
      </w:pPr>
      <w:r>
        <w:rPr>
          <w:rFonts w:ascii="Aptos" w:hAnsi="Aptos"/>
          <w:b w:val="0"/>
          <w:sz w:val="21"/>
        </w:rPr>
        <w:t>A single scanning modality cannot cover heterogeneous cloud and software environments. ECDAT integrates four specialized discovery engines into a unified evidence fusion pipeline:</w:t>
      </w:r>
    </w:p>
    <w:p>
      <w:pPr>
        <w:pStyle w:val="Heading2"/>
        <w:keepNext/>
        <w:widowControl/>
      </w:pPr>
      <w:r>
        <w:rPr>
          <w:rFonts w:ascii="Aptos" w:hAnsi="Aptos"/>
        </w:rPr>
        <w:t>A. Static Source Code &amp; Rule-Based AST Scanner</w:t>
      </w:r>
    </w:p>
    <w:p>
      <w:pPr>
        <w:widowControl/>
        <w:spacing w:after="120"/>
      </w:pPr>
      <w:r>
        <w:rPr>
          <w:rFonts w:ascii="Aptos" w:hAnsi="Aptos"/>
          <w:b w:val="0"/>
          <w:sz w:val="21"/>
        </w:rPr>
        <w:t xml:space="preserve">Operating on the principles established by the </w:t>
      </w:r>
      <w:r>
        <w:rPr>
          <w:rFonts w:ascii="Aptos" w:hAnsi="Aptos"/>
          <w:b/>
          <w:sz w:val="21"/>
        </w:rPr>
        <w:t>Crypistry/Crypsy</w:t>
      </w:r>
      <w:r>
        <w:rPr>
          <w:rFonts w:ascii="Aptos" w:hAnsi="Aptos"/>
          <w:b w:val="0"/>
          <w:sz w:val="21"/>
        </w:rPr>
        <w:t xml:space="preserve"> framework, source code analysis uses Abstract Syntax Tree (AST) parsing, regex matching, and manifest parsing. Inputs are categorized into three orthogonal discovery classes:</w:t>
      </w:r>
    </w:p>
    <w:p>
      <w:pPr>
        <w:pStyle w:val="ListBullet"/>
        <w:widowControl/>
        <w:spacing w:after="120"/>
        <w:ind w:left="360"/>
      </w:pPr>
      <w:r>
        <w:rPr>
          <w:rFonts w:ascii="Aptos" w:hAnsi="Aptos"/>
          <w:b/>
          <w:sz w:val="21"/>
        </w:rPr>
        <w:t>Crypto-Material:</w:t>
      </w:r>
      <w:r>
        <w:rPr>
          <w:rFonts w:ascii="Aptos" w:hAnsi="Aptos"/>
          <w:b w:val="0"/>
          <w:sz w:val="21"/>
        </w:rPr>
        <w:t xml:space="preserve"> Value-centric assets such as private keys, symmetric keys, tokens, seeds, and entropy blobs.</w:t>
      </w:r>
    </w:p>
    <w:p>
      <w:pPr>
        <w:pStyle w:val="ListBullet"/>
        <w:widowControl/>
        <w:spacing w:after="120"/>
        <w:ind w:left="360"/>
      </w:pPr>
      <w:r>
        <w:rPr>
          <w:rFonts w:ascii="Aptos" w:hAnsi="Aptos"/>
          <w:b/>
          <w:sz w:val="21"/>
        </w:rPr>
        <w:t>Crypto-Artifacts:</w:t>
      </w:r>
      <w:r>
        <w:rPr>
          <w:rFonts w:ascii="Aptos" w:hAnsi="Aptos"/>
          <w:b w:val="0"/>
          <w:sz w:val="21"/>
        </w:rPr>
        <w:t xml:space="preserve"> Structure-centric objects containing security metadata, such as X.509 certificates, PKCS#12 keystores, and trust stores.</w:t>
      </w:r>
    </w:p>
    <w:p>
      <w:pPr>
        <w:pStyle w:val="ListBullet"/>
        <w:widowControl/>
        <w:spacing w:after="120"/>
        <w:ind w:left="360"/>
      </w:pPr>
      <w:r>
        <w:rPr>
          <w:rFonts w:ascii="Aptos" w:hAnsi="Aptos"/>
          <w:b/>
          <w:sz w:val="21"/>
        </w:rPr>
        <w:t>Crypto-Invocations:</w:t>
      </w:r>
      <w:r>
        <w:rPr>
          <w:rFonts w:ascii="Aptos" w:hAnsi="Aptos"/>
          <w:b w:val="0"/>
          <w:sz w:val="21"/>
        </w:rPr>
        <w:t xml:space="preserve"> Context-centric usage points, including cryptographic API calls, cipher suite parameters, and dependency declarations.</w:t>
      </w:r>
    </w:p>
    <w:p>
      <w:pPr>
        <w:widowControl/>
        <w:spacing w:after="120"/>
      </w:pPr>
      <w:r>
        <w:rPr>
          <w:rFonts w:ascii="Aptos" w:hAnsi="Aptos"/>
          <w:b w:val="0"/>
          <w:sz w:val="21"/>
        </w:rPr>
        <w:t>In empirical benchmark evaluations (Cryben), static rule-based discovery achieved an overall F_1 score of 0.75 (F_1 = 0.94 for Crypto-Material, F_1 = 0.92 for Go AST invocations) and an assessment recall of 0.91 when annotating CWE weaknesses (e.g., CWE-327, CWE-338) and CVE vulnerabilities.</w:t>
      </w:r>
    </w:p>
    <w:p>
      <w:pPr>
        <w:pStyle w:val="Heading2"/>
        <w:keepNext/>
        <w:widowControl/>
      </w:pPr>
      <w:r>
        <w:rPr>
          <w:rFonts w:ascii="Aptos" w:hAnsi="Aptos"/>
        </w:rPr>
        <w:t>B. Stripped Binary Discovery &amp; Lineage Attribution (Kestrel Engine)</w:t>
      </w:r>
    </w:p>
    <w:p>
      <w:pPr>
        <w:widowControl/>
        <w:spacing w:after="120"/>
      </w:pPr>
      <w:r>
        <w:rPr>
          <w:rFonts w:ascii="Aptos" w:hAnsi="Aptos"/>
          <w:b w:val="0"/>
          <w:sz w:val="21"/>
        </w:rPr>
        <w:t xml:space="preserve">Name-based and symbol-based binary scanners fail completely when binaries are stripped, statically linked, or compiler-optimized. ECDAT incorporates the </w:t>
      </w:r>
      <w:r>
        <w:rPr>
          <w:rFonts w:ascii="Aptos" w:hAnsi="Aptos"/>
          <w:b/>
          <w:sz w:val="21"/>
        </w:rPr>
        <w:t>Kestrel</w:t>
      </w:r>
      <w:r>
        <w:rPr>
          <w:rFonts w:ascii="Aptos" w:hAnsi="Aptos"/>
          <w:b w:val="0"/>
          <w:sz w:val="21"/>
        </w:rPr>
        <w:t xml:space="preserve"> detection methodology, which targets invariant mathematical fingerprints embedded in read-only data sections (</w:t>
      </w:r>
      <w:r>
        <w:rPr>
          <w:rFonts w:ascii="Consolas" w:hAnsi="Consolas"/>
          <w:b w:val="0"/>
          <w:sz w:val="19"/>
        </w:rPr>
        <w:t>.rodata</w:t>
      </w:r>
      <w:r>
        <w:rPr>
          <w:rFonts w:ascii="Aptos" w:hAnsi="Aptos"/>
          <w:b w:val="0"/>
          <w:sz w:val="21"/>
        </w:rPr>
        <w:t xml:space="preserve">, </w:t>
      </w:r>
      <w:r>
        <w:rPr>
          <w:rFonts w:ascii="Consolas" w:hAnsi="Consolas"/>
          <w:b w:val="0"/>
          <w:sz w:val="19"/>
        </w:rPr>
        <w:t>.noptrdata</w:t>
      </w:r>
      <w:r>
        <w:rPr>
          <w:rFonts w:ascii="Aptos" w:hAnsi="Aptos"/>
          <w:b w:val="0"/>
          <w:sz w:val="21"/>
        </w:rPr>
        <w:t xml:space="preserve">). </w:t>
      </w:r>
    </w:p>
    <w:p>
      <w:pPr>
        <w:widowControl/>
        <w:spacing w:after="120"/>
      </w:pPr>
      <w:r>
        <w:rPr>
          <w:rFonts w:ascii="Aptos" w:hAnsi="Aptos"/>
          <w:b w:val="0"/>
          <w:sz w:val="21"/>
        </w:rPr>
        <w:t>Lattice-based PQC schemes (</w:t>
      </w:r>
      <w:r>
        <w:rPr>
          <w:rFonts w:ascii="Aptos" w:hAnsi="Aptos"/>
          <w:b/>
          <w:sz w:val="21"/>
        </w:rPr>
        <w:t>ML-KEM</w:t>
      </w:r>
      <w:r>
        <w:rPr>
          <w:rFonts w:ascii="Aptos" w:hAnsi="Aptos"/>
          <w:b w:val="0"/>
          <w:sz w:val="21"/>
        </w:rPr>
        <w:t xml:space="preserve"> and </w:t>
      </w:r>
      <w:r>
        <w:rPr>
          <w:rFonts w:ascii="Aptos" w:hAnsi="Aptos"/>
          <w:b/>
          <w:sz w:val="21"/>
        </w:rPr>
        <w:t>ML-DSA</w:t>
      </w:r>
      <w:r>
        <w:rPr>
          <w:rFonts w:ascii="Aptos" w:hAnsi="Aptos"/>
          <w:b w:val="0"/>
          <w:sz w:val="21"/>
        </w:rPr>
        <w:t>) perform polynomial arithmetic using the Number-Theoretic Transform (NTT). The NTT requires precomputed tables of powers of a primitive root of unity ζ modulo prime q (ζ-tables):</w:t>
      </w:r>
    </w:p>
    <w:p>
      <w:pPr>
        <w:pStyle w:val="ListBullet"/>
        <w:widowControl/>
        <w:spacing w:after="120"/>
        <w:ind w:left="360"/>
      </w:pPr>
      <w:r>
        <w:rPr>
          <w:rFonts w:ascii="Aptos" w:hAnsi="Aptos"/>
          <w:b/>
          <w:sz w:val="21"/>
        </w:rPr>
        <w:t>ML-KEM (FIPS 203):</w:t>
      </w:r>
      <w:r>
        <w:rPr>
          <w:rFonts w:ascii="Aptos" w:hAnsi="Aptos"/>
          <w:b w:val="0"/>
          <w:sz w:val="21"/>
        </w:rPr>
        <w:t xml:space="preserve"> q = 3329, ζ = 17, length-128 table stored in plain or Montgomery form (ζ_mont[i] = ζ^BitRev_7(i) · 2^16 mod 3329).</w:t>
      </w:r>
    </w:p>
    <w:p>
      <w:pPr>
        <w:pStyle w:val="ListBullet"/>
        <w:widowControl/>
        <w:spacing w:after="120"/>
        <w:ind w:left="360"/>
      </w:pPr>
      <w:r>
        <w:rPr>
          <w:rFonts w:ascii="Aptos" w:hAnsi="Aptos"/>
          <w:b/>
          <w:sz w:val="21"/>
        </w:rPr>
        <w:t>ML-DSA (FIPS 204):</w:t>
      </w:r>
      <w:r>
        <w:rPr>
          <w:rFonts w:ascii="Aptos" w:hAnsi="Aptos"/>
          <w:b w:val="0"/>
          <w:sz w:val="21"/>
        </w:rPr>
        <w:t xml:space="preserve"> q = 8380417, length-256 table.</w:t>
      </w:r>
    </w:p>
    <w:p>
      <w:pPr>
        <w:spacing w:after="0" w:line="240" w:lineRule="auto"/>
        <w:ind w:left="288"/>
        <w:widowControl/>
        <w:shd w:fill="F3F4F6"/>
      </w:pPr>
      <w:r>
        <w:rPr>
          <w:rFonts w:ascii="Consolas" w:hAnsi="Consolas"/>
          <w:sz w:val="16"/>
        </w:rPr>
        <w:t>Baseline Source Binary                After Stripping, -O2, &amp; Static Link</w:t>
      </w:r>
    </w:p>
    <w:p>
      <w:pPr>
        <w:spacing w:after="0" w:line="240" w:lineRule="auto"/>
        <w:ind w:left="288"/>
        <w:widowControl/>
        <w:shd w:fill="F3F4F6"/>
      </w:pPr>
      <w:r>
        <w:rPr>
          <w:rFonts w:ascii="Consolas" w:hAnsi="Consolas"/>
          <w:sz w:val="16"/>
        </w:rPr>
        <w:t>┌─────────────────────────┐           ┌─────────────────────────┐</w:t>
      </w:r>
    </w:p>
    <w:p>
      <w:pPr>
        <w:spacing w:after="0" w:line="240" w:lineRule="auto"/>
        <w:ind w:left="288"/>
        <w:widowControl/>
        <w:shd w:fill="F3F4F6"/>
      </w:pPr>
      <w:r>
        <w:rPr>
          <w:rFonts w:ascii="Consolas" w:hAnsi="Consolas"/>
          <w:sz w:val="16"/>
        </w:rPr>
        <w:t>│ .text: Function Symbols │  ─────►   │ .text: Rewritten Code   │ (Symbols Erased)</w:t>
      </w:r>
    </w:p>
    <w:p>
      <w:pPr>
        <w:spacing w:after="0" w:line="240" w:lineRule="auto"/>
        <w:ind w:left="288"/>
        <w:widowControl/>
        <w:shd w:fill="F3F4F6"/>
      </w:pPr>
      <w:r>
        <w:rPr>
          <w:rFonts w:ascii="Consolas" w:hAnsi="Consolas"/>
          <w:sz w:val="16"/>
        </w:rPr>
        <w:t>├─────────────────────────┤           ├─────────────────────────┤</w:t>
      </w:r>
    </w:p>
    <w:p>
      <w:pPr>
        <w:spacing w:after="0" w:line="240" w:lineRule="auto"/>
        <w:ind w:left="288"/>
        <w:widowControl/>
        <w:shd w:fill="F3F4F6"/>
      </w:pPr>
      <w:r>
        <w:rPr>
          <w:rFonts w:ascii="Consolas" w:hAnsi="Consolas"/>
          <w:sz w:val="16"/>
        </w:rPr>
        <w:t>│ .rodata: NTT ζ-Table│  ─────►   │ .rodata: NTT ζ-Table│ (Byte-for-Byte Identical)</w:t>
      </w:r>
    </w:p>
    <w:p>
      <w:pPr>
        <w:spacing w:after="0" w:line="240" w:lineRule="auto"/>
        <w:ind w:left="288"/>
        <w:widowControl/>
        <w:shd w:fill="F3F4F6"/>
      </w:pPr>
      <w:r>
        <w:rPr>
          <w:rFonts w:ascii="Consolas" w:hAnsi="Consolas"/>
          <w:sz w:val="16"/>
        </w:rPr>
        <w:t>└─────────────────────────┘           └─────────────────────────┘</w:t>
      </w:r>
    </w:p>
    <w:p>
      <w:pPr>
        <w:widowControl/>
        <w:spacing w:after="120"/>
      </w:pPr>
      <w:r>
        <w:rPr>
          <w:rFonts w:ascii="Aptos" w:hAnsi="Aptos"/>
          <w:b w:val="0"/>
          <w:sz w:val="21"/>
        </w:rPr>
        <w:t xml:space="preserve">Because these mathematical tables constitute read-only data essential for algorithmic correctness, compiler optimization and symbol stripping cannot alter them. The detector uses windowed normalization (reducing plain, signed-Montgomery, and unsigned-Montgomery representations to canonical residues) and multiset threshold scoring. Across 6,224 production Linux binaries, this technique achieved </w:t>
      </w:r>
      <w:r>
        <w:rPr>
          <w:rFonts w:ascii="Aptos" w:hAnsi="Aptos"/>
          <w:b/>
          <w:sz w:val="21"/>
        </w:rPr>
        <w:t>recall of 128/128 with zero false positives</w:t>
      </w:r>
      <w:r>
        <w:rPr>
          <w:rFonts w:ascii="Aptos" w:hAnsi="Aptos"/>
          <w:b w:val="0"/>
          <w:sz w:val="21"/>
        </w:rPr>
        <w:t>.</w:t>
      </w:r>
    </w:p>
    <w:p>
      <w:pPr>
        <w:widowControl/>
        <w:spacing w:after="120"/>
      </w:pPr>
      <w:r>
        <w:rPr>
          <w:rFonts w:ascii="Aptos" w:hAnsi="Aptos"/>
          <w:b w:val="0"/>
          <w:sz w:val="21"/>
        </w:rPr>
        <w:t>Furthermore, ECDAT uses the total twiddle-byte count to attribute binary detections directly to source lineages:</w:t>
      </w:r>
    </w:p>
    <w:p>
      <w:pPr>
        <w:pStyle w:val="ListBullet"/>
        <w:widowControl/>
        <w:spacing w:after="120"/>
        <w:ind w:left="360"/>
      </w:pPr>
      <w:r>
        <w:rPr>
          <w:rFonts w:ascii="Aptos" w:hAnsi="Aptos"/>
          <w:b/>
          <w:sz w:val="21"/>
        </w:rPr>
        <w:t>1 Table (256 Bytes):</w:t>
      </w:r>
      <w:r>
        <w:rPr>
          <w:rFonts w:ascii="Aptos" w:hAnsi="Aptos"/>
          <w:b w:val="0"/>
          <w:sz w:val="21"/>
        </w:rPr>
        <w:t xml:space="preserve"> C-reference / </w:t>
      </w:r>
      <w:r>
        <w:rPr>
          <w:rFonts w:ascii="Consolas" w:hAnsi="Consolas"/>
          <w:b w:val="0"/>
          <w:sz w:val="19"/>
        </w:rPr>
        <w:t>liboqs</w:t>
      </w:r>
      <w:r>
        <w:rPr>
          <w:rFonts w:ascii="Aptos" w:hAnsi="Aptos"/>
          <w:b w:val="0"/>
          <w:sz w:val="21"/>
        </w:rPr>
        <w:t xml:space="preserve"> / </w:t>
      </w:r>
      <w:r>
        <w:rPr>
          <w:rFonts w:ascii="Consolas" w:hAnsi="Consolas"/>
          <w:b w:val="0"/>
          <w:sz w:val="19"/>
        </w:rPr>
        <w:t>PQClean</w:t>
      </w:r>
      <w:r>
        <w:rPr>
          <w:rFonts w:ascii="Aptos" w:hAnsi="Aptos"/>
          <w:b w:val="0"/>
          <w:sz w:val="21"/>
        </w:rPr>
        <w:t xml:space="preserve"> lineage (Montgomery signed).</w:t>
      </w:r>
    </w:p>
    <w:p>
      <w:pPr>
        <w:pStyle w:val="ListBullet"/>
        <w:widowControl/>
        <w:spacing w:after="120"/>
        <w:ind w:left="360"/>
      </w:pPr>
      <w:r>
        <w:rPr>
          <w:rFonts w:ascii="Aptos" w:hAnsi="Aptos"/>
          <w:b/>
          <w:sz w:val="21"/>
        </w:rPr>
        <w:t>2 Tables (512 Bytes):</w:t>
      </w:r>
      <w:r>
        <w:rPr>
          <w:rFonts w:ascii="Aptos" w:hAnsi="Aptos"/>
          <w:b w:val="0"/>
          <w:sz w:val="21"/>
        </w:rPr>
        <w:t xml:space="preserve"> Specification-derived lineage (Go standard library </w:t>
      </w:r>
      <w:r>
        <w:rPr>
          <w:rFonts w:ascii="Consolas" w:hAnsi="Consolas"/>
          <w:b w:val="0"/>
          <w:sz w:val="19"/>
        </w:rPr>
        <w:t>crypto/mlkem</w:t>
      </w:r>
      <w:r>
        <w:rPr>
          <w:rFonts w:ascii="Aptos" w:hAnsi="Aptos"/>
          <w:b w:val="0"/>
          <w:sz w:val="21"/>
        </w:rPr>
        <w:t xml:space="preserve">, </w:t>
      </w:r>
      <w:r>
        <w:rPr>
          <w:rFonts w:ascii="Consolas" w:hAnsi="Consolas"/>
          <w:b w:val="0"/>
          <w:sz w:val="19"/>
        </w:rPr>
        <w:t>RustCrypto</w:t>
      </w:r>
      <w:r>
        <w:rPr>
          <w:rFonts w:ascii="Aptos" w:hAnsi="Aptos"/>
          <w:b w:val="0"/>
          <w:sz w:val="21"/>
        </w:rPr>
        <w:t xml:space="preserve"> crate).</w:t>
      </w:r>
    </w:p>
    <w:p>
      <w:pPr>
        <w:pStyle w:val="ListBullet"/>
        <w:widowControl/>
        <w:spacing w:after="120"/>
        <w:ind w:left="360"/>
      </w:pPr>
      <w:r>
        <w:rPr>
          <w:rFonts w:ascii="Aptos" w:hAnsi="Aptos"/>
          <w:b/>
          <w:sz w:val="21"/>
        </w:rPr>
        <w:t>3 Tables (768 Bytes):</w:t>
      </w:r>
      <w:r>
        <w:rPr>
          <w:rFonts w:ascii="Aptos" w:hAnsi="Aptos"/>
          <w:b w:val="0"/>
          <w:sz w:val="21"/>
        </w:rPr>
        <w:t xml:space="preserve"> </w:t>
      </w:r>
      <w:r>
        <w:rPr>
          <w:rFonts w:ascii="Consolas" w:hAnsi="Consolas"/>
          <w:b w:val="0"/>
          <w:sz w:val="19"/>
        </w:rPr>
        <w:t>BoringSSL</w:t>
      </w:r>
      <w:r>
        <w:rPr>
          <w:rFonts w:ascii="Aptos" w:hAnsi="Aptos"/>
          <w:b w:val="0"/>
          <w:sz w:val="21"/>
        </w:rPr>
        <w:t xml:space="preserve"> lineage (includes explicit inverse tables).</w:t>
      </w:r>
    </w:p>
    <w:p>
      <w:pPr>
        <w:pStyle w:val="Heading2"/>
        <w:keepNext/>
        <w:widowControl/>
      </w:pPr>
      <w:r>
        <w:rPr>
          <w:rFonts w:ascii="Aptos" w:hAnsi="Aptos"/>
        </w:rPr>
        <w:t>C. OCI Container &amp; Image Discovery</w:t>
      </w:r>
    </w:p>
    <w:p>
      <w:pPr>
        <w:widowControl/>
        <w:spacing w:after="120"/>
      </w:pPr>
      <w:r>
        <w:rPr>
          <w:rFonts w:ascii="Aptos" w:hAnsi="Aptos"/>
          <w:b w:val="0"/>
          <w:sz w:val="21"/>
        </w:rPr>
        <w:t xml:space="preserve">Utilizing containerized orchestration patterns (derived from </w:t>
      </w:r>
      <w:r>
        <w:rPr>
          <w:rFonts w:ascii="Aptos" w:hAnsi="Aptos"/>
          <w:b/>
          <w:sz w:val="21"/>
        </w:rPr>
        <w:t>BF-CBOM</w:t>
      </w:r>
      <w:r>
        <w:rPr>
          <w:rFonts w:ascii="Aptos" w:hAnsi="Aptos"/>
          <w:b w:val="0"/>
          <w:sz w:val="21"/>
        </w:rPr>
        <w:t xml:space="preserve"> and </w:t>
      </w:r>
      <w:r>
        <w:rPr>
          <w:rFonts w:ascii="Aptos" w:hAnsi="Aptos"/>
          <w:b/>
          <w:sz w:val="21"/>
        </w:rPr>
        <w:t>QRCS-CBOM</w:t>
      </w:r>
      <w:r>
        <w:rPr>
          <w:rFonts w:ascii="Aptos" w:hAnsi="Aptos"/>
          <w:b w:val="0"/>
          <w:sz w:val="21"/>
        </w:rPr>
        <w:t>), ECDAT streams OCI image tarballs layer-by-layer. It unpacks file systems safely, parses Linux trust stores (</w:t>
      </w:r>
      <w:r>
        <w:rPr>
          <w:rFonts w:ascii="Consolas" w:hAnsi="Consolas"/>
          <w:b w:val="0"/>
          <w:sz w:val="19"/>
        </w:rPr>
        <w:t>/etc/ssl/certs/</w:t>
      </w:r>
      <w:r>
        <w:rPr>
          <w:rFonts w:ascii="Aptos" w:hAnsi="Aptos"/>
          <w:b w:val="0"/>
          <w:sz w:val="21"/>
        </w:rPr>
        <w:t>), inspects embedded web server configurations (</w:t>
      </w:r>
      <w:r>
        <w:rPr>
          <w:rFonts w:ascii="Consolas" w:hAnsi="Consolas"/>
          <w:b w:val="0"/>
          <w:sz w:val="19"/>
        </w:rPr>
        <w:t>nginx</w:t>
      </w:r>
      <w:r>
        <w:rPr>
          <w:rFonts w:ascii="Aptos" w:hAnsi="Aptos"/>
          <w:b w:val="0"/>
          <w:sz w:val="21"/>
        </w:rPr>
        <w:t xml:space="preserve">, </w:t>
      </w:r>
      <w:r>
        <w:rPr>
          <w:rFonts w:ascii="Consolas" w:hAnsi="Consolas"/>
          <w:b w:val="0"/>
          <w:sz w:val="19"/>
        </w:rPr>
        <w:t>apache</w:t>
      </w:r>
      <w:r>
        <w:rPr>
          <w:rFonts w:ascii="Aptos" w:hAnsi="Aptos"/>
          <w:b w:val="0"/>
          <w:sz w:val="21"/>
        </w:rPr>
        <w:t>), and extracts compiled binaries for inspection. File duplication across layers is resolved by deduplicating assets on canonical algorithm parameters, public key fingerprints, and certificate distinguished names.</w:t>
      </w:r>
    </w:p>
    <w:p>
      <w:pPr>
        <w:pStyle w:val="Heading2"/>
        <w:keepNext/>
        <w:widowControl/>
      </w:pPr>
      <w:r>
        <w:rPr>
          <w:rFonts w:ascii="Aptos" w:hAnsi="Aptos"/>
        </w:rPr>
        <w:t>D. Live Endpoint Probing &amp; Cloud KMS Integration</w:t>
      </w:r>
    </w:p>
    <w:p>
      <w:pPr>
        <w:widowControl/>
        <w:spacing w:after="120"/>
      </w:pPr>
      <w:r>
        <w:rPr>
          <w:rFonts w:ascii="Aptos" w:hAnsi="Aptos"/>
          <w:b w:val="0"/>
          <w:sz w:val="21"/>
        </w:rPr>
        <w:t>ECDAT includes active collectors for live TLS/QUIC handshakes and cloud infrastructure:</w:t>
      </w:r>
    </w:p>
    <w:p>
      <w:pPr>
        <w:pStyle w:val="ListBullet"/>
        <w:widowControl/>
        <w:spacing w:after="120"/>
        <w:ind w:left="360"/>
      </w:pPr>
      <w:r>
        <w:rPr>
          <w:rFonts w:ascii="Aptos" w:hAnsi="Aptos"/>
          <w:b/>
          <w:sz w:val="21"/>
        </w:rPr>
        <w:t>TLS/QUIC Probes:</w:t>
      </w:r>
      <w:r>
        <w:rPr>
          <w:rFonts w:ascii="Aptos" w:hAnsi="Aptos"/>
          <w:b w:val="0"/>
          <w:sz w:val="21"/>
        </w:rPr>
        <w:t xml:space="preserve"> Connects to endpoints to negotiate cipher suites, extract leaf/intermediate X.509 certificate chains, and detect quantum-vulnerable key exchanges.</w:t>
      </w:r>
    </w:p>
    <w:p>
      <w:pPr>
        <w:pStyle w:val="ListBullet"/>
        <w:widowControl/>
        <w:spacing w:after="120"/>
        <w:ind w:left="360"/>
      </w:pPr>
      <w:r>
        <w:rPr>
          <w:rFonts w:ascii="Aptos" w:hAnsi="Aptos"/>
          <w:b/>
          <w:sz w:val="21"/>
        </w:rPr>
        <w:t>Cloud KMS Collectors:</w:t>
      </w:r>
      <w:r>
        <w:rPr>
          <w:rFonts w:ascii="Aptos" w:hAnsi="Aptos"/>
          <w:b w:val="0"/>
          <w:sz w:val="21"/>
        </w:rPr>
        <w:t xml:space="preserve"> Interfaces with AWS KMS/ACM, GCP Cloud KMS, and Azure Key Vault via APIs to map customer-managed keys, asymmetric wrapping pairs, and certificate lifecycles.</w:t>
      </w:r>
    </w:p>
    <w:p>
      <w:pPr>
        <w:spacing w:after="80"/>
        <w:widowControl/>
        <w:pBdr>
          <w:bottom w:val="single" w:sz="6" w:space="1" w:color="B7C9D6"/>
        </w:pBdr>
      </w:pPr>
    </w:p>
    <w:p>
      <w:pPr>
        <w:pStyle w:val="Heading1"/>
        <w:keepNext/>
        <w:widowControl/>
      </w:pPr>
      <w:r>
        <w:rPr>
          <w:rFonts w:ascii="Aptos" w:hAnsi="Aptos"/>
        </w:rPr>
        <w:t>3. Standardized Asset Classification &amp; xBOM Ecosystem</w:t>
      </w:r>
    </w:p>
    <w:p>
      <w:pPr>
        <w:widowControl/>
        <w:spacing w:after="120"/>
      </w:pPr>
      <w:r>
        <w:rPr>
          <w:rFonts w:ascii="Aptos" w:hAnsi="Aptos"/>
          <w:b w:val="0"/>
          <w:sz w:val="21"/>
        </w:rPr>
        <w:t xml:space="preserve">To ensure interoperability with regulatory frameworks (e.g., EU Cyber Resilience Act, DORA, NIS2, US CNSA 2.0), ECDAT normalizes all discovered assets into </w:t>
      </w:r>
      <w:r>
        <w:rPr>
          <w:rFonts w:ascii="Aptos" w:hAnsi="Aptos"/>
          <w:b/>
          <w:sz w:val="21"/>
        </w:rPr>
        <w:t>OWASP CycloneDX v1.6/v1.7 (ECMA-424)</w:t>
      </w:r>
      <w:r>
        <w:rPr>
          <w:rFonts w:ascii="Aptos" w:hAnsi="Aptos"/>
          <w:b w:val="0"/>
          <w:sz w:val="21"/>
        </w:rPr>
        <w:t xml:space="preserve"> standards and the </w:t>
      </w:r>
      <w:r>
        <w:rPr>
          <w:rFonts w:ascii="Aptos" w:hAnsi="Aptos"/>
          <w:b/>
          <w:sz w:val="21"/>
        </w:rPr>
        <w:t>QRCS .qcbom.json</w:t>
      </w:r>
      <w:r>
        <w:rPr>
          <w:rFonts w:ascii="Aptos" w:hAnsi="Aptos"/>
          <w:b w:val="0"/>
          <w:sz w:val="21"/>
        </w:rPr>
        <w:t xml:space="preserve"> project model.</w:t>
      </w:r>
    </w:p>
    <w:p>
      <w:pPr>
        <w:pStyle w:val="Heading2"/>
        <w:keepNext/>
        <w:widowControl/>
      </w:pPr>
      <w:r>
        <w:rPr>
          <w:rFonts w:ascii="Aptos" w:hAnsi="Aptos"/>
        </w:rPr>
        <w:t>Asset Schema Mapping (CycloneDX crypto-asset)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jc w:val="center"/>
            </w:pPr>
            <w:r/>
            <w:r>
              <w:rPr>
                <w:rFonts w:ascii="Aptos" w:hAnsi="Aptos"/>
                <w:b/>
                <w:sz w:val="18"/>
              </w:rPr>
              <w:t>Asset Category</w:t>
            </w:r>
          </w:p>
        </w:tc>
        <w:tc>
          <w:tcPr>
            <w:tcW w:type="dxa" w:w="3408"/>
            <w:vAlign w:val="center"/>
            <w:shd w:fill="D9EAF7"/>
          </w:tcPr>
          <w:p>
            <w:pPr>
              <w:spacing w:after="0"/>
              <w:jc w:val="center"/>
            </w:pPr>
            <w:r/>
            <w:r>
              <w:rPr>
                <w:rFonts w:ascii="Aptos" w:hAnsi="Aptos"/>
                <w:b/>
                <w:sz w:val="18"/>
              </w:rPr>
              <w:t>Detailed Subcomponents &amp; Metadata Properties</w:t>
            </w:r>
          </w:p>
        </w:tc>
        <w:tc>
          <w:tcPr>
            <w:tcW w:type="dxa" w:w="3408"/>
            <w:vAlign w:val="center"/>
            <w:shd w:fill="D9EAF7"/>
          </w:tcPr>
          <w:p>
            <w:pPr>
              <w:spacing w:after="0"/>
              <w:jc w:val="center"/>
            </w:pPr>
            <w:r/>
            <w:r>
              <w:rPr>
                <w:rFonts w:ascii="Aptos" w:hAnsi="Aptos"/>
                <w:b/>
                <w:sz w:val="18"/>
              </w:rPr>
              <w:t>Standard Schema &amp; Lifecycle Mapping</w:t>
            </w:r>
          </w:p>
        </w:tc>
      </w:tr>
      <w:tr>
        <w:tc>
          <w:tcPr>
            <w:tcW w:type="dxa" w:w="3408"/>
            <w:vAlign w:val="center"/>
          </w:tcPr>
          <w:p>
            <w:pPr>
              <w:spacing w:after="0"/>
            </w:pPr>
            <w:r/>
            <w:r>
              <w:rPr>
                <w:rFonts w:ascii="Aptos" w:hAnsi="Aptos"/>
                <w:b w:val="0"/>
                <w:sz w:val="17"/>
              </w:rPr>
              <w:t>Algorithms</w:t>
            </w:r>
          </w:p>
        </w:tc>
        <w:tc>
          <w:tcPr>
            <w:tcW w:type="dxa" w:w="3408"/>
            <w:vAlign w:val="center"/>
          </w:tcPr>
          <w:p>
            <w:pPr>
              <w:spacing w:after="0"/>
            </w:pPr>
            <w:r/>
            <w:r>
              <w:rPr>
                <w:rFonts w:ascii="Aptos" w:hAnsi="Aptos"/>
                <w:b w:val="0"/>
                <w:sz w:val="17"/>
              </w:rPr>
              <w:t>Primitive (KEM, MAC, Signature, Hash), Family (AES, RSA, ML-KEM, SLH-DSA), Variant, Key/Parameter sizes, Classical Security Level (bits), NIST Quantum Security Level (1–5).</w:t>
            </w:r>
          </w:p>
        </w:tc>
        <w:tc>
          <w:tcPr>
            <w:tcW w:type="dxa" w:w="3408"/>
            <w:vAlign w:val="center"/>
          </w:tcPr>
          <w:p>
            <w:pPr>
              <w:spacing w:after="0"/>
            </w:pPr>
            <w:r/>
            <w:r>
              <w:rPr>
                <w:rFonts w:ascii="Aptos" w:hAnsi="Aptos"/>
                <w:b w:val="0"/>
                <w:sz w:val="17"/>
              </w:rPr>
              <w:t>CycloneDX crypto-asset (subtype: algorithm).</w:t>
            </w:r>
          </w:p>
        </w:tc>
      </w:tr>
      <w:tr>
        <w:tc>
          <w:tcPr>
            <w:tcW w:type="dxa" w:w="3408"/>
            <w:vAlign w:val="center"/>
          </w:tcPr>
          <w:p>
            <w:pPr>
              <w:spacing w:after="0"/>
            </w:pPr>
            <w:r/>
            <w:r>
              <w:rPr>
                <w:rFonts w:ascii="Aptos" w:hAnsi="Aptos"/>
                <w:b w:val="0"/>
                <w:sz w:val="17"/>
              </w:rPr>
              <w:t>Protocols</w:t>
            </w:r>
          </w:p>
        </w:tc>
        <w:tc>
          <w:tcPr>
            <w:tcW w:type="dxa" w:w="3408"/>
            <w:vAlign w:val="center"/>
          </w:tcPr>
          <w:p>
            <w:pPr>
              <w:spacing w:after="0"/>
            </w:pPr>
            <w:r/>
            <w:r>
              <w:rPr>
                <w:rFonts w:ascii="Aptos" w:hAnsi="Aptos"/>
                <w:b w:val="0"/>
                <w:sz w:val="17"/>
              </w:rPr>
              <w:t>Family (TLS, SSH, IPsec, QUIC), Version (e.g., TLS 1.3), Cipher Suites, IKEv2 Transforms, Handshake State.</w:t>
            </w:r>
          </w:p>
        </w:tc>
        <w:tc>
          <w:tcPr>
            <w:tcW w:type="dxa" w:w="3408"/>
            <w:vAlign w:val="center"/>
          </w:tcPr>
          <w:p>
            <w:pPr>
              <w:spacing w:after="0"/>
            </w:pPr>
            <w:r/>
            <w:r>
              <w:rPr>
                <w:rFonts w:ascii="Aptos" w:hAnsi="Aptos"/>
                <w:b w:val="0"/>
                <w:sz w:val="17"/>
              </w:rPr>
              <w:t>CycloneDX crypto-asset (subtype: protocol).</w:t>
            </w:r>
          </w:p>
        </w:tc>
      </w:tr>
      <w:tr>
        <w:tc>
          <w:tcPr>
            <w:tcW w:type="dxa" w:w="3408"/>
            <w:vAlign w:val="center"/>
          </w:tcPr>
          <w:p>
            <w:pPr>
              <w:spacing w:after="0"/>
            </w:pPr>
            <w:r/>
            <w:r>
              <w:rPr>
                <w:rFonts w:ascii="Aptos" w:hAnsi="Aptos"/>
                <w:b w:val="0"/>
                <w:sz w:val="17"/>
              </w:rPr>
              <w:t>Certificates</w:t>
            </w:r>
          </w:p>
        </w:tc>
        <w:tc>
          <w:tcPr>
            <w:tcW w:type="dxa" w:w="3408"/>
            <w:vAlign w:val="center"/>
          </w:tcPr>
          <w:p>
            <w:pPr>
              <w:spacing w:after="0"/>
            </w:pPr>
            <w:r/>
            <w:r>
              <w:rPr>
                <w:rFonts w:ascii="Aptos" w:hAnsi="Aptos"/>
                <w:b w:val="0"/>
                <w:sz w:val="17"/>
              </w:rPr>
              <w:t>Subject/Issuer Distinguished Names, Serial Number, Validity Dates (notValidBefore, notValidAfter), Key Usage extensions, Signature Algorithm.</w:t>
            </w:r>
          </w:p>
        </w:tc>
        <w:tc>
          <w:tcPr>
            <w:tcW w:type="dxa" w:w="3408"/>
            <w:vAlign w:val="center"/>
          </w:tcPr>
          <w:p>
            <w:pPr>
              <w:spacing w:after="0"/>
            </w:pPr>
            <w:r/>
            <w:r>
              <w:rPr>
                <w:rFonts w:ascii="Aptos" w:hAnsi="Aptos"/>
                <w:b w:val="0"/>
                <w:sz w:val="17"/>
              </w:rPr>
              <w:t>CycloneDX crypto-asset (subtype: certificate).</w:t>
            </w:r>
          </w:p>
        </w:tc>
      </w:tr>
      <w:tr>
        <w:tc>
          <w:tcPr>
            <w:tcW w:type="dxa" w:w="3408"/>
            <w:vAlign w:val="center"/>
          </w:tcPr>
          <w:p>
            <w:pPr>
              <w:spacing w:after="0"/>
            </w:pPr>
            <w:r/>
            <w:r>
              <w:rPr>
                <w:rFonts w:ascii="Aptos" w:hAnsi="Aptos"/>
                <w:b w:val="0"/>
                <w:sz w:val="17"/>
              </w:rPr>
              <w:t>Crypto Material</w:t>
            </w:r>
          </w:p>
        </w:tc>
        <w:tc>
          <w:tcPr>
            <w:tcW w:type="dxa" w:w="3408"/>
            <w:vAlign w:val="center"/>
          </w:tcPr>
          <w:p>
            <w:pPr>
              <w:spacing w:after="0"/>
            </w:pPr>
            <w:r/>
            <w:r>
              <w:rPr>
                <w:rFonts w:ascii="Aptos" w:hAnsi="Aptos"/>
                <w:b w:val="0"/>
                <w:sz w:val="17"/>
              </w:rPr>
              <w:t>Private/Public Keys, Secrets, Tokens, Passwords, Key Size, Storage Backing (HSM, TPM, Software), NIST SP 800-57 Lifecycle State (active, suspended, compromised).</w:t>
            </w:r>
          </w:p>
        </w:tc>
        <w:tc>
          <w:tcPr>
            <w:tcW w:type="dxa" w:w="3408"/>
            <w:vAlign w:val="center"/>
          </w:tcPr>
          <w:p>
            <w:pPr>
              <w:spacing w:after="0"/>
            </w:pPr>
            <w:r/>
            <w:r>
              <w:rPr>
                <w:rFonts w:ascii="Aptos" w:hAnsi="Aptos"/>
                <w:b w:val="0"/>
                <w:sz w:val="17"/>
              </w:rPr>
              <w:t>CycloneDX crypto-asset (subtype: material).</w:t>
            </w:r>
          </w:p>
        </w:tc>
      </w:tr>
    </w:tbl>
    <w:p>
      <w:pPr>
        <w:widowControl/>
        <w:spacing w:after="0"/>
      </w:pPr>
    </w:p>
    <w:p>
      <w:pPr>
        <w:pStyle w:val="Heading2"/>
        <w:keepNext/>
        <w:widowControl/>
      </w:pPr>
      <w:r>
        <w:rPr>
          <w:rFonts w:ascii="Aptos" w:hAnsi="Aptos"/>
        </w:rPr>
        <w:t>Full-Stack xBOM Composition</w:t>
      </w:r>
    </w:p>
    <w:p>
      <w:pPr>
        <w:widowControl/>
        <w:spacing w:after="120"/>
      </w:pPr>
      <w:r>
        <w:rPr>
          <w:rFonts w:ascii="Aptos" w:hAnsi="Aptos"/>
          <w:b w:val="0"/>
          <w:sz w:val="21"/>
        </w:rPr>
        <w:t xml:space="preserve">ECDAT links cryptographic assets across all operational layers using CycloneDX </w:t>
      </w:r>
      <w:r>
        <w:rPr>
          <w:rFonts w:ascii="Aptos" w:hAnsi="Aptos"/>
          <w:b/>
          <w:sz w:val="21"/>
        </w:rPr>
        <w:t>BOM-Link</w:t>
      </w:r>
      <w:r>
        <w:rPr>
          <w:rFonts w:ascii="Aptos" w:hAnsi="Aptos"/>
          <w:b w:val="0"/>
          <w:sz w:val="21"/>
        </w:rPr>
        <w:t xml:space="preserve"> (IANA URN namespace):</w:t>
      </w:r>
    </w:p>
    <w:p>
      <w:pPr>
        <w:widowControl/>
        <w:spacing w:after="120"/>
        <w:ind w:left="72" w:hanging="72"/>
      </w:pPr>
      <w:r>
        <w:rPr>
          <w:rFonts w:ascii="Aptos" w:hAnsi="Aptos"/>
          <w:b w:val="0"/>
          <w:sz w:val="21"/>
        </w:rPr>
        <w:t xml:space="preserve">1. </w:t>
      </w:r>
      <w:r>
        <w:rPr>
          <w:rFonts w:ascii="Aptos" w:hAnsi="Aptos"/>
          <w:b/>
          <w:sz w:val="21"/>
        </w:rPr>
        <w:t>Software BOM (SBOM):</w:t>
      </w:r>
      <w:r>
        <w:rPr>
          <w:rFonts w:ascii="Aptos" w:hAnsi="Aptos"/>
          <w:b w:val="0"/>
          <w:sz w:val="21"/>
        </w:rPr>
        <w:t xml:space="preserve"> Maps software dependencies (e.g., </w:t>
      </w:r>
      <w:r>
        <w:rPr>
          <w:rFonts w:ascii="Consolas" w:hAnsi="Consolas"/>
          <w:b w:val="0"/>
          <w:sz w:val="19"/>
        </w:rPr>
        <w:t>OpenSSL</w:t>
      </w:r>
      <w:r>
        <w:rPr>
          <w:rFonts w:ascii="Aptos" w:hAnsi="Aptos"/>
          <w:b w:val="0"/>
          <w:sz w:val="21"/>
        </w:rPr>
        <w:t xml:space="preserve">, </w:t>
      </w:r>
      <w:r>
        <w:rPr>
          <w:rFonts w:ascii="Consolas" w:hAnsi="Consolas"/>
          <w:b w:val="0"/>
          <w:sz w:val="19"/>
        </w:rPr>
        <w:t>liboqs</w:t>
      </w:r>
      <w:r>
        <w:rPr>
          <w:rFonts w:ascii="Aptos" w:hAnsi="Aptos"/>
          <w:b w:val="0"/>
          <w:sz w:val="21"/>
        </w:rPr>
        <w:t xml:space="preserve">, </w:t>
      </w:r>
      <w:r>
        <w:rPr>
          <w:rFonts w:ascii="Consolas" w:hAnsi="Consolas"/>
          <w:b w:val="0"/>
          <w:sz w:val="19"/>
        </w:rPr>
        <w:t>golang.org/x/crypto</w:t>
      </w:r>
      <w:r>
        <w:rPr>
          <w:rFonts w:ascii="Aptos" w:hAnsi="Aptos"/>
          <w:b w:val="0"/>
          <w:sz w:val="21"/>
        </w:rPr>
        <w:t>).</w:t>
      </w:r>
    </w:p>
    <w:p>
      <w:pPr>
        <w:widowControl/>
        <w:spacing w:after="120"/>
        <w:ind w:left="72" w:hanging="72"/>
      </w:pPr>
      <w:r>
        <w:rPr>
          <w:rFonts w:ascii="Aptos" w:hAnsi="Aptos"/>
          <w:b w:val="0"/>
          <w:sz w:val="21"/>
        </w:rPr>
        <w:t xml:space="preserve">2. </w:t>
      </w:r>
      <w:r>
        <w:rPr>
          <w:rFonts w:ascii="Aptos" w:hAnsi="Aptos"/>
          <w:b/>
          <w:sz w:val="21"/>
        </w:rPr>
        <w:t>Operations BOM (OBOM):</w:t>
      </w:r>
      <w:r>
        <w:rPr>
          <w:rFonts w:ascii="Aptos" w:hAnsi="Aptos"/>
          <w:b w:val="0"/>
          <w:sz w:val="21"/>
        </w:rPr>
        <w:t xml:space="preserve"> Links runtime configuration files (e.g., OpenSSL </w:t>
      </w:r>
      <w:r>
        <w:rPr>
          <w:rFonts w:ascii="Consolas" w:hAnsi="Consolas"/>
          <w:b w:val="0"/>
          <w:sz w:val="19"/>
        </w:rPr>
        <w:t>DEFAULT_GROUPS</w:t>
      </w:r>
      <w:r>
        <w:rPr>
          <w:rFonts w:ascii="Aptos" w:hAnsi="Aptos"/>
          <w:b w:val="0"/>
          <w:sz w:val="21"/>
        </w:rPr>
        <w:t xml:space="preserve">, nginx </w:t>
      </w:r>
      <w:r>
        <w:rPr>
          <w:rFonts w:ascii="Consolas" w:hAnsi="Consolas"/>
          <w:b w:val="0"/>
          <w:sz w:val="19"/>
        </w:rPr>
        <w:t>ssl_ciphers</w:t>
      </w:r>
      <w:r>
        <w:rPr>
          <w:rFonts w:ascii="Aptos" w:hAnsi="Aptos"/>
          <w:b w:val="0"/>
          <w:sz w:val="21"/>
        </w:rPr>
        <w:t>) to actual negotiated algorithms to detect configuration drift.</w:t>
      </w:r>
    </w:p>
    <w:p>
      <w:pPr>
        <w:widowControl/>
        <w:spacing w:after="120"/>
        <w:ind w:left="72" w:hanging="72"/>
      </w:pPr>
      <w:r>
        <w:rPr>
          <w:rFonts w:ascii="Aptos" w:hAnsi="Aptos"/>
          <w:b w:val="0"/>
          <w:sz w:val="21"/>
        </w:rPr>
        <w:t xml:space="preserve">3. </w:t>
      </w:r>
      <w:r>
        <w:rPr>
          <w:rFonts w:ascii="Aptos" w:hAnsi="Aptos"/>
          <w:b/>
          <w:sz w:val="21"/>
        </w:rPr>
        <w:t>Hardware BOM (HBOM):</w:t>
      </w:r>
      <w:r>
        <w:rPr>
          <w:rFonts w:ascii="Aptos" w:hAnsi="Aptos"/>
          <w:b w:val="0"/>
          <w:sz w:val="21"/>
        </w:rPr>
        <w:t xml:space="preserve"> Captures hardware security modules (HSMs), TPMs, and cryptographic coprocessors, recording FIPS 140-3 certification levels.</w:t>
      </w:r>
    </w:p>
    <w:p>
      <w:pPr>
        <w:widowControl/>
        <w:spacing w:after="120"/>
        <w:ind w:left="72" w:hanging="72"/>
      </w:pPr>
      <w:r>
        <w:rPr>
          <w:rFonts w:ascii="Aptos" w:hAnsi="Aptos"/>
          <w:b w:val="0"/>
          <w:sz w:val="21"/>
        </w:rPr>
        <w:t xml:space="preserve">4. </w:t>
      </w:r>
      <w:r>
        <w:rPr>
          <w:rFonts w:ascii="Aptos" w:hAnsi="Aptos"/>
          <w:b/>
          <w:sz w:val="21"/>
        </w:rPr>
        <w:t>SaaS BOM (SaaSBOM):</w:t>
      </w:r>
      <w:r>
        <w:rPr>
          <w:rFonts w:ascii="Aptos" w:hAnsi="Aptos"/>
          <w:b w:val="0"/>
          <w:sz w:val="21"/>
        </w:rPr>
        <w:t xml:space="preserve"> Maps cloud KMS key management endpoints, CA services, and external crypto APIs.</w:t>
      </w:r>
    </w:p>
    <w:p>
      <w:pPr>
        <w:spacing w:after="80"/>
        <w:widowControl/>
        <w:pBdr>
          <w:bottom w:val="single" w:sz="6" w:space="1" w:color="B7C9D6"/>
        </w:pBdr>
      </w:pPr>
    </w:p>
    <w:p>
      <w:pPr>
        <w:pStyle w:val="Heading1"/>
        <w:keepNext/>
        <w:widowControl/>
      </w:pPr>
      <w:r>
        <w:rPr>
          <w:rFonts w:ascii="Aptos" w:hAnsi="Aptos"/>
        </w:rPr>
        <w:t>4. Quantitative Quantum Risk Engine</w:t>
      </w:r>
    </w:p>
    <w:p>
      <w:pPr>
        <w:widowControl/>
        <w:spacing w:after="120"/>
      </w:pPr>
      <w:r>
        <w:rPr>
          <w:rFonts w:ascii="Aptos" w:hAnsi="Aptos"/>
          <w:b w:val="0"/>
          <w:sz w:val="21"/>
        </w:rPr>
        <w:t xml:space="preserve">Deterministic Q-day planning (e.g., assuming a fixed Q-day of 2035) fails to capture tail uncertainty. ECDAT implements a </w:t>
      </w:r>
      <w:r>
        <w:rPr>
          <w:rFonts w:ascii="Aptos" w:hAnsi="Aptos"/>
          <w:b/>
          <w:sz w:val="21"/>
        </w:rPr>
        <w:t>two-layer risk model</w:t>
      </w:r>
      <w:r>
        <w:rPr>
          <w:rFonts w:ascii="Aptos" w:hAnsi="Aptos"/>
          <w:b w:val="0"/>
          <w:sz w:val="21"/>
        </w:rPr>
        <w:t xml:space="preserve"> combining probabilistic timing gates with cloud-aware contextual scoring:</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 Asset Discovery &amp; Cryptographic Asset Graph   │</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                                               ▼</w:t>
      </w:r>
    </w:p>
    <w:p>
      <w:pPr>
        <w:spacing w:after="0" w:line="240" w:lineRule="auto"/>
        <w:ind w:left="288"/>
        <w:widowControl/>
        <w:shd w:fill="F3F4F6"/>
      </w:pPr>
      <w:r>
        <w:rPr>
          <w:rFonts w:ascii="Consolas" w:hAnsi="Consolas"/>
          <w:sz w:val="16"/>
        </w:rPr>
        <w:t>┌─────────────────────────────────────────┐     ┌─────────────────────────────────────────┐</w:t>
      </w:r>
    </w:p>
    <w:p>
      <w:pPr>
        <w:spacing w:after="0" w:line="240" w:lineRule="auto"/>
        <w:ind w:left="288"/>
        <w:widowControl/>
        <w:shd w:fill="F3F4F6"/>
      </w:pPr>
      <w:r>
        <w:rPr>
          <w:rFonts w:ascii="Consolas" w:hAnsi="Consolas"/>
          <w:sz w:val="16"/>
        </w:rPr>
        <w:t>│ Layer 1: Quantitative Timing Gate       │     │ Layer 2: Cloud Contextual Risk          │</w:t>
      </w:r>
    </w:p>
    <w:p>
      <w:pPr>
        <w:spacing w:after="0" w:line="240" w:lineRule="auto"/>
        <w:ind w:left="288"/>
        <w:widowControl/>
        <w:shd w:fill="F3F4F6"/>
      </w:pPr>
      <w:r>
        <w:rPr>
          <w:rFonts w:ascii="Consolas" w:hAnsi="Consolas"/>
          <w:sz w:val="16"/>
        </w:rPr>
        <w:t>│ • Mosca: X + Y &gt; Z                    │     │ • Threat Surface: Passive Harvest       │</w:t>
      </w:r>
    </w:p>
    <w:p>
      <w:pPr>
        <w:spacing w:after="0" w:line="240" w:lineRule="auto"/>
        <w:ind w:left="288"/>
        <w:widowControl/>
        <w:shd w:fill="F3F4F6"/>
      </w:pPr>
      <w:r>
        <w:rPr>
          <w:rFonts w:ascii="Consolas" w:hAnsi="Consolas"/>
          <w:sz w:val="16"/>
        </w:rPr>
        <w:t>│ • Monte Carlo (N=200,000 runs)         │     │   vs. Active Signature Forgery          │</w:t>
      </w:r>
    </w:p>
    <w:p>
      <w:pPr>
        <w:spacing w:after="0" w:line="240" w:lineRule="auto"/>
        <w:ind w:left="288"/>
        <w:widowControl/>
        <w:shd w:fill="F3F4F6"/>
      </w:pPr>
      <w:r>
        <w:rPr>
          <w:rFonts w:ascii="Consolas" w:hAnsi="Consolas"/>
          <w:sz w:val="16"/>
        </w:rPr>
        <w:t>│ • Probability P(f&gt;0) &amp; Fraction E[f]│     │ • Blast Radius, Exposure &amp; Agility      │</w:t>
      </w:r>
    </w:p>
    <w:p>
      <w:pPr>
        <w:spacing w:after="0" w:line="240" w:lineRule="auto"/>
        <w:ind w:left="288"/>
        <w:widowControl/>
        <w:shd w:fill="F3F4F6"/>
      </w:pPr>
      <w:r>
        <w:rPr>
          <w:rFonts w:ascii="Consolas" w:hAnsi="Consolas"/>
          <w:sz w:val="16"/>
        </w:rPr>
        <w:t>└────────────────────┬────────────────────┘     └────────────────────┬────────────────────┘</w:t>
      </w:r>
    </w:p>
    <w:p>
      <w:pPr>
        <w:spacing w:after="0" w:line="240" w:lineRule="auto"/>
        <w:ind w:left="288"/>
        <w:widowControl/>
        <w:shd w:fill="F3F4F6"/>
      </w:pPr>
      <w:r>
        <w:rPr>
          <w:rFonts w:ascii="Consolas" w:hAnsi="Consolas"/>
          <w:sz w:val="16"/>
        </w:rPr>
        <w:t xml:space="preserve">                     │                                               │</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 Unified Asset Risk Score &amp; Priority Rank      │</w:t>
      </w:r>
    </w:p>
    <w:p>
      <w:pPr>
        <w:spacing w:after="0" w:line="240" w:lineRule="auto"/>
        <w:ind w:left="288"/>
        <w:widowControl/>
        <w:shd w:fill="F3F4F6"/>
      </w:pPr>
      <w:r>
        <w:rPr>
          <w:rFonts w:ascii="Consolas" w:hAnsi="Consolas"/>
          <w:sz w:val="16"/>
        </w:rPr>
        <w:t xml:space="preserve">                     └───────────────────────────────────────────────┘</w:t>
      </w:r>
    </w:p>
    <w:p>
      <w:pPr>
        <w:pStyle w:val="Heading2"/>
        <w:keepNext/>
        <w:widowControl/>
      </w:pPr>
      <w:r>
        <w:rPr>
          <w:rFonts w:ascii="Aptos" w:hAnsi="Aptos"/>
        </w:rPr>
        <w:t>Layer 1: Probabilistic Mosca Timing Gate (X + Y &gt; Z)</w:t>
      </w:r>
    </w:p>
    <w:p>
      <w:pPr>
        <w:widowControl/>
        <w:spacing w:after="120"/>
      </w:pPr>
      <w:r>
        <w:rPr>
          <w:rFonts w:ascii="Aptos" w:hAnsi="Aptos"/>
          <w:b w:val="0"/>
          <w:sz w:val="21"/>
        </w:rPr>
        <w:t>Mosca's inequality states that if data confidentiality lifetime (X) plus migration duration (Y) exceeds the time until a CRQC exists (Z), data is compromised:</w:t>
      </w:r>
    </w:p>
    <w:p>
      <w:pPr>
        <w:widowControl/>
        <w:spacing w:after="120"/>
      </w:pPr>
      <w:r>
        <w:rPr>
          <w:rFonts w:ascii="Aptos" w:hAnsi="Aptos"/>
          <w:b w:val="0"/>
          <w:sz w:val="21"/>
        </w:rPr>
        <w:t>Mosca Condition:  X + Y &gt; Z</w:t>
      </w:r>
    </w:p>
    <w:p>
      <w:pPr>
        <w:widowControl/>
        <w:spacing w:after="120"/>
      </w:pPr>
      <w:r>
        <w:rPr>
          <w:rFonts w:ascii="Aptos" w:hAnsi="Aptos"/>
          <w:b w:val="0"/>
          <w:sz w:val="21"/>
        </w:rPr>
        <w:t xml:space="preserve">ECDAT executes a </w:t>
      </w:r>
      <w:r>
        <w:rPr>
          <w:rFonts w:ascii="Aptos" w:hAnsi="Aptos"/>
          <w:b/>
          <w:sz w:val="21"/>
        </w:rPr>
        <w:t>Monte Carlo simulation</w:t>
      </w:r>
      <w:r>
        <w:rPr>
          <w:rFonts w:ascii="Aptos" w:hAnsi="Aptos"/>
          <w:b w:val="0"/>
          <w:sz w:val="21"/>
        </w:rPr>
        <w:t xml:space="preserve"> (N = 200,000 iterations) parameterized by expert-elicitation cumulative probability distributions for Q-day (T_q) from the Global Risk Institute (GRI):</w:t>
      </w:r>
    </w:p>
    <w:p>
      <w:pPr>
        <w:pStyle w:val="ListBullet"/>
        <w:widowControl/>
        <w:spacing w:after="120"/>
        <w:ind w:left="360"/>
      </w:pPr>
      <w:r>
        <w:rPr>
          <w:rFonts w:ascii="Aptos" w:hAnsi="Aptos"/>
          <w:b w:val="0"/>
          <w:sz w:val="21"/>
        </w:rPr>
        <w:t>T_s: Migration start year.</w:t>
      </w:r>
    </w:p>
    <w:p>
      <w:pPr>
        <w:pStyle w:val="ListBullet"/>
        <w:widowControl/>
        <w:spacing w:after="120"/>
        <w:ind w:left="360"/>
      </w:pPr>
      <w:r>
        <w:rPr>
          <w:rFonts w:ascii="Aptos" w:hAnsi="Aptos"/>
          <w:b w:val="0"/>
          <w:sz w:val="21"/>
        </w:rPr>
        <w:t>Y: Migration duration (T_c = T_s + Y).</w:t>
      </w:r>
    </w:p>
    <w:p>
      <w:pPr>
        <w:pStyle w:val="ListBullet"/>
        <w:widowControl/>
        <w:spacing w:after="120"/>
        <w:ind w:left="360"/>
      </w:pPr>
      <w:r>
        <w:rPr>
          <w:rFonts w:ascii="Aptos" w:hAnsi="Aptos"/>
          <w:b w:val="0"/>
          <w:sz w:val="21"/>
        </w:rPr>
        <w:t>X: Data confidentiality shelf-life.</w:t>
      </w:r>
    </w:p>
    <w:p>
      <w:pPr>
        <w:widowControl/>
        <w:spacing w:after="120"/>
      </w:pPr>
      <w:r>
        <w:rPr>
          <w:rFonts w:ascii="Aptos" w:hAnsi="Aptos"/>
          <w:b w:val="0"/>
          <w:sz w:val="21"/>
        </w:rPr>
        <w:t>For each iteration i, the exposed fraction f of the confidentiality window [T_q - X, T_q] is computed as:</w:t>
      </w:r>
    </w:p>
    <w:p>
      <w:pPr>
        <w:widowControl/>
        <w:spacing w:after="120"/>
      </w:pPr>
      <w:r>
        <w:rPr>
          <w:rFonts w:ascii="Aptos" w:hAnsi="Aptos"/>
          <w:b w:val="0"/>
          <w:sz w:val="21"/>
        </w:rPr>
        <w:t>f(T_q; T_s, X, Y) = min(1, max(0, (min(T_q, T_c) - (T_q - X))/(X)))</w:t>
      </w:r>
    </w:p>
    <w:p>
      <w:pPr>
        <w:widowControl/>
        <w:spacing w:after="120"/>
      </w:pPr>
      <w:r>
        <w:rPr>
          <w:rFonts w:ascii="Aptos" w:hAnsi="Aptos"/>
          <w:b w:val="0"/>
          <w:sz w:val="21"/>
        </w:rPr>
        <w:t>The model outputs two core decision metrics:</w:t>
      </w:r>
    </w:p>
    <w:p>
      <w:pPr>
        <w:widowControl/>
        <w:spacing w:after="120"/>
        <w:ind w:left="72" w:hanging="72"/>
      </w:pPr>
      <w:r>
        <w:rPr>
          <w:rFonts w:ascii="Aptos" w:hAnsi="Aptos"/>
          <w:b w:val="0"/>
          <w:sz w:val="21"/>
        </w:rPr>
        <w:t>1. P(f &gt; 0): Probability that any portion of sensitive data is exposed prior to migration completion.</w:t>
      </w:r>
    </w:p>
    <w:p>
      <w:pPr>
        <w:widowControl/>
        <w:spacing w:after="120"/>
        <w:ind w:left="72" w:hanging="72"/>
      </w:pPr>
      <w:r>
        <w:rPr>
          <w:rFonts w:ascii="Aptos" w:hAnsi="Aptos"/>
          <w:b w:val="0"/>
          <w:sz w:val="21"/>
        </w:rPr>
        <w:t>2. E[f]: Expected exposed fraction of the data confidentiality window.</w:t>
      </w:r>
    </w:p>
    <w:p>
      <w:pPr>
        <w:pStyle w:val="Heading2"/>
        <w:keepNext/>
        <w:widowControl/>
      </w:pPr>
      <w:r>
        <w:rPr>
          <w:rFonts w:ascii="Aptos" w:hAnsi="Aptos"/>
        </w:rPr>
        <w:t>Quantitative Impact of Delaying Migration (X = 10 years, Y = 6 years, Midline Timeline)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pPr>
              <w:spacing w:after="0"/>
              <w:jc w:val="center"/>
            </w:pPr>
            <w:r/>
            <w:r>
              <w:rPr>
                <w:rFonts w:ascii="Aptos" w:hAnsi="Aptos"/>
                <w:b/>
                <w:sz w:val="18"/>
              </w:rPr>
              <w:t>Strategy</w:t>
            </w:r>
          </w:p>
        </w:tc>
        <w:tc>
          <w:tcPr>
            <w:tcW w:type="dxa" w:w="1704"/>
            <w:vAlign w:val="center"/>
            <w:shd w:fill="D9EAF7"/>
          </w:tcPr>
          <w:p>
            <w:pPr>
              <w:spacing w:after="0"/>
              <w:jc w:val="center"/>
            </w:pPr>
            <w:r/>
            <w:r>
              <w:rPr>
                <w:rFonts w:ascii="Aptos" w:hAnsi="Aptos"/>
                <w:b/>
                <w:sz w:val="18"/>
              </w:rPr>
              <w:t>Start Year (T_s)</w:t>
            </w:r>
          </w:p>
        </w:tc>
        <w:tc>
          <w:tcPr>
            <w:tcW w:type="dxa" w:w="1704"/>
            <w:vAlign w:val="center"/>
            <w:shd w:fill="D9EAF7"/>
          </w:tcPr>
          <w:p>
            <w:pPr>
              <w:spacing w:after="0"/>
              <w:jc w:val="center"/>
            </w:pPr>
            <w:r/>
            <w:r>
              <w:rPr>
                <w:rFonts w:ascii="Aptos" w:hAnsi="Aptos"/>
                <w:b/>
                <w:sz w:val="18"/>
              </w:rPr>
              <w:t>Completion Year (T_c)</w:t>
            </w:r>
          </w:p>
        </w:tc>
        <w:tc>
          <w:tcPr>
            <w:tcW w:type="dxa" w:w="1704"/>
            <w:vAlign w:val="center"/>
            <w:shd w:fill="D9EAF7"/>
          </w:tcPr>
          <w:p>
            <w:pPr>
              <w:spacing w:after="0"/>
              <w:jc w:val="center"/>
            </w:pPr>
            <w:r/>
            <w:r>
              <w:rPr>
                <w:rFonts w:ascii="Aptos" w:hAnsi="Aptos"/>
                <w:b/>
                <w:sz w:val="18"/>
              </w:rPr>
              <w:t>Exposure Probability P(f &gt; 0)</w:t>
            </w:r>
          </w:p>
        </w:tc>
        <w:tc>
          <w:tcPr>
            <w:tcW w:type="dxa" w:w="1704"/>
            <w:vAlign w:val="center"/>
            <w:shd w:fill="D9EAF7"/>
          </w:tcPr>
          <w:p>
            <w:pPr>
              <w:spacing w:after="0"/>
              <w:jc w:val="center"/>
            </w:pPr>
            <w:r/>
            <w:r>
              <w:rPr>
                <w:rFonts w:ascii="Aptos" w:hAnsi="Aptos"/>
                <w:b/>
                <w:sz w:val="18"/>
              </w:rPr>
              <w:t>Expected Exposed Fraction E[f]</w:t>
            </w:r>
          </w:p>
        </w:tc>
        <w:tc>
          <w:tcPr>
            <w:tcW w:type="dxa" w:w="1704"/>
            <w:vAlign w:val="center"/>
            <w:shd w:fill="D9EAF7"/>
          </w:tcPr>
          <w:p>
            <w:pPr>
              <w:spacing w:after="0"/>
              <w:jc w:val="center"/>
            </w:pPr>
            <w:r/>
            <w:r>
              <w:rPr>
                <w:rFonts w:ascii="Aptos" w:hAnsi="Aptos"/>
                <w:b/>
                <w:sz w:val="18"/>
              </w:rPr>
              <w:t>Strategic Impact</w:t>
            </w:r>
          </w:p>
        </w:tc>
      </w:tr>
      <w:tr>
        <w:tc>
          <w:tcPr>
            <w:tcW w:type="dxa" w:w="1704"/>
            <w:vAlign w:val="center"/>
          </w:tcPr>
          <w:p>
            <w:pPr>
              <w:spacing w:after="0"/>
            </w:pPr>
            <w:r/>
            <w:r>
              <w:rPr>
                <w:rFonts w:ascii="Aptos" w:hAnsi="Aptos"/>
                <w:b w:val="0"/>
                <w:sz w:val="17"/>
              </w:rPr>
              <w:t>Early Start</w:t>
            </w:r>
          </w:p>
        </w:tc>
        <w:tc>
          <w:tcPr>
            <w:tcW w:type="dxa" w:w="1704"/>
            <w:vAlign w:val="center"/>
          </w:tcPr>
          <w:p>
            <w:pPr>
              <w:spacing w:after="0"/>
            </w:pPr>
            <w:r/>
            <w:r>
              <w:rPr>
                <w:rFonts w:ascii="Aptos" w:hAnsi="Aptos"/>
                <w:b w:val="0"/>
                <w:sz w:val="17"/>
              </w:rPr>
              <w:t>2026</w:t>
            </w:r>
          </w:p>
        </w:tc>
        <w:tc>
          <w:tcPr>
            <w:tcW w:type="dxa" w:w="1704"/>
            <w:vAlign w:val="center"/>
          </w:tcPr>
          <w:p>
            <w:pPr>
              <w:spacing w:after="0"/>
            </w:pPr>
            <w:r/>
            <w:r>
              <w:rPr>
                <w:rFonts w:ascii="Aptos" w:hAnsi="Aptos"/>
                <w:b w:val="0"/>
                <w:sz w:val="17"/>
              </w:rPr>
              <w:t>2032</w:t>
            </w:r>
          </w:p>
        </w:tc>
        <w:tc>
          <w:tcPr>
            <w:tcW w:type="dxa" w:w="1704"/>
            <w:vAlign w:val="center"/>
          </w:tcPr>
          <w:p>
            <w:pPr>
              <w:spacing w:after="0"/>
            </w:pPr>
            <w:r/>
            <w:r>
              <w:rPr>
                <w:rFonts w:ascii="Aptos" w:hAnsi="Aptos"/>
                <w:b w:val="0"/>
                <w:sz w:val="17"/>
              </w:rPr>
              <w:t>0.59</w:t>
            </w:r>
          </w:p>
        </w:tc>
        <w:tc>
          <w:tcPr>
            <w:tcW w:type="dxa" w:w="1704"/>
            <w:vAlign w:val="center"/>
          </w:tcPr>
          <w:p>
            <w:pPr>
              <w:spacing w:after="0"/>
            </w:pPr>
            <w:r/>
            <w:r>
              <w:rPr>
                <w:rFonts w:ascii="Aptos" w:hAnsi="Aptos"/>
                <w:b w:val="0"/>
                <w:sz w:val="17"/>
              </w:rPr>
              <w:t>0.37</w:t>
            </w:r>
          </w:p>
        </w:tc>
        <w:tc>
          <w:tcPr>
            <w:tcW w:type="dxa" w:w="1704"/>
            <w:vAlign w:val="center"/>
          </w:tcPr>
          <w:p>
            <w:pPr>
              <w:spacing w:after="0"/>
            </w:pPr>
            <w:r/>
            <w:r>
              <w:rPr>
                <w:rFonts w:ascii="Aptos" w:hAnsi="Aptos"/>
                <w:b w:val="0"/>
                <w:sz w:val="17"/>
              </w:rPr>
              <w:t>Baseline exposure; maximum risk reduction.</w:t>
            </w:r>
          </w:p>
        </w:tc>
      </w:tr>
      <w:tr>
        <w:tc>
          <w:tcPr>
            <w:tcW w:type="dxa" w:w="1704"/>
            <w:vAlign w:val="center"/>
          </w:tcPr>
          <w:p>
            <w:pPr>
              <w:spacing w:after="0"/>
            </w:pPr>
            <w:r/>
            <w:r>
              <w:rPr>
                <w:rFonts w:ascii="Aptos" w:hAnsi="Aptos"/>
                <w:b w:val="0"/>
                <w:sz w:val="17"/>
              </w:rPr>
              <w:t>Moderate Start</w:t>
            </w:r>
          </w:p>
        </w:tc>
        <w:tc>
          <w:tcPr>
            <w:tcW w:type="dxa" w:w="1704"/>
            <w:vAlign w:val="center"/>
          </w:tcPr>
          <w:p>
            <w:pPr>
              <w:spacing w:after="0"/>
            </w:pPr>
            <w:r/>
            <w:r>
              <w:rPr>
                <w:rFonts w:ascii="Aptos" w:hAnsi="Aptos"/>
                <w:b w:val="0"/>
                <w:sz w:val="17"/>
              </w:rPr>
              <w:t>2028</w:t>
            </w:r>
          </w:p>
        </w:tc>
        <w:tc>
          <w:tcPr>
            <w:tcW w:type="dxa" w:w="1704"/>
            <w:vAlign w:val="center"/>
          </w:tcPr>
          <w:p>
            <w:pPr>
              <w:spacing w:after="0"/>
            </w:pPr>
            <w:r/>
            <w:r>
              <w:rPr>
                <w:rFonts w:ascii="Aptos" w:hAnsi="Aptos"/>
                <w:b w:val="0"/>
                <w:sz w:val="17"/>
              </w:rPr>
              <w:t>2034</w:t>
            </w:r>
          </w:p>
        </w:tc>
        <w:tc>
          <w:tcPr>
            <w:tcW w:type="dxa" w:w="1704"/>
            <w:vAlign w:val="center"/>
          </w:tcPr>
          <w:p>
            <w:pPr>
              <w:spacing w:after="0"/>
            </w:pPr>
            <w:r/>
            <w:r>
              <w:rPr>
                <w:rFonts w:ascii="Aptos" w:hAnsi="Aptos"/>
                <w:b w:val="0"/>
                <w:sz w:val="17"/>
              </w:rPr>
              <w:t>0.67</w:t>
            </w:r>
          </w:p>
        </w:tc>
        <w:tc>
          <w:tcPr>
            <w:tcW w:type="dxa" w:w="1704"/>
            <w:vAlign w:val="center"/>
          </w:tcPr>
          <w:p>
            <w:pPr>
              <w:spacing w:after="0"/>
            </w:pPr>
            <w:r/>
            <w:r>
              <w:rPr>
                <w:rFonts w:ascii="Aptos" w:hAnsi="Aptos"/>
                <w:b w:val="0"/>
                <w:sz w:val="17"/>
              </w:rPr>
              <w:t>0.45</w:t>
            </w:r>
          </w:p>
        </w:tc>
        <w:tc>
          <w:tcPr>
            <w:tcW w:type="dxa" w:w="1704"/>
            <w:vAlign w:val="center"/>
          </w:tcPr>
          <w:p>
            <w:pPr>
              <w:spacing w:after="0"/>
            </w:pPr>
            <w:r/>
            <w:r>
              <w:rPr>
                <w:rFonts w:ascii="Aptos" w:hAnsi="Aptos"/>
                <w:b w:val="0"/>
                <w:sz w:val="17"/>
              </w:rPr>
              <w:t>Exposure grows by +8% probability.</w:t>
            </w:r>
          </w:p>
        </w:tc>
      </w:tr>
      <w:tr>
        <w:tc>
          <w:tcPr>
            <w:tcW w:type="dxa" w:w="1704"/>
            <w:vAlign w:val="center"/>
          </w:tcPr>
          <w:p>
            <w:pPr>
              <w:spacing w:after="0"/>
            </w:pPr>
            <w:r/>
            <w:r>
              <w:rPr>
                <w:rFonts w:ascii="Aptos" w:hAnsi="Aptos"/>
                <w:b w:val="0"/>
                <w:sz w:val="17"/>
              </w:rPr>
              <w:t>Delayed Start</w:t>
            </w:r>
          </w:p>
        </w:tc>
        <w:tc>
          <w:tcPr>
            <w:tcW w:type="dxa" w:w="1704"/>
            <w:vAlign w:val="center"/>
          </w:tcPr>
          <w:p>
            <w:pPr>
              <w:spacing w:after="0"/>
            </w:pPr>
            <w:r/>
            <w:r>
              <w:rPr>
                <w:rFonts w:ascii="Aptos" w:hAnsi="Aptos"/>
                <w:b w:val="0"/>
                <w:sz w:val="17"/>
              </w:rPr>
              <w:t>2030</w:t>
            </w:r>
          </w:p>
        </w:tc>
        <w:tc>
          <w:tcPr>
            <w:tcW w:type="dxa" w:w="1704"/>
            <w:vAlign w:val="center"/>
          </w:tcPr>
          <w:p>
            <w:pPr>
              <w:spacing w:after="0"/>
            </w:pPr>
            <w:r/>
            <w:r>
              <w:rPr>
                <w:rFonts w:ascii="Aptos" w:hAnsi="Aptos"/>
                <w:b w:val="0"/>
                <w:sz w:val="17"/>
              </w:rPr>
              <w:t>2036</w:t>
            </w:r>
          </w:p>
        </w:tc>
        <w:tc>
          <w:tcPr>
            <w:tcW w:type="dxa" w:w="1704"/>
            <w:vAlign w:val="center"/>
          </w:tcPr>
          <w:p>
            <w:pPr>
              <w:spacing w:after="0"/>
            </w:pPr>
            <w:r/>
            <w:r>
              <w:rPr>
                <w:rFonts w:ascii="Aptos" w:hAnsi="Aptos"/>
                <w:b w:val="0"/>
                <w:sz w:val="17"/>
              </w:rPr>
              <w:t>0.73</w:t>
            </w:r>
          </w:p>
        </w:tc>
        <w:tc>
          <w:tcPr>
            <w:tcW w:type="dxa" w:w="1704"/>
            <w:vAlign w:val="center"/>
          </w:tcPr>
          <w:p>
            <w:pPr>
              <w:spacing w:after="0"/>
            </w:pPr>
            <w:r/>
            <w:r>
              <w:rPr>
                <w:rFonts w:ascii="Aptos" w:hAnsi="Aptos"/>
                <w:b w:val="0"/>
                <w:sz w:val="17"/>
              </w:rPr>
              <w:t>0.54</w:t>
            </w:r>
          </w:p>
        </w:tc>
        <w:tc>
          <w:tcPr>
            <w:tcW w:type="dxa" w:w="1704"/>
            <w:vAlign w:val="center"/>
          </w:tcPr>
          <w:p>
            <w:pPr>
              <w:spacing w:after="0"/>
            </w:pPr>
            <w:r/>
            <w:r>
              <w:rPr>
                <w:rFonts w:ascii="Aptos" w:hAnsi="Aptos"/>
                <w:b w:val="0"/>
                <w:sz w:val="17"/>
              </w:rPr>
              <w:t>Exposes over half (54%) of the data window.</w:t>
            </w:r>
          </w:p>
        </w:tc>
      </w:tr>
      <w:tr>
        <w:tc>
          <w:tcPr>
            <w:tcW w:type="dxa" w:w="1704"/>
            <w:vAlign w:val="center"/>
          </w:tcPr>
          <w:p>
            <w:pPr>
              <w:spacing w:after="0"/>
            </w:pPr>
            <w:r/>
            <w:r>
              <w:rPr>
                <w:rFonts w:ascii="Aptos" w:hAnsi="Aptos"/>
                <w:b w:val="0"/>
                <w:sz w:val="17"/>
              </w:rPr>
              <w:t>Reactive Start</w:t>
            </w:r>
          </w:p>
        </w:tc>
        <w:tc>
          <w:tcPr>
            <w:tcW w:type="dxa" w:w="1704"/>
            <w:vAlign w:val="center"/>
          </w:tcPr>
          <w:p>
            <w:pPr>
              <w:spacing w:after="0"/>
            </w:pPr>
            <w:r/>
            <w:r>
              <w:rPr>
                <w:rFonts w:ascii="Aptos" w:hAnsi="Aptos"/>
                <w:b w:val="0"/>
                <w:sz w:val="17"/>
              </w:rPr>
              <w:t>2032</w:t>
            </w:r>
          </w:p>
        </w:tc>
        <w:tc>
          <w:tcPr>
            <w:tcW w:type="dxa" w:w="1704"/>
            <w:vAlign w:val="center"/>
          </w:tcPr>
          <w:p>
            <w:pPr>
              <w:spacing w:after="0"/>
            </w:pPr>
            <w:r/>
            <w:r>
              <w:rPr>
                <w:rFonts w:ascii="Aptos" w:hAnsi="Aptos"/>
                <w:b w:val="0"/>
                <w:sz w:val="17"/>
              </w:rPr>
              <w:t>2038</w:t>
            </w:r>
          </w:p>
        </w:tc>
        <w:tc>
          <w:tcPr>
            <w:tcW w:type="dxa" w:w="1704"/>
            <w:vAlign w:val="center"/>
          </w:tcPr>
          <w:p>
            <w:pPr>
              <w:spacing w:after="0"/>
            </w:pPr>
            <w:r/>
            <w:r>
              <w:rPr>
                <w:rFonts w:ascii="Aptos" w:hAnsi="Aptos"/>
                <w:b w:val="0"/>
                <w:sz w:val="17"/>
              </w:rPr>
              <w:t>0.75</w:t>
            </w:r>
          </w:p>
        </w:tc>
        <w:tc>
          <w:tcPr>
            <w:tcW w:type="dxa" w:w="1704"/>
            <w:vAlign w:val="center"/>
          </w:tcPr>
          <w:p>
            <w:pPr>
              <w:spacing w:after="0"/>
            </w:pPr>
            <w:r/>
            <w:r>
              <w:rPr>
                <w:rFonts w:ascii="Aptos" w:hAnsi="Aptos"/>
                <w:b w:val="0"/>
                <w:sz w:val="17"/>
              </w:rPr>
              <w:t>0.62</w:t>
            </w:r>
          </w:p>
        </w:tc>
        <w:tc>
          <w:tcPr>
            <w:tcW w:type="dxa" w:w="1704"/>
            <w:vAlign w:val="center"/>
          </w:tcPr>
          <w:p>
            <w:pPr>
              <w:spacing w:after="0"/>
            </w:pPr>
            <w:r/>
            <w:r>
              <w:rPr>
                <w:rFonts w:ascii="Aptos" w:hAnsi="Aptos"/>
                <w:b w:val="0"/>
                <w:sz w:val="17"/>
              </w:rPr>
              <w:t>Severe risk; critical regulatory non-compliance.</w:t>
            </w:r>
          </w:p>
        </w:tc>
      </w:tr>
    </w:tbl>
    <w:p>
      <w:pPr>
        <w:widowControl/>
        <w:spacing w:after="0"/>
      </w:pPr>
    </w:p>
    <w:p>
      <w:pPr>
        <w:pStyle w:val="Heading2"/>
        <w:keepNext/>
        <w:widowControl/>
      </w:pPr>
      <w:r>
        <w:rPr>
          <w:rFonts w:ascii="Aptos" w:hAnsi="Aptos"/>
        </w:rPr>
        <w:t>Layer 2: Cloud Contextual Risk Engine</w:t>
      </w:r>
    </w:p>
    <w:p>
      <w:pPr>
        <w:widowControl/>
        <w:spacing w:after="120"/>
      </w:pPr>
      <w:r>
        <w:rPr>
          <w:rFonts w:ascii="Aptos" w:hAnsi="Aptos"/>
          <w:b w:val="0"/>
          <w:sz w:val="21"/>
        </w:rPr>
        <w:t>Layer 2 overlays the timing gate with threat mechanics and system reachability:</w:t>
      </w:r>
    </w:p>
    <w:p>
      <w:pPr>
        <w:widowControl/>
        <w:spacing w:after="120"/>
        <w:ind w:left="72" w:hanging="72"/>
      </w:pPr>
      <w:r>
        <w:rPr>
          <w:rFonts w:ascii="Aptos" w:hAnsi="Aptos"/>
          <w:b w:val="0"/>
          <w:sz w:val="21"/>
        </w:rPr>
        <w:t xml:space="preserve">1. </w:t>
      </w:r>
      <w:r>
        <w:rPr>
          <w:rFonts w:ascii="Aptos" w:hAnsi="Aptos"/>
          <w:b/>
          <w:sz w:val="21"/>
        </w:rPr>
        <w:t>Retroactive Confidentiality Loss ("Harvest Now, Decrypt Later"):</w:t>
      </w:r>
      <w:r>
        <w:rPr>
          <w:rFonts w:ascii="Aptos" w:hAnsi="Aptos"/>
          <w:b w:val="0"/>
          <w:sz w:val="21"/>
        </w:rPr>
        <w:t xml:space="preserve"> Applies to asymmetric key exchange/agreement primitives (RSA, ECDH) used in TLS, VPNs, and KMS envelope encryption. Evaluated against X; high X values demand immediate prioritization.</w:t>
      </w:r>
    </w:p>
    <w:p>
      <w:pPr>
        <w:widowControl/>
        <w:spacing w:after="120"/>
        <w:ind w:left="72" w:hanging="72"/>
      </w:pPr>
      <w:r>
        <w:rPr>
          <w:rFonts w:ascii="Aptos" w:hAnsi="Aptos"/>
          <w:b w:val="0"/>
          <w:sz w:val="21"/>
        </w:rPr>
        <w:t xml:space="preserve">2. </w:t>
      </w:r>
      <w:r>
        <w:rPr>
          <w:rFonts w:ascii="Aptos" w:hAnsi="Aptos"/>
          <w:b/>
          <w:sz w:val="21"/>
        </w:rPr>
        <w:t>Forward Integrity &amp; Authentication Loss:</w:t>
      </w:r>
      <w:r>
        <w:rPr>
          <w:rFonts w:ascii="Aptos" w:hAnsi="Aptos"/>
          <w:b w:val="0"/>
          <w:sz w:val="21"/>
        </w:rPr>
        <w:t xml:space="preserve"> Applies to digital signatures (RSA, ECDSA) in PKI, mTLS, code signing, and CI/CD pipelines. Evaluated as active forgery and impersonation risks once a CRQC exists.</w:t>
      </w:r>
    </w:p>
    <w:p>
      <w:pPr>
        <w:widowControl/>
        <w:spacing w:after="120"/>
        <w:ind w:left="72" w:hanging="72"/>
      </w:pPr>
      <w:r>
        <w:rPr>
          <w:rFonts w:ascii="Aptos" w:hAnsi="Aptos"/>
          <w:b w:val="0"/>
          <w:sz w:val="21"/>
        </w:rPr>
        <w:t xml:space="preserve">3. </w:t>
      </w:r>
      <w:r>
        <w:rPr>
          <w:rFonts w:ascii="Aptos" w:hAnsi="Aptos"/>
          <w:b/>
          <w:sz w:val="21"/>
        </w:rPr>
        <w:t>Contextual Drivers:</w:t>
      </w:r>
      <w:r>
        <w:rPr>
          <w:rFonts w:ascii="Aptos" w:hAnsi="Aptos"/>
          <w:b w:val="0"/>
          <w:sz w:val="21"/>
        </w:rPr>
        <w:t xml:space="preserve"> Scores reachability (internet-facing ingress vs. internal service mesh), blast radius, business criticality, and cryptographic agility.</w:t>
      </w:r>
    </w:p>
    <w:p>
      <w:pPr>
        <w:spacing w:after="80"/>
        <w:widowControl/>
        <w:pBdr>
          <w:bottom w:val="single" w:sz="6" w:space="1" w:color="B7C9D6"/>
        </w:pBdr>
      </w:pPr>
    </w:p>
    <w:p>
      <w:pPr>
        <w:pStyle w:val="Heading1"/>
        <w:keepNext/>
        <w:widowControl/>
      </w:pPr>
      <w:r>
        <w:rPr>
          <w:rFonts w:ascii="Aptos" w:hAnsi="Aptos"/>
        </w:rPr>
        <w:t>5. Actionable PQC/Hybrid Recommendation &amp; Migration Optimization</w:t>
      </w:r>
    </w:p>
    <w:p>
      <w:pPr>
        <w:widowControl/>
        <w:spacing w:after="120"/>
      </w:pPr>
      <w:r>
        <w:rPr>
          <w:rFonts w:ascii="Aptos" w:hAnsi="Aptos"/>
          <w:b w:val="0"/>
          <w:sz w:val="21"/>
        </w:rPr>
        <w:t>ECDAT provides direct, actionable remediation paths for every identified vulnerable asset:</w:t>
      </w:r>
    </w:p>
    <w:p>
      <w:pPr>
        <w:pStyle w:val="Heading2"/>
        <w:keepNext/>
        <w:widowControl/>
      </w:pPr>
      <w:r>
        <w:rPr>
          <w:rFonts w:ascii="Aptos" w:hAnsi="Aptos"/>
        </w:rPr>
        <w:t>A. Algorithmic Replacement Mapping</w:t>
      </w:r>
    </w:p>
    <w:p>
      <w:pPr>
        <w:pStyle w:val="ListBullet"/>
        <w:widowControl/>
        <w:spacing w:after="120"/>
        <w:ind w:left="360"/>
      </w:pPr>
      <w:r>
        <w:rPr>
          <w:rFonts w:ascii="Aptos" w:hAnsi="Aptos"/>
          <w:b/>
          <w:sz w:val="21"/>
        </w:rPr>
        <w:t>Key Encapsulation Mechanisms (KEM):</w:t>
      </w:r>
      <w:r>
        <w:rPr>
          <w:rFonts w:ascii="Aptos" w:hAnsi="Aptos"/>
          <w:b w:val="0"/>
          <w:sz w:val="21"/>
        </w:rPr>
        <w:t xml:space="preserve"> Replace RSA/ECDH with </w:t>
      </w:r>
      <w:r>
        <w:rPr>
          <w:rFonts w:ascii="Aptos" w:hAnsi="Aptos"/>
          <w:b/>
          <w:sz w:val="21"/>
        </w:rPr>
        <w:t>NIST FIPS 203 (ML-KEM-512 / ML-KEM-768 / ML-KEM-1024)</w:t>
      </w:r>
      <w:r>
        <w:rPr>
          <w:rFonts w:ascii="Aptos" w:hAnsi="Aptos"/>
          <w:b w:val="0"/>
          <w:sz w:val="21"/>
        </w:rPr>
        <w:t>.</w:t>
      </w:r>
    </w:p>
    <w:p>
      <w:pPr>
        <w:pStyle w:val="ListBullet"/>
        <w:widowControl/>
        <w:spacing w:after="120"/>
        <w:ind w:left="360"/>
      </w:pPr>
      <w:r>
        <w:rPr>
          <w:rFonts w:ascii="Aptos" w:hAnsi="Aptos"/>
          <w:b/>
          <w:sz w:val="21"/>
        </w:rPr>
        <w:t>Digital Signatures:</w:t>
      </w:r>
      <w:r>
        <w:rPr>
          <w:rFonts w:ascii="Aptos" w:hAnsi="Aptos"/>
          <w:b w:val="0"/>
          <w:sz w:val="21"/>
        </w:rPr>
        <w:t xml:space="preserve"> Replace RSA/ECDSA with </w:t>
      </w:r>
      <w:r>
        <w:rPr>
          <w:rFonts w:ascii="Aptos" w:hAnsi="Aptos"/>
          <w:b/>
          <w:sz w:val="21"/>
        </w:rPr>
        <w:t>NIST FIPS 204 (ML-DSA-44 / ML-DSA-65 / ML-DSA-87)</w:t>
      </w:r>
      <w:r>
        <w:rPr>
          <w:rFonts w:ascii="Aptos" w:hAnsi="Aptos"/>
          <w:b w:val="0"/>
          <w:sz w:val="21"/>
        </w:rPr>
        <w:t xml:space="preserve"> or </w:t>
      </w:r>
      <w:r>
        <w:rPr>
          <w:rFonts w:ascii="Aptos" w:hAnsi="Aptos"/>
          <w:b/>
          <w:sz w:val="21"/>
        </w:rPr>
        <w:t>NIST FIPS 205 (SLH-DSA)</w:t>
      </w:r>
      <w:r>
        <w:rPr>
          <w:rFonts w:ascii="Aptos" w:hAnsi="Aptos"/>
          <w:b w:val="0"/>
          <w:sz w:val="21"/>
        </w:rPr>
        <w:t xml:space="preserve"> for stateless hash-based protection.</w:t>
      </w:r>
    </w:p>
    <w:p>
      <w:pPr>
        <w:pStyle w:val="ListBullet"/>
        <w:widowControl/>
        <w:spacing w:after="120"/>
        <w:ind w:left="360"/>
      </w:pPr>
      <w:r>
        <w:rPr>
          <w:rFonts w:ascii="Aptos" w:hAnsi="Aptos"/>
          <w:b/>
          <w:sz w:val="21"/>
        </w:rPr>
        <w:t>Symmetric Primitives:</w:t>
      </w:r>
      <w:r>
        <w:rPr>
          <w:rFonts w:ascii="Aptos" w:hAnsi="Aptos"/>
          <w:b w:val="0"/>
          <w:sz w:val="21"/>
        </w:rPr>
        <w:t xml:space="preserve"> Upgrade AES-128 to </w:t>
      </w:r>
      <w:r>
        <w:rPr>
          <w:rFonts w:ascii="Aptos" w:hAnsi="Aptos"/>
          <w:b/>
          <w:sz w:val="21"/>
        </w:rPr>
        <w:t>AES-256</w:t>
      </w:r>
      <w:r>
        <w:rPr>
          <w:rFonts w:ascii="Aptos" w:hAnsi="Aptos"/>
          <w:b w:val="0"/>
          <w:sz w:val="21"/>
        </w:rPr>
        <w:t xml:space="preserve"> and SHA-256 to </w:t>
      </w:r>
      <w:r>
        <w:rPr>
          <w:rFonts w:ascii="Aptos" w:hAnsi="Aptos"/>
          <w:b/>
          <w:sz w:val="21"/>
        </w:rPr>
        <w:t>SHA-384 / SHA-512</w:t>
      </w:r>
      <w:r>
        <w:rPr>
          <w:rFonts w:ascii="Aptos" w:hAnsi="Aptos"/>
          <w:b w:val="0"/>
          <w:sz w:val="21"/>
        </w:rPr>
        <w:t xml:space="preserve"> to maintain security margins against Grover's algorithm speedups.</w:t>
      </w:r>
    </w:p>
    <w:p>
      <w:pPr>
        <w:pStyle w:val="Heading2"/>
        <w:keepNext/>
        <w:widowControl/>
      </w:pPr>
      <w:r>
        <w:rPr>
          <w:rFonts w:ascii="Aptos" w:hAnsi="Aptos"/>
        </w:rPr>
        <w:t>B. Hybrid Deployment Architecture</w:t>
      </w:r>
    </w:p>
    <w:p>
      <w:pPr>
        <w:widowControl/>
        <w:spacing w:after="120"/>
      </w:pPr>
      <w:r>
        <w:rPr>
          <w:rFonts w:ascii="Aptos" w:hAnsi="Aptos"/>
          <w:b w:val="0"/>
          <w:sz w:val="21"/>
        </w:rPr>
        <w:t xml:space="preserve">To prevent single-point-of-failure risks during early PQC deployment, ECDAT recommends hybrid key exchange (combining classical and quantum-resistant primitives) per </w:t>
      </w:r>
      <w:r>
        <w:rPr>
          <w:rFonts w:ascii="Aptos" w:hAnsi="Aptos"/>
          <w:b/>
          <w:sz w:val="21"/>
        </w:rPr>
        <w:t>IETF RFC 10024 / draft-ietf-tls-hybrid-design</w:t>
      </w:r>
      <w:r>
        <w:rPr>
          <w:rFonts w:ascii="Aptos" w:hAnsi="Aptos"/>
          <w:b w:val="0"/>
          <w:sz w:val="21"/>
        </w:rPr>
        <w:t>:</w:t>
      </w:r>
    </w:p>
    <w:p>
      <w:pPr>
        <w:pStyle w:val="ListBullet"/>
        <w:widowControl/>
        <w:spacing w:after="120"/>
        <w:ind w:left="360"/>
      </w:pPr>
      <w:r>
        <w:rPr>
          <w:rFonts w:ascii="Aptos" w:hAnsi="Aptos"/>
          <w:b w:val="0"/>
          <w:sz w:val="21"/>
        </w:rPr>
        <w:t xml:space="preserve">Combine </w:t>
      </w:r>
      <w:r>
        <w:rPr>
          <w:rFonts w:ascii="Aptos" w:hAnsi="Aptos"/>
          <w:b/>
          <w:sz w:val="21"/>
        </w:rPr>
        <w:t>X25519 + ML-KEM-768</w:t>
      </w:r>
      <w:r>
        <w:rPr>
          <w:rFonts w:ascii="Aptos" w:hAnsi="Aptos"/>
          <w:b w:val="0"/>
          <w:sz w:val="21"/>
        </w:rPr>
        <w:t xml:space="preserve"> for TLS 1.3 / QUIC handshakes.</w:t>
      </w:r>
    </w:p>
    <w:p>
      <w:pPr>
        <w:pStyle w:val="ListBullet"/>
        <w:widowControl/>
        <w:spacing w:after="120"/>
        <w:ind w:left="360"/>
      </w:pPr>
      <w:r>
        <w:rPr>
          <w:rFonts w:ascii="Aptos" w:hAnsi="Aptos"/>
          <w:b w:val="0"/>
          <w:sz w:val="21"/>
        </w:rPr>
        <w:t>Ensures security as long as at least one constituent scheme remains unbroken.</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          TLS 1.3 Handshake              │</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 dependsOn                                   │ dependsOn</w:t>
      </w:r>
    </w:p>
    <w:p>
      <w:pPr>
        <w:spacing w:after="0" w:line="240" w:lineRule="auto"/>
        <w:ind w:left="288"/>
        <w:widowControl/>
        <w:shd w:fill="F3F4F6"/>
      </w:pPr>
      <w:r>
        <w:rPr>
          <w:rFonts w:ascii="Consolas" w:hAnsi="Consolas"/>
          <w:sz w:val="16"/>
        </w:rPr>
        <w:t xml:space="preserve">                   ▼                                             ▼</w:t>
      </w:r>
    </w:p>
    <w:p>
      <w:pPr>
        <w:spacing w:after="0" w:line="240" w:lineRule="auto"/>
        <w:ind w:left="288"/>
        <w:widowControl/>
        <w:shd w:fill="F3F4F6"/>
      </w:pPr>
      <w:r>
        <w:rPr>
          <w:rFonts w:ascii="Consolas" w:hAnsi="Consolas"/>
          <w:sz w:val="16"/>
        </w:rPr>
        <w:t>┌─────────────────────────────────────┐       ┌─────────────────────────────────────┐</w:t>
      </w:r>
    </w:p>
    <w:p>
      <w:pPr>
        <w:spacing w:after="0" w:line="240" w:lineRule="auto"/>
        <w:ind w:left="288"/>
        <w:widowControl/>
        <w:shd w:fill="F3F4F6"/>
      </w:pPr>
      <w:r>
        <w:rPr>
          <w:rFonts w:ascii="Consolas" w:hAnsi="Consolas"/>
          <w:sz w:val="16"/>
        </w:rPr>
        <w:t>│ Combiner: Hybrid KEM                │       │ Digital Signature: RSASSA-PSS /     │</w:t>
      </w:r>
    </w:p>
    <w:p>
      <w:pPr>
        <w:spacing w:after="0" w:line="240" w:lineRule="auto"/>
        <w:ind w:left="288"/>
        <w:widowControl/>
        <w:shd w:fill="F3F4F6"/>
      </w:pPr>
      <w:r>
        <w:rPr>
          <w:rFonts w:ascii="Consolas" w:hAnsi="Consolas"/>
          <w:sz w:val="16"/>
        </w:rPr>
        <w:t>│ (X25519 + ML-KEM-768)               │       │ ML-DSA-65                           │</w:t>
      </w:r>
    </w:p>
    <w:p>
      <w:pPr>
        <w:spacing w:after="0" w:line="240" w:lineRule="auto"/>
        <w:ind w:left="288"/>
        <w:widowControl/>
        <w:shd w:fill="F3F4F6"/>
      </w:pPr>
      <w:r>
        <w:rPr>
          <w:rFonts w:ascii="Consolas" w:hAnsi="Consolas"/>
          <w:sz w:val="16"/>
        </w:rPr>
        <w:t>└──────────────────┬──────────────────┘       └─────────────────────────────────────┘</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w:t>
      </w:r>
    </w:p>
    <w:p>
      <w:pPr>
        <w:spacing w:after="0" w:line="240" w:lineRule="auto"/>
        <w:ind w:left="288"/>
        <w:widowControl/>
        <w:shd w:fill="F3F4F6"/>
      </w:pPr>
      <w:r>
        <w:rPr>
          <w:rFonts w:ascii="Consolas" w:hAnsi="Consolas"/>
          <w:sz w:val="16"/>
        </w:rPr>
        <w:t xml:space="preserve">         │ dependsOn         │ dependsOn</w:t>
      </w:r>
    </w:p>
    <w:p>
      <w:pPr>
        <w:spacing w:after="0" w:line="240" w:lineRule="auto"/>
        <w:ind w:left="288"/>
        <w:widowControl/>
        <w:shd w:fill="F3F4F6"/>
      </w:pPr>
      <w:r>
        <w:rPr>
          <w:rFonts w:ascii="Consolas" w:hAnsi="Consolas"/>
          <w:sz w:val="16"/>
        </w:rPr>
        <w:t xml:space="preserve">         ▼                   ▼</w:t>
      </w:r>
    </w:p>
    <w:p>
      <w:pPr>
        <w:spacing w:after="0" w:line="240" w:lineRule="auto"/>
        <w:ind w:left="288"/>
        <w:widowControl/>
        <w:shd w:fill="F3F4F6"/>
      </w:pPr>
      <w:r>
        <w:rPr>
          <w:rFonts w:ascii="Consolas" w:hAnsi="Consolas"/>
          <w:sz w:val="16"/>
        </w:rPr>
        <w:t>┌─────────────────┐ ┌─────────────────┐</w:t>
      </w:r>
    </w:p>
    <w:p>
      <w:pPr>
        <w:spacing w:after="0" w:line="240" w:lineRule="auto"/>
        <w:ind w:left="288"/>
        <w:widowControl/>
        <w:shd w:fill="F3F4F6"/>
      </w:pPr>
      <w:r>
        <w:rPr>
          <w:rFonts w:ascii="Consolas" w:hAnsi="Consolas"/>
          <w:sz w:val="16"/>
        </w:rPr>
        <w:t>│ Classical KEX:  │ │ Post-Quantum:   │</w:t>
      </w:r>
    </w:p>
    <w:p>
      <w:pPr>
        <w:spacing w:after="0" w:line="240" w:lineRule="auto"/>
        <w:ind w:left="288"/>
        <w:widowControl/>
        <w:shd w:fill="F3F4F6"/>
      </w:pPr>
      <w:r>
        <w:rPr>
          <w:rFonts w:ascii="Consolas" w:hAnsi="Consolas"/>
          <w:sz w:val="16"/>
        </w:rPr>
        <w:t>│ X25519          │ │ ML-KEM-768      │</w:t>
      </w:r>
    </w:p>
    <w:p>
      <w:pPr>
        <w:spacing w:after="0" w:line="240" w:lineRule="auto"/>
        <w:ind w:left="288"/>
        <w:widowControl/>
        <w:shd w:fill="F3F4F6"/>
      </w:pPr>
      <w:r>
        <w:rPr>
          <w:rFonts w:ascii="Consolas" w:hAnsi="Consolas"/>
          <w:sz w:val="16"/>
        </w:rPr>
        <w:t>└─────────────────┘ └─────────────────┘</w:t>
      </w:r>
    </w:p>
    <w:p>
      <w:pPr>
        <w:pStyle w:val="Heading2"/>
        <w:keepNext/>
        <w:widowControl/>
      </w:pPr>
      <w:r>
        <w:rPr>
          <w:rFonts w:ascii="Aptos" w:hAnsi="Aptos"/>
        </w:rPr>
        <w:t>C. Crypto-Agility Scoring &amp; CI/CD Policy Gates</w:t>
      </w:r>
    </w:p>
    <w:p>
      <w:pPr>
        <w:widowControl/>
        <w:spacing w:after="120"/>
        <w:ind w:left="72" w:hanging="72"/>
      </w:pPr>
      <w:r>
        <w:rPr>
          <w:rFonts w:ascii="Aptos" w:hAnsi="Aptos"/>
          <w:b w:val="0"/>
          <w:sz w:val="21"/>
        </w:rPr>
        <w:t xml:space="preserve">1. </w:t>
      </w:r>
      <w:r>
        <w:rPr>
          <w:rFonts w:ascii="Aptos" w:hAnsi="Aptos"/>
          <w:b/>
          <w:sz w:val="21"/>
        </w:rPr>
        <w:t>Agility Scoring:</w:t>
      </w:r>
      <w:r>
        <w:rPr>
          <w:rFonts w:ascii="Aptos" w:hAnsi="Aptos"/>
          <w:b w:val="0"/>
          <w:sz w:val="21"/>
        </w:rPr>
        <w:t xml:space="preserve"> Evaluates replaceability—High agility for cloud KMS rotated via API; Medium for parameters configurable via runtime config; Low for hardcoded source or compiled code.</w:t>
      </w:r>
    </w:p>
    <w:p>
      <w:pPr>
        <w:widowControl/>
        <w:spacing w:after="120"/>
        <w:ind w:left="72" w:hanging="72"/>
      </w:pPr>
      <w:r>
        <w:rPr>
          <w:rFonts w:ascii="Aptos" w:hAnsi="Aptos"/>
          <w:b w:val="0"/>
          <w:sz w:val="21"/>
        </w:rPr>
        <w:t xml:space="preserve">2. </w:t>
      </w:r>
      <w:r>
        <w:rPr>
          <w:rFonts w:ascii="Aptos" w:hAnsi="Aptos"/>
          <w:b/>
          <w:sz w:val="21"/>
        </w:rPr>
        <w:t>CI/CD Drift Enforcement:</w:t>
      </w:r>
      <w:r>
        <w:rPr>
          <w:rFonts w:ascii="Aptos" w:hAnsi="Aptos"/>
          <w:b w:val="0"/>
          <w:sz w:val="21"/>
        </w:rPr>
        <w:t xml:space="preserve"> Evaluates Common Expression Language (</w:t>
      </w:r>
      <w:r>
        <w:rPr>
          <w:rFonts w:ascii="Aptos" w:hAnsi="Aptos"/>
          <w:b/>
          <w:sz w:val="21"/>
        </w:rPr>
        <w:t>CEL</w:t>
      </w:r>
      <w:r>
        <w:rPr>
          <w:rFonts w:ascii="Aptos" w:hAnsi="Aptos"/>
          <w:b w:val="0"/>
          <w:sz w:val="21"/>
        </w:rPr>
        <w:t>) policies during builds to block newly introduced weak or quantum-vulnerable algorithms:</w:t>
      </w:r>
    </w:p>
    <w:p>
      <w:pPr>
        <w:spacing w:after="0" w:line="240" w:lineRule="auto"/>
        <w:ind w:left="288"/>
        <w:widowControl/>
        <w:shd w:fill="F3F4F6"/>
      </w:pPr>
      <w:r>
        <w:rPr>
          <w:rFonts w:ascii="Consolas" w:hAnsi="Consolas"/>
          <w:sz w:val="16"/>
        </w:rPr>
        <w:t xml:space="preserve">   // Sample ECDAT CEL Policy: Block non-compliant PQC additions</w:t>
      </w:r>
    </w:p>
    <w:p>
      <w:pPr>
        <w:spacing w:after="0" w:line="240" w:lineRule="auto"/>
        <w:ind w:left="288"/>
        <w:widowControl/>
        <w:shd w:fill="F3F4F6"/>
      </w:pPr>
      <w:r>
        <w:rPr>
          <w:rFonts w:ascii="Consolas" w:hAnsi="Consolas"/>
          <w:sz w:val="16"/>
        </w:rPr>
        <w:t xml:space="preserve">   !(crypto.algorithm.family in ['RSA', 'ECDSA', 'DH']) &amp;&amp;</w:t>
      </w:r>
    </w:p>
    <w:p>
      <w:pPr>
        <w:spacing w:after="0" w:line="240" w:lineRule="auto"/>
        <w:ind w:left="288"/>
        <w:widowControl/>
        <w:shd w:fill="F3F4F6"/>
      </w:pPr>
      <w:r>
        <w:rPr>
          <w:rFonts w:ascii="Consolas" w:hAnsi="Consolas"/>
          <w:sz w:val="16"/>
        </w:rPr>
        <w:t xml:space="preserve">   crypto.algorithm.rsaKeySize &gt;= 3072 &amp;&amp;</w:t>
      </w:r>
    </w:p>
    <w:p>
      <w:pPr>
        <w:spacing w:after="0" w:line="240" w:lineRule="auto"/>
        <w:ind w:left="288"/>
        <w:widowControl/>
        <w:shd w:fill="F3F4F6"/>
      </w:pPr>
      <w:r>
        <w:rPr>
          <w:rFonts w:ascii="Consolas" w:hAnsi="Consolas"/>
          <w:sz w:val="16"/>
        </w:rPr>
        <w:t xml:space="preserve">   crypto.material.isHardcoded == false</w:t>
      </w:r>
    </w:p>
    <w:p>
      <w:pPr>
        <w:spacing w:after="80"/>
        <w:widowControl/>
        <w:pBdr>
          <w:bottom w:val="single" w:sz="6" w:space="1" w:color="B7C9D6"/>
        </w:pBdr>
      </w:pPr>
    </w:p>
    <w:p>
      <w:pPr>
        <w:pStyle w:val="Heading1"/>
        <w:keepNext/>
        <w:widowControl/>
      </w:pPr>
      <w:r>
        <w:rPr>
          <w:rFonts w:ascii="Aptos" w:hAnsi="Aptos"/>
        </w:rPr>
        <w:t>6. Resolution of the Core Research Gap</w:t>
      </w:r>
    </w:p>
    <w:p>
      <w:pPr>
        <w:widowControl/>
        <w:spacing w:after="160" w:before="40"/>
        <w:ind w:left="504" w:right="288"/>
      </w:pPr>
      <w:r>
        <w:rPr>
          <w:rFonts w:ascii="Aptos" w:hAnsi="Aptos"/>
          <w:b/>
          <w:i/>
          <w:color w:val="3F4B59"/>
          <w:sz w:val="21"/>
        </w:rPr>
        <w:t>Core Research Gap:</w:t>
      </w:r>
      <w:r>
        <w:rPr>
          <w:rFonts w:ascii="Aptos" w:hAnsi="Aptos"/>
          <w:b w:val="0"/>
          <w:i/>
          <w:color w:val="3F4B59"/>
          <w:sz w:val="21"/>
        </w:rPr>
        <w:t xml:space="preserve"> How can heterogeneous cryptographic evidence be fused into a confidence-calibrated, dependency-aware, time-aware quantum-risk model that produces an actionable migration plan?</w:t>
      </w:r>
    </w:p>
    <w:p>
      <w:pPr>
        <w:widowControl/>
        <w:spacing w:after="120"/>
      </w:pPr>
      <w:r>
        <w:rPr>
          <w:rFonts w:ascii="Aptos" w:hAnsi="Aptos"/>
          <w:b w:val="0"/>
          <w:sz w:val="21"/>
        </w:rPr>
        <w:t>ECDAT resolves this gap by orchestrating the primary technical breakthroughs across the 9 research sources into a single operational architecture:</w:t>
      </w:r>
    </w:p>
    <w:p>
      <w:pPr>
        <w:spacing w:after="0" w:line="240" w:lineRule="auto"/>
        <w:ind w:left="288"/>
        <w:widowControl/>
        <w:shd w:fill="F3F4F6"/>
      </w:pPr>
      <w:r>
        <w:rPr>
          <w:rFonts w:ascii="Consolas" w:hAnsi="Consolas"/>
          <w:sz w:val="16"/>
        </w:rPr>
        <w:t>┌─────────────────────────────────────────────────────────────────────────────┐</w:t>
      </w:r>
    </w:p>
    <w:p>
      <w:pPr>
        <w:spacing w:after="0" w:line="240" w:lineRule="auto"/>
        <w:ind w:left="288"/>
        <w:widowControl/>
        <w:shd w:fill="F3F4F6"/>
      </w:pPr>
      <w:r>
        <w:rPr>
          <w:rFonts w:ascii="Consolas" w:hAnsi="Consolas"/>
          <w:sz w:val="16"/>
        </w:rPr>
        <w:t>│                      ECDAT INTEGRATED PLATFORM                              │</w:t>
      </w:r>
    </w:p>
    <w:p>
      <w:pPr>
        <w:spacing w:after="0" w:line="240" w:lineRule="auto"/>
        <w:ind w:left="288"/>
        <w:widowControl/>
        <w:shd w:fill="F3F4F6"/>
      </w:pPr>
      <w:r>
        <w:rPr>
          <w:rFonts w:ascii="Consolas" w:hAnsi="Consolas"/>
          <w:sz w:val="16"/>
        </w:rPr>
        <w:t>├─────────────────────────────────────────────────────────────────────────────┤</w:t>
      </w:r>
    </w:p>
    <w:p>
      <w:pPr>
        <w:spacing w:after="0" w:line="240" w:lineRule="auto"/>
        <w:ind w:left="288"/>
        <w:widowControl/>
        <w:shd w:fill="F3F4F6"/>
      </w:pPr>
      <w:r>
        <w:rPr>
          <w:rFonts w:ascii="Consolas" w:hAnsi="Consolas"/>
          <w:sz w:val="16"/>
        </w:rPr>
        <w:t>│ 1. Heterogeneous Evidence Fusion:                                           │</w:t>
      </w:r>
    </w:p>
    <w:p>
      <w:pPr>
        <w:spacing w:after="0" w:line="240" w:lineRule="auto"/>
        <w:ind w:left="288"/>
        <w:widowControl/>
        <w:shd w:fill="F3F4F6"/>
      </w:pPr>
      <w:r>
        <w:rPr>
          <w:rFonts w:ascii="Consolas" w:hAnsi="Consolas"/>
          <w:sz w:val="16"/>
        </w:rPr>
        <w:t>│    Combines static AST rules (Crypsy), stripped binary NTT twiddle constant │</w:t>
      </w:r>
    </w:p>
    <w:p>
      <w:pPr>
        <w:spacing w:after="0" w:line="240" w:lineRule="auto"/>
        <w:ind w:left="288"/>
        <w:widowControl/>
        <w:shd w:fill="F3F4F6"/>
      </w:pPr>
      <w:r>
        <w:rPr>
          <w:rFonts w:ascii="Consolas" w:hAnsi="Consolas"/>
          <w:sz w:val="16"/>
        </w:rPr>
        <w:t>│    tables (Kestrel), container scans (BF-CBOM), and live TLS probes into a  │</w:t>
      </w:r>
    </w:p>
    <w:p>
      <w:pPr>
        <w:spacing w:after="0" w:line="240" w:lineRule="auto"/>
        <w:ind w:left="288"/>
        <w:widowControl/>
        <w:shd w:fill="F3F4F6"/>
      </w:pPr>
      <w:r>
        <w:rPr>
          <w:rFonts w:ascii="Consolas" w:hAnsi="Consolas"/>
          <w:sz w:val="16"/>
        </w:rPr>
        <w:t>│    normalized graph.                                │</w:t>
      </w:r>
    </w:p>
    <w:p>
      <w:pPr>
        <w:spacing w:after="0" w:line="240" w:lineRule="auto"/>
        <w:ind w:left="288"/>
        <w:widowControl/>
        <w:shd w:fill="F3F4F6"/>
      </w:pPr>
      <w:r>
        <w:rPr>
          <w:rFonts w:ascii="Consolas" w:hAnsi="Consolas"/>
          <w:sz w:val="16"/>
        </w:rPr>
        <w:t>├─────────────────────────────────────────────────────────────────────────────┤</w:t>
      </w:r>
    </w:p>
    <w:p>
      <w:pPr>
        <w:spacing w:after="0" w:line="240" w:lineRule="auto"/>
        <w:ind w:left="288"/>
        <w:widowControl/>
        <w:shd w:fill="F3F4F6"/>
      </w:pPr>
      <w:r>
        <w:rPr>
          <w:rFonts w:ascii="Consolas" w:hAnsi="Consolas"/>
          <w:sz w:val="16"/>
        </w:rPr>
        <w:t>│ 2. Dependency-Aware Topology &amp; xBOM:                                        │</w:t>
      </w:r>
    </w:p>
    <w:p>
      <w:pPr>
        <w:spacing w:after="0" w:line="240" w:lineRule="auto"/>
        <w:ind w:left="288"/>
        <w:widowControl/>
        <w:shd w:fill="F3F4F6"/>
      </w:pPr>
      <w:r>
        <w:rPr>
          <w:rFonts w:ascii="Consolas" w:hAnsi="Consolas"/>
          <w:sz w:val="16"/>
        </w:rPr>
        <w:t>│    Maps key-to-algorithm and protocol-to-primitive dependencies in         │</w:t>
      </w:r>
    </w:p>
    <w:p>
      <w:pPr>
        <w:spacing w:after="0" w:line="240" w:lineRule="auto"/>
        <w:ind w:left="288"/>
        <w:widowControl/>
        <w:shd w:fill="F3F4F6"/>
      </w:pPr>
      <w:r>
        <w:rPr>
          <w:rFonts w:ascii="Consolas" w:hAnsi="Consolas"/>
          <w:sz w:val="16"/>
        </w:rPr>
        <w:t>│    CycloneDX v1.6/v1.7, attaching evidence snippets and confidence weights  │</w:t>
      </w:r>
    </w:p>
    <w:p>
      <w:pPr>
        <w:spacing w:after="0" w:line="240" w:lineRule="auto"/>
        <w:ind w:left="288"/>
        <w:widowControl/>
        <w:shd w:fill="F3F4F6"/>
      </w:pPr>
      <w:r>
        <w:rPr>
          <w:rFonts w:ascii="Consolas" w:hAnsi="Consolas"/>
          <w:sz w:val="16"/>
        </w:rPr>
        <w:t>│    to eliminate false positives.                      │</w:t>
      </w:r>
    </w:p>
    <w:p>
      <w:pPr>
        <w:spacing w:after="0" w:line="240" w:lineRule="auto"/>
        <w:ind w:left="288"/>
        <w:widowControl/>
        <w:shd w:fill="F3F4F6"/>
      </w:pPr>
      <w:r>
        <w:rPr>
          <w:rFonts w:ascii="Consolas" w:hAnsi="Consolas"/>
          <w:sz w:val="16"/>
        </w:rPr>
        <w:t>├─────────────────────────────────────────────────────────────────────────────┤</w:t>
      </w:r>
    </w:p>
    <w:p>
      <w:pPr>
        <w:spacing w:after="0" w:line="240" w:lineRule="auto"/>
        <w:ind w:left="288"/>
        <w:widowControl/>
        <w:shd w:fill="F3F4F6"/>
      </w:pPr>
      <w:r>
        <w:rPr>
          <w:rFonts w:ascii="Consolas" w:hAnsi="Consolas"/>
          <w:sz w:val="16"/>
        </w:rPr>
        <w:t>│ 3. Uncertainty-Aware Quantum Timing &amp; Context Risk:                         │</w:t>
      </w:r>
    </w:p>
    <w:p>
      <w:pPr>
        <w:spacing w:after="0" w:line="240" w:lineRule="auto"/>
        <w:ind w:left="288"/>
        <w:widowControl/>
        <w:shd w:fill="F3F4F6"/>
      </w:pPr>
      <w:r>
        <w:rPr>
          <w:rFonts w:ascii="Consolas" w:hAnsi="Consolas"/>
          <w:sz w:val="16"/>
        </w:rPr>
        <w:t>│    Runs Monte Carlo simulations over GRI Q-day distributions, separating    │</w:t>
      </w:r>
    </w:p>
    <w:p>
      <w:pPr>
        <w:spacing w:after="0" w:line="240" w:lineRule="auto"/>
        <w:ind w:left="288"/>
        <w:widowControl/>
        <w:shd w:fill="F3F4F6"/>
      </w:pPr>
      <w:r>
        <w:rPr>
          <w:rFonts w:ascii="Consolas" w:hAnsi="Consolas"/>
          <w:sz w:val="16"/>
        </w:rPr>
        <w:t>│    retroactive "harvest now, decrypt later" key exchange from active        │</w:t>
      </w:r>
    </w:p>
    <w:p>
      <w:pPr>
        <w:spacing w:after="0" w:line="240" w:lineRule="auto"/>
        <w:ind w:left="288"/>
        <w:widowControl/>
        <w:shd w:fill="F3F4F6"/>
      </w:pPr>
      <w:r>
        <w:rPr>
          <w:rFonts w:ascii="Consolas" w:hAnsi="Consolas"/>
          <w:sz w:val="16"/>
        </w:rPr>
        <w:t>│    signature forgery.                                  │</w:t>
      </w:r>
    </w:p>
    <w:p>
      <w:pPr>
        <w:spacing w:after="0" w:line="240" w:lineRule="auto"/>
        <w:ind w:left="288"/>
        <w:widowControl/>
        <w:shd w:fill="F3F4F6"/>
      </w:pPr>
      <w:r>
        <w:rPr>
          <w:rFonts w:ascii="Consolas" w:hAnsi="Consolas"/>
          <w:sz w:val="16"/>
        </w:rPr>
        <w:t>├─────────────────────────────────────────────────────────────────────────────┤</w:t>
      </w:r>
    </w:p>
    <w:p>
      <w:pPr>
        <w:spacing w:after="0" w:line="240" w:lineRule="auto"/>
        <w:ind w:left="288"/>
        <w:widowControl/>
        <w:shd w:fill="F3F4F6"/>
      </w:pPr>
      <w:r>
        <w:rPr>
          <w:rFonts w:ascii="Consolas" w:hAnsi="Consolas"/>
          <w:sz w:val="16"/>
        </w:rPr>
        <w:t>│ 4. Optimized Migration Decision Engine:                                     │</w:t>
      </w:r>
    </w:p>
    <w:p>
      <w:pPr>
        <w:spacing w:after="0" w:line="240" w:lineRule="auto"/>
        <w:ind w:left="288"/>
        <w:widowControl/>
        <w:shd w:fill="F3F4F6"/>
      </w:pPr>
      <w:r>
        <w:rPr>
          <w:rFonts w:ascii="Consolas" w:hAnsi="Consolas"/>
          <w:sz w:val="16"/>
        </w:rPr>
        <w:t>│    Generates prioritized migration roadmaps based on agility scores,        │</w:t>
      </w:r>
    </w:p>
    <w:p>
      <w:pPr>
        <w:spacing w:after="0" w:line="240" w:lineRule="auto"/>
        <w:ind w:left="288"/>
        <w:widowControl/>
        <w:shd w:fill="F3F4F6"/>
      </w:pPr>
      <w:r>
        <w:rPr>
          <w:rFonts w:ascii="Consolas" w:hAnsi="Consolas"/>
          <w:sz w:val="16"/>
        </w:rPr>
        <w:t>│    CEL drift policy gates, and hybrid PQC rollout patterns. │</w:t>
      </w:r>
    </w:p>
    <w:p>
      <w:pPr>
        <w:spacing w:after="0" w:line="240" w:lineRule="auto"/>
        <w:ind w:left="288"/>
        <w:widowControl/>
        <w:shd w:fill="F3F4F6"/>
      </w:pPr>
      <w:r>
        <w:rPr>
          <w:rFonts w:ascii="Consolas" w:hAnsi="Consolas"/>
          <w:sz w:val="16"/>
        </w:rPr>
        <w:t>└─────────────────────────────────────────────────────────────────────────────┘</w:t>
      </w:r>
    </w:p>
    <w:p>
      <w:pPr>
        <w:spacing w:after="80"/>
        <w:widowControl/>
        <w:pBdr>
          <w:bottom w:val="single" w:sz="6" w:space="1" w:color="B7C9D6"/>
        </w:pBdr>
      </w:pPr>
    </w:p>
    <w:p>
      <w:pPr>
        <w:pStyle w:val="Heading1"/>
        <w:keepNext/>
        <w:widowControl/>
      </w:pPr>
      <w:r>
        <w:rPr>
          <w:rFonts w:ascii="Aptos" w:hAnsi="Aptos"/>
        </w:rPr>
        <w:t>7. Implementation Roadmap for SIH Presentation</w:t>
      </w:r>
    </w:p>
    <w:p>
      <w:pPr>
        <w:widowControl/>
        <w:spacing w:after="120"/>
      </w:pPr>
      <w:r>
        <w:rPr>
          <w:rFonts w:ascii="Aptos" w:hAnsi="Aptos"/>
          <w:b w:val="0"/>
          <w:sz w:val="21"/>
        </w:rPr>
        <w:t xml:space="preserve">To present ECDAT effectively for </w:t>
      </w:r>
      <w:r>
        <w:rPr>
          <w:rFonts w:ascii="Aptos" w:hAnsi="Aptos"/>
          <w:b/>
          <w:sz w:val="21"/>
        </w:rPr>
        <w:t>SIH26164 (NTRO)</w:t>
      </w:r>
      <w:r>
        <w:rPr>
          <w:rFonts w:ascii="Aptos" w:hAnsi="Aptos"/>
          <w:b w:val="0"/>
          <w:sz w:val="21"/>
        </w:rPr>
        <w:t>, structure the demonstration around three core pillars:</w:t>
      </w:r>
    </w:p>
    <w:p>
      <w:pPr>
        <w:widowControl/>
        <w:spacing w:after="120"/>
        <w:ind w:left="72" w:hanging="72"/>
      </w:pPr>
      <w:r>
        <w:rPr>
          <w:rFonts w:ascii="Aptos" w:hAnsi="Aptos"/>
          <w:b w:val="0"/>
          <w:sz w:val="21"/>
        </w:rPr>
        <w:t xml:space="preserve">1. </w:t>
      </w:r>
      <w:r>
        <w:rPr>
          <w:rFonts w:ascii="Aptos" w:hAnsi="Aptos"/>
          <w:b/>
          <w:sz w:val="21"/>
        </w:rPr>
        <w:t>Discovery Live Demo:</w:t>
      </w:r>
      <w:r>
        <w:rPr>
          <w:rFonts w:ascii="Aptos" w:hAnsi="Aptos"/>
          <w:b w:val="0"/>
          <w:sz w:val="21"/>
        </w:rPr>
        <w:t xml:space="preserve"> Show static code parsing flagging RSA usage alongside </w:t>
      </w:r>
      <w:r>
        <w:rPr>
          <w:rFonts w:ascii="Aptos" w:hAnsi="Aptos"/>
          <w:b/>
          <w:sz w:val="21"/>
        </w:rPr>
        <w:t>Kestrel</w:t>
      </w:r>
      <w:r>
        <w:rPr>
          <w:rFonts w:ascii="Aptos" w:hAnsi="Aptos"/>
          <w:b w:val="0"/>
          <w:sz w:val="21"/>
        </w:rPr>
        <w:t xml:space="preserve"> detecting ML-KEM NTT tables (ζ-constants) in a stripped binary with zero false positives.</w:t>
      </w:r>
    </w:p>
    <w:p>
      <w:pPr>
        <w:widowControl/>
        <w:spacing w:after="120"/>
        <w:ind w:left="72" w:hanging="72"/>
      </w:pPr>
      <w:r>
        <w:rPr>
          <w:rFonts w:ascii="Aptos" w:hAnsi="Aptos"/>
          <w:b w:val="0"/>
          <w:sz w:val="21"/>
        </w:rPr>
        <w:t xml:space="preserve">2. </w:t>
      </w:r>
      <w:r>
        <w:rPr>
          <w:rFonts w:ascii="Aptos" w:hAnsi="Aptos"/>
          <w:b/>
          <w:sz w:val="21"/>
        </w:rPr>
        <w:t>Asset Graph &amp; xBOM Export:</w:t>
      </w:r>
      <w:r>
        <w:rPr>
          <w:rFonts w:ascii="Aptos" w:hAnsi="Aptos"/>
          <w:b w:val="0"/>
          <w:sz w:val="21"/>
        </w:rPr>
        <w:t xml:space="preserve"> Demonstrate interactive visualization of a CycloneDX v1.7 CBOM containing linked algorithms, certificates, and cloud KMS keys.</w:t>
      </w:r>
    </w:p>
    <w:p>
      <w:pPr>
        <w:widowControl/>
        <w:spacing w:after="120"/>
        <w:ind w:left="72" w:hanging="72"/>
      </w:pPr>
      <w:r>
        <w:rPr>
          <w:rFonts w:ascii="Aptos" w:hAnsi="Aptos"/>
          <w:b w:val="0"/>
          <w:sz w:val="21"/>
        </w:rPr>
        <w:t xml:space="preserve">3. </w:t>
      </w:r>
      <w:r>
        <w:rPr>
          <w:rFonts w:ascii="Aptos" w:hAnsi="Aptos"/>
          <w:b/>
          <w:sz w:val="21"/>
        </w:rPr>
        <w:t>Quantum Risk Dashboard:</w:t>
      </w:r>
      <w:r>
        <w:rPr>
          <w:rFonts w:ascii="Aptos" w:hAnsi="Aptos"/>
          <w:b w:val="0"/>
          <w:sz w:val="21"/>
        </w:rPr>
        <w:t xml:space="preserve"> Run a live Monte Carlo simulation showing exposure probability curves (P(f&gt;0)) and the risk reduction achieved by starting migration in 2026 versus 2030.</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Enterprise Cryptographic Discovery &amp; Analysis Tool (ECDAT)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SIH26164 · ECDAT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SIH26164 – Enterprise Cryptographic Discovery &amp; Analysis Tool (ECDAT)</dc:title>
  <dc:subject>Technical Report &amp; Architectural Blueprint</dc:subject>
  <dc:creator>OpenAI</dc:creator>
  <cp:keywords/>
  <dc:description>Converted from Markdown to formatted Word document.</dc:description>
  <cp:lastModifiedBy/>
  <cp:revision>1</cp:revision>
  <dcterms:created xsi:type="dcterms:W3CDTF">2013-12-23T23:15:00Z</dcterms:created>
  <dcterms:modified xsi:type="dcterms:W3CDTF">2013-12-23T23:15:00Z</dcterms:modified>
  <cp:category/>
</cp:coreProperties>
</file>