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>This Agreement is made between Alpha Trading LLC (the Supplier) and Beta Holdings Ltd (the Customer).</w:t>
      </w:r>
    </w:p>
    <w:p>
      <w:pPr>
        <w:pStyle w:val="Heading2"/>
      </w:pPr>
      <w:r>
        <w:t>1. Definitions</w:t>
      </w:r>
    </w:p>
    <w:p>
      <w:r>
        <w:t>In this Agreement, Services means the services described in Schedule 1 and Fees means the amounts payable under clause 2.</w:t>
      </w:r>
    </w:p>
    <w:p>
      <w:pPr>
        <w:pStyle w:val="Heading2"/>
      </w:pPr>
      <w:r>
        <w:t>2. Payment</w:t>
      </w:r>
    </w:p>
    <w:p>
      <w:r>
        <w:t>The Customer shall pay each invoice within 30 days of receipt. Late payments accrue interest at 2% per month.</w:t>
      </w:r>
    </w:p>
    <w:p>
      <w:pPr>
        <w:pStyle w:val="Heading2"/>
      </w:pPr>
      <w:r>
        <w:t>3. Liability</w:t>
      </w:r>
    </w:p>
    <w:p>
      <w:r>
        <w:t>The Supplier's total liability under this Agreement shall not exceed AED 100,000 in any calendar year.</w:t>
      </w:r>
    </w:p>
    <w:p>
      <w:pPr>
        <w:pStyle w:val="Heading2"/>
      </w:pPr>
      <w:r>
        <w:t>4. Termination</w:t>
      </w:r>
    </w:p>
    <w:p>
      <w:r>
        <w:t>Either party may terminate this Agreement by giving 60 days written notice to the other party.</w:t>
      </w:r>
    </w:p>
    <w:p>
      <w:pPr>
        <w:pStyle w:val="Heading2"/>
      </w:pPr>
      <w:r>
        <w:t>5. Confidentiality</w:t>
      </w:r>
    </w:p>
    <w:p>
      <w:r>
        <w:t>Each party shall keep the other party's Confidential Information secret for a period of five years after termination.</w:t>
      </w:r>
    </w:p>
    <w:p>
      <w:pPr>
        <w:pStyle w:val="Heading2"/>
      </w:pPr>
      <w:r>
        <w:t>6. Publicity</w:t>
      </w:r>
    </w:p>
    <w:p>
      <w:r>
        <w:t>Neither party shall issue any press release about this Agreement without the other party's prior written consent.</w:t>
      </w:r>
    </w:p>
    <w:p>
      <w:pPr>
        <w:pStyle w:val="Heading2"/>
      </w:pPr>
      <w:r>
        <w:t>7. Governing Law</w:t>
      </w:r>
    </w:p>
    <w:p>
      <w:r>
        <w:t>This Agreement is governed by the laws of the United Arab Emirates.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