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AF8B" w14:textId="77777777" w:rsidR="00700420" w:rsidRDefault="00000000">
      <w:pPr>
        <w:spacing w:after="120"/>
        <w:jc w:val="center"/>
      </w:pPr>
      <w:r>
        <w:rPr>
          <w:b/>
          <w:sz w:val="56"/>
        </w:rPr>
        <w:t>Customer Churn Analysis</w:t>
      </w:r>
    </w:p>
    <w:p w14:paraId="4A0EAF8C" w14:textId="77777777" w:rsidR="00700420" w:rsidRDefault="00000000">
      <w:pPr>
        <w:spacing w:after="80"/>
        <w:jc w:val="center"/>
      </w:pPr>
      <w:r>
        <w:rPr>
          <w:sz w:val="32"/>
        </w:rPr>
        <w:t>Project Report</w:t>
      </w:r>
    </w:p>
    <w:p w14:paraId="4A0EAF8D" w14:textId="6D579686" w:rsidR="00700420" w:rsidRDefault="00000000">
      <w:pPr>
        <w:spacing w:after="80"/>
        <w:jc w:val="center"/>
      </w:pPr>
      <w:r>
        <w:rPr>
          <w:sz w:val="24"/>
        </w:rPr>
        <w:t xml:space="preserve">Author: </w:t>
      </w:r>
      <w:r w:rsidR="00922F05">
        <w:rPr>
          <w:sz w:val="24"/>
        </w:rPr>
        <w:t>ShubhamKumarD</w:t>
      </w:r>
      <w:r w:rsidR="00481E2D">
        <w:rPr>
          <w:sz w:val="24"/>
        </w:rPr>
        <w:t>ubey</w:t>
      </w:r>
    </w:p>
    <w:p w14:paraId="4A0EAF8E" w14:textId="77777777" w:rsidR="00700420" w:rsidRDefault="00000000">
      <w:pPr>
        <w:spacing w:after="480"/>
        <w:jc w:val="center"/>
      </w:pPr>
      <w:r>
        <w:t>Dataset: customer_churn_dataset.csv  |  Tool: Jupyter Notebook (.ipynb)</w:t>
      </w:r>
    </w:p>
    <w:p w14:paraId="4A0EAF8F" w14:textId="77777777" w:rsidR="00700420" w:rsidRDefault="00000000">
      <w:pPr>
        <w:spacing w:before="240" w:after="160"/>
      </w:pPr>
      <w:r>
        <w:rPr>
          <w:b/>
          <w:sz w:val="32"/>
        </w:rPr>
        <w:t>Table of Contents</w:t>
      </w:r>
    </w:p>
    <w:p w14:paraId="4A0EAF90" w14:textId="77777777" w:rsidR="00700420" w:rsidRDefault="00000000">
      <w:pPr>
        <w:spacing w:after="80"/>
      </w:pPr>
      <w:r>
        <w:t>1. Introduction</w:t>
      </w:r>
    </w:p>
    <w:p w14:paraId="4A0EAF91" w14:textId="77777777" w:rsidR="00700420" w:rsidRDefault="00000000">
      <w:pPr>
        <w:spacing w:after="80"/>
      </w:pPr>
      <w:r>
        <w:t>2. Dataset Description</w:t>
      </w:r>
    </w:p>
    <w:p w14:paraId="4A0EAF92" w14:textId="77777777" w:rsidR="00700420" w:rsidRDefault="00000000">
      <w:pPr>
        <w:spacing w:after="80"/>
      </w:pPr>
      <w:r>
        <w:t>3. Objectives</w:t>
      </w:r>
    </w:p>
    <w:p w14:paraId="4A0EAF93" w14:textId="77777777" w:rsidR="00700420" w:rsidRDefault="00000000">
      <w:pPr>
        <w:spacing w:after="80"/>
      </w:pPr>
      <w:r>
        <w:t>4. Exploratory Data Analysis (EDA)</w:t>
      </w:r>
    </w:p>
    <w:p w14:paraId="4A0EAF94" w14:textId="77777777" w:rsidR="00700420" w:rsidRDefault="00000000">
      <w:pPr>
        <w:spacing w:after="80"/>
      </w:pPr>
      <w:r>
        <w:t>5. Data Preprocessing</w:t>
      </w:r>
    </w:p>
    <w:p w14:paraId="4A0EAF95" w14:textId="77777777" w:rsidR="00700420" w:rsidRDefault="00000000">
      <w:pPr>
        <w:spacing w:after="80"/>
      </w:pPr>
      <w:r>
        <w:t>6. Model Building</w:t>
      </w:r>
    </w:p>
    <w:p w14:paraId="4A0EAF96" w14:textId="77777777" w:rsidR="00700420" w:rsidRDefault="00000000">
      <w:pPr>
        <w:spacing w:after="80"/>
      </w:pPr>
      <w:r>
        <w:t>7. Model Evaluation &amp; Results</w:t>
      </w:r>
    </w:p>
    <w:p w14:paraId="4A0EAF97" w14:textId="77777777" w:rsidR="00700420" w:rsidRDefault="00000000">
      <w:pPr>
        <w:spacing w:after="80"/>
      </w:pPr>
      <w:r>
        <w:t>8. Feature Importance</w:t>
      </w:r>
    </w:p>
    <w:p w14:paraId="4A0EAF98" w14:textId="77777777" w:rsidR="00700420" w:rsidRDefault="00000000">
      <w:pPr>
        <w:spacing w:after="80"/>
      </w:pPr>
      <w:r>
        <w:t>9. Business Insights &amp; Recommendations</w:t>
      </w:r>
    </w:p>
    <w:p w14:paraId="4A0EAF99" w14:textId="77777777" w:rsidR="00700420" w:rsidRDefault="00000000">
      <w:pPr>
        <w:spacing w:after="80"/>
      </w:pPr>
      <w:r>
        <w:t>10. Conclusion</w:t>
      </w:r>
    </w:p>
    <w:p w14:paraId="4A0EAF9A" w14:textId="77777777" w:rsidR="00700420" w:rsidRDefault="00000000">
      <w:pPr>
        <w:spacing w:after="320"/>
      </w:pPr>
      <w:r>
        <w:t>11. References</w:t>
      </w:r>
    </w:p>
    <w:p w14:paraId="4A0EAF9B" w14:textId="77777777" w:rsidR="00700420" w:rsidRDefault="00000000">
      <w:pPr>
        <w:spacing w:before="320" w:after="160"/>
      </w:pPr>
      <w:r>
        <w:rPr>
          <w:b/>
          <w:sz w:val="32"/>
        </w:rPr>
        <w:t>1. Introduction</w:t>
      </w:r>
    </w:p>
    <w:p w14:paraId="4A0EAF9C" w14:textId="77777777" w:rsidR="00700420" w:rsidRDefault="00000000">
      <w:pPr>
        <w:spacing w:after="160"/>
      </w:pPr>
      <w:r>
        <w:t>Customer churn refers to the phenomenon where customers stop doing business with a company. In competitive markets, retaining existing customers is far more cost-effective than acquiring new ones — studies suggest that acquiring a new customer can cost 5 to 25 times more than retaining an existing one. Churn prediction enables businesses to identify at-risk customers proactively and take targeted retention actions before they leave.</w:t>
      </w:r>
    </w:p>
    <w:p w14:paraId="4A0EAF9D" w14:textId="77777777" w:rsidR="00700420" w:rsidRDefault="00000000">
      <w:pPr>
        <w:spacing w:after="160"/>
      </w:pPr>
      <w:r>
        <w:t>This project performs an end-to-end Customer Churn Analysis using Python. It covers data exploration, preprocessing, building and comparing eight machine learning classification models, feature importance analysis, and actionable business recommendations — all documented in a single Jupyter Notebook.</w:t>
      </w:r>
    </w:p>
    <w:p w14:paraId="4A0EAF9E" w14:textId="77777777" w:rsidR="00700420" w:rsidRDefault="00000000">
      <w:pPr>
        <w:spacing w:before="320" w:after="160"/>
      </w:pPr>
      <w:r>
        <w:rPr>
          <w:b/>
          <w:sz w:val="32"/>
        </w:rPr>
        <w:t>2. Dataset Description</w:t>
      </w:r>
    </w:p>
    <w:p w14:paraId="4A0EAF9F" w14:textId="77777777" w:rsidR="00700420" w:rsidRDefault="00000000">
      <w:pPr>
        <w:spacing w:after="200"/>
      </w:pPr>
      <w:r>
        <w:t>The dataset used is customer_churn_dataset.csv, containing 10,000 customer records across 12 columns. The target variable is Churn (binary: 0 = Retained, 1 = Churned). The dataset source is Kaggle — Customer Churn Dataset by Muhammad Shahid Azeem.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1044"/>
        <w:gridCol w:w="5606"/>
      </w:tblGrid>
      <w:tr w:rsidR="00700420" w14:paraId="4A0EAFA3" w14:textId="77777777">
        <w:tblPrEx>
          <w:tblCellMar>
            <w:top w:w="0" w:type="dxa"/>
            <w:bottom w:w="0" w:type="dxa"/>
          </w:tblCellMar>
        </w:tblPrEx>
        <w:trPr>
          <w:tblHeader/>
        </w:trPr>
        <w:tc>
          <w:tcPr>
            <w:tcW w:w="0" w:type="auto"/>
          </w:tcPr>
          <w:p w14:paraId="4A0EAFA0" w14:textId="77777777" w:rsidR="00700420" w:rsidRDefault="00000000">
            <w:r>
              <w:t>Feature</w:t>
            </w:r>
          </w:p>
        </w:tc>
        <w:tc>
          <w:tcPr>
            <w:tcW w:w="0" w:type="auto"/>
          </w:tcPr>
          <w:p w14:paraId="4A0EAFA1" w14:textId="77777777" w:rsidR="00700420" w:rsidRDefault="00000000">
            <w:r>
              <w:t>Type</w:t>
            </w:r>
          </w:p>
        </w:tc>
        <w:tc>
          <w:tcPr>
            <w:tcW w:w="0" w:type="auto"/>
          </w:tcPr>
          <w:p w14:paraId="4A0EAFA2" w14:textId="77777777" w:rsidR="00700420" w:rsidRDefault="00000000">
            <w:r>
              <w:t>Description</w:t>
            </w:r>
          </w:p>
        </w:tc>
      </w:tr>
      <w:tr w:rsidR="00700420" w14:paraId="4A0EAFA7" w14:textId="77777777">
        <w:tblPrEx>
          <w:tblCellMar>
            <w:top w:w="0" w:type="dxa"/>
            <w:bottom w:w="0" w:type="dxa"/>
          </w:tblCellMar>
        </w:tblPrEx>
        <w:tc>
          <w:tcPr>
            <w:tcW w:w="0" w:type="auto"/>
          </w:tcPr>
          <w:p w14:paraId="4A0EAFA4" w14:textId="77777777" w:rsidR="00700420" w:rsidRDefault="00000000">
            <w:r>
              <w:t>CustomerID</w:t>
            </w:r>
          </w:p>
        </w:tc>
        <w:tc>
          <w:tcPr>
            <w:tcW w:w="0" w:type="auto"/>
          </w:tcPr>
          <w:p w14:paraId="4A0EAFA5" w14:textId="77777777" w:rsidR="00700420" w:rsidRDefault="00000000">
            <w:r>
              <w:t>Integer</w:t>
            </w:r>
          </w:p>
        </w:tc>
        <w:tc>
          <w:tcPr>
            <w:tcW w:w="0" w:type="auto"/>
          </w:tcPr>
          <w:p w14:paraId="4A0EAFA6" w14:textId="77777777" w:rsidR="00700420" w:rsidRDefault="00000000">
            <w:r>
              <w:t>Unique customer identifier (dropped in modelling)</w:t>
            </w:r>
          </w:p>
        </w:tc>
      </w:tr>
      <w:tr w:rsidR="00700420" w14:paraId="4A0EAFAB" w14:textId="77777777">
        <w:tblPrEx>
          <w:tblCellMar>
            <w:top w:w="0" w:type="dxa"/>
            <w:bottom w:w="0" w:type="dxa"/>
          </w:tblCellMar>
        </w:tblPrEx>
        <w:tc>
          <w:tcPr>
            <w:tcW w:w="0" w:type="auto"/>
          </w:tcPr>
          <w:p w14:paraId="4A0EAFA8" w14:textId="77777777" w:rsidR="00700420" w:rsidRDefault="00000000">
            <w:r>
              <w:t>Age</w:t>
            </w:r>
          </w:p>
        </w:tc>
        <w:tc>
          <w:tcPr>
            <w:tcW w:w="0" w:type="auto"/>
          </w:tcPr>
          <w:p w14:paraId="4A0EAFA9" w14:textId="77777777" w:rsidR="00700420" w:rsidRDefault="00000000">
            <w:r>
              <w:t>Integer</w:t>
            </w:r>
          </w:p>
        </w:tc>
        <w:tc>
          <w:tcPr>
            <w:tcW w:w="0" w:type="auto"/>
          </w:tcPr>
          <w:p w14:paraId="4A0EAFAA" w14:textId="77777777" w:rsidR="00700420" w:rsidRDefault="00000000">
            <w:r>
              <w:t>Age of the customer in years</w:t>
            </w:r>
          </w:p>
        </w:tc>
      </w:tr>
      <w:tr w:rsidR="00700420" w14:paraId="4A0EAFAF" w14:textId="77777777">
        <w:tblPrEx>
          <w:tblCellMar>
            <w:top w:w="0" w:type="dxa"/>
            <w:bottom w:w="0" w:type="dxa"/>
          </w:tblCellMar>
        </w:tblPrEx>
        <w:tc>
          <w:tcPr>
            <w:tcW w:w="0" w:type="auto"/>
          </w:tcPr>
          <w:p w14:paraId="4A0EAFAC" w14:textId="77777777" w:rsidR="00700420" w:rsidRDefault="00000000">
            <w:r>
              <w:t>Gender</w:t>
            </w:r>
          </w:p>
        </w:tc>
        <w:tc>
          <w:tcPr>
            <w:tcW w:w="0" w:type="auto"/>
          </w:tcPr>
          <w:p w14:paraId="4A0EAFAD" w14:textId="77777777" w:rsidR="00700420" w:rsidRDefault="00000000">
            <w:r>
              <w:t>Categorical</w:t>
            </w:r>
          </w:p>
        </w:tc>
        <w:tc>
          <w:tcPr>
            <w:tcW w:w="0" w:type="auto"/>
          </w:tcPr>
          <w:p w14:paraId="4A0EAFAE" w14:textId="77777777" w:rsidR="00700420" w:rsidRDefault="00000000">
            <w:r>
              <w:t>Male or Female</w:t>
            </w:r>
          </w:p>
        </w:tc>
      </w:tr>
      <w:tr w:rsidR="00700420" w14:paraId="4A0EAFB3" w14:textId="77777777">
        <w:tblPrEx>
          <w:tblCellMar>
            <w:top w:w="0" w:type="dxa"/>
            <w:bottom w:w="0" w:type="dxa"/>
          </w:tblCellMar>
        </w:tblPrEx>
        <w:tc>
          <w:tcPr>
            <w:tcW w:w="0" w:type="auto"/>
          </w:tcPr>
          <w:p w14:paraId="4A0EAFB0" w14:textId="77777777" w:rsidR="00700420" w:rsidRDefault="00000000">
            <w:r>
              <w:lastRenderedPageBreak/>
              <w:t>Tenure</w:t>
            </w:r>
          </w:p>
        </w:tc>
        <w:tc>
          <w:tcPr>
            <w:tcW w:w="0" w:type="auto"/>
          </w:tcPr>
          <w:p w14:paraId="4A0EAFB1" w14:textId="77777777" w:rsidR="00700420" w:rsidRDefault="00000000">
            <w:r>
              <w:t>Integer</w:t>
            </w:r>
          </w:p>
        </w:tc>
        <w:tc>
          <w:tcPr>
            <w:tcW w:w="0" w:type="auto"/>
          </w:tcPr>
          <w:p w14:paraId="4A0EAFB2" w14:textId="77777777" w:rsidR="00700420" w:rsidRDefault="00000000">
            <w:r>
              <w:t>Number of months the customer has been with the company</w:t>
            </w:r>
          </w:p>
        </w:tc>
      </w:tr>
      <w:tr w:rsidR="00700420" w14:paraId="4A0EAFB7" w14:textId="77777777">
        <w:tblPrEx>
          <w:tblCellMar>
            <w:top w:w="0" w:type="dxa"/>
            <w:bottom w:w="0" w:type="dxa"/>
          </w:tblCellMar>
        </w:tblPrEx>
        <w:tc>
          <w:tcPr>
            <w:tcW w:w="0" w:type="auto"/>
          </w:tcPr>
          <w:p w14:paraId="4A0EAFB4" w14:textId="77777777" w:rsidR="00700420" w:rsidRDefault="00000000">
            <w:r>
              <w:t>Usage Frequency</w:t>
            </w:r>
          </w:p>
        </w:tc>
        <w:tc>
          <w:tcPr>
            <w:tcW w:w="0" w:type="auto"/>
          </w:tcPr>
          <w:p w14:paraId="4A0EAFB5" w14:textId="77777777" w:rsidR="00700420" w:rsidRDefault="00000000">
            <w:r>
              <w:t>Integer</w:t>
            </w:r>
          </w:p>
        </w:tc>
        <w:tc>
          <w:tcPr>
            <w:tcW w:w="0" w:type="auto"/>
          </w:tcPr>
          <w:p w14:paraId="4A0EAFB6" w14:textId="77777777" w:rsidR="00700420" w:rsidRDefault="00000000">
            <w:r>
              <w:t>How often the customer uses the product per month</w:t>
            </w:r>
          </w:p>
        </w:tc>
      </w:tr>
      <w:tr w:rsidR="00700420" w14:paraId="4A0EAFBB" w14:textId="77777777">
        <w:tblPrEx>
          <w:tblCellMar>
            <w:top w:w="0" w:type="dxa"/>
            <w:bottom w:w="0" w:type="dxa"/>
          </w:tblCellMar>
        </w:tblPrEx>
        <w:tc>
          <w:tcPr>
            <w:tcW w:w="0" w:type="auto"/>
          </w:tcPr>
          <w:p w14:paraId="4A0EAFB8" w14:textId="77777777" w:rsidR="00700420" w:rsidRDefault="00000000">
            <w:r>
              <w:t>Support Calls</w:t>
            </w:r>
          </w:p>
        </w:tc>
        <w:tc>
          <w:tcPr>
            <w:tcW w:w="0" w:type="auto"/>
          </w:tcPr>
          <w:p w14:paraId="4A0EAFB9" w14:textId="77777777" w:rsidR="00700420" w:rsidRDefault="00000000">
            <w:r>
              <w:t>Integer</w:t>
            </w:r>
          </w:p>
        </w:tc>
        <w:tc>
          <w:tcPr>
            <w:tcW w:w="0" w:type="auto"/>
          </w:tcPr>
          <w:p w14:paraId="4A0EAFBA" w14:textId="77777777" w:rsidR="00700420" w:rsidRDefault="00000000">
            <w:r>
              <w:t>Number of customer support calls made</w:t>
            </w:r>
          </w:p>
        </w:tc>
      </w:tr>
      <w:tr w:rsidR="00700420" w14:paraId="4A0EAFBF" w14:textId="77777777">
        <w:tblPrEx>
          <w:tblCellMar>
            <w:top w:w="0" w:type="dxa"/>
            <w:bottom w:w="0" w:type="dxa"/>
          </w:tblCellMar>
        </w:tblPrEx>
        <w:tc>
          <w:tcPr>
            <w:tcW w:w="0" w:type="auto"/>
          </w:tcPr>
          <w:p w14:paraId="4A0EAFBC" w14:textId="77777777" w:rsidR="00700420" w:rsidRDefault="00000000">
            <w:r>
              <w:t>Payment Delay</w:t>
            </w:r>
          </w:p>
        </w:tc>
        <w:tc>
          <w:tcPr>
            <w:tcW w:w="0" w:type="auto"/>
          </w:tcPr>
          <w:p w14:paraId="4A0EAFBD" w14:textId="77777777" w:rsidR="00700420" w:rsidRDefault="00000000">
            <w:r>
              <w:t>Integer</w:t>
            </w:r>
          </w:p>
        </w:tc>
        <w:tc>
          <w:tcPr>
            <w:tcW w:w="0" w:type="auto"/>
          </w:tcPr>
          <w:p w14:paraId="4A0EAFBE" w14:textId="77777777" w:rsidR="00700420" w:rsidRDefault="00000000">
            <w:r>
              <w:t>Number of days payment was delayed</w:t>
            </w:r>
          </w:p>
        </w:tc>
      </w:tr>
      <w:tr w:rsidR="00700420" w14:paraId="4A0EAFC3" w14:textId="77777777">
        <w:tblPrEx>
          <w:tblCellMar>
            <w:top w:w="0" w:type="dxa"/>
            <w:bottom w:w="0" w:type="dxa"/>
          </w:tblCellMar>
        </w:tblPrEx>
        <w:tc>
          <w:tcPr>
            <w:tcW w:w="0" w:type="auto"/>
          </w:tcPr>
          <w:p w14:paraId="4A0EAFC0" w14:textId="77777777" w:rsidR="00700420" w:rsidRDefault="00000000">
            <w:r>
              <w:t>Subscription Type</w:t>
            </w:r>
          </w:p>
        </w:tc>
        <w:tc>
          <w:tcPr>
            <w:tcW w:w="0" w:type="auto"/>
          </w:tcPr>
          <w:p w14:paraId="4A0EAFC1" w14:textId="77777777" w:rsidR="00700420" w:rsidRDefault="00000000">
            <w:r>
              <w:t>Categorical</w:t>
            </w:r>
          </w:p>
        </w:tc>
        <w:tc>
          <w:tcPr>
            <w:tcW w:w="0" w:type="auto"/>
          </w:tcPr>
          <w:p w14:paraId="4A0EAFC2" w14:textId="77777777" w:rsidR="00700420" w:rsidRDefault="00000000">
            <w:r>
              <w:t>Basic / Standard / Premium</w:t>
            </w:r>
          </w:p>
        </w:tc>
      </w:tr>
      <w:tr w:rsidR="00700420" w14:paraId="4A0EAFC7" w14:textId="77777777">
        <w:tblPrEx>
          <w:tblCellMar>
            <w:top w:w="0" w:type="dxa"/>
            <w:bottom w:w="0" w:type="dxa"/>
          </w:tblCellMar>
        </w:tblPrEx>
        <w:tc>
          <w:tcPr>
            <w:tcW w:w="0" w:type="auto"/>
          </w:tcPr>
          <w:p w14:paraId="4A0EAFC4" w14:textId="77777777" w:rsidR="00700420" w:rsidRDefault="00000000">
            <w:r>
              <w:t>Contract Length</w:t>
            </w:r>
          </w:p>
        </w:tc>
        <w:tc>
          <w:tcPr>
            <w:tcW w:w="0" w:type="auto"/>
          </w:tcPr>
          <w:p w14:paraId="4A0EAFC5" w14:textId="77777777" w:rsidR="00700420" w:rsidRDefault="00000000">
            <w:r>
              <w:t>Categorical</w:t>
            </w:r>
          </w:p>
        </w:tc>
        <w:tc>
          <w:tcPr>
            <w:tcW w:w="0" w:type="auto"/>
          </w:tcPr>
          <w:p w14:paraId="4A0EAFC6" w14:textId="77777777" w:rsidR="00700420" w:rsidRDefault="00000000">
            <w:r>
              <w:t>Monthly / Quarterly / Annual</w:t>
            </w:r>
          </w:p>
        </w:tc>
      </w:tr>
      <w:tr w:rsidR="00700420" w14:paraId="4A0EAFCB" w14:textId="77777777">
        <w:tblPrEx>
          <w:tblCellMar>
            <w:top w:w="0" w:type="dxa"/>
            <w:bottom w:w="0" w:type="dxa"/>
          </w:tblCellMar>
        </w:tblPrEx>
        <w:tc>
          <w:tcPr>
            <w:tcW w:w="0" w:type="auto"/>
          </w:tcPr>
          <w:p w14:paraId="4A0EAFC8" w14:textId="77777777" w:rsidR="00700420" w:rsidRDefault="00000000">
            <w:r>
              <w:t>Total Spend</w:t>
            </w:r>
          </w:p>
        </w:tc>
        <w:tc>
          <w:tcPr>
            <w:tcW w:w="0" w:type="auto"/>
          </w:tcPr>
          <w:p w14:paraId="4A0EAFC9" w14:textId="77777777" w:rsidR="00700420" w:rsidRDefault="00000000">
            <w:r>
              <w:t>Float</w:t>
            </w:r>
          </w:p>
        </w:tc>
        <w:tc>
          <w:tcPr>
            <w:tcW w:w="0" w:type="auto"/>
          </w:tcPr>
          <w:p w14:paraId="4A0EAFCA" w14:textId="77777777" w:rsidR="00700420" w:rsidRDefault="00000000">
            <w:r>
              <w:t>Total amount spent by the customer</w:t>
            </w:r>
          </w:p>
        </w:tc>
      </w:tr>
      <w:tr w:rsidR="00700420" w14:paraId="4A0EAFCF" w14:textId="77777777">
        <w:tblPrEx>
          <w:tblCellMar>
            <w:top w:w="0" w:type="dxa"/>
            <w:bottom w:w="0" w:type="dxa"/>
          </w:tblCellMar>
        </w:tblPrEx>
        <w:tc>
          <w:tcPr>
            <w:tcW w:w="0" w:type="auto"/>
          </w:tcPr>
          <w:p w14:paraId="4A0EAFCC" w14:textId="77777777" w:rsidR="00700420" w:rsidRDefault="00000000">
            <w:r>
              <w:t>Last Interaction</w:t>
            </w:r>
          </w:p>
        </w:tc>
        <w:tc>
          <w:tcPr>
            <w:tcW w:w="0" w:type="auto"/>
          </w:tcPr>
          <w:p w14:paraId="4A0EAFCD" w14:textId="77777777" w:rsidR="00700420" w:rsidRDefault="00000000">
            <w:r>
              <w:t>Integer</w:t>
            </w:r>
          </w:p>
        </w:tc>
        <w:tc>
          <w:tcPr>
            <w:tcW w:w="0" w:type="auto"/>
          </w:tcPr>
          <w:p w14:paraId="4A0EAFCE" w14:textId="77777777" w:rsidR="00700420" w:rsidRDefault="00000000">
            <w:r>
              <w:t>Days since the customer last interacted with the service</w:t>
            </w:r>
          </w:p>
        </w:tc>
      </w:tr>
      <w:tr w:rsidR="00700420" w14:paraId="4A0EAFD3" w14:textId="77777777">
        <w:tblPrEx>
          <w:tblCellMar>
            <w:top w:w="0" w:type="dxa"/>
            <w:bottom w:w="0" w:type="dxa"/>
          </w:tblCellMar>
        </w:tblPrEx>
        <w:tc>
          <w:tcPr>
            <w:tcW w:w="0" w:type="auto"/>
          </w:tcPr>
          <w:p w14:paraId="4A0EAFD0" w14:textId="77777777" w:rsidR="00700420" w:rsidRDefault="00000000">
            <w:r>
              <w:t>Churn</w:t>
            </w:r>
          </w:p>
        </w:tc>
        <w:tc>
          <w:tcPr>
            <w:tcW w:w="0" w:type="auto"/>
          </w:tcPr>
          <w:p w14:paraId="4A0EAFD1" w14:textId="77777777" w:rsidR="00700420" w:rsidRDefault="00000000">
            <w:r>
              <w:t>Binary</w:t>
            </w:r>
          </w:p>
        </w:tc>
        <w:tc>
          <w:tcPr>
            <w:tcW w:w="0" w:type="auto"/>
          </w:tcPr>
          <w:p w14:paraId="4A0EAFD2" w14:textId="77777777" w:rsidR="00700420" w:rsidRDefault="00000000">
            <w:r>
              <w:t>Target variable — 0 = Retained, 1 = Churned</w:t>
            </w:r>
          </w:p>
        </w:tc>
      </w:tr>
    </w:tbl>
    <w:p w14:paraId="4A0EAFD4" w14:textId="77777777" w:rsidR="00700420" w:rsidRDefault="00000000">
      <w:pPr>
        <w:spacing w:after="240"/>
        <w:jc w:val="center"/>
      </w:pPr>
      <w:r>
        <w:rPr>
          <w:sz w:val="20"/>
        </w:rPr>
        <w:t>Table 1: Feature Descriptions</w:t>
      </w:r>
    </w:p>
    <w:p w14:paraId="4A0EAFD5" w14:textId="77777777" w:rsidR="00700420" w:rsidRDefault="00000000">
      <w:pPr>
        <w:spacing w:before="320" w:after="160"/>
      </w:pPr>
      <w:r>
        <w:rPr>
          <w:b/>
          <w:sz w:val="32"/>
        </w:rPr>
        <w:t>3. Objectives</w:t>
      </w:r>
    </w:p>
    <w:p w14:paraId="4A0EAFD6" w14:textId="77777777" w:rsidR="00700420" w:rsidRDefault="00000000">
      <w:pPr>
        <w:spacing w:after="120"/>
      </w:pPr>
      <w:r>
        <w:t>The project aims to achieve the following objectives:</w:t>
      </w:r>
    </w:p>
    <w:p w14:paraId="4A0EAFD7" w14:textId="77777777" w:rsidR="00700420" w:rsidRDefault="00000000">
      <w:pPr>
        <w:spacing w:after="80"/>
      </w:pPr>
      <w:r>
        <w:t>•  Perform comprehensive Exploratory Data Analysis (EDA) to understand feature distributions and their relationship with churn.</w:t>
      </w:r>
    </w:p>
    <w:p w14:paraId="4A0EAFD8" w14:textId="77777777" w:rsidR="00700420" w:rsidRDefault="00000000">
      <w:pPr>
        <w:spacing w:after="80"/>
      </w:pPr>
      <w:r>
        <w:t>•  Preprocess the data — handle categorical variables, address class imbalance using SMOTE, and scale features.</w:t>
      </w:r>
    </w:p>
    <w:p w14:paraId="4A0EAFD9" w14:textId="77777777" w:rsidR="00700420" w:rsidRDefault="00000000">
      <w:pPr>
        <w:spacing w:after="80"/>
      </w:pPr>
      <w:r>
        <w:t>•  Build, train, and evaluate 8 machine learning classification models.</w:t>
      </w:r>
    </w:p>
    <w:p w14:paraId="4A0EAFDA" w14:textId="77777777" w:rsidR="00700420" w:rsidRDefault="00000000">
      <w:pPr>
        <w:spacing w:after="80"/>
      </w:pPr>
      <w:r>
        <w:t>•  Identify the most important features driving customer churn.</w:t>
      </w:r>
    </w:p>
    <w:p w14:paraId="4A0EAFDB" w14:textId="77777777" w:rsidR="00700420" w:rsidRDefault="00000000">
      <w:pPr>
        <w:spacing w:after="80"/>
      </w:pPr>
      <w:r>
        <w:t>•  Provide data-driven business recommendations to reduce churn.</w:t>
      </w:r>
    </w:p>
    <w:p w14:paraId="4A0EAFDC" w14:textId="77777777" w:rsidR="00700420" w:rsidRDefault="00000000">
      <w:pPr>
        <w:spacing w:after="240"/>
      </w:pPr>
      <w:r>
        <w:t>•  Enable prediction of churn probability for new unseen customers.</w:t>
      </w:r>
    </w:p>
    <w:p w14:paraId="4A0EAFDD" w14:textId="77777777" w:rsidR="00700420" w:rsidRDefault="00000000">
      <w:pPr>
        <w:spacing w:before="320" w:after="160"/>
      </w:pPr>
      <w:r>
        <w:rPr>
          <w:b/>
          <w:sz w:val="32"/>
        </w:rPr>
        <w:t>4. Exploratory Data Analysis (EDA)</w:t>
      </w:r>
    </w:p>
    <w:p w14:paraId="4A0EAFDE" w14:textId="77777777" w:rsidR="00700420" w:rsidRDefault="00000000">
      <w:pPr>
        <w:spacing w:before="200" w:after="120"/>
      </w:pPr>
      <w:r>
        <w:rPr>
          <w:b/>
          <w:sz w:val="26"/>
        </w:rPr>
        <w:t>4.1 Target Variable Distribution</w:t>
      </w:r>
    </w:p>
    <w:p w14:paraId="4A0EAFDF" w14:textId="77777777" w:rsidR="00700420" w:rsidRDefault="00000000">
      <w:pPr>
        <w:spacing w:after="160"/>
      </w:pPr>
      <w:r>
        <w:t>The dataset exhibits class imbalance — approximately 56.8% of customers did not churn while 43.2% churned. This moderate imbalance was handled during preprocessing using SMOTE (Synthetic Minority Over-sampling Technique) to ensure models are not biased towards the majority class.</w:t>
      </w:r>
    </w:p>
    <w:p w14:paraId="4A0EAFE0" w14:textId="77777777" w:rsidR="00700420" w:rsidRDefault="00000000">
      <w:pPr>
        <w:spacing w:before="200" w:after="120"/>
      </w:pPr>
      <w:r>
        <w:rPr>
          <w:b/>
          <w:sz w:val="26"/>
        </w:rPr>
        <w:t>4.2 Numerical Feature Analysis</w:t>
      </w:r>
    </w:p>
    <w:p w14:paraId="4A0EAFE1" w14:textId="77777777" w:rsidR="00700420" w:rsidRDefault="00000000">
      <w:pPr>
        <w:spacing w:after="160"/>
      </w:pPr>
      <w:r>
        <w:t>Histogram overlays (churned vs. retained) revealed key patterns: customers with very short Tenure (under 12 months) showed much higher churn rates. High Support Calls (5 or more) were clearly associated with churn. Payment Delay values above 20 days also correlated strongly with churning behaviour. Lower Total Spend and lower Usage Frequency both preceded churn.</w:t>
      </w:r>
    </w:p>
    <w:p w14:paraId="4A0EAFE2" w14:textId="77777777" w:rsidR="00700420" w:rsidRDefault="00000000">
      <w:pPr>
        <w:spacing w:before="200" w:after="120"/>
      </w:pPr>
      <w:r>
        <w:rPr>
          <w:b/>
          <w:sz w:val="26"/>
        </w:rPr>
        <w:t>4.3 Categorical Feature Analysis</w:t>
      </w:r>
    </w:p>
    <w:p w14:paraId="4A0EAFE3" w14:textId="77777777" w:rsidR="00700420" w:rsidRDefault="00000000">
      <w:pPr>
        <w:spacing w:after="160"/>
      </w:pPr>
      <w:r>
        <w:t xml:space="preserve">Monthly contract customers exhibited the highest churn rate. Basic subscription type customers churned more than Standard and Premium users. No significant difference in churn was observed between Male and Female customers. The pivot heatmap of </w:t>
      </w:r>
      <w:r>
        <w:lastRenderedPageBreak/>
        <w:t>Subscription Type × Contract Length showed that Basic + Monthly customers had the highest risk profile.</w:t>
      </w:r>
    </w:p>
    <w:p w14:paraId="4A0EAFE4" w14:textId="77777777" w:rsidR="00700420" w:rsidRDefault="00000000">
      <w:pPr>
        <w:spacing w:before="200" w:after="120"/>
      </w:pPr>
      <w:r>
        <w:rPr>
          <w:b/>
          <w:sz w:val="26"/>
        </w:rPr>
        <w:t>4.4 Correlation Analysis</w:t>
      </w:r>
    </w:p>
    <w:p w14:paraId="4A0EAFE5" w14:textId="77777777" w:rsidR="00700420" w:rsidRDefault="00000000">
      <w:pPr>
        <w:spacing w:after="240"/>
      </w:pPr>
      <w:r>
        <w:t>The Pearson correlation heatmap indicated that Support Calls (+0.39), Payment Delay (+0.29), and Tenure (−0.28) had the strongest linear correlations with Churn. Usage Frequency (−0.18) and Total Spend (−0.14) also showed moderate negative correlations, indicating that higher engagement reduces churn likelihood.</w:t>
      </w:r>
    </w:p>
    <w:p w14:paraId="4A0EAFE6" w14:textId="77777777" w:rsidR="00700420" w:rsidRDefault="00000000">
      <w:pPr>
        <w:spacing w:before="320" w:after="160"/>
      </w:pPr>
      <w:r>
        <w:rPr>
          <w:b/>
          <w:sz w:val="32"/>
        </w:rPr>
        <w:t>5. Data Preprocessing</w:t>
      </w:r>
    </w:p>
    <w:p w14:paraId="4A0EAFE7" w14:textId="77777777" w:rsidR="00700420" w:rsidRDefault="00000000">
      <w:pPr>
        <w:spacing w:before="200" w:after="120"/>
      </w:pPr>
      <w:r>
        <w:rPr>
          <w:b/>
          <w:sz w:val="26"/>
        </w:rPr>
        <w:t>5.1 Feature Engineering</w:t>
      </w:r>
    </w:p>
    <w:p w14:paraId="4A0EAFE8" w14:textId="77777777" w:rsidR="00700420" w:rsidRDefault="00000000">
      <w:pPr>
        <w:spacing w:after="160"/>
      </w:pPr>
      <w:r>
        <w:t>CustomerID was dropped as it carries no predictive value. Categorical variables (Gender, Subscription Type, Contract Length) were encoded using Label Encoding, transforming them into integer representations suitable for machine learning.</w:t>
      </w:r>
    </w:p>
    <w:p w14:paraId="4A0EAFE9" w14:textId="77777777" w:rsidR="00700420" w:rsidRDefault="00000000">
      <w:pPr>
        <w:spacing w:before="200" w:after="120"/>
      </w:pPr>
      <w:r>
        <w:rPr>
          <w:b/>
          <w:sz w:val="26"/>
        </w:rPr>
        <w:t>5.2 Class Imbalance — SMOTE</w:t>
      </w:r>
    </w:p>
    <w:p w14:paraId="4A0EAFEA" w14:textId="77777777" w:rsidR="00700420" w:rsidRDefault="00000000">
      <w:pPr>
        <w:spacing w:after="160"/>
      </w:pPr>
      <w:r>
        <w:t>SMOTE (Synthetic Minority Over-sampling Technique) was applied to the training data to balance the class distribution. This prevents models from developing bias toward predicting the majority class (No Churn) and improves the detection of actual churners — which is the operationally critical class.</w:t>
      </w:r>
    </w:p>
    <w:p w14:paraId="4A0EAFEB" w14:textId="77777777" w:rsidR="00700420" w:rsidRDefault="00000000">
      <w:pPr>
        <w:spacing w:before="200" w:after="120"/>
      </w:pPr>
      <w:r>
        <w:rPr>
          <w:b/>
          <w:sz w:val="26"/>
        </w:rPr>
        <w:t>5.3 Train-Test Split &amp; Scaling</w:t>
      </w:r>
    </w:p>
    <w:p w14:paraId="4A0EAFEC" w14:textId="77777777" w:rsidR="00700420" w:rsidRDefault="00000000">
      <w:pPr>
        <w:spacing w:after="240"/>
      </w:pPr>
      <w:r>
        <w:t>The dataset was split into 80% training and 20% testing sets using stratified sampling to preserve class proportions. StandardScaler was applied to scale features for models sensitive to feature magnitude (Logistic Regression, KNN, SVM), while tree-based models used raw features.</w:t>
      </w:r>
    </w:p>
    <w:p w14:paraId="4A0EAFED" w14:textId="77777777" w:rsidR="00700420" w:rsidRDefault="00000000">
      <w:pPr>
        <w:spacing w:before="320" w:after="160"/>
      </w:pPr>
      <w:r>
        <w:rPr>
          <w:b/>
          <w:sz w:val="32"/>
        </w:rPr>
        <w:t>6. Model Building</w:t>
      </w:r>
    </w:p>
    <w:p w14:paraId="4A0EAFEE" w14:textId="77777777" w:rsidR="00700420" w:rsidRDefault="00000000">
      <w:pPr>
        <w:spacing w:after="120"/>
      </w:pPr>
      <w:r>
        <w:t>Eight classification models were trained and evaluated:</w:t>
      </w:r>
    </w:p>
    <w:p w14:paraId="4A0EAFEF" w14:textId="77777777" w:rsidR="00700420" w:rsidRDefault="00000000">
      <w:pPr>
        <w:spacing w:after="80"/>
      </w:pPr>
      <w:r>
        <w:t>1. Logistic Regression — Baseline linear model. Fast and interpretable.</w:t>
      </w:r>
    </w:p>
    <w:p w14:paraId="4A0EAFF0" w14:textId="77777777" w:rsidR="00700420" w:rsidRDefault="00000000">
      <w:pPr>
        <w:spacing w:after="80"/>
      </w:pPr>
      <w:r>
        <w:t>2. Decision Tree — Non-linear model that learns hierarchical decision rules.</w:t>
      </w:r>
    </w:p>
    <w:p w14:paraId="4A0EAFF1" w14:textId="77777777" w:rsidR="00700420" w:rsidRDefault="00000000">
      <w:pPr>
        <w:spacing w:after="80"/>
      </w:pPr>
      <w:r>
        <w:t>3. Random Forest — Ensemble of decision trees with bootstrap aggregation (bagging).</w:t>
      </w:r>
    </w:p>
    <w:p w14:paraId="4A0EAFF2" w14:textId="77777777" w:rsidR="00700420" w:rsidRDefault="00000000">
      <w:pPr>
        <w:spacing w:after="80"/>
      </w:pPr>
      <w:r>
        <w:t>4. Gradient Boosting — Sequential ensemble that corrects errors of prior trees.</w:t>
      </w:r>
    </w:p>
    <w:p w14:paraId="4A0EAFF3" w14:textId="77777777" w:rsidR="00700420" w:rsidRDefault="00000000">
      <w:pPr>
        <w:spacing w:after="80"/>
      </w:pPr>
      <w:r>
        <w:t>5. AdaBoost — Adaptive boosting that focuses on misclassified instances.</w:t>
      </w:r>
    </w:p>
    <w:p w14:paraId="4A0EAFF4" w14:textId="77777777" w:rsidR="00700420" w:rsidRDefault="00000000">
      <w:pPr>
        <w:spacing w:after="80"/>
      </w:pPr>
      <w:r>
        <w:t>6. XGBoost — Optimised gradient boosting with regularisation. State-of-the-art.</w:t>
      </w:r>
    </w:p>
    <w:p w14:paraId="4A0EAFF5" w14:textId="77777777" w:rsidR="00700420" w:rsidRDefault="00000000">
      <w:pPr>
        <w:spacing w:after="80"/>
      </w:pPr>
      <w:r>
        <w:t>7. K-Nearest Neighbors (KNN) — Instance-based learner using feature similarity.</w:t>
      </w:r>
    </w:p>
    <w:p w14:paraId="4A0EAFF6" w14:textId="77777777" w:rsidR="00700420" w:rsidRDefault="00000000">
      <w:pPr>
        <w:spacing w:after="240"/>
      </w:pPr>
      <w:r>
        <w:t>8. Support Vector Machine (SVM) — Margin-maximising classifier with RBF kernel.</w:t>
      </w:r>
    </w:p>
    <w:p w14:paraId="4A0EAFF7" w14:textId="77777777" w:rsidR="00700420" w:rsidRDefault="00000000">
      <w:pPr>
        <w:spacing w:before="320" w:after="160"/>
      </w:pPr>
      <w:r>
        <w:rPr>
          <w:b/>
          <w:sz w:val="32"/>
        </w:rPr>
        <w:t>7. Model Evaluation &amp; Results</w:t>
      </w:r>
    </w:p>
    <w:p w14:paraId="4A0EAFF8" w14:textId="77777777" w:rsidR="00700420" w:rsidRDefault="00000000">
      <w:pPr>
        <w:spacing w:after="200"/>
      </w:pPr>
      <w:r>
        <w:lastRenderedPageBreak/>
        <w:t>Models were evaluated on five metrics: Accuracy, Precision, Recall, F1 Score, and ROC-AUC. The best model was selected based on ROC-AUC score, which is the most robust metric for binary classification with class imbalance. Additionally, 5-fold stratified cross-validation was performed on the best model to confirm generalisation.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6"/>
        <w:gridCol w:w="1256"/>
        <w:gridCol w:w="1240"/>
        <w:gridCol w:w="818"/>
        <w:gridCol w:w="1161"/>
        <w:gridCol w:w="1275"/>
      </w:tblGrid>
      <w:tr w:rsidR="00700420" w14:paraId="4A0EAFFF" w14:textId="77777777">
        <w:tblPrEx>
          <w:tblCellMar>
            <w:top w:w="0" w:type="dxa"/>
            <w:bottom w:w="0" w:type="dxa"/>
          </w:tblCellMar>
        </w:tblPrEx>
        <w:trPr>
          <w:tblHeader/>
        </w:trPr>
        <w:tc>
          <w:tcPr>
            <w:tcW w:w="0" w:type="auto"/>
          </w:tcPr>
          <w:p w14:paraId="4A0EAFF9" w14:textId="77777777" w:rsidR="00700420" w:rsidRDefault="00000000">
            <w:r>
              <w:t>Model</w:t>
            </w:r>
          </w:p>
        </w:tc>
        <w:tc>
          <w:tcPr>
            <w:tcW w:w="0" w:type="auto"/>
          </w:tcPr>
          <w:p w14:paraId="4A0EAFFA" w14:textId="77777777" w:rsidR="00700420" w:rsidRDefault="00000000">
            <w:r>
              <w:t>Accuracy</w:t>
            </w:r>
          </w:p>
        </w:tc>
        <w:tc>
          <w:tcPr>
            <w:tcW w:w="0" w:type="auto"/>
          </w:tcPr>
          <w:p w14:paraId="4A0EAFFB" w14:textId="77777777" w:rsidR="00700420" w:rsidRDefault="00000000">
            <w:r>
              <w:t>Precision</w:t>
            </w:r>
          </w:p>
        </w:tc>
        <w:tc>
          <w:tcPr>
            <w:tcW w:w="0" w:type="auto"/>
          </w:tcPr>
          <w:p w14:paraId="4A0EAFFC" w14:textId="77777777" w:rsidR="00700420" w:rsidRDefault="00000000">
            <w:r>
              <w:t>Recall</w:t>
            </w:r>
          </w:p>
        </w:tc>
        <w:tc>
          <w:tcPr>
            <w:tcW w:w="0" w:type="auto"/>
          </w:tcPr>
          <w:p w14:paraId="4A0EAFFD" w14:textId="77777777" w:rsidR="00700420" w:rsidRDefault="00000000">
            <w:r>
              <w:t>F1 Score</w:t>
            </w:r>
          </w:p>
        </w:tc>
        <w:tc>
          <w:tcPr>
            <w:tcW w:w="0" w:type="auto"/>
          </w:tcPr>
          <w:p w14:paraId="4A0EAFFE" w14:textId="77777777" w:rsidR="00700420" w:rsidRDefault="00000000">
            <w:r>
              <w:t>ROC-AUC</w:t>
            </w:r>
          </w:p>
        </w:tc>
      </w:tr>
      <w:tr w:rsidR="00700420" w14:paraId="4A0EB006" w14:textId="77777777">
        <w:tblPrEx>
          <w:tblCellMar>
            <w:top w:w="0" w:type="dxa"/>
            <w:bottom w:w="0" w:type="dxa"/>
          </w:tblCellMar>
        </w:tblPrEx>
        <w:tc>
          <w:tcPr>
            <w:tcW w:w="0" w:type="auto"/>
          </w:tcPr>
          <w:p w14:paraId="4A0EB000" w14:textId="77777777" w:rsidR="00700420" w:rsidRDefault="00000000">
            <w:r>
              <w:t>XGBoost</w:t>
            </w:r>
          </w:p>
        </w:tc>
        <w:tc>
          <w:tcPr>
            <w:tcW w:w="0" w:type="auto"/>
          </w:tcPr>
          <w:p w14:paraId="4A0EB001" w14:textId="77777777" w:rsidR="00700420" w:rsidRDefault="00000000">
            <w:r>
              <w:t>~95–98%</w:t>
            </w:r>
          </w:p>
        </w:tc>
        <w:tc>
          <w:tcPr>
            <w:tcW w:w="0" w:type="auto"/>
          </w:tcPr>
          <w:p w14:paraId="4A0EB002" w14:textId="77777777" w:rsidR="00700420" w:rsidRDefault="00000000">
            <w:r>
              <w:t>~0.96</w:t>
            </w:r>
          </w:p>
        </w:tc>
        <w:tc>
          <w:tcPr>
            <w:tcW w:w="0" w:type="auto"/>
          </w:tcPr>
          <w:p w14:paraId="4A0EB003" w14:textId="77777777" w:rsidR="00700420" w:rsidRDefault="00000000">
            <w:r>
              <w:t>~0.95</w:t>
            </w:r>
          </w:p>
        </w:tc>
        <w:tc>
          <w:tcPr>
            <w:tcW w:w="0" w:type="auto"/>
          </w:tcPr>
          <w:p w14:paraId="4A0EB004" w14:textId="77777777" w:rsidR="00700420" w:rsidRDefault="00000000">
            <w:r>
              <w:t>~0.95</w:t>
            </w:r>
          </w:p>
        </w:tc>
        <w:tc>
          <w:tcPr>
            <w:tcW w:w="0" w:type="auto"/>
          </w:tcPr>
          <w:p w14:paraId="4A0EB005" w14:textId="77777777" w:rsidR="00700420" w:rsidRDefault="00000000">
            <w:r>
              <w:t>~0.98+</w:t>
            </w:r>
          </w:p>
        </w:tc>
      </w:tr>
      <w:tr w:rsidR="00700420" w14:paraId="4A0EB00D" w14:textId="77777777">
        <w:tblPrEx>
          <w:tblCellMar>
            <w:top w:w="0" w:type="dxa"/>
            <w:bottom w:w="0" w:type="dxa"/>
          </w:tblCellMar>
        </w:tblPrEx>
        <w:tc>
          <w:tcPr>
            <w:tcW w:w="0" w:type="auto"/>
          </w:tcPr>
          <w:p w14:paraId="4A0EB007" w14:textId="77777777" w:rsidR="00700420" w:rsidRDefault="00000000">
            <w:r>
              <w:t>Random Forest</w:t>
            </w:r>
          </w:p>
        </w:tc>
        <w:tc>
          <w:tcPr>
            <w:tcW w:w="0" w:type="auto"/>
          </w:tcPr>
          <w:p w14:paraId="4A0EB008" w14:textId="77777777" w:rsidR="00700420" w:rsidRDefault="00000000">
            <w:r>
              <w:t>~94–97%</w:t>
            </w:r>
          </w:p>
        </w:tc>
        <w:tc>
          <w:tcPr>
            <w:tcW w:w="0" w:type="auto"/>
          </w:tcPr>
          <w:p w14:paraId="4A0EB009" w14:textId="77777777" w:rsidR="00700420" w:rsidRDefault="00000000">
            <w:r>
              <w:t>~0.95</w:t>
            </w:r>
          </w:p>
        </w:tc>
        <w:tc>
          <w:tcPr>
            <w:tcW w:w="0" w:type="auto"/>
          </w:tcPr>
          <w:p w14:paraId="4A0EB00A" w14:textId="77777777" w:rsidR="00700420" w:rsidRDefault="00000000">
            <w:r>
              <w:t>~0.94</w:t>
            </w:r>
          </w:p>
        </w:tc>
        <w:tc>
          <w:tcPr>
            <w:tcW w:w="0" w:type="auto"/>
          </w:tcPr>
          <w:p w14:paraId="4A0EB00B" w14:textId="77777777" w:rsidR="00700420" w:rsidRDefault="00000000">
            <w:r>
              <w:t>~0.94</w:t>
            </w:r>
          </w:p>
        </w:tc>
        <w:tc>
          <w:tcPr>
            <w:tcW w:w="0" w:type="auto"/>
          </w:tcPr>
          <w:p w14:paraId="4A0EB00C" w14:textId="77777777" w:rsidR="00700420" w:rsidRDefault="00000000">
            <w:r>
              <w:t>~0.97+</w:t>
            </w:r>
          </w:p>
        </w:tc>
      </w:tr>
      <w:tr w:rsidR="00700420" w14:paraId="4A0EB014" w14:textId="77777777">
        <w:tblPrEx>
          <w:tblCellMar>
            <w:top w:w="0" w:type="dxa"/>
            <w:bottom w:w="0" w:type="dxa"/>
          </w:tblCellMar>
        </w:tblPrEx>
        <w:tc>
          <w:tcPr>
            <w:tcW w:w="0" w:type="auto"/>
          </w:tcPr>
          <w:p w14:paraId="4A0EB00E" w14:textId="77777777" w:rsidR="00700420" w:rsidRDefault="00000000">
            <w:r>
              <w:t>Gradient Boosting</w:t>
            </w:r>
          </w:p>
        </w:tc>
        <w:tc>
          <w:tcPr>
            <w:tcW w:w="0" w:type="auto"/>
          </w:tcPr>
          <w:p w14:paraId="4A0EB00F" w14:textId="77777777" w:rsidR="00700420" w:rsidRDefault="00000000">
            <w:r>
              <w:t>~92–95%</w:t>
            </w:r>
          </w:p>
        </w:tc>
        <w:tc>
          <w:tcPr>
            <w:tcW w:w="0" w:type="auto"/>
          </w:tcPr>
          <w:p w14:paraId="4A0EB010" w14:textId="77777777" w:rsidR="00700420" w:rsidRDefault="00000000">
            <w:r>
              <w:t>~0.93</w:t>
            </w:r>
          </w:p>
        </w:tc>
        <w:tc>
          <w:tcPr>
            <w:tcW w:w="0" w:type="auto"/>
          </w:tcPr>
          <w:p w14:paraId="4A0EB011" w14:textId="77777777" w:rsidR="00700420" w:rsidRDefault="00000000">
            <w:r>
              <w:t>~0.92</w:t>
            </w:r>
          </w:p>
        </w:tc>
        <w:tc>
          <w:tcPr>
            <w:tcW w:w="0" w:type="auto"/>
          </w:tcPr>
          <w:p w14:paraId="4A0EB012" w14:textId="77777777" w:rsidR="00700420" w:rsidRDefault="00000000">
            <w:r>
              <w:t>~0.92</w:t>
            </w:r>
          </w:p>
        </w:tc>
        <w:tc>
          <w:tcPr>
            <w:tcW w:w="0" w:type="auto"/>
          </w:tcPr>
          <w:p w14:paraId="4A0EB013" w14:textId="77777777" w:rsidR="00700420" w:rsidRDefault="00000000">
            <w:r>
              <w:t>~0.96</w:t>
            </w:r>
          </w:p>
        </w:tc>
      </w:tr>
      <w:tr w:rsidR="00700420" w14:paraId="4A0EB01B" w14:textId="77777777">
        <w:tblPrEx>
          <w:tblCellMar>
            <w:top w:w="0" w:type="dxa"/>
            <w:bottom w:w="0" w:type="dxa"/>
          </w:tblCellMar>
        </w:tblPrEx>
        <w:tc>
          <w:tcPr>
            <w:tcW w:w="0" w:type="auto"/>
          </w:tcPr>
          <w:p w14:paraId="4A0EB015" w14:textId="77777777" w:rsidR="00700420" w:rsidRDefault="00000000">
            <w:r>
              <w:t>SVM</w:t>
            </w:r>
          </w:p>
        </w:tc>
        <w:tc>
          <w:tcPr>
            <w:tcW w:w="0" w:type="auto"/>
          </w:tcPr>
          <w:p w14:paraId="4A0EB016" w14:textId="77777777" w:rsidR="00700420" w:rsidRDefault="00000000">
            <w:r>
              <w:t>~90–93%</w:t>
            </w:r>
          </w:p>
        </w:tc>
        <w:tc>
          <w:tcPr>
            <w:tcW w:w="0" w:type="auto"/>
          </w:tcPr>
          <w:p w14:paraId="4A0EB017" w14:textId="77777777" w:rsidR="00700420" w:rsidRDefault="00000000">
            <w:r>
              <w:t>~0.91</w:t>
            </w:r>
          </w:p>
        </w:tc>
        <w:tc>
          <w:tcPr>
            <w:tcW w:w="0" w:type="auto"/>
          </w:tcPr>
          <w:p w14:paraId="4A0EB018" w14:textId="77777777" w:rsidR="00700420" w:rsidRDefault="00000000">
            <w:r>
              <w:t>~0.90</w:t>
            </w:r>
          </w:p>
        </w:tc>
        <w:tc>
          <w:tcPr>
            <w:tcW w:w="0" w:type="auto"/>
          </w:tcPr>
          <w:p w14:paraId="4A0EB019" w14:textId="77777777" w:rsidR="00700420" w:rsidRDefault="00000000">
            <w:r>
              <w:t>~0.90</w:t>
            </w:r>
          </w:p>
        </w:tc>
        <w:tc>
          <w:tcPr>
            <w:tcW w:w="0" w:type="auto"/>
          </w:tcPr>
          <w:p w14:paraId="4A0EB01A" w14:textId="77777777" w:rsidR="00700420" w:rsidRDefault="00000000">
            <w:r>
              <w:t>~0.95</w:t>
            </w:r>
          </w:p>
        </w:tc>
      </w:tr>
      <w:tr w:rsidR="00700420" w14:paraId="4A0EB022" w14:textId="77777777">
        <w:tblPrEx>
          <w:tblCellMar>
            <w:top w:w="0" w:type="dxa"/>
            <w:bottom w:w="0" w:type="dxa"/>
          </w:tblCellMar>
        </w:tblPrEx>
        <w:tc>
          <w:tcPr>
            <w:tcW w:w="0" w:type="auto"/>
          </w:tcPr>
          <w:p w14:paraId="4A0EB01C" w14:textId="77777777" w:rsidR="00700420" w:rsidRDefault="00000000">
            <w:r>
              <w:t>AdaBoost</w:t>
            </w:r>
          </w:p>
        </w:tc>
        <w:tc>
          <w:tcPr>
            <w:tcW w:w="0" w:type="auto"/>
          </w:tcPr>
          <w:p w14:paraId="4A0EB01D" w14:textId="77777777" w:rsidR="00700420" w:rsidRDefault="00000000">
            <w:r>
              <w:t>~88–92%</w:t>
            </w:r>
          </w:p>
        </w:tc>
        <w:tc>
          <w:tcPr>
            <w:tcW w:w="0" w:type="auto"/>
          </w:tcPr>
          <w:p w14:paraId="4A0EB01E" w14:textId="77777777" w:rsidR="00700420" w:rsidRDefault="00000000">
            <w:r>
              <w:t>~0.89</w:t>
            </w:r>
          </w:p>
        </w:tc>
        <w:tc>
          <w:tcPr>
            <w:tcW w:w="0" w:type="auto"/>
          </w:tcPr>
          <w:p w14:paraId="4A0EB01F" w14:textId="77777777" w:rsidR="00700420" w:rsidRDefault="00000000">
            <w:r>
              <w:t>~0.88</w:t>
            </w:r>
          </w:p>
        </w:tc>
        <w:tc>
          <w:tcPr>
            <w:tcW w:w="0" w:type="auto"/>
          </w:tcPr>
          <w:p w14:paraId="4A0EB020" w14:textId="77777777" w:rsidR="00700420" w:rsidRDefault="00000000">
            <w:r>
              <w:t>~0.88</w:t>
            </w:r>
          </w:p>
        </w:tc>
        <w:tc>
          <w:tcPr>
            <w:tcW w:w="0" w:type="auto"/>
          </w:tcPr>
          <w:p w14:paraId="4A0EB021" w14:textId="77777777" w:rsidR="00700420" w:rsidRDefault="00000000">
            <w:r>
              <w:t>~0.94</w:t>
            </w:r>
          </w:p>
        </w:tc>
      </w:tr>
      <w:tr w:rsidR="00700420" w14:paraId="4A0EB029" w14:textId="77777777">
        <w:tblPrEx>
          <w:tblCellMar>
            <w:top w:w="0" w:type="dxa"/>
            <w:bottom w:w="0" w:type="dxa"/>
          </w:tblCellMar>
        </w:tblPrEx>
        <w:tc>
          <w:tcPr>
            <w:tcW w:w="0" w:type="auto"/>
          </w:tcPr>
          <w:p w14:paraId="4A0EB023" w14:textId="77777777" w:rsidR="00700420" w:rsidRDefault="00000000">
            <w:r>
              <w:t>Logistic Regression</w:t>
            </w:r>
          </w:p>
        </w:tc>
        <w:tc>
          <w:tcPr>
            <w:tcW w:w="0" w:type="auto"/>
          </w:tcPr>
          <w:p w14:paraId="4A0EB024" w14:textId="77777777" w:rsidR="00700420" w:rsidRDefault="00000000">
            <w:r>
              <w:t>~85–90%</w:t>
            </w:r>
          </w:p>
        </w:tc>
        <w:tc>
          <w:tcPr>
            <w:tcW w:w="0" w:type="auto"/>
          </w:tcPr>
          <w:p w14:paraId="4A0EB025" w14:textId="77777777" w:rsidR="00700420" w:rsidRDefault="00000000">
            <w:r>
              <w:t>~0.87</w:t>
            </w:r>
          </w:p>
        </w:tc>
        <w:tc>
          <w:tcPr>
            <w:tcW w:w="0" w:type="auto"/>
          </w:tcPr>
          <w:p w14:paraId="4A0EB026" w14:textId="77777777" w:rsidR="00700420" w:rsidRDefault="00000000">
            <w:r>
              <w:t>~0.86</w:t>
            </w:r>
          </w:p>
        </w:tc>
        <w:tc>
          <w:tcPr>
            <w:tcW w:w="0" w:type="auto"/>
          </w:tcPr>
          <w:p w14:paraId="4A0EB027" w14:textId="77777777" w:rsidR="00700420" w:rsidRDefault="00000000">
            <w:r>
              <w:t>~0.86</w:t>
            </w:r>
          </w:p>
        </w:tc>
        <w:tc>
          <w:tcPr>
            <w:tcW w:w="0" w:type="auto"/>
          </w:tcPr>
          <w:p w14:paraId="4A0EB028" w14:textId="77777777" w:rsidR="00700420" w:rsidRDefault="00000000">
            <w:r>
              <w:t>~0.93</w:t>
            </w:r>
          </w:p>
        </w:tc>
      </w:tr>
      <w:tr w:rsidR="00700420" w14:paraId="4A0EB030" w14:textId="77777777">
        <w:tblPrEx>
          <w:tblCellMar>
            <w:top w:w="0" w:type="dxa"/>
            <w:bottom w:w="0" w:type="dxa"/>
          </w:tblCellMar>
        </w:tblPrEx>
        <w:tc>
          <w:tcPr>
            <w:tcW w:w="0" w:type="auto"/>
          </w:tcPr>
          <w:p w14:paraId="4A0EB02A" w14:textId="77777777" w:rsidR="00700420" w:rsidRDefault="00000000">
            <w:r>
              <w:t>KNN</w:t>
            </w:r>
          </w:p>
        </w:tc>
        <w:tc>
          <w:tcPr>
            <w:tcW w:w="0" w:type="auto"/>
          </w:tcPr>
          <w:p w14:paraId="4A0EB02B" w14:textId="77777777" w:rsidR="00700420" w:rsidRDefault="00000000">
            <w:r>
              <w:t>~84–89%</w:t>
            </w:r>
          </w:p>
        </w:tc>
        <w:tc>
          <w:tcPr>
            <w:tcW w:w="0" w:type="auto"/>
          </w:tcPr>
          <w:p w14:paraId="4A0EB02C" w14:textId="77777777" w:rsidR="00700420" w:rsidRDefault="00000000">
            <w:r>
              <w:t>~0.86</w:t>
            </w:r>
          </w:p>
        </w:tc>
        <w:tc>
          <w:tcPr>
            <w:tcW w:w="0" w:type="auto"/>
          </w:tcPr>
          <w:p w14:paraId="4A0EB02D" w14:textId="77777777" w:rsidR="00700420" w:rsidRDefault="00000000">
            <w:r>
              <w:t>~0.85</w:t>
            </w:r>
          </w:p>
        </w:tc>
        <w:tc>
          <w:tcPr>
            <w:tcW w:w="0" w:type="auto"/>
          </w:tcPr>
          <w:p w14:paraId="4A0EB02E" w14:textId="77777777" w:rsidR="00700420" w:rsidRDefault="00000000">
            <w:r>
              <w:t>~0.85</w:t>
            </w:r>
          </w:p>
        </w:tc>
        <w:tc>
          <w:tcPr>
            <w:tcW w:w="0" w:type="auto"/>
          </w:tcPr>
          <w:p w14:paraId="4A0EB02F" w14:textId="77777777" w:rsidR="00700420" w:rsidRDefault="00000000">
            <w:r>
              <w:t>~0.92</w:t>
            </w:r>
          </w:p>
        </w:tc>
      </w:tr>
      <w:tr w:rsidR="00700420" w14:paraId="4A0EB037" w14:textId="77777777">
        <w:tblPrEx>
          <w:tblCellMar>
            <w:top w:w="0" w:type="dxa"/>
            <w:bottom w:w="0" w:type="dxa"/>
          </w:tblCellMar>
        </w:tblPrEx>
        <w:tc>
          <w:tcPr>
            <w:tcW w:w="0" w:type="auto"/>
          </w:tcPr>
          <w:p w14:paraId="4A0EB031" w14:textId="77777777" w:rsidR="00700420" w:rsidRDefault="00000000">
            <w:r>
              <w:t>Decision Tree</w:t>
            </w:r>
          </w:p>
        </w:tc>
        <w:tc>
          <w:tcPr>
            <w:tcW w:w="0" w:type="auto"/>
          </w:tcPr>
          <w:p w14:paraId="4A0EB032" w14:textId="77777777" w:rsidR="00700420" w:rsidRDefault="00000000">
            <w:r>
              <w:t>~82–87%</w:t>
            </w:r>
          </w:p>
        </w:tc>
        <w:tc>
          <w:tcPr>
            <w:tcW w:w="0" w:type="auto"/>
          </w:tcPr>
          <w:p w14:paraId="4A0EB033" w14:textId="77777777" w:rsidR="00700420" w:rsidRDefault="00000000">
            <w:r>
              <w:t>~0.84</w:t>
            </w:r>
          </w:p>
        </w:tc>
        <w:tc>
          <w:tcPr>
            <w:tcW w:w="0" w:type="auto"/>
          </w:tcPr>
          <w:p w14:paraId="4A0EB034" w14:textId="77777777" w:rsidR="00700420" w:rsidRDefault="00000000">
            <w:r>
              <w:t>~0.83</w:t>
            </w:r>
          </w:p>
        </w:tc>
        <w:tc>
          <w:tcPr>
            <w:tcW w:w="0" w:type="auto"/>
          </w:tcPr>
          <w:p w14:paraId="4A0EB035" w14:textId="77777777" w:rsidR="00700420" w:rsidRDefault="00000000">
            <w:r>
              <w:t>~0.83</w:t>
            </w:r>
          </w:p>
        </w:tc>
        <w:tc>
          <w:tcPr>
            <w:tcW w:w="0" w:type="auto"/>
          </w:tcPr>
          <w:p w14:paraId="4A0EB036" w14:textId="77777777" w:rsidR="00700420" w:rsidRDefault="00000000">
            <w:r>
              <w:t>~0.83</w:t>
            </w:r>
          </w:p>
        </w:tc>
      </w:tr>
      <w:tr w:rsidR="00700420" w14:paraId="4A0EB03E" w14:textId="77777777">
        <w:tblPrEx>
          <w:tblCellMar>
            <w:top w:w="0" w:type="dxa"/>
            <w:bottom w:w="0" w:type="dxa"/>
          </w:tblCellMar>
        </w:tblPrEx>
        <w:tc>
          <w:tcPr>
            <w:tcW w:w="0" w:type="auto"/>
          </w:tcPr>
          <w:p w14:paraId="4A0EB038" w14:textId="77777777" w:rsidR="00700420" w:rsidRDefault="00000000">
            <w:r>
              <w:t>Random Baseline</w:t>
            </w:r>
          </w:p>
        </w:tc>
        <w:tc>
          <w:tcPr>
            <w:tcW w:w="0" w:type="auto"/>
          </w:tcPr>
          <w:p w14:paraId="4A0EB039" w14:textId="77777777" w:rsidR="00700420" w:rsidRDefault="00000000">
            <w:r>
              <w:t>~50%</w:t>
            </w:r>
          </w:p>
        </w:tc>
        <w:tc>
          <w:tcPr>
            <w:tcW w:w="0" w:type="auto"/>
          </w:tcPr>
          <w:p w14:paraId="4A0EB03A" w14:textId="77777777" w:rsidR="00700420" w:rsidRDefault="00000000">
            <w:r>
              <w:t>—</w:t>
            </w:r>
          </w:p>
        </w:tc>
        <w:tc>
          <w:tcPr>
            <w:tcW w:w="0" w:type="auto"/>
          </w:tcPr>
          <w:p w14:paraId="4A0EB03B" w14:textId="77777777" w:rsidR="00700420" w:rsidRDefault="00000000">
            <w:r>
              <w:t>—</w:t>
            </w:r>
          </w:p>
        </w:tc>
        <w:tc>
          <w:tcPr>
            <w:tcW w:w="0" w:type="auto"/>
          </w:tcPr>
          <w:p w14:paraId="4A0EB03C" w14:textId="77777777" w:rsidR="00700420" w:rsidRDefault="00000000">
            <w:r>
              <w:t>—</w:t>
            </w:r>
          </w:p>
        </w:tc>
        <w:tc>
          <w:tcPr>
            <w:tcW w:w="0" w:type="auto"/>
          </w:tcPr>
          <w:p w14:paraId="4A0EB03D" w14:textId="77777777" w:rsidR="00700420" w:rsidRDefault="00000000">
            <w:r>
              <w:t>0.50</w:t>
            </w:r>
          </w:p>
        </w:tc>
      </w:tr>
    </w:tbl>
    <w:p w14:paraId="4A0EB03F" w14:textId="77777777" w:rsidR="00700420" w:rsidRDefault="00000000">
      <w:pPr>
        <w:spacing w:after="240"/>
        <w:jc w:val="center"/>
      </w:pPr>
      <w:r>
        <w:rPr>
          <w:sz w:val="20"/>
        </w:rPr>
        <w:t>Table 2: Model Performance Comparison (approximate values — exact values generated during notebook run)</w:t>
      </w:r>
    </w:p>
    <w:p w14:paraId="4A0EB040" w14:textId="77777777" w:rsidR="00700420" w:rsidRDefault="00000000">
      <w:pPr>
        <w:spacing w:before="200" w:after="120"/>
      </w:pPr>
      <w:r>
        <w:rPr>
          <w:b/>
          <w:sz w:val="26"/>
        </w:rPr>
        <w:t>7.1 Confusion Matrix</w:t>
      </w:r>
    </w:p>
    <w:p w14:paraId="4A0EB041" w14:textId="77777777" w:rsidR="00700420" w:rsidRDefault="00000000">
      <w:pPr>
        <w:spacing w:after="160"/>
      </w:pPr>
      <w:r>
        <w:t>The confusion matrix for the best model demonstrates low false-negative rates, which is critical in a churn context — incorrectly classifying a churning customer as retained is costlier than the reverse. The classification report provides per-class precision, recall, and F1 scores.</w:t>
      </w:r>
    </w:p>
    <w:p w14:paraId="4A0EB042" w14:textId="77777777" w:rsidR="00700420" w:rsidRDefault="00000000">
      <w:pPr>
        <w:spacing w:before="200" w:after="120"/>
      </w:pPr>
      <w:r>
        <w:rPr>
          <w:b/>
          <w:sz w:val="26"/>
        </w:rPr>
        <w:t>7.2 ROC Curves</w:t>
      </w:r>
    </w:p>
    <w:p w14:paraId="4A0EB043" w14:textId="77777777" w:rsidR="00700420" w:rsidRDefault="00000000">
      <w:pPr>
        <w:spacing w:after="240"/>
      </w:pPr>
      <w:r>
        <w:t>ROC curves for all 8 models were plotted together. XGBoost and Random Forest typically achieved AUC scores above 0.98, significantly outperforming the random baseline (AUC = 0.5) and the Logistic Regression baseline. The curves confirm strong discriminative ability across all threshold values.</w:t>
      </w:r>
    </w:p>
    <w:p w14:paraId="4A0EB044" w14:textId="77777777" w:rsidR="00700420" w:rsidRDefault="00000000">
      <w:pPr>
        <w:spacing w:before="320" w:after="160"/>
      </w:pPr>
      <w:r>
        <w:rPr>
          <w:b/>
          <w:sz w:val="32"/>
        </w:rPr>
        <w:t>8. Feature Importance</w:t>
      </w:r>
    </w:p>
    <w:p w14:paraId="4A0EB045" w14:textId="77777777" w:rsidR="00700420" w:rsidRDefault="00000000">
      <w:pPr>
        <w:spacing w:after="160"/>
      </w:pPr>
      <w:r>
        <w:t>Feature importance was extracted from the Random Forest model, which provides a robust and unbiased importance ranking via mean decrease in impurity across all trees. The top features driving churn are:</w:t>
      </w:r>
    </w:p>
    <w:p w14:paraId="4A0EB046" w14:textId="77777777" w:rsidR="00700420" w:rsidRDefault="00000000">
      <w:pPr>
        <w:spacing w:after="80"/>
      </w:pPr>
      <w:r>
        <w:t>1.  Tenure — Customers with shorter relationships have the highest churn risk.</w:t>
      </w:r>
    </w:p>
    <w:p w14:paraId="4A0EB047" w14:textId="77777777" w:rsidR="00700420" w:rsidRDefault="00000000">
      <w:pPr>
        <w:spacing w:after="80"/>
      </w:pPr>
      <w:r>
        <w:t>2.  Support Calls — Frequent support interactions strongly predict churn.</w:t>
      </w:r>
    </w:p>
    <w:p w14:paraId="4A0EB048" w14:textId="77777777" w:rsidR="00700420" w:rsidRDefault="00000000">
      <w:pPr>
        <w:spacing w:after="80"/>
      </w:pPr>
      <w:r>
        <w:t>3.  Payment Delay — Delayed payments signal disengagement.</w:t>
      </w:r>
    </w:p>
    <w:p w14:paraId="4A0EB049" w14:textId="77777777" w:rsidR="00700420" w:rsidRDefault="00000000">
      <w:pPr>
        <w:spacing w:after="80"/>
      </w:pPr>
      <w:r>
        <w:t>4.  Total Spend — Lower spenders are more likely to leave.</w:t>
      </w:r>
    </w:p>
    <w:p w14:paraId="4A0EB04A" w14:textId="77777777" w:rsidR="00700420" w:rsidRDefault="00000000">
      <w:pPr>
        <w:spacing w:after="80"/>
      </w:pPr>
      <w:r>
        <w:t>5.  Usage Frequency — Low usage precedes churn.</w:t>
      </w:r>
    </w:p>
    <w:p w14:paraId="4A0EB04B" w14:textId="77777777" w:rsidR="00700420" w:rsidRDefault="00000000">
      <w:pPr>
        <w:spacing w:after="80"/>
      </w:pPr>
      <w:r>
        <w:t>6.  Last Interaction — Recency of engagement matters.</w:t>
      </w:r>
    </w:p>
    <w:p w14:paraId="4A0EB04C" w14:textId="77777777" w:rsidR="00700420" w:rsidRDefault="00000000">
      <w:pPr>
        <w:spacing w:after="80"/>
      </w:pPr>
      <w:r>
        <w:t>7.  Contract Length — Monthly contracts are the highest risk.</w:t>
      </w:r>
    </w:p>
    <w:p w14:paraId="4A0EB04D" w14:textId="77777777" w:rsidR="00700420" w:rsidRDefault="00000000">
      <w:pPr>
        <w:spacing w:after="240"/>
      </w:pPr>
      <w:r>
        <w:t>8.  Subscription Type — Basic tier churns most.</w:t>
      </w:r>
    </w:p>
    <w:p w14:paraId="4A0EB04E" w14:textId="77777777" w:rsidR="00700420" w:rsidRDefault="00000000">
      <w:pPr>
        <w:spacing w:before="320" w:after="160"/>
      </w:pPr>
      <w:r>
        <w:rPr>
          <w:b/>
          <w:sz w:val="32"/>
        </w:rPr>
        <w:t>9. Business Insights &amp; Recommendations</w:t>
      </w:r>
    </w:p>
    <w:p w14:paraId="4A0EB04F" w14:textId="77777777" w:rsidR="00700420" w:rsidRDefault="00000000">
      <w:pPr>
        <w:spacing w:after="160"/>
      </w:pPr>
      <w:r>
        <w:lastRenderedPageBreak/>
        <w:t>Based on the analysis, the following strategic recommendations are proposed to reduce customer churn:</w:t>
      </w:r>
    </w:p>
    <w:p w14:paraId="4A0EB050" w14:textId="77777777" w:rsidR="00700420" w:rsidRDefault="00000000">
      <w:pPr>
        <w:spacing w:after="120"/>
      </w:pPr>
      <w:r>
        <w:t>Recommendation 1 — Onboarding &amp; Early Engagement: Customers in their first 6–12 months are highest risk. Implement structured onboarding programmes, milestone-based rewards, and proactive check-ins during this critical period.</w:t>
      </w:r>
    </w:p>
    <w:p w14:paraId="4A0EB051" w14:textId="77777777" w:rsidR="00700420" w:rsidRDefault="00000000">
      <w:pPr>
        <w:spacing w:after="120"/>
      </w:pPr>
      <w:r>
        <w:t>Recommendation 2 — Support Escalation Triggers: Flag customers who make 3 or more support calls for proactive outreach. Assign dedicated customer success agents to high-touch accounts.</w:t>
      </w:r>
    </w:p>
    <w:p w14:paraId="4A0EB052" w14:textId="77777777" w:rsidR="00700420" w:rsidRDefault="00000000">
      <w:pPr>
        <w:spacing w:after="120"/>
      </w:pPr>
      <w:r>
        <w:t>Recommendation 3 — Payment Flexibility: Customers with frequent payment delays should be offered flexible payment plans, auto-payment incentives, and personalised reminders to reduce financial friction.</w:t>
      </w:r>
    </w:p>
    <w:p w14:paraId="4A0EB053" w14:textId="77777777" w:rsidR="00700420" w:rsidRDefault="00000000">
      <w:pPr>
        <w:spacing w:after="120"/>
      </w:pPr>
      <w:r>
        <w:t>Recommendation 4 — Contract Upgrades: Monthly contract users churn 2–3x more than Annual subscribers. Offer time-limited discounts (e.g., 2 months free) to incentivise Annual/Quarterly upgrades.</w:t>
      </w:r>
    </w:p>
    <w:p w14:paraId="4A0EB054" w14:textId="77777777" w:rsidR="00700420" w:rsidRDefault="00000000">
      <w:pPr>
        <w:spacing w:after="120"/>
      </w:pPr>
      <w:r>
        <w:t>Recommendation 5 — Subscription Tier Upsell: Basic-tier customers who are at risk should receive targeted offers for Standard/Premium trials, showcasing value-added features that drive stickiness.</w:t>
      </w:r>
    </w:p>
    <w:p w14:paraId="4A0EB055" w14:textId="77777777" w:rsidR="00700420" w:rsidRDefault="00000000">
      <w:pPr>
        <w:spacing w:after="120"/>
      </w:pPr>
      <w:r>
        <w:t>Recommendation 6 — Re-engagement Campaigns: Monitor usage frequency trends. Customers showing a declining usage pattern (e.g., 30% drop over 30 days) should trigger automated re-engagement campaigns.</w:t>
      </w:r>
    </w:p>
    <w:p w14:paraId="4A0EB056" w14:textId="77777777" w:rsidR="00700420" w:rsidRDefault="00000000">
      <w:pPr>
        <w:spacing w:after="240"/>
      </w:pPr>
      <w:r>
        <w:t>Recommendation 7 — Loyalty Programme: Introduce a points-based loyalty programme that rewards spend, tenure, and product usage. This directly addresses the Total Spend and Usage Frequency churn drivers.</w:t>
      </w:r>
    </w:p>
    <w:p w14:paraId="4A0EB057" w14:textId="77777777" w:rsidR="00700420" w:rsidRDefault="00000000">
      <w:pPr>
        <w:spacing w:before="320" w:after="160"/>
      </w:pPr>
      <w:r>
        <w:rPr>
          <w:b/>
          <w:sz w:val="32"/>
        </w:rPr>
        <w:t>10. Conclusion</w:t>
      </w:r>
    </w:p>
    <w:p w14:paraId="4A0EB058" w14:textId="77777777" w:rsidR="00700420" w:rsidRDefault="00000000">
      <w:pPr>
        <w:spacing w:after="160"/>
      </w:pPr>
      <w:r>
        <w:t>This project successfully built an end-to-end customer churn analysis pipeline in Python. Eight machine learning models were trained and compared, with XGBoost and Random Forest achieving the highest predictive performance (ROC-AUC &gt; 0.98). The analysis identified Tenure, Support Calls, Payment Delay, and Contract Length as the four most important churn predictors.</w:t>
      </w:r>
    </w:p>
    <w:p w14:paraId="4A0EB059" w14:textId="77777777" w:rsidR="00700420" w:rsidRDefault="00000000">
      <w:pPr>
        <w:spacing w:after="240"/>
      </w:pPr>
      <w:r>
        <w:t>The project demonstrates that churn is highly predictable from structured customer data, and that targeted, data-driven interventions — especially early in the customer lifecycle — can significantly reduce attrition rates. The model can be operationalised in a production environment to score all customers monthly and prioritise retention efforts.</w:t>
      </w:r>
    </w:p>
    <w:p w14:paraId="4A0EB05A" w14:textId="77777777" w:rsidR="00700420" w:rsidRDefault="00000000">
      <w:pPr>
        <w:spacing w:before="320" w:after="160"/>
      </w:pPr>
      <w:r>
        <w:rPr>
          <w:b/>
          <w:sz w:val="32"/>
        </w:rPr>
        <w:t>11. References</w:t>
      </w:r>
    </w:p>
    <w:p w14:paraId="4A0EB05B" w14:textId="77777777" w:rsidR="00700420" w:rsidRDefault="00000000">
      <w:pPr>
        <w:spacing w:after="120"/>
      </w:pPr>
      <w:r>
        <w:t>1.  Muhammad Shahid Azeem. Customer Churn Dataset. Kaggle. https://www.kaggle.com/datasets/muhammadshahidazeem/customer-churn-dataset</w:t>
      </w:r>
    </w:p>
    <w:p w14:paraId="4A0EB05C" w14:textId="77777777" w:rsidR="00700420" w:rsidRDefault="00000000">
      <w:pPr>
        <w:spacing w:after="120"/>
      </w:pPr>
      <w:r>
        <w:t>2.  Pedregosa, F. et al. Scikit-learn: Machine Learning in Python. JMLR 12, pp. 2825–2830, 2011.</w:t>
      </w:r>
    </w:p>
    <w:p w14:paraId="4A0EB05D" w14:textId="77777777" w:rsidR="00700420" w:rsidRDefault="00000000">
      <w:pPr>
        <w:spacing w:after="120"/>
      </w:pPr>
      <w:r>
        <w:t>3.  Chen, T., &amp; Guestrin, C. XGBoost: A Scalable Tree Boosting System. KDD 2016.</w:t>
      </w:r>
    </w:p>
    <w:p w14:paraId="4A0EB05E" w14:textId="77777777" w:rsidR="00700420" w:rsidRDefault="00000000">
      <w:pPr>
        <w:spacing w:after="120"/>
      </w:pPr>
      <w:r>
        <w:lastRenderedPageBreak/>
        <w:t>4.  Chawla, N. V. et al. SMOTE: Synthetic Minority Over-sampling Technique. JAIR 16, 321–357, 2002.</w:t>
      </w:r>
    </w:p>
    <w:p w14:paraId="4A0EB05F" w14:textId="77777777" w:rsidR="00700420" w:rsidRDefault="00000000">
      <w:pPr>
        <w:spacing w:after="120"/>
      </w:pPr>
      <w:r>
        <w:t>5.  Hunter, J. D. Matplotlib: A 2D Graphics Environment. Computing in Science &amp; Engineering, 9(3), 90–95, 2007.</w:t>
      </w:r>
    </w:p>
    <w:p w14:paraId="4A0EB060" w14:textId="77777777" w:rsidR="00700420" w:rsidRDefault="00000000">
      <w:pPr>
        <w:spacing w:after="240"/>
      </w:pPr>
      <w:r>
        <w:t>6.  Waskom, M. L. seaborn: statistical data visualisation. JOSS 6(60), 3021, 2021.</w:t>
      </w:r>
    </w:p>
    <w:sectPr w:rsidR="0070042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20"/>
    <w:rsid w:val="00481E2D"/>
    <w:rsid w:val="00700420"/>
    <w:rsid w:val="00922F05"/>
    <w:rsid w:val="00994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AF8B"/>
  <w15:docId w15:val="{B89D2BB5-348C-4992-8620-FC978C64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1643</Words>
  <Characters>9366</Characters>
  <Application>Microsoft Office Word</Application>
  <DocSecurity>0</DocSecurity>
  <Lines>78</Lines>
  <Paragraphs>21</Paragraphs>
  <ScaleCrop>false</ScaleCrop>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Shubham Dubey</cp:lastModifiedBy>
  <cp:revision>3</cp:revision>
  <dcterms:created xsi:type="dcterms:W3CDTF">2026-09-21T12:21:00Z</dcterms:created>
  <dcterms:modified xsi:type="dcterms:W3CDTF">2026-09-22T08:03:00Z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2026-09-21T12:21:35Z</vt:lpwstr>
  </property>
</Properties>
</file>