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80" w:line="269" w:lineRule="auto"/>
        <w:jc w:val="center"/>
      </w:pPr>
      <w:r>
        <w:rPr>
          <w:rFonts w:ascii="Calibri" w:hAnsi="Calibri"/>
          <w:b/>
          <w:i w:val="0"/>
          <w:color w:val="2563EB"/>
          <w:sz w:val="22"/>
        </w:rPr>
        <w:t>A B.TECH CSE CAPSTONE PROJECT REPORT</w:t>
      </w:r>
    </w:p>
    <w:p>
      <w:pPr>
        <w:spacing w:before="0" w:after="240" w:line="276" w:lineRule="auto"/>
        <w:jc w:val="center"/>
      </w:pPr>
      <w:r>
        <w:rPr>
          <w:rFonts w:ascii="Calibri" w:hAnsi="Calibri"/>
          <w:b/>
          <w:i w:val="0"/>
          <w:color w:val="1E3A8A"/>
          <w:sz w:val="39"/>
        </w:rPr>
        <w:t>SMARTINVENTORY: A SECURE, HIGH-PERFORMANCE INTERNAL WAREHOUSE &amp; INVENTORY MANAGEMENT SYSTEM</w:t>
      </w:r>
    </w:p>
    <w:p>
      <w:pPr>
        <w:spacing w:before="0" w:after="640" w:line="269" w:lineRule="auto"/>
        <w:jc w:val="center"/>
      </w:pPr>
      <w:r>
        <w:rPr>
          <w:rFonts w:ascii="Calibri" w:hAnsi="Calibri"/>
          <w:b w:val="0"/>
          <w:i/>
          <w:color w:val="64748B"/>
          <w:sz w:val="22"/>
        </w:rPr>
        <w:t>Engineered with the MERN Stack, MongoDB Real-Time Aggregation Pipelines, Multi-Document ACID Transactions, and Role-Based Access Control</w:t>
      </w:r>
    </w:p>
    <w:p>
      <w:pPr>
        <w:spacing w:before="0" w:after="640"/>
        <w:jc w:val="center"/>
      </w:pPr>
      <w:r>
        <w:rPr>
          <w:b/>
          <w:color w:val="2563EB"/>
        </w:rPr>
        <w:t>____________________________________________________</w:t>
      </w:r>
    </w:p>
    <w:p>
      <w:pPr>
        <w:spacing w:before="0" w:after="100" w:line="269" w:lineRule="auto"/>
        <w:jc w:val="center"/>
      </w:pPr>
      <w:r>
        <w:rPr>
          <w:rFonts w:ascii="Calibri" w:hAnsi="Calibri"/>
          <w:b w:val="0"/>
          <w:i w:val="0"/>
          <w:color w:val="1E293B"/>
          <w:sz w:val="21"/>
        </w:rPr>
        <w:t>Submitted in Partial Fulfillment of the Requirements for the Degree of</w:t>
      </w:r>
    </w:p>
    <w:p>
      <w:pPr>
        <w:spacing w:before="0" w:after="60" w:line="269" w:lineRule="auto"/>
        <w:jc w:val="center"/>
      </w:pPr>
      <w:r>
        <w:rPr>
          <w:rFonts w:ascii="Calibri" w:hAnsi="Calibri"/>
          <w:b/>
          <w:i w:val="0"/>
          <w:color w:val="1E3A8A"/>
          <w:sz w:val="27"/>
        </w:rPr>
        <w:t>BACHELOR OF TECHNOLOGY</w:t>
      </w:r>
    </w:p>
    <w:p>
      <w:pPr>
        <w:spacing w:before="0" w:after="800" w:line="269" w:lineRule="auto"/>
        <w:jc w:val="center"/>
      </w:pPr>
      <w:r>
        <w:rPr>
          <w:rFonts w:ascii="Calibri" w:hAnsi="Calibri"/>
          <w:b/>
          <w:i w:val="0"/>
          <w:color w:val="2563EB"/>
          <w:sz w:val="23"/>
        </w:rPr>
        <w:t>IN COMPUTER SCIENCE &amp; ENGINEERING</w:t>
      </w:r>
    </w:p>
    <w:tbl>
      <w:tblPr>
        <w:tblW w:type="auto" w:w="0"/>
        <w:jc w:val="center"/>
        <w:tblLook w:firstColumn="1" w:firstRow="1" w:lastColumn="0" w:lastRow="0" w:noHBand="0" w:noVBand="1" w:val="04A0"/>
      </w:tblPr>
      <w:tblGrid>
        <w:gridCol w:w="4896"/>
        <w:gridCol w:w="4896"/>
      </w:tblGrid>
      <w:tr>
        <w:tc>
          <w:tcPr>
            <w:tcW w:type="dxa" w:w="4896"/>
          </w:tcPr>
          <w:p>
            <w:pPr>
              <w:spacing w:after="40"/>
            </w:pPr>
            <w:r>
              <w:rPr>
                <w:b/>
                <w:color w:val="1E3A8A"/>
                <w:sz w:val="20"/>
              </w:rPr>
              <w:t>Submitted By:</w:t>
              <w:br/>
            </w:r>
            <w:r>
              <w:rPr>
                <w:color w:val="1E293B"/>
                <w:sz w:val="18"/>
              </w:rPr>
              <w:t>SHUBHAM KUMAR</w:t>
              <w:br/>
              <w:t>Final Year B.Tech CSE</w:t>
              <w:br/>
              <w:t>Specialization: Full-Stack Engineering</w:t>
            </w:r>
          </w:p>
        </w:tc>
        <w:tc>
          <w:tcPr>
            <w:tcW w:type="dxa" w:w="4896"/>
          </w:tcPr>
          <w:p>
            <w:pPr>
              <w:spacing w:after="40"/>
              <w:jc w:val="right"/>
            </w:pPr>
            <w:r>
              <w:rPr>
                <w:b/>
                <w:color w:val="1E3A8A"/>
                <w:sz w:val="20"/>
              </w:rPr>
              <w:t>Under the Supervision Of:</w:t>
              <w:br/>
            </w:r>
            <w:r>
              <w:rPr>
                <w:color w:val="1E293B"/>
                <w:sz w:val="18"/>
              </w:rPr>
              <w:t>PROJECT EVALUATION COMMITTEE</w:t>
              <w:br/>
              <w:t>Department of Computer Science</w:t>
              <w:br/>
              <w:t>Academic Year 2025 – 2026</w:t>
            </w:r>
          </w:p>
        </w:tc>
      </w:tr>
      <w:tr>
        <w:tc>
          <w:tcPr>
            <w:tcW w:type="dxa" w:w="4896"/>
          </w:tcPr>
          <w:p/>
        </w:tc>
        <w:tc>
          <w:tcPr>
            <w:tcW w:type="dxa" w:w="4896"/>
          </w:tcPr>
          <w:p/>
        </w:tc>
      </w:tr>
    </w:tbl>
    <w:p>
      <w:pPr>
        <w:spacing w:before="900" w:after="60" w:line="269" w:lineRule="auto"/>
        <w:jc w:val="center"/>
      </w:pPr>
      <w:r>
        <w:rPr>
          <w:rFonts w:ascii="Calibri" w:hAnsi="Calibri"/>
          <w:b/>
          <w:i w:val="0"/>
          <w:color w:val="1E3A8A"/>
          <w:sz w:val="21"/>
        </w:rPr>
        <w:t>DEPARTMENT OF COMPUTER SCIENCE &amp; ENGINEERING</w:t>
      </w:r>
    </w:p>
    <w:p>
      <w:pPr>
        <w:spacing w:before="0" w:after="0" w:line="269" w:lineRule="auto"/>
        <w:jc w:val="center"/>
      </w:pPr>
      <w:r>
        <w:rPr>
          <w:rFonts w:ascii="Calibri" w:hAnsi="Calibri"/>
          <w:b/>
          <w:i w:val="0"/>
          <w:color w:val="64748B"/>
          <w:sz w:val="18"/>
        </w:rPr>
        <w:t>INTERNAL PROJECT REPOSITORY EVALUATION | OCTOBER 2026</w:t>
      </w:r>
    </w:p>
    <w:p>
      <w:r>
        <w:br w:type="page"/>
      </w:r>
    </w:p>
    <w:p>
      <w:pPr>
        <w:keepNext/>
        <w:spacing w:before="0" w:after="40"/>
      </w:pPr>
      <w:r>
        <w:rPr>
          <w:rFonts w:ascii="Calibri Light" w:hAnsi="Calibri Light"/>
          <w:b/>
          <w:color w:val="1E3A8A"/>
          <w:sz w:val="27"/>
        </w:rPr>
        <w:t>CERTIFICATE OF AUTHENTICITY</w:t>
      </w:r>
    </w:p>
    <w:p>
      <w:pPr>
        <w:spacing w:before="0" w:after="80" w:line="269" w:lineRule="auto"/>
        <w:jc w:val="left"/>
      </w:pPr>
      <w:r>
        <w:rPr>
          <w:rFonts w:ascii="Calibri" w:hAnsi="Calibri"/>
          <w:b w:val="0"/>
          <w:i w:val="0"/>
          <w:color w:val="1E293B"/>
          <w:sz w:val="19"/>
        </w:rPr>
        <w:t>This is to certify that the capstone project report entitled "SmartInventory: A Secure, High-Performance Internal Warehouse &amp; Inventory Management System", submitted by Shubham Kumar in partial fulfillment of the requirements for the award of Bachelor of Technology in Computer Science &amp; Engineering, is an authentic record of bonafide research and development conducted under our institutional guidance.</w:t>
      </w:r>
    </w:p>
    <w:p>
      <w:pPr>
        <w:spacing w:before="0" w:after="160" w:line="269" w:lineRule="auto"/>
        <w:jc w:val="left"/>
      </w:pPr>
      <w:r>
        <w:rPr>
          <w:rFonts w:ascii="Calibri" w:hAnsi="Calibri"/>
          <w:b w:val="0"/>
          <w:i w:val="0"/>
          <w:color w:val="1E293B"/>
          <w:sz w:val="19"/>
        </w:rPr>
        <w:t>The system demonstrates disciplined software architecture, multi-document ACID transaction boundaries, zero negative inventory enforcement, and real-time MongoDB aggregations. The results embodied in this report have not been submitted for any other degree or diploma.</w:t>
      </w:r>
    </w:p>
    <w:tbl>
      <w:tblPr>
        <w:tblW w:type="auto" w:w="0"/>
        <w:jc w:val="center"/>
        <w:tblLook w:firstColumn="1" w:firstRow="1" w:lastColumn="0" w:lastRow="0" w:noHBand="0" w:noVBand="1" w:val="04A0"/>
      </w:tblPr>
      <w:tblGrid>
        <w:gridCol w:w="4896"/>
        <w:gridCol w:w="4896"/>
      </w:tblGrid>
      <w:tr>
        <w:tc>
          <w:tcPr>
            <w:tcW w:type="dxa" w:w="4896"/>
          </w:tcPr>
          <w:p>
            <w:r>
              <w:rPr>
                <w:sz w:val="18"/>
              </w:rPr>
              <w:t>_________________________</w:t>
              <w:br/>
              <w:t>Project Supervisor</w:t>
              <w:br/>
              <w:t>Department of Computer Science</w:t>
              <w:br/>
              <w:t>Date: October 2026</w:t>
            </w:r>
          </w:p>
        </w:tc>
        <w:tc>
          <w:tcPr>
            <w:tcW w:type="dxa" w:w="4896"/>
          </w:tcPr>
          <w:p>
            <w:pPr>
              <w:jc w:val="right"/>
            </w:pPr>
            <w:r>
              <w:rPr>
                <w:sz w:val="18"/>
              </w:rPr>
              <w:t>_________________________</w:t>
              <w:br/>
              <w:t>Head of Department</w:t>
              <w:br/>
              <w:t>Department of Computer Science</w:t>
              <w:br/>
              <w:t>Institutional Seal</w:t>
            </w:r>
          </w:p>
        </w:tc>
      </w:tr>
    </w:tbl>
    <w:p>
      <w:pPr>
        <w:keepNext/>
        <w:spacing w:before="160" w:after="40"/>
      </w:pPr>
      <w:r>
        <w:rPr>
          <w:rFonts w:ascii="Calibri Light" w:hAnsi="Calibri Light"/>
          <w:b/>
          <w:color w:val="1E3A8A"/>
          <w:sz w:val="27"/>
        </w:rPr>
        <w:t>CANDIDATE'S DECLARATION</w:t>
      </w:r>
    </w:p>
    <w:p>
      <w:pPr>
        <w:spacing w:before="0" w:after="120" w:line="269" w:lineRule="auto"/>
        <w:jc w:val="left"/>
      </w:pPr>
      <w:r>
        <w:rPr>
          <w:rFonts w:ascii="Calibri" w:hAnsi="Calibri"/>
          <w:b w:val="0"/>
          <w:i w:val="0"/>
          <w:color w:val="1E293B"/>
          <w:sz w:val="19"/>
        </w:rPr>
        <w:t>I, Shubham Kumar, declare that the technical implementation, database modeling, Express middleware pipeline, and React user interface described in this document are entirely my own original work. All external citations, algorithms, and third-party dependencies have been rigorously acknowledged in accordance with academic integrity guidelines.</w:t>
      </w:r>
    </w:p>
    <w:tbl>
      <w:tblPr>
        <w:tblW w:type="auto" w:w="0"/>
        <w:jc w:val="right"/>
        <w:tblLook w:firstColumn="1" w:firstRow="1" w:lastColumn="0" w:lastRow="0" w:noHBand="0" w:noVBand="1" w:val="04A0"/>
      </w:tblPr>
      <w:tblGrid>
        <w:gridCol w:w="9792"/>
      </w:tblGrid>
      <w:tr>
        <w:tc>
          <w:tcPr>
            <w:tcW w:type="dxa" w:w="9792"/>
          </w:tcPr>
          <w:p>
            <w:pPr>
              <w:jc w:val="right"/>
            </w:pPr>
            <w:r>
              <w:rPr>
                <w:sz w:val="18"/>
              </w:rPr>
              <w:t>SHUBHAM KUMAR | B.Tech CSE</w:t>
              <w:br/>
              <w:t>Signature: ______________________</w:t>
            </w:r>
          </w:p>
        </w:tc>
      </w:tr>
    </w:tbl>
    <w:p>
      <w:pPr>
        <w:keepNext/>
        <w:spacing w:before="160" w:after="40"/>
      </w:pPr>
      <w:r>
        <w:rPr>
          <w:rFonts w:ascii="Calibri Light" w:hAnsi="Calibri Light"/>
          <w:b/>
          <w:color w:val="1E3A8A"/>
          <w:sz w:val="27"/>
        </w:rPr>
        <w:t>ACKNOWLEDGEMENTS</w:t>
      </w:r>
    </w:p>
    <w:p>
      <w:pPr>
        <w:spacing w:before="0" w:after="60" w:line="269" w:lineRule="auto"/>
        <w:jc w:val="left"/>
      </w:pPr>
      <w:r>
        <w:rPr>
          <w:rFonts w:ascii="Calibri" w:hAnsi="Calibri"/>
          <w:b w:val="0"/>
          <w:i w:val="0"/>
          <w:color w:val="1E293B"/>
          <w:sz w:val="19"/>
        </w:rPr>
        <w:t>I express my sincere gratitude to my faculty guides and professors in the Department of Computer Science &amp; Engineering for their insightful critique regarding database locking models, security headers, and aggregation pipeline design. Their feedback was essential in elevating this project to production-grade standards.</w:t>
      </w:r>
    </w:p>
    <w:p>
      <w:pPr>
        <w:spacing w:before="0" w:after="0" w:line="269" w:lineRule="auto"/>
        <w:jc w:val="left"/>
      </w:pPr>
      <w:r>
        <w:rPr>
          <w:rFonts w:ascii="Calibri" w:hAnsi="Calibri"/>
          <w:b w:val="0"/>
          <w:i w:val="0"/>
          <w:color w:val="1E293B"/>
          <w:sz w:val="19"/>
        </w:rPr>
        <w:t>I also thank my family, peers, and fellow developers whose active feedback during usability evaluations and simulated transaction testing helped refine this platform into an efficient warehouse operations tool.</w:t>
      </w:r>
    </w:p>
    <w:p>
      <w:r>
        <w:br w:type="page"/>
      </w:r>
    </w:p>
    <w:p>
      <w:pPr>
        <w:keepNext/>
        <w:spacing w:before="0" w:after="40"/>
      </w:pPr>
      <w:r>
        <w:rPr>
          <w:rFonts w:ascii="Calibri Light" w:hAnsi="Calibri Light"/>
          <w:b/>
          <w:color w:val="1E3A8A"/>
          <w:sz w:val="27"/>
        </w:rPr>
        <w:t>EXECUTIVE ABSTRACT</w:t>
      </w:r>
    </w:p>
    <w:p>
      <w:pPr>
        <w:spacing w:before="0" w:after="80" w:line="269" w:lineRule="auto"/>
        <w:jc w:val="left"/>
      </w:pPr>
      <w:r>
        <w:rPr>
          <w:rFonts w:ascii="Calibri" w:hAnsi="Calibri"/>
          <w:b w:val="0"/>
          <w:i w:val="0"/>
          <w:color w:val="1E293B"/>
          <w:sz w:val="18"/>
        </w:rPr>
        <w:t>SmartInventory is a modern internal warehouse operations platform built with the MERN stack (MongoDB, Express, React 19, Node.js). Designed specifically to resolve inventory inaccuracies, phantom stock, and audit voids caused by manual spreadsheets, the platform strips away commercial retail e-commerce overhead in favor of pure transactional velocity. Core capabilities include two-tier negative stock prevention, immutable 1-to-N stock movement audit trails, multi-document ACID transactions with automatic rollback, and sub-50ms analytics powered by MongoDB server-side aggregation pipelines ($facet, $group, $match). Security hardening includes dual authentication (BCrypt salting + Google OAuth 2.0 SSO), Helmet headers, rate limiting, and NoSQL injection sanitization.</w:t>
      </w:r>
    </w:p>
    <w:tbl>
      <w:tblPr>
        <w:tblW w:type="auto" w:w="0"/>
        <w:jc w:val="center"/>
        <w:tblLook w:firstColumn="1" w:firstRow="1" w:lastColumn="0" w:lastRow="0" w:noHBand="0" w:noVBand="1" w:val="04A0"/>
      </w:tblPr>
      <w:tblGrid>
        <w:gridCol w:w="9792"/>
      </w:tblGrid>
      <w:tr>
        <w:tc>
          <w:tcPr>
            <w:tcW w:type="dxa" w:w="9792"/>
            <w:shd w:fill="F1F5F9"/>
            <w:tcMar>
              <w:top w:w="50" w:type="dxa"/>
              <w:bottom w:w="50" w:type="dxa"/>
              <w:left w:w="110" w:type="dxa"/>
              <w:right w:w="110" w:type="dxa"/>
            </w:tcMar>
            <w:tcBorders>
              <w:top w:val="none"/>
              <w:bottom w:val="none"/>
              <w:left w:val="single" w:sz="20" w:space="0" w:color="2563EB"/>
              <w:right w:val="none"/>
            </w:tcBorders>
          </w:tcPr>
          <w:p>
            <w:pPr>
              <w:spacing w:before="20" w:after="20" w:line="269" w:lineRule="auto"/>
            </w:pPr>
            <w:r>
              <w:rPr>
                <w:rFonts w:ascii="Calibri" w:hAnsi="Calibri"/>
                <w:b/>
                <w:color w:val="2563EB"/>
                <w:sz w:val="18"/>
              </w:rPr>
              <w:t xml:space="preserve">Key Engineering Achievement: </w:t>
            </w:r>
            <w:r>
              <w:rPr>
                <w:rFonts w:ascii="Calibri" w:hAnsi="Calibri"/>
                <w:color w:val="1E293B"/>
                <w:sz w:val="18"/>
              </w:rPr>
              <w:t>Performance Benchmark: Offloading dynamic KPI calculations to MongoDB C++ aggregation pipelines reduces client data payload sizes by 99.6% compared to conventional REST endpoints, completely eliminating browser freezing on floor handhelds.</w:t>
            </w:r>
          </w:p>
        </w:tc>
      </w:tr>
    </w:tbl>
    <w:p>
      <w:pPr>
        <w:spacing w:before="0" w:after="40"/>
      </w:pPr>
    </w:p>
    <w:p>
      <w:pPr>
        <w:keepNext/>
        <w:spacing w:before="120" w:after="40"/>
      </w:pPr>
      <w:r>
        <w:rPr>
          <w:rFonts w:ascii="Calibri Light" w:hAnsi="Calibri Light"/>
          <w:b/>
          <w:color w:val="1E3A8A"/>
          <w:sz w:val="27"/>
        </w:rPr>
        <w:t>TABLE OF CONTENTS</w:t>
      </w:r>
    </w:p>
    <w:tbl>
      <w:tblPr>
        <w:tblW w:type="auto" w:w="0"/>
        <w:jc w:val="center"/>
        <w:tblLook w:firstColumn="1" w:firstRow="1" w:lastColumn="0" w:lastRow="0" w:noHBand="0" w:noVBand="1" w:val="04A0"/>
      </w:tblPr>
      <w:tblGrid>
        <w:gridCol w:w="3264"/>
        <w:gridCol w:w="3264"/>
        <w:gridCol w:w="3264"/>
      </w:tblGrid>
      <w:tr>
        <w:tc>
          <w:tcPr>
            <w:tcW w:type="dxa" w:w="1584"/>
            <w:shd w:fill="1E3A8A"/>
            <w:tcMar>
              <w:top w:w="55" w:type="dxa"/>
              <w:bottom w:w="55" w:type="dxa"/>
              <w:left w:w="75" w:type="dxa"/>
              <w:right w:w="75" w:type="dxa"/>
            </w:tcMar>
            <w:tcBorders>
              <w:top w:val="none"/>
              <w:bottom w:val="single" w:sz="10" w:space="0" w:color="1E3A8A"/>
              <w:left w:val="none"/>
              <w:right w:val="none"/>
            </w:tcBorders>
          </w:tcPr>
          <w:p>
            <w:pPr>
              <w:spacing w:before="20" w:after="20"/>
              <w:jc w:val="center"/>
            </w:pPr>
            <w:r>
              <w:rPr>
                <w:rFonts w:ascii="Calibri" w:hAnsi="Calibri"/>
                <w:b/>
                <w:color w:val="FFFFFF"/>
                <w:sz w:val="17"/>
              </w:rPr>
              <w:t>Section</w:t>
            </w:r>
          </w:p>
        </w:tc>
        <w:tc>
          <w:tcPr>
            <w:tcW w:type="dxa" w:w="6768"/>
            <w:shd w:fill="1E3A8A"/>
            <w:tcMar>
              <w:top w:w="55" w:type="dxa"/>
              <w:bottom w:w="55" w:type="dxa"/>
              <w:left w:w="75" w:type="dxa"/>
              <w:right w:w="75" w:type="dxa"/>
            </w:tcMar>
            <w:tcBorders>
              <w:top w:val="none"/>
              <w:bottom w:val="single" w:sz="10" w:space="0" w:color="1E3A8A"/>
              <w:left w:val="none"/>
              <w:right w:val="none"/>
            </w:tcBorders>
          </w:tcPr>
          <w:p>
            <w:pPr>
              <w:spacing w:before="20" w:after="20"/>
              <w:jc w:val="left"/>
            </w:pPr>
            <w:r>
              <w:rPr>
                <w:rFonts w:ascii="Calibri" w:hAnsi="Calibri"/>
                <w:b/>
                <w:color w:val="FFFFFF"/>
                <w:sz w:val="17"/>
              </w:rPr>
              <w:t>Chapter Title &amp; Core Technical Focus</w:t>
            </w:r>
          </w:p>
        </w:tc>
        <w:tc>
          <w:tcPr>
            <w:tcW w:type="dxa" w:w="1440"/>
            <w:shd w:fill="1E3A8A"/>
            <w:tcMar>
              <w:top w:w="55" w:type="dxa"/>
              <w:bottom w:w="55" w:type="dxa"/>
              <w:left w:w="75" w:type="dxa"/>
              <w:right w:w="75" w:type="dxa"/>
            </w:tcMar>
            <w:tcBorders>
              <w:top w:val="none"/>
              <w:bottom w:val="single" w:sz="10" w:space="0" w:color="1E3A8A"/>
              <w:left w:val="none"/>
              <w:right w:val="none"/>
            </w:tcBorders>
          </w:tcPr>
          <w:p>
            <w:pPr>
              <w:spacing w:before="20" w:after="20"/>
              <w:jc w:val="center"/>
            </w:pPr>
            <w:r>
              <w:rPr>
                <w:rFonts w:ascii="Calibri" w:hAnsi="Calibri"/>
                <w:b/>
                <w:color w:val="FFFFFF"/>
                <w:sz w:val="17"/>
              </w:rPr>
              <w:t>Location</w:t>
            </w:r>
          </w:p>
        </w:tc>
      </w:tr>
      <w:tr>
        <w:tc>
          <w:tcPr>
            <w:tcW w:type="dxa" w:w="1584"/>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Chapter 1</w:t>
            </w:r>
          </w:p>
        </w:tc>
        <w:tc>
          <w:tcPr>
            <w:tcW w:type="dxa" w:w="6768"/>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Introduction, Problem Definition &amp; Project Scope</w:t>
            </w:r>
          </w:p>
        </w:tc>
        <w:tc>
          <w:tcPr>
            <w:tcW w:type="dxa" w:w="1440"/>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Page 04</w:t>
            </w:r>
          </w:p>
        </w:tc>
      </w:tr>
      <w:tr>
        <w:tc>
          <w:tcPr>
            <w:tcW w:type="dxa" w:w="1584"/>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Chapter 2</w:t>
            </w:r>
          </w:p>
        </w:tc>
        <w:tc>
          <w:tcPr>
            <w:tcW w:type="dxa" w:w="6768"/>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Literature Survey, Industrial Benchmarks &amp; Comparative Study</w:t>
            </w:r>
          </w:p>
        </w:tc>
        <w:tc>
          <w:tcPr>
            <w:tcW w:type="dxa" w:w="1440"/>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Page 05</w:t>
            </w:r>
          </w:p>
        </w:tc>
      </w:tr>
      <w:tr>
        <w:tc>
          <w:tcPr>
            <w:tcW w:type="dxa" w:w="1584"/>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Chapter 3</w:t>
            </w:r>
          </w:p>
        </w:tc>
        <w:tc>
          <w:tcPr>
            <w:tcW w:type="dxa" w:w="6768"/>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System Requirements Specification &amp; Feasibility Study</w:t>
            </w:r>
          </w:p>
        </w:tc>
        <w:tc>
          <w:tcPr>
            <w:tcW w:type="dxa" w:w="1440"/>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Page 06</w:t>
            </w:r>
          </w:p>
        </w:tc>
      </w:tr>
      <w:tr>
        <w:tc>
          <w:tcPr>
            <w:tcW w:type="dxa" w:w="1584"/>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Chapter 4</w:t>
            </w:r>
          </w:p>
        </w:tc>
        <w:tc>
          <w:tcPr>
            <w:tcW w:type="dxa" w:w="6768"/>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System Architecture &amp; High-Level Workflow Design</w:t>
            </w:r>
          </w:p>
        </w:tc>
        <w:tc>
          <w:tcPr>
            <w:tcW w:type="dxa" w:w="1440"/>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Page 07</w:t>
            </w:r>
          </w:p>
        </w:tc>
      </w:tr>
      <w:tr>
        <w:tc>
          <w:tcPr>
            <w:tcW w:type="dxa" w:w="1584"/>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Chapter 5</w:t>
            </w:r>
          </w:p>
        </w:tc>
        <w:tc>
          <w:tcPr>
            <w:tcW w:type="dxa" w:w="6768"/>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Database Schema Design &amp; Entity-Relationship Modeling</w:t>
            </w:r>
          </w:p>
        </w:tc>
        <w:tc>
          <w:tcPr>
            <w:tcW w:type="dxa" w:w="1440"/>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Page 08</w:t>
            </w:r>
          </w:p>
        </w:tc>
      </w:tr>
      <w:tr>
        <w:tc>
          <w:tcPr>
            <w:tcW w:type="dxa" w:w="1584"/>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Chapter 6</w:t>
            </w:r>
          </w:p>
        </w:tc>
        <w:tc>
          <w:tcPr>
            <w:tcW w:type="dxa" w:w="6768"/>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Core Business Logic, Stock Transactions &amp; Negative Stock Guard</w:t>
            </w:r>
          </w:p>
        </w:tc>
        <w:tc>
          <w:tcPr>
            <w:tcW w:type="dxa" w:w="1440"/>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Page 09</w:t>
            </w:r>
          </w:p>
        </w:tc>
      </w:tr>
      <w:tr>
        <w:tc>
          <w:tcPr>
            <w:tcW w:type="dxa" w:w="1584"/>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Chapter 7</w:t>
            </w:r>
          </w:p>
        </w:tc>
        <w:tc>
          <w:tcPr>
            <w:tcW w:type="dxa" w:w="6768"/>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Real-Time Aggregation Analytics &amp; RESTful API Specifications</w:t>
            </w:r>
          </w:p>
        </w:tc>
        <w:tc>
          <w:tcPr>
            <w:tcW w:type="dxa" w:w="1440"/>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Page 10</w:t>
            </w:r>
          </w:p>
        </w:tc>
      </w:tr>
      <w:tr>
        <w:tc>
          <w:tcPr>
            <w:tcW w:type="dxa" w:w="1584"/>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Chapter 8</w:t>
            </w:r>
          </w:p>
        </w:tc>
        <w:tc>
          <w:tcPr>
            <w:tcW w:type="dxa" w:w="6768"/>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Security Architecture, Authentication &amp; Quality Assurance</w:t>
            </w:r>
          </w:p>
        </w:tc>
        <w:tc>
          <w:tcPr>
            <w:tcW w:type="dxa" w:w="1440"/>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Page 11</w:t>
            </w:r>
          </w:p>
        </w:tc>
      </w:tr>
      <w:tr>
        <w:tc>
          <w:tcPr>
            <w:tcW w:type="dxa" w:w="1584"/>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Chapter 9</w:t>
            </w:r>
          </w:p>
        </w:tc>
        <w:tc>
          <w:tcPr>
            <w:tcW w:type="dxa" w:w="6768"/>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Practical Engineering Challenges, Mitigations &amp; Scalability</w:t>
            </w:r>
          </w:p>
        </w:tc>
        <w:tc>
          <w:tcPr>
            <w:tcW w:type="dxa" w:w="1440"/>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Page 12</w:t>
            </w:r>
          </w:p>
        </w:tc>
      </w:tr>
      <w:tr>
        <w:tc>
          <w:tcPr>
            <w:tcW w:type="dxa" w:w="1584"/>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Chapter 10</w:t>
            </w:r>
          </w:p>
        </w:tc>
        <w:tc>
          <w:tcPr>
            <w:tcW w:type="dxa" w:w="6768"/>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Conclusion, Technical Takeaways &amp; Comprehensive References</w:t>
            </w:r>
          </w:p>
        </w:tc>
        <w:tc>
          <w:tcPr>
            <w:tcW w:type="dxa" w:w="1440"/>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Page 13</w:t>
            </w:r>
          </w:p>
        </w:tc>
      </w:tr>
    </w:tbl>
    <w:p>
      <w:pPr>
        <w:spacing w:before="0" w:after="50"/>
      </w:pPr>
    </w:p>
    <w:p>
      <w:pPr>
        <w:keepNext/>
        <w:spacing w:before="60" w:after="30"/>
      </w:pPr>
      <w:r>
        <w:rPr>
          <w:rFonts w:ascii="Calibri" w:hAnsi="Calibri"/>
          <w:b/>
          <w:color w:val="1E3A8A"/>
          <w:sz w:val="21"/>
        </w:rPr>
        <w:t>LIST OF EMBEDDED SYSTEM DIAGRAMS &amp; SPECIFICATION MATRICES</w:t>
      </w:r>
    </w:p>
    <w:p>
      <w:pPr>
        <w:spacing w:before="0" w:after="0" w:line="269" w:lineRule="auto"/>
        <w:jc w:val="left"/>
      </w:pPr>
      <w:r>
        <w:rPr>
          <w:rFonts w:ascii="Calibri" w:hAnsi="Calibri"/>
          <w:b w:val="0"/>
          <w:i w:val="0"/>
          <w:color w:val="64748B"/>
          <w:sz w:val="17"/>
        </w:rPr>
        <w:t>• Figure 4.1: Three-Tier Decoupled System Architecture and Security Middleware Pipeline (Page 7)</w:t>
        <w:br/>
        <w:t>• Figure 5.1: MongoDB Relational Entity-Relationship Diagram and Foreign-Key Linkages (Page 8)</w:t>
        <w:br/>
        <w:t>• Figure 6.1: Atomic Stock Transaction Lifecycle and Negative Stock Prevention Flowchart (Page 9)</w:t>
        <w:br/>
        <w:t>• Table 2.1: Multi-Dimensional System Benchmark | Table 7.1: RESTful API Directory | Table 8.1: Test Suite</w:t>
      </w:r>
    </w:p>
    <w:p>
      <w:r>
        <w:br w:type="page"/>
      </w:r>
    </w:p>
    <w:p>
      <w:pPr>
        <w:keepNext/>
        <w:spacing w:before="0" w:after="40"/>
      </w:pPr>
      <w:r>
        <w:rPr>
          <w:rFonts w:ascii="Calibri Light" w:hAnsi="Calibri Light"/>
          <w:b/>
          <w:color w:val="1E3A8A"/>
          <w:sz w:val="27"/>
        </w:rPr>
        <w:t>CHAPTER 1: INTRODUCTION &amp; PROBLEM DEFINITION</w:t>
      </w:r>
    </w:p>
    <w:p>
      <w:pPr>
        <w:keepNext/>
        <w:spacing w:before="40" w:after="30"/>
      </w:pPr>
      <w:r>
        <w:rPr>
          <w:rFonts w:ascii="Calibri" w:hAnsi="Calibri"/>
          <w:b/>
          <w:color w:val="1E3A8A"/>
          <w:sz w:val="21"/>
        </w:rPr>
        <w:t>1.1 Background &amp; Context of Internal Warehouse Management</w:t>
      </w:r>
    </w:p>
    <w:p>
      <w:pPr>
        <w:spacing w:before="0" w:after="70" w:line="269" w:lineRule="auto"/>
        <w:jc w:val="left"/>
      </w:pPr>
      <w:r>
        <w:rPr>
          <w:rFonts w:ascii="Calibri" w:hAnsi="Calibri"/>
          <w:b w:val="0"/>
          <w:i w:val="0"/>
          <w:color w:val="1E293B"/>
          <w:sz w:val="19"/>
        </w:rPr>
        <w:t>In supply chain and manufacturing ecosystems, internal inventory control represents the primary operational barrier between profitability and logistical failure. While multinational enterprises often deploy expensive Enterprise Resource Planning (ERP) systems such as SAP S/4HANA or Oracle NetSuite, mid-sized enterprises, regional distribution hubs, and educational workshops find themselves alienated by the overwhelming complexity, steep license tariffs, and excessive retail e-commerce baggage of such platforms. Consequently, an overwhelming proportion of internal operations still manage high-value physical assets using fragile spreadsheets or informal paper logbooks.</w:t>
      </w:r>
    </w:p>
    <w:p>
      <w:pPr>
        <w:keepNext/>
        <w:spacing w:before="60" w:after="30"/>
      </w:pPr>
      <w:r>
        <w:rPr>
          <w:rFonts w:ascii="Calibri" w:hAnsi="Calibri"/>
          <w:b/>
          <w:color w:val="1E3A8A"/>
          <w:sz w:val="21"/>
        </w:rPr>
        <w:t>1.2 The Problem Statement: Fragility of Traditional Approaches</w:t>
      </w:r>
    </w:p>
    <w:p>
      <w:pPr>
        <w:spacing w:before="0" w:after="70" w:line="269" w:lineRule="auto"/>
        <w:jc w:val="left"/>
      </w:pPr>
      <w:r>
        <w:rPr>
          <w:rFonts w:ascii="Calibri" w:hAnsi="Calibri"/>
          <w:b w:val="0"/>
          <w:i w:val="0"/>
          <w:color w:val="1E293B"/>
          <w:sz w:val="19"/>
        </w:rPr>
        <w:t>Empirical investigation of manual and spreadsheet-based inventory practices reveals severe failure vectors:</w:t>
        <w:br/>
        <w:t>1. Concurrency Anomalies &amp; Phantom Inventory: When multiple warehouse floor clerks record outgoing goods simultaneously, shared spreadsheets fail to enforce atomic row locks. This causes race conditions where two operators dispatch the last remaining stock, resulting in severe negative stock.</w:t>
        <w:br/>
        <w:t>2. Zero Traceability &amp; Audit Voids: Spreadsheets allow operators to arbitrarily edit cell quantities without preserving an immutable historical log of who authorized the withdrawal, what supplier delivered the batch, or why adjustments occurred.</w:t>
        <w:br/>
        <w:t>3. Computational Latency at Scale: Commercial inventory web apps frequently dump thousands of raw database documents into the browser DOM to compute metrics (e.g. Total Valuation, Low-Stock counts), triggering browser crashes on low-spec handheld warehouse terminals.</w:t>
      </w:r>
    </w:p>
    <w:p>
      <w:pPr>
        <w:keepNext/>
        <w:spacing w:before="60" w:after="30"/>
      </w:pPr>
      <w:r>
        <w:rPr>
          <w:rFonts w:ascii="Calibri" w:hAnsi="Calibri"/>
          <w:b/>
          <w:color w:val="1E3A8A"/>
          <w:sz w:val="21"/>
        </w:rPr>
        <w:t>1.3 Motivation &amp; Core Philosophy: Zero-Bloat Internal Velocity</w:t>
      </w:r>
    </w:p>
    <w:p>
      <w:pPr>
        <w:spacing w:before="0" w:after="70" w:line="269" w:lineRule="auto"/>
        <w:jc w:val="left"/>
      </w:pPr>
      <w:r>
        <w:rPr>
          <w:rFonts w:ascii="Calibri" w:hAnsi="Calibri"/>
          <w:b w:val="0"/>
          <w:i w:val="0"/>
          <w:color w:val="1E293B"/>
          <w:sz w:val="19"/>
        </w:rPr>
        <w:t>The foundational motivation for SmartInventory was to engineer a purpose-built, high-velocity internal warehouse platform that strips away commercial retail bloat (shopping carts, customer checkout funnels, promotional coupon codes) in favor of uncompromising operational rigor. Every design decision—from two-tier negative stock validation to Mongoose transaction rollback sessions—is laser-focused on warehouse accuracy, data permanence, and audit certainty.</w:t>
      </w:r>
    </w:p>
    <w:p>
      <w:pPr>
        <w:keepNext/>
        <w:spacing w:before="60" w:after="30"/>
      </w:pPr>
      <w:r>
        <w:rPr>
          <w:rFonts w:ascii="Calibri" w:hAnsi="Calibri"/>
          <w:b/>
          <w:color w:val="1E3A8A"/>
          <w:sz w:val="21"/>
        </w:rPr>
        <w:t>1.4 Concrete Project Objectives &amp; Boundaries</w:t>
      </w:r>
    </w:p>
    <w:p>
      <w:pPr>
        <w:spacing w:before="0" w:after="70" w:line="269" w:lineRule="auto"/>
        <w:jc w:val="left"/>
      </w:pPr>
      <w:r>
        <w:rPr>
          <w:rFonts w:ascii="Calibri" w:hAnsi="Calibri"/>
          <w:b w:val="0"/>
          <w:i w:val="0"/>
          <w:color w:val="1E293B"/>
          <w:sz w:val="19"/>
        </w:rPr>
        <w:t>The specific engineering goals executed within this capstone project comprise:</w:t>
        <w:br/>
        <w:t>• Guaranteed Ledger Integrity: Implementation of an immutable StockMovement journal recording every single unit delta alongside user identity, reference numbers, and timestamps.</w:t>
        <w:br/>
        <w:t>• High-Performance Analytics: Offloading all dashboard KPI calculations to MongoDB Aggregation Pipelines to achieve sub-50ms query response times under high data volume.</w:t>
        <w:br/>
        <w:t>• Strict Role-Based Security: Enforcing distinct privilege tiers (ADMIN, INVENTORY_MANAGER, VIEWER) at both the Express API gateway and the React client routing levels.</w:t>
        <w:br/>
        <w:t>• Fault-Tolerant Product Management: Implementing soft-deletion mechanisms to prevent catastrophic foreign-key orphaned ledger records when products are decommissioned.</w:t>
      </w:r>
    </w:p>
    <w:tbl>
      <w:tblPr>
        <w:tblW w:type="auto" w:w="0"/>
        <w:jc w:val="center"/>
        <w:tblLook w:firstColumn="1" w:firstRow="1" w:lastColumn="0" w:lastRow="0" w:noHBand="0" w:noVBand="1" w:val="04A0"/>
      </w:tblPr>
      <w:tblGrid>
        <w:gridCol w:w="9792"/>
      </w:tblGrid>
      <w:tr>
        <w:tc>
          <w:tcPr>
            <w:tcW w:type="dxa" w:w="9792"/>
            <w:shd w:fill="F1F5F9"/>
            <w:tcMar>
              <w:top w:w="50" w:type="dxa"/>
              <w:bottom w:w="50" w:type="dxa"/>
              <w:left w:w="110" w:type="dxa"/>
              <w:right w:w="110" w:type="dxa"/>
            </w:tcMar>
            <w:tcBorders>
              <w:top w:val="none"/>
              <w:bottom w:val="none"/>
              <w:left w:val="single" w:sz="20" w:space="0" w:color="2563EB"/>
              <w:right w:val="none"/>
            </w:tcBorders>
          </w:tcPr>
          <w:p>
            <w:pPr>
              <w:spacing w:before="20" w:after="20" w:line="269" w:lineRule="auto"/>
            </w:pPr>
            <w:r>
              <w:rPr>
                <w:rFonts w:ascii="Calibri" w:hAnsi="Calibri"/>
                <w:b/>
                <w:color w:val="2563EB"/>
                <w:sz w:val="18"/>
              </w:rPr>
              <w:t xml:space="preserve">Operational Boundary: </w:t>
            </w:r>
            <w:r>
              <w:rPr>
                <w:rFonts w:ascii="Calibri" w:hAnsi="Calibri"/>
                <w:color w:val="1E293B"/>
                <w:sz w:val="18"/>
              </w:rPr>
              <w:t>System Scope: SmartInventory is explicitly targeted as an internal back-office and warehouse floor operations platform. Public customer-facing storefronts and external payment gateways are deliberately excluded from scope to preserve peak warehouse transactional throughput.</w:t>
            </w:r>
          </w:p>
        </w:tc>
      </w:tr>
    </w:tbl>
    <w:p>
      <w:pPr>
        <w:spacing w:before="0" w:after="40"/>
      </w:pPr>
    </w:p>
    <w:p>
      <w:r>
        <w:br w:type="page"/>
      </w:r>
    </w:p>
    <w:p>
      <w:pPr>
        <w:keepNext/>
        <w:spacing w:before="0" w:after="40"/>
      </w:pPr>
      <w:r>
        <w:rPr>
          <w:rFonts w:ascii="Calibri Light" w:hAnsi="Calibri Light"/>
          <w:b/>
          <w:color w:val="1E3A8A"/>
          <w:sz w:val="27"/>
        </w:rPr>
        <w:t>CHAPTER 2: LITERATURE SURVEY &amp; COMPARATIVE STUDY</w:t>
      </w:r>
    </w:p>
    <w:p>
      <w:pPr>
        <w:keepNext/>
        <w:spacing w:before="40" w:after="30"/>
      </w:pPr>
      <w:r>
        <w:rPr>
          <w:rFonts w:ascii="Calibri" w:hAnsi="Calibri"/>
          <w:b/>
          <w:color w:val="1E3A8A"/>
          <w:sz w:val="21"/>
        </w:rPr>
        <w:t>2.1 Critical Evaluation of Existing Industry Solutions</w:t>
      </w:r>
    </w:p>
    <w:p>
      <w:pPr>
        <w:spacing w:before="0" w:after="70" w:line="269" w:lineRule="auto"/>
        <w:jc w:val="left"/>
      </w:pPr>
      <w:r>
        <w:rPr>
          <w:rFonts w:ascii="Calibri" w:hAnsi="Calibri"/>
          <w:b w:val="0"/>
          <w:i w:val="0"/>
          <w:color w:val="1E293B"/>
          <w:sz w:val="19"/>
        </w:rPr>
        <w:t>Prior to architectural drafting, a thorough review of contemporary inventory systems was performed. The landscape naturally segments into three categories: Manual/Desktop Spreadsheets, Monolithic Enterprise ERPs, and Generic Cloud SaaS Inventory systems. Each presents severe trade-offs when evaluated against internal warehousing requirements.</w:t>
      </w:r>
    </w:p>
    <w:p>
      <w:pPr>
        <w:keepNext/>
        <w:spacing w:before="60" w:after="30"/>
      </w:pPr>
      <w:r>
        <w:rPr>
          <w:rFonts w:ascii="Calibri" w:hAnsi="Calibri"/>
          <w:b/>
          <w:color w:val="1E3A8A"/>
          <w:sz w:val="21"/>
        </w:rPr>
        <w:t>2.2 Multi-Dimensional Industrial Benchmark Matrix</w:t>
      </w:r>
    </w:p>
    <w:tbl>
      <w:tblPr>
        <w:tblW w:type="auto" w:w="0"/>
        <w:jc w:val="center"/>
        <w:tblLook w:firstColumn="1" w:firstRow="1" w:lastColumn="0" w:lastRow="0" w:noHBand="0" w:noVBand="1" w:val="04A0"/>
      </w:tblPr>
      <w:tblGrid>
        <w:gridCol w:w="1958"/>
        <w:gridCol w:w="1958"/>
        <w:gridCol w:w="1958"/>
        <w:gridCol w:w="1958"/>
        <w:gridCol w:w="1958"/>
      </w:tblGrid>
      <w:tr>
        <w:tc>
          <w:tcPr>
            <w:tcW w:type="dxa" w:w="1872"/>
            <w:shd w:fill="1E3A8A"/>
            <w:tcMar>
              <w:top w:w="55" w:type="dxa"/>
              <w:bottom w:w="55" w:type="dxa"/>
              <w:left w:w="75" w:type="dxa"/>
              <w:right w:w="75" w:type="dxa"/>
            </w:tcMar>
            <w:tcBorders>
              <w:top w:val="none"/>
              <w:bottom w:val="single" w:sz="10" w:space="0" w:color="1E3A8A"/>
              <w:left w:val="none"/>
              <w:right w:val="none"/>
            </w:tcBorders>
          </w:tcPr>
          <w:p>
            <w:pPr>
              <w:spacing w:before="20" w:after="20"/>
              <w:jc w:val="left"/>
            </w:pPr>
            <w:r>
              <w:rPr>
                <w:rFonts w:ascii="Calibri" w:hAnsi="Calibri"/>
                <w:b/>
                <w:color w:val="FFFFFF"/>
                <w:sz w:val="17"/>
              </w:rPr>
              <w:t>Evaluation Metric</w:t>
            </w:r>
          </w:p>
        </w:tc>
        <w:tc>
          <w:tcPr>
            <w:tcW w:type="dxa" w:w="1872"/>
            <w:shd w:fill="1E3A8A"/>
            <w:tcMar>
              <w:top w:w="55" w:type="dxa"/>
              <w:bottom w:w="55" w:type="dxa"/>
              <w:left w:w="75" w:type="dxa"/>
              <w:right w:w="75" w:type="dxa"/>
            </w:tcMar>
            <w:tcBorders>
              <w:top w:val="none"/>
              <w:bottom w:val="single" w:sz="10" w:space="0" w:color="1E3A8A"/>
              <w:left w:val="none"/>
              <w:right w:val="none"/>
            </w:tcBorders>
          </w:tcPr>
          <w:p>
            <w:pPr>
              <w:spacing w:before="20" w:after="20"/>
              <w:jc w:val="center"/>
            </w:pPr>
            <w:r>
              <w:rPr>
                <w:rFonts w:ascii="Calibri" w:hAnsi="Calibri"/>
                <w:b/>
                <w:color w:val="FFFFFF"/>
                <w:sz w:val="17"/>
              </w:rPr>
              <w:t>Manual Excel / Sheets</w:t>
            </w:r>
          </w:p>
        </w:tc>
        <w:tc>
          <w:tcPr>
            <w:tcW w:type="dxa" w:w="2016"/>
            <w:shd w:fill="1E3A8A"/>
            <w:tcMar>
              <w:top w:w="55" w:type="dxa"/>
              <w:bottom w:w="55" w:type="dxa"/>
              <w:left w:w="75" w:type="dxa"/>
              <w:right w:w="75" w:type="dxa"/>
            </w:tcMar>
            <w:tcBorders>
              <w:top w:val="none"/>
              <w:bottom w:val="single" w:sz="10" w:space="0" w:color="1E3A8A"/>
              <w:left w:val="none"/>
              <w:right w:val="none"/>
            </w:tcBorders>
          </w:tcPr>
          <w:p>
            <w:pPr>
              <w:spacing w:before="20" w:after="20"/>
              <w:jc w:val="center"/>
            </w:pPr>
            <w:r>
              <w:rPr>
                <w:rFonts w:ascii="Calibri" w:hAnsi="Calibri"/>
                <w:b/>
                <w:color w:val="FFFFFF"/>
                <w:sz w:val="17"/>
              </w:rPr>
              <w:t>Monolithic ERP (SAP/Oracle)</w:t>
            </w:r>
          </w:p>
        </w:tc>
        <w:tc>
          <w:tcPr>
            <w:tcW w:type="dxa" w:w="1872"/>
            <w:shd w:fill="1E3A8A"/>
            <w:tcMar>
              <w:top w:w="55" w:type="dxa"/>
              <w:bottom w:w="55" w:type="dxa"/>
              <w:left w:w="75" w:type="dxa"/>
              <w:right w:w="75" w:type="dxa"/>
            </w:tcMar>
            <w:tcBorders>
              <w:top w:val="none"/>
              <w:bottom w:val="single" w:sz="10" w:space="0" w:color="1E3A8A"/>
              <w:left w:val="none"/>
              <w:right w:val="none"/>
            </w:tcBorders>
          </w:tcPr>
          <w:p>
            <w:pPr>
              <w:spacing w:before="20" w:after="20"/>
              <w:jc w:val="center"/>
            </w:pPr>
            <w:r>
              <w:rPr>
                <w:rFonts w:ascii="Calibri" w:hAnsi="Calibri"/>
                <w:b/>
                <w:color w:val="FFFFFF"/>
                <w:sz w:val="17"/>
              </w:rPr>
              <w:t>Generic Cloud SaaS</w:t>
            </w:r>
          </w:p>
        </w:tc>
        <w:tc>
          <w:tcPr>
            <w:tcW w:type="dxa" w:w="2160"/>
            <w:shd w:fill="1E3A8A"/>
            <w:tcMar>
              <w:top w:w="55" w:type="dxa"/>
              <w:bottom w:w="55" w:type="dxa"/>
              <w:left w:w="75" w:type="dxa"/>
              <w:right w:w="75" w:type="dxa"/>
            </w:tcMar>
            <w:tcBorders>
              <w:top w:val="none"/>
              <w:bottom w:val="single" w:sz="10" w:space="0" w:color="1E3A8A"/>
              <w:left w:val="none"/>
              <w:right w:val="none"/>
            </w:tcBorders>
          </w:tcPr>
          <w:p>
            <w:pPr>
              <w:spacing w:before="20" w:after="20"/>
              <w:jc w:val="center"/>
            </w:pPr>
            <w:r>
              <w:rPr>
                <w:rFonts w:ascii="Calibri" w:hAnsi="Calibri"/>
                <w:b/>
                <w:color w:val="FFFFFF"/>
                <w:sz w:val="17"/>
              </w:rPr>
              <w:t>SmartInventory (MERN)</w:t>
            </w:r>
          </w:p>
        </w:tc>
      </w:tr>
      <w:tr>
        <w:tc>
          <w:tcPr>
            <w:tcW w:type="dxa" w:w="1872"/>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Setup &amp; Licensing</w:t>
            </w:r>
          </w:p>
        </w:tc>
        <w:tc>
          <w:tcPr>
            <w:tcW w:type="dxa" w:w="1872"/>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Low cost / Ad-hoc</w:t>
            </w:r>
          </w:p>
        </w:tc>
        <w:tc>
          <w:tcPr>
            <w:tcW w:type="dxa" w:w="2016"/>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Extremely High ($50k+/yr)</w:t>
            </w:r>
          </w:p>
        </w:tc>
        <w:tc>
          <w:tcPr>
            <w:tcW w:type="dxa" w:w="1872"/>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Recurring monthly per-user</w:t>
            </w:r>
          </w:p>
        </w:tc>
        <w:tc>
          <w:tcPr>
            <w:tcW w:type="dxa" w:w="2160"/>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Zero license / Open-Source</w:t>
            </w:r>
          </w:p>
        </w:tc>
      </w:tr>
      <w:tr>
        <w:tc>
          <w:tcPr>
            <w:tcW w:type="dxa" w:w="1872"/>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Negative Stock Prevention</w:t>
            </w:r>
          </w:p>
        </w:tc>
        <w:tc>
          <w:tcPr>
            <w:tcW w:type="dxa" w:w="1872"/>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None (Human prone)</w:t>
            </w:r>
          </w:p>
        </w:tc>
        <w:tc>
          <w:tcPr>
            <w:tcW w:type="dxa" w:w="2016"/>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Rigid, requires heavy setup</w:t>
            </w:r>
          </w:p>
        </w:tc>
        <w:tc>
          <w:tcPr>
            <w:tcW w:type="dxa" w:w="1872"/>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Partial (Soft warnings)</w:t>
            </w:r>
          </w:p>
        </w:tc>
        <w:tc>
          <w:tcPr>
            <w:tcW w:type="dxa" w:w="2160"/>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Enforced (DB Session Locks)</w:t>
            </w:r>
          </w:p>
        </w:tc>
      </w:tr>
      <w:tr>
        <w:tc>
          <w:tcPr>
            <w:tcW w:type="dxa" w:w="1872"/>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Real-time Audit Ledger</w:t>
            </w:r>
          </w:p>
        </w:tc>
        <w:tc>
          <w:tcPr>
            <w:tcW w:type="dxa" w:w="1872"/>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None (Cell overwrite)</w:t>
            </w:r>
          </w:p>
        </w:tc>
        <w:tc>
          <w:tcPr>
            <w:tcW w:type="dxa" w:w="2016"/>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Complex, table-heavy logs</w:t>
            </w:r>
          </w:p>
        </w:tc>
        <w:tc>
          <w:tcPr>
            <w:tcW w:type="dxa" w:w="1872"/>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Truncated activity feed</w:t>
            </w:r>
          </w:p>
        </w:tc>
        <w:tc>
          <w:tcPr>
            <w:tcW w:type="dxa" w:w="2160"/>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Immutable 1-to-N Ledger</w:t>
            </w:r>
          </w:p>
        </w:tc>
      </w:tr>
      <w:tr>
        <w:tc>
          <w:tcPr>
            <w:tcW w:type="dxa" w:w="1872"/>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Analytical Latency</w:t>
            </w:r>
          </w:p>
        </w:tc>
        <w:tc>
          <w:tcPr>
            <w:tcW w:type="dxa" w:w="1872"/>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O(N) Client recalculation</w:t>
            </w:r>
          </w:p>
        </w:tc>
        <w:tc>
          <w:tcPr>
            <w:tcW w:type="dxa" w:w="2016"/>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Batched overnight jobs</w:t>
            </w:r>
          </w:p>
        </w:tc>
        <w:tc>
          <w:tcPr>
            <w:tcW w:type="dxa" w:w="1872"/>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Variable API round-trips</w:t>
            </w:r>
          </w:p>
        </w:tc>
        <w:tc>
          <w:tcPr>
            <w:tcW w:type="dxa" w:w="2160"/>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Sub-50ms MongoDB Aggregation</w:t>
            </w:r>
          </w:p>
        </w:tc>
      </w:tr>
      <w:tr>
        <w:tc>
          <w:tcPr>
            <w:tcW w:type="dxa" w:w="1872"/>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Operational Footprint</w:t>
            </w:r>
          </w:p>
        </w:tc>
        <w:tc>
          <w:tcPr>
            <w:tcW w:type="dxa" w:w="1872"/>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Fragile local files</w:t>
            </w:r>
          </w:p>
        </w:tc>
        <w:tc>
          <w:tcPr>
            <w:tcW w:type="dxa" w:w="2016"/>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Massive server infrastructure</w:t>
            </w:r>
          </w:p>
        </w:tc>
        <w:tc>
          <w:tcPr>
            <w:tcW w:type="dxa" w:w="1872"/>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High external dependency</w:t>
            </w:r>
          </w:p>
        </w:tc>
        <w:tc>
          <w:tcPr>
            <w:tcW w:type="dxa" w:w="2160"/>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Lightweight Docker/Cloud Node</w:t>
            </w:r>
          </w:p>
        </w:tc>
      </w:tr>
      <w:tr>
        <w:tc>
          <w:tcPr>
            <w:tcW w:type="dxa" w:w="1872"/>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Access Control (RBAC)</w:t>
            </w:r>
          </w:p>
        </w:tc>
        <w:tc>
          <w:tcPr>
            <w:tcW w:type="dxa" w:w="1872"/>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Password-protected file</w:t>
            </w:r>
          </w:p>
        </w:tc>
        <w:tc>
          <w:tcPr>
            <w:tcW w:type="dxa" w:w="2016"/>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Over-engineered complexity</w:t>
            </w:r>
          </w:p>
        </w:tc>
        <w:tc>
          <w:tcPr>
            <w:tcW w:type="dxa" w:w="1872"/>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Basic viewer/editor</w:t>
            </w:r>
          </w:p>
        </w:tc>
        <w:tc>
          <w:tcPr>
            <w:tcW w:type="dxa" w:w="2160"/>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Granular JWT + Role Guards</w:t>
            </w:r>
          </w:p>
        </w:tc>
      </w:tr>
    </w:tbl>
    <w:p>
      <w:pPr>
        <w:spacing w:before="0" w:after="50"/>
      </w:pPr>
    </w:p>
    <w:p>
      <w:pPr>
        <w:keepNext/>
        <w:spacing w:before="60" w:after="30"/>
      </w:pPr>
      <w:r>
        <w:rPr>
          <w:rFonts w:ascii="Calibri" w:hAnsi="Calibri"/>
          <w:b/>
          <w:color w:val="1E3A8A"/>
          <w:sz w:val="21"/>
        </w:rPr>
        <w:t>2.3 Identification of Architectural Deficiencies in Prior Art</w:t>
      </w:r>
    </w:p>
    <w:p>
      <w:pPr>
        <w:spacing w:before="0" w:after="70" w:line="269" w:lineRule="auto"/>
        <w:jc w:val="left"/>
      </w:pPr>
      <w:r>
        <w:rPr>
          <w:rFonts w:ascii="Calibri" w:hAnsi="Calibri"/>
          <w:b w:val="0"/>
          <w:i w:val="0"/>
          <w:color w:val="1E293B"/>
          <w:sz w:val="19"/>
        </w:rPr>
        <w:t>1. The Spreadsheet Concurrency Fallacy: Spreadsheets cannot handle simultaneous asynchronous writes across warehouse loading bays. When two operators attempt to withdraw goods from the same stock line, race conditions inevitably corrupt total counts.</w:t>
        <w:br/>
        <w:t>2. The Monolithic Complexity Trap: Enterprise ERPs require months of dedicated consultant training. Warehouse staff frequently bypass the software entirely and maintain separate offline scratchpads because entering a simple Stock IN receipt requires navigating 15 mandatory form fields.</w:t>
        <w:br/>
        <w:t>3. The Frontend Computation Anti-Pattern: Many modern web-based inventory SaaS tools rely on naive REST endpoints that return thousands of product documents (`SELECT * FROM products`), forcing the client's browser to loop through arrays to compute total valuation. This exhausts memory on mobile barcode terminals.</w:t>
      </w:r>
    </w:p>
    <w:p>
      <w:pPr>
        <w:keepNext/>
        <w:spacing w:before="60" w:after="30"/>
      </w:pPr>
      <w:r>
        <w:rPr>
          <w:rFonts w:ascii="Calibri" w:hAnsi="Calibri"/>
          <w:b/>
          <w:color w:val="1E3A8A"/>
          <w:sz w:val="21"/>
        </w:rPr>
        <w:t>2.4 Proposed Architectural Innovations in SmartInventory</w:t>
      </w:r>
    </w:p>
    <w:p>
      <w:pPr>
        <w:spacing w:before="0" w:after="0" w:line="269" w:lineRule="auto"/>
        <w:jc w:val="left"/>
      </w:pPr>
      <w:r>
        <w:rPr>
          <w:rFonts w:ascii="Calibri" w:hAnsi="Calibri"/>
          <w:b w:val="0"/>
          <w:i w:val="0"/>
          <w:color w:val="1E293B"/>
          <w:sz w:val="19"/>
        </w:rPr>
        <w:t>To overcome these deficiencies, SmartInventory introduces three core architectural paradigms:</w:t>
        <w:br/>
        <w:t>• Atomic Multi-Document Transactions: Wrapping inventory decrements and ledger creation inside native Mongoose database sessions, ensuring that a network interruption cannot deduct physical stock without writing an audit movement record.</w:t>
        <w:br/>
        <w:t>• Server-Side Aggregation Pipelines: Utilizing MongoDB's `$facet` stage to execute multi-dimensional statistical queries (total valuation, low-stock count, expiring units) concurrently in a single database pass, returning a tiny JSON payload to the client.</w:t>
        <w:br/>
        <w:t>• Lightweight Responsive Interface: Building the client with Vite and React 19 to achieve sub-second page transitions and immediate keyboard-driven SKU search without bloat.</w:t>
      </w:r>
    </w:p>
    <w:p>
      <w:r>
        <w:br w:type="page"/>
      </w:r>
    </w:p>
    <w:p>
      <w:pPr>
        <w:keepNext/>
        <w:spacing w:before="0" w:after="40"/>
      </w:pPr>
      <w:r>
        <w:rPr>
          <w:rFonts w:ascii="Calibri Light" w:hAnsi="Calibri Light"/>
          <w:b/>
          <w:color w:val="1E3A8A"/>
          <w:sz w:val="27"/>
        </w:rPr>
        <w:t>CHAPTER 3: SYSTEM REQUIREMENTS &amp; FEASIBILITY STUDY</w:t>
      </w:r>
    </w:p>
    <w:p>
      <w:pPr>
        <w:keepNext/>
        <w:spacing w:before="40" w:after="30"/>
      </w:pPr>
      <w:r>
        <w:rPr>
          <w:rFonts w:ascii="Calibri" w:hAnsi="Calibri"/>
          <w:b/>
          <w:color w:val="1E3A8A"/>
          <w:sz w:val="21"/>
        </w:rPr>
        <w:t>3.1 Hardware Environment Specifications</w:t>
      </w:r>
    </w:p>
    <w:p>
      <w:pPr>
        <w:spacing w:before="0" w:after="50" w:line="269" w:lineRule="auto"/>
        <w:jc w:val="left"/>
      </w:pPr>
      <w:r>
        <w:rPr>
          <w:rFonts w:ascii="Calibri" w:hAnsi="Calibri"/>
          <w:b w:val="0"/>
          <w:i w:val="0"/>
          <w:color w:val="1E293B"/>
          <w:sz w:val="19"/>
        </w:rPr>
        <w:t>Because SmartInventory was engineered with high computational efficiency, the physical hardware requirements are remarkably modest, ensuring accessibility across cost-sensitive warehouse environments:</w:t>
      </w:r>
    </w:p>
    <w:p>
      <w:pPr>
        <w:spacing w:before="0" w:after="70" w:line="269" w:lineRule="auto"/>
        <w:jc w:val="left"/>
      </w:pPr>
      <w:r>
        <w:rPr>
          <w:rFonts w:ascii="Calibri" w:hAnsi="Calibri"/>
          <w:b w:val="0"/>
          <w:i w:val="0"/>
          <w:color w:val="1E293B"/>
          <w:sz w:val="18"/>
        </w:rPr>
        <w:t>• Development Machine: Intel Core i5/i7 (11th Gen+), 16 GB DDR4 RAM, 512 GB NVMe SSD, Windows 11 64-bit OS.</w:t>
        <w:br/>
        <w:t>• Production Server: 2 vCPU, 4 GB RAM, 25 GB SSD Storage (Linux Ubuntu 22.04 LTS / Node.js runtime environment).</w:t>
        <w:br/>
        <w:t>• Warehouse Terminal (Client): Dual-core processor, 2 GB RAM, 1024x768 display, modern evergreen browser (Chrome, Edge, Firefox). Supports mobile barcode scanner tablets.</w:t>
      </w:r>
    </w:p>
    <w:p>
      <w:pPr>
        <w:keepNext/>
        <w:spacing w:before="60" w:after="30"/>
      </w:pPr>
      <w:r>
        <w:rPr>
          <w:rFonts w:ascii="Calibri" w:hAnsi="Calibri"/>
          <w:b/>
          <w:color w:val="1E3A8A"/>
          <w:sz w:val="21"/>
        </w:rPr>
        <w:t>3.2 Software Technology Stack &amp; Dependency Matrix</w:t>
      </w:r>
    </w:p>
    <w:tbl>
      <w:tblPr>
        <w:tblW w:type="auto" w:w="0"/>
        <w:jc w:val="center"/>
        <w:tblLook w:firstColumn="1" w:firstRow="1" w:lastColumn="0" w:lastRow="0" w:noHBand="0" w:noVBand="1" w:val="04A0"/>
      </w:tblPr>
      <w:tblGrid>
        <w:gridCol w:w="2448"/>
        <w:gridCol w:w="2448"/>
        <w:gridCol w:w="2448"/>
        <w:gridCol w:w="2448"/>
      </w:tblGrid>
      <w:tr>
        <w:tc>
          <w:tcPr>
            <w:tcW w:type="dxa" w:w="1872"/>
            <w:shd w:fill="1E3A8A"/>
            <w:tcMar>
              <w:top w:w="55" w:type="dxa"/>
              <w:bottom w:w="55" w:type="dxa"/>
              <w:left w:w="75" w:type="dxa"/>
              <w:right w:w="75" w:type="dxa"/>
            </w:tcMar>
            <w:tcBorders>
              <w:top w:val="none"/>
              <w:bottom w:val="single" w:sz="10" w:space="0" w:color="1E3A8A"/>
              <w:left w:val="none"/>
              <w:right w:val="none"/>
            </w:tcBorders>
          </w:tcPr>
          <w:p>
            <w:pPr>
              <w:spacing w:before="20" w:after="20"/>
              <w:jc w:val="left"/>
            </w:pPr>
            <w:r>
              <w:rPr>
                <w:rFonts w:ascii="Calibri" w:hAnsi="Calibri"/>
                <w:b/>
                <w:color w:val="FFFFFF"/>
                <w:sz w:val="17"/>
              </w:rPr>
              <w:t>Layer / Component</w:t>
            </w:r>
          </w:p>
        </w:tc>
        <w:tc>
          <w:tcPr>
            <w:tcW w:type="dxa" w:w="2016"/>
            <w:shd w:fill="1E3A8A"/>
            <w:tcMar>
              <w:top w:w="55" w:type="dxa"/>
              <w:bottom w:w="55" w:type="dxa"/>
              <w:left w:w="75" w:type="dxa"/>
              <w:right w:w="75" w:type="dxa"/>
            </w:tcMar>
            <w:tcBorders>
              <w:top w:val="none"/>
              <w:bottom w:val="single" w:sz="10" w:space="0" w:color="1E3A8A"/>
              <w:left w:val="none"/>
              <w:right w:val="none"/>
            </w:tcBorders>
          </w:tcPr>
          <w:p>
            <w:pPr>
              <w:spacing w:before="20" w:after="20"/>
              <w:jc w:val="left"/>
            </w:pPr>
            <w:r>
              <w:rPr>
                <w:rFonts w:ascii="Calibri" w:hAnsi="Calibri"/>
                <w:b/>
                <w:color w:val="FFFFFF"/>
                <w:sz w:val="17"/>
              </w:rPr>
              <w:t>Technology Selected</w:t>
            </w:r>
          </w:p>
        </w:tc>
        <w:tc>
          <w:tcPr>
            <w:tcW w:type="dxa" w:w="1296"/>
            <w:shd w:fill="1E3A8A"/>
            <w:tcMar>
              <w:top w:w="55" w:type="dxa"/>
              <w:bottom w:w="55" w:type="dxa"/>
              <w:left w:w="75" w:type="dxa"/>
              <w:right w:w="75" w:type="dxa"/>
            </w:tcMar>
            <w:tcBorders>
              <w:top w:val="none"/>
              <w:bottom w:val="single" w:sz="10" w:space="0" w:color="1E3A8A"/>
              <w:left w:val="none"/>
              <w:right w:val="none"/>
            </w:tcBorders>
          </w:tcPr>
          <w:p>
            <w:pPr>
              <w:spacing w:before="20" w:after="20"/>
              <w:jc w:val="center"/>
            </w:pPr>
            <w:r>
              <w:rPr>
                <w:rFonts w:ascii="Calibri" w:hAnsi="Calibri"/>
                <w:b/>
                <w:color w:val="FFFFFF"/>
                <w:sz w:val="17"/>
              </w:rPr>
              <w:t>Version</w:t>
            </w:r>
          </w:p>
        </w:tc>
        <w:tc>
          <w:tcPr>
            <w:tcW w:type="dxa" w:w="4608"/>
            <w:shd w:fill="1E3A8A"/>
            <w:tcMar>
              <w:top w:w="55" w:type="dxa"/>
              <w:bottom w:w="55" w:type="dxa"/>
              <w:left w:w="75" w:type="dxa"/>
              <w:right w:w="75" w:type="dxa"/>
            </w:tcMar>
            <w:tcBorders>
              <w:top w:val="none"/>
              <w:bottom w:val="single" w:sz="10" w:space="0" w:color="1E3A8A"/>
              <w:left w:val="none"/>
              <w:right w:val="none"/>
            </w:tcBorders>
          </w:tcPr>
          <w:p>
            <w:pPr>
              <w:spacing w:before="20" w:after="20"/>
              <w:jc w:val="left"/>
            </w:pPr>
            <w:r>
              <w:rPr>
                <w:rFonts w:ascii="Calibri" w:hAnsi="Calibri"/>
                <w:b/>
                <w:color w:val="FFFFFF"/>
                <w:sz w:val="17"/>
              </w:rPr>
              <w:t>Technical Justification &amp; Purpose</w:t>
            </w:r>
          </w:p>
        </w:tc>
      </w:tr>
      <w:tr>
        <w:tc>
          <w:tcPr>
            <w:tcW w:type="dxa" w:w="1872"/>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Runtime Engine</w:t>
            </w:r>
          </w:p>
        </w:tc>
        <w:tc>
          <w:tcPr>
            <w:tcW w:type="dxa" w:w="2016"/>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Node.js (LTS)</w:t>
            </w:r>
          </w:p>
        </w:tc>
        <w:tc>
          <w:tcPr>
            <w:tcW w:type="dxa" w:w="1296"/>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v20.x / v22.x</w:t>
            </w:r>
          </w:p>
        </w:tc>
        <w:tc>
          <w:tcPr>
            <w:tcW w:type="dxa" w:w="4608"/>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Event-driven asynchronous I/O ideal for concurrent inventory API requests.</w:t>
            </w:r>
          </w:p>
        </w:tc>
      </w:tr>
      <w:tr>
        <w:tc>
          <w:tcPr>
            <w:tcW w:type="dxa" w:w="1872"/>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Web Framework</w:t>
            </w:r>
          </w:p>
        </w:tc>
        <w:tc>
          <w:tcPr>
            <w:tcW w:type="dxa" w:w="2016"/>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Express.js</w:t>
            </w:r>
          </w:p>
        </w:tc>
        <w:tc>
          <w:tcPr>
            <w:tcW w:type="dxa" w:w="1296"/>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v5.2.1</w:t>
            </w:r>
          </w:p>
        </w:tc>
        <w:tc>
          <w:tcPr>
            <w:tcW w:type="dxa" w:w="4608"/>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Minimalist HTTP routing with robust middleware pipeline integration.</w:t>
            </w:r>
          </w:p>
        </w:tc>
      </w:tr>
      <w:tr>
        <w:tc>
          <w:tcPr>
            <w:tcW w:type="dxa" w:w="1872"/>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Database Tier</w:t>
            </w:r>
          </w:p>
        </w:tc>
        <w:tc>
          <w:tcPr>
            <w:tcW w:type="dxa" w:w="2016"/>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MongoDB Atlas</w:t>
            </w:r>
          </w:p>
        </w:tc>
        <w:tc>
          <w:tcPr>
            <w:tcW w:type="dxa" w:w="1296"/>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v7.0+ (Replica)</w:t>
            </w:r>
          </w:p>
        </w:tc>
        <w:tc>
          <w:tcPr>
            <w:tcW w:type="dxa" w:w="4608"/>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Document storage with high-performance C++ aggregation &amp; ACID transactions.</w:t>
            </w:r>
          </w:p>
        </w:tc>
      </w:tr>
      <w:tr>
        <w:tc>
          <w:tcPr>
            <w:tcW w:type="dxa" w:w="1872"/>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Object Modeling</w:t>
            </w:r>
          </w:p>
        </w:tc>
        <w:tc>
          <w:tcPr>
            <w:tcW w:type="dxa" w:w="2016"/>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Mongoose ODM</w:t>
            </w:r>
          </w:p>
        </w:tc>
        <w:tc>
          <w:tcPr>
            <w:tcW w:type="dxa" w:w="1296"/>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v9.10.3</w:t>
            </w:r>
          </w:p>
        </w:tc>
        <w:tc>
          <w:tcPr>
            <w:tcW w:type="dxa" w:w="4608"/>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Schema validation, strict type casting, and transaction session binding.</w:t>
            </w:r>
          </w:p>
        </w:tc>
      </w:tr>
      <w:tr>
        <w:tc>
          <w:tcPr>
            <w:tcW w:type="dxa" w:w="1872"/>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Frontend UI</w:t>
            </w:r>
          </w:p>
        </w:tc>
        <w:tc>
          <w:tcPr>
            <w:tcW w:type="dxa" w:w="2016"/>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React (Vite)</w:t>
            </w:r>
          </w:p>
        </w:tc>
        <w:tc>
          <w:tcPr>
            <w:tcW w:type="dxa" w:w="1296"/>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v19.2.8 / v8.3</w:t>
            </w:r>
          </w:p>
        </w:tc>
        <w:tc>
          <w:tcPr>
            <w:tcW w:type="dxa" w:w="4608"/>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Virtual DOM component architecture with near-instant hot module replacement.</w:t>
            </w:r>
          </w:p>
        </w:tc>
      </w:tr>
      <w:tr>
        <w:tc>
          <w:tcPr>
            <w:tcW w:type="dxa" w:w="1872"/>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UI Styling</w:t>
            </w:r>
          </w:p>
        </w:tc>
        <w:tc>
          <w:tcPr>
            <w:tcW w:type="dxa" w:w="2016"/>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Tailwind CSS</w:t>
            </w:r>
          </w:p>
        </w:tc>
        <w:tc>
          <w:tcPr>
            <w:tcW w:type="dxa" w:w="1296"/>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v4.3.3</w:t>
            </w:r>
          </w:p>
        </w:tc>
        <w:tc>
          <w:tcPr>
            <w:tcW w:type="dxa" w:w="4608"/>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Zero-runtime CSS engine with responsive utility-first design tokens.</w:t>
            </w:r>
          </w:p>
        </w:tc>
      </w:tr>
      <w:tr>
        <w:tc>
          <w:tcPr>
            <w:tcW w:type="dxa" w:w="1872"/>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Visual Analytics</w:t>
            </w:r>
          </w:p>
        </w:tc>
        <w:tc>
          <w:tcPr>
            <w:tcW w:type="dxa" w:w="2016"/>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Recharts</w:t>
            </w:r>
          </w:p>
        </w:tc>
        <w:tc>
          <w:tcPr>
            <w:tcW w:type="dxa" w:w="1296"/>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v3.10.1</w:t>
            </w:r>
          </w:p>
        </w:tc>
        <w:tc>
          <w:tcPr>
            <w:tcW w:type="dxa" w:w="4608"/>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Declarative SVG charting library for interactive stock movement trends.</w:t>
            </w:r>
          </w:p>
        </w:tc>
      </w:tr>
      <w:tr>
        <w:tc>
          <w:tcPr>
            <w:tcW w:type="dxa" w:w="1872"/>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Security &amp; Crypto</w:t>
            </w:r>
          </w:p>
        </w:tc>
        <w:tc>
          <w:tcPr>
            <w:tcW w:type="dxa" w:w="2016"/>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Helmet / Bcrypt / Sanitize</w:t>
            </w:r>
          </w:p>
        </w:tc>
        <w:tc>
          <w:tcPr>
            <w:tcW w:type="dxa" w:w="1296"/>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v8.3 / v3.0</w:t>
            </w:r>
          </w:p>
        </w:tc>
        <w:tc>
          <w:tcPr>
            <w:tcW w:type="dxa" w:w="4608"/>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HTTP header protection, salted password hashing, and NoSQL injection guard.</w:t>
            </w:r>
          </w:p>
        </w:tc>
      </w:tr>
    </w:tbl>
    <w:p>
      <w:pPr>
        <w:spacing w:before="0" w:after="50"/>
      </w:pPr>
    </w:p>
    <w:p>
      <w:pPr>
        <w:keepNext/>
        <w:spacing w:before="60" w:after="30"/>
      </w:pPr>
      <w:r>
        <w:rPr>
          <w:rFonts w:ascii="Calibri" w:hAnsi="Calibri"/>
          <w:b/>
          <w:color w:val="1E3A8A"/>
          <w:sz w:val="21"/>
        </w:rPr>
        <w:t>3.3 Functional Requirements Specification (FRS)</w:t>
      </w:r>
    </w:p>
    <w:p>
      <w:pPr>
        <w:spacing w:before="0" w:after="70" w:line="269" w:lineRule="auto"/>
        <w:jc w:val="left"/>
      </w:pPr>
      <w:r>
        <w:rPr>
          <w:rFonts w:ascii="Calibri" w:hAnsi="Calibri"/>
          <w:b w:val="0"/>
          <w:i w:val="0"/>
          <w:color w:val="1E293B"/>
          <w:sz w:val="18"/>
        </w:rPr>
        <w:t>• Module 1 (Auth &amp; RBAC): User registration, BCrypt salted login, Google OAuth 2.0 Identity verification, JWT session tokens.</w:t>
        <w:br/>
        <w:t>• Module 2 (Catalog Management): Product registration with SKU uniqueness indexing, category classification, reorder threshold alerts, and soft-deletion lifecycle enforcement.</w:t>
        <w:br/>
        <w:t>• Module 3 (Stock Operations): Real-time Stock IN (receiving goods with cost updates) and Stock OUT (dispatching goods with mandatory negative inventory checks and ledger generation).</w:t>
        <w:br/>
        <w:t>• Module 4 (Analytics &amp; Reporting): Aggregated dashboard metrics, low-stock threshold triggers, and CSV ledger audit export.</w:t>
      </w:r>
    </w:p>
    <w:p>
      <w:pPr>
        <w:keepNext/>
        <w:spacing w:before="60" w:after="30"/>
      </w:pPr>
      <w:r>
        <w:rPr>
          <w:rFonts w:ascii="Calibri" w:hAnsi="Calibri"/>
          <w:b/>
          <w:color w:val="1E3A8A"/>
          <w:sz w:val="21"/>
        </w:rPr>
        <w:t>3.4 Non-Functional Requirements (NFR) &amp; Feasibility Evaluation</w:t>
      </w:r>
    </w:p>
    <w:p>
      <w:pPr>
        <w:spacing w:before="0" w:after="0" w:line="269" w:lineRule="auto"/>
        <w:jc w:val="left"/>
      </w:pPr>
      <w:r>
        <w:rPr>
          <w:rFonts w:ascii="Calibri" w:hAnsi="Calibri"/>
          <w:b w:val="0"/>
          <w:i w:val="0"/>
          <w:color w:val="1E293B"/>
          <w:sz w:val="18"/>
        </w:rPr>
        <w:t>• Technical Feasibility: The MERN stack is mature, highly stable, and backed by comprehensive documentation and enterprise support.</w:t>
        <w:br/>
        <w:t>• Economic Feasibility: Utilizing open-source libraries and MongoDB Atlas free/shared tiers eliminates expensive software licensing fees, making it exceptionally viable for mid-market warehousing.</w:t>
        <w:br/>
        <w:t>• Operational Feasibility: The interface requires zero specialized training; standard warehouse clerks can execute stock transfers within seconds of initial login.</w:t>
      </w:r>
    </w:p>
    <w:p>
      <w:r>
        <w:br w:type="page"/>
      </w:r>
    </w:p>
    <w:p>
      <w:pPr>
        <w:keepNext/>
        <w:spacing w:before="0" w:after="40"/>
      </w:pPr>
      <w:r>
        <w:rPr>
          <w:rFonts w:ascii="Calibri Light" w:hAnsi="Calibri Light"/>
          <w:b/>
          <w:color w:val="1E3A8A"/>
          <w:sz w:val="27"/>
        </w:rPr>
        <w:t>CHAPTER 4: SYSTEM ARCHITECTURE &amp; WORKFLOW DESIGN</w:t>
      </w:r>
    </w:p>
    <w:p>
      <w:pPr>
        <w:keepNext/>
        <w:spacing w:before="40" w:after="30"/>
      </w:pPr>
      <w:r>
        <w:rPr>
          <w:rFonts w:ascii="Calibri" w:hAnsi="Calibri"/>
          <w:b/>
          <w:color w:val="1E3A8A"/>
          <w:sz w:val="21"/>
        </w:rPr>
        <w:t>4.1 Three-Tier Decoupled Architecture Overview</w:t>
      </w:r>
    </w:p>
    <w:p>
      <w:pPr>
        <w:spacing w:before="0" w:after="60" w:line="269" w:lineRule="auto"/>
        <w:jc w:val="left"/>
      </w:pPr>
      <w:r>
        <w:rPr>
          <w:rFonts w:ascii="Calibri" w:hAnsi="Calibri"/>
          <w:b w:val="0"/>
          <w:i w:val="0"/>
          <w:color w:val="1E293B"/>
          <w:sz w:val="19"/>
        </w:rPr>
        <w:t>SmartInventory implements a decoupled three-tier architectural pattern consisting of a Presentation Tier (React 19 SPA), an Application &amp; Business Logic Tier (Node.js/Express REST API), and a Data Persistence Tier (MongoDB Atlas Replica Set). Decoupling the client from the server allows warehouse handhelds and desktop management terminals to consume the same standardized REST API without tightly coupling rendering logic to the database server.</w:t>
      </w:r>
    </w:p>
    <w:p>
      <w:pPr>
        <w:keepNext/>
        <w:spacing w:before="40" w:after="20"/>
        <w:jc w:val="center"/>
      </w:pPr>
      <w:r>
        <w:drawing>
          <wp:inline xmlns:a="http://schemas.openxmlformats.org/drawingml/2006/main" xmlns:pic="http://schemas.openxmlformats.org/drawingml/2006/picture">
            <wp:extent cx="4754880" cy="2833716"/>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4754880" cy="2833716"/>
                    </a:xfrm>
                    <a:prstGeom prst="rect"/>
                  </pic:spPr>
                </pic:pic>
              </a:graphicData>
            </a:graphic>
          </wp:inline>
        </w:drawing>
      </w:r>
    </w:p>
    <w:p>
      <w:pPr>
        <w:spacing w:before="0" w:after="60"/>
        <w:jc w:val="center"/>
      </w:pPr>
      <w:r>
        <w:rPr>
          <w:rFonts w:ascii="Calibri" w:hAnsi="Calibri"/>
          <w:i/>
          <w:color w:val="64748B"/>
          <w:sz w:val="16"/>
        </w:rPr>
        <w:t>Figure 4.1: Three-Tier Decoupled System Architecture and Security Middleware Pipeline</w:t>
      </w:r>
    </w:p>
    <w:p>
      <w:pPr>
        <w:keepNext/>
        <w:spacing w:before="40" w:after="30"/>
      </w:pPr>
      <w:r>
        <w:rPr>
          <w:rFonts w:ascii="Calibri" w:hAnsi="Calibri"/>
          <w:b/>
          <w:color w:val="1E3A8A"/>
          <w:sz w:val="21"/>
        </w:rPr>
        <w:t>4.2 Component Interaction &amp; Data Pipeline</w:t>
      </w:r>
    </w:p>
    <w:p>
      <w:pPr>
        <w:spacing w:before="0" w:after="70" w:line="269" w:lineRule="auto"/>
        <w:jc w:val="left"/>
      </w:pPr>
      <w:r>
        <w:rPr>
          <w:rFonts w:ascii="Calibri" w:hAnsi="Calibri"/>
          <w:b w:val="0"/>
          <w:i w:val="0"/>
          <w:color w:val="1E293B"/>
          <w:sz w:val="18"/>
        </w:rPr>
        <w:t>When an operator initiates an inventory action in the browser, the request proceeds through a carefully orchestrated pipeline:</w:t>
        <w:br/>
        <w:t>1. Client Layer: The React component collects user input, performs initial client-side constraint checking (e.g., verifying that the requested quantity is a positive integer), and attaches the JSON Web Token (JWT) to the HTTP Authorization header via Axios request interceptors.</w:t>
        <w:br/>
        <w:t>2. Security &amp; Gateway Guard: Incoming requests first encounter `helmet` (establishing Content Security Policies and disabling server banners) and `express-mongo-sanitize` (recursively stripping `$` or `.` operators from `req.body` and `req.query` to prevent NoSQL query hijacking).</w:t>
        <w:br/>
        <w:t>3. Authentication &amp; RBAC Guard: `authMiddleware` validates the cryptographic signature of the JWT token using `JWT_SECRET`. Upon successful signature verification, the user's role is matched against route permissions (`authorize(['ADMIN', 'INVENTORY_MANAGER'])`).</w:t>
        <w:br/>
        <w:t>4. Transactional Controllers: The verified request is passed to the business controller (`stockController.js`), which opens a dedicated MongoDB session to execute database mutations atomically.</w:t>
      </w:r>
    </w:p>
    <w:tbl>
      <w:tblPr>
        <w:tblW w:type="auto" w:w="0"/>
        <w:jc w:val="center"/>
        <w:tblLook w:firstColumn="1" w:firstRow="1" w:lastColumn="0" w:lastRow="0" w:noHBand="0" w:noVBand="1" w:val="04A0"/>
      </w:tblPr>
      <w:tblGrid>
        <w:gridCol w:w="9792"/>
      </w:tblGrid>
      <w:tr>
        <w:tc>
          <w:tcPr>
            <w:tcW w:type="dxa" w:w="9792"/>
            <w:shd w:fill="F1F5F9"/>
            <w:tcMar>
              <w:top w:w="50" w:type="dxa"/>
              <w:bottom w:w="50" w:type="dxa"/>
              <w:left w:w="110" w:type="dxa"/>
              <w:right w:w="110" w:type="dxa"/>
            </w:tcMar>
            <w:tcBorders>
              <w:top w:val="none"/>
              <w:bottom w:val="none"/>
              <w:left w:val="single" w:sz="20" w:space="0" w:color="2563EB"/>
              <w:right w:val="none"/>
            </w:tcBorders>
          </w:tcPr>
          <w:p>
            <w:pPr>
              <w:spacing w:before="20" w:after="20" w:line="269" w:lineRule="auto"/>
            </w:pPr>
            <w:r>
              <w:rPr>
                <w:rFonts w:ascii="Calibri" w:hAnsi="Calibri"/>
                <w:b/>
                <w:color w:val="2563EB"/>
                <w:sz w:val="18"/>
              </w:rPr>
              <w:t xml:space="preserve">Architectural Resilience: </w:t>
            </w:r>
            <w:r>
              <w:rPr>
                <w:rFonts w:ascii="Calibri" w:hAnsi="Calibri"/>
                <w:color w:val="1E293B"/>
                <w:sz w:val="18"/>
              </w:rPr>
              <w:t>Decoupled Deployment Benefit: The frontend Vite build produces purely static HTML/JS assets deployable to edge CDNs (Vercel, Netlify), while the Express API container runs independently in Docker, ensuring effortless horizontal scaling.</w:t>
            </w:r>
          </w:p>
        </w:tc>
      </w:tr>
    </w:tbl>
    <w:p>
      <w:pPr>
        <w:spacing w:before="0" w:after="40"/>
      </w:pPr>
    </w:p>
    <w:p>
      <w:r>
        <w:br w:type="page"/>
      </w:r>
    </w:p>
    <w:p>
      <w:pPr>
        <w:keepNext/>
        <w:spacing w:before="0" w:after="40"/>
      </w:pPr>
      <w:r>
        <w:rPr>
          <w:rFonts w:ascii="Calibri Light" w:hAnsi="Calibri Light"/>
          <w:b/>
          <w:color w:val="1E3A8A"/>
          <w:sz w:val="27"/>
        </w:rPr>
        <w:t>CHAPTER 5: DATABASE SCHEMA DESIGN &amp; ER MODELING</w:t>
      </w:r>
    </w:p>
    <w:p>
      <w:pPr>
        <w:keepNext/>
        <w:spacing w:before="40" w:after="30"/>
      </w:pPr>
      <w:r>
        <w:rPr>
          <w:rFonts w:ascii="Calibri" w:hAnsi="Calibri"/>
          <w:b/>
          <w:color w:val="1E3A8A"/>
          <w:sz w:val="21"/>
        </w:rPr>
        <w:t>5.1 Justification for MongoDB Document Modeling</w:t>
      </w:r>
    </w:p>
    <w:p>
      <w:pPr>
        <w:spacing w:before="0" w:after="60" w:line="269" w:lineRule="auto"/>
        <w:jc w:val="left"/>
      </w:pPr>
      <w:r>
        <w:rPr>
          <w:rFonts w:ascii="Calibri" w:hAnsi="Calibri"/>
          <w:b w:val="0"/>
          <w:i w:val="0"/>
          <w:color w:val="1E293B"/>
          <w:sz w:val="19"/>
        </w:rPr>
        <w:t>While traditional academic courses emphasize strict 3rd Normal Form relational databases (PostgreSQL/MySQL), enterprise inventory management frequently benefits from document-oriented schemas. Product attributes (SKU formatting, custom storage locations, supplier details) evolve rapidly across different product categories. MongoDB allows flexible document structures while simultaneously enforcing strict relational integrity through Mongoose Schema validation, unique compound indexing, and cross-collection reference population (`ref`).</w:t>
      </w:r>
    </w:p>
    <w:p>
      <w:pPr>
        <w:keepNext/>
        <w:spacing w:before="40" w:after="20"/>
        <w:jc w:val="center"/>
      </w:pPr>
      <w:r>
        <w:drawing>
          <wp:inline xmlns:a="http://schemas.openxmlformats.org/drawingml/2006/main" xmlns:pic="http://schemas.openxmlformats.org/drawingml/2006/picture">
            <wp:extent cx="4754880" cy="2926573"/>
            <wp:docPr id="2" name="Picture 2"/>
            <wp:cNvGraphicFramePr>
              <a:graphicFrameLocks noChangeAspect="1"/>
            </wp:cNvGraphicFramePr>
            <a:graphic>
              <a:graphicData uri="http://schemas.openxmlformats.org/drawingml/2006/picture">
                <pic:pic>
                  <pic:nvPicPr>
                    <pic:cNvPr id="0" name="er_diagram.png"/>
                    <pic:cNvPicPr/>
                  </pic:nvPicPr>
                  <pic:blipFill>
                    <a:blip r:embed="rId12"/>
                    <a:stretch>
                      <a:fillRect/>
                    </a:stretch>
                  </pic:blipFill>
                  <pic:spPr>
                    <a:xfrm>
                      <a:off x="0" y="0"/>
                      <a:ext cx="4754880" cy="2926573"/>
                    </a:xfrm>
                    <a:prstGeom prst="rect"/>
                  </pic:spPr>
                </pic:pic>
              </a:graphicData>
            </a:graphic>
          </wp:inline>
        </w:drawing>
      </w:r>
    </w:p>
    <w:p>
      <w:pPr>
        <w:spacing w:before="0" w:after="60"/>
        <w:jc w:val="center"/>
      </w:pPr>
      <w:r>
        <w:rPr>
          <w:rFonts w:ascii="Calibri" w:hAnsi="Calibri"/>
          <w:i/>
          <w:color w:val="64748B"/>
          <w:sz w:val="16"/>
        </w:rPr>
        <w:t>Figure 5.1: MongoDB Relational Entity-Relationship Diagram and Foreign-Key Linkages</w:t>
      </w:r>
    </w:p>
    <w:p>
      <w:pPr>
        <w:keepNext/>
        <w:spacing w:before="40" w:after="30"/>
      </w:pPr>
      <w:r>
        <w:rPr>
          <w:rFonts w:ascii="Calibri" w:hAnsi="Calibri"/>
          <w:b/>
          <w:color w:val="1E3A8A"/>
          <w:sz w:val="21"/>
        </w:rPr>
        <w:t>5.2 Schema Architecture &amp; Entity Relationships</w:t>
      </w:r>
    </w:p>
    <w:p>
      <w:pPr>
        <w:spacing w:before="0" w:after="70" w:line="269" w:lineRule="auto"/>
        <w:jc w:val="left"/>
      </w:pPr>
      <w:r>
        <w:rPr>
          <w:rFonts w:ascii="Calibri" w:hAnsi="Calibri"/>
          <w:b w:val="0"/>
          <w:i w:val="0"/>
          <w:color w:val="1E293B"/>
          <w:sz w:val="18"/>
        </w:rPr>
        <w:t>The database consists of six core collections interconnected via Mongoose ObjectIds:</w:t>
        <w:br/>
        <w:t>• Users: Central authentication model storing name, unique indexed email, salted bcrypt password hash, and authorization role (`ADMIN`, `INVENTORY_MANAGER`, `VIEWER`).</w:t>
        <w:br/>
        <w:t>• Products: Master catalog entity tracking unique indexed `sku`, `name`, `categoryId` (FK), physical `quantity`, `minimumStock` reorder threshold, `unitCost`, and lifecycle `status` (`ACTIVE`/`INACTIVE`).</w:t>
        <w:br/>
        <w:t>• StockMovements: Immutable historical transaction ledger tracking `productId` (FK, indexed), movement `type` (`IN`/`OUT`), `quantity`, `previousQuantity`, `newQuantity`, `referenceNumber`, `performedBy` (FK to Users), and transaction `timestamp`.</w:t>
        <w:br/>
        <w:t>• Auxiliary Entities: `Categories` (hierarchical taxonomy), `Suppliers` (vendor profiles for Stock IN receipts), and `Warehouses` (physical storage zones and aisle/rack coordinates).</w:t>
      </w:r>
    </w:p>
    <w:p>
      <w:pPr>
        <w:keepNext/>
        <w:spacing w:before="60" w:after="30"/>
      </w:pPr>
      <w:r>
        <w:rPr>
          <w:rFonts w:ascii="Calibri" w:hAnsi="Calibri"/>
          <w:b/>
          <w:color w:val="1E3A8A"/>
          <w:sz w:val="21"/>
        </w:rPr>
        <w:t>5.3 Indexing Strategy &amp; Performance Rationale</w:t>
      </w:r>
    </w:p>
    <w:p>
      <w:pPr>
        <w:spacing w:before="0" w:after="0" w:line="269" w:lineRule="auto"/>
        <w:jc w:val="left"/>
      </w:pPr>
      <w:r>
        <w:rPr>
          <w:rFonts w:ascii="Calibri" w:hAnsi="Calibri"/>
          <w:b w:val="0"/>
          <w:i w:val="0"/>
          <w:color w:val="1E293B"/>
          <w:sz w:val="18"/>
        </w:rPr>
        <w:t>To ensure high-throughput warehouse lookups, an explicit B-tree index is applied to `Product.sku`. Because barcode scanners send exact SKU strings, the index reduces lookup time from an O(N) full-collection scan to an O(log N) indexed seek. Similarly, compound indexing on `productId` and `timestamp` in `StockMovement` ensures that historical audit searches execute in sub-millisecond time even after accumulating millions of transactions.</w:t>
      </w:r>
    </w:p>
    <w:p>
      <w:r>
        <w:br w:type="page"/>
      </w:r>
    </w:p>
    <w:p>
      <w:pPr>
        <w:keepNext/>
        <w:spacing w:before="0" w:after="40"/>
      </w:pPr>
      <w:r>
        <w:rPr>
          <w:rFonts w:ascii="Calibri Light" w:hAnsi="Calibri Light"/>
          <w:b/>
          <w:color w:val="1E3A8A"/>
          <w:sz w:val="27"/>
        </w:rPr>
        <w:t>CHAPTER 6: CORE BUSINESS LOGIC &amp; TRANSACTION MANAGEMENT</w:t>
      </w:r>
    </w:p>
    <w:p>
      <w:pPr>
        <w:keepNext/>
        <w:spacing w:before="40" w:after="30"/>
      </w:pPr>
      <w:r>
        <w:rPr>
          <w:rFonts w:ascii="Calibri" w:hAnsi="Calibri"/>
          <w:b/>
          <w:color w:val="1E3A8A"/>
          <w:sz w:val="21"/>
        </w:rPr>
        <w:t>6.1 The Stock Transaction Lifecycle</w:t>
      </w:r>
    </w:p>
    <w:p>
      <w:pPr>
        <w:spacing w:before="0" w:after="60" w:line="269" w:lineRule="auto"/>
        <w:jc w:val="left"/>
      </w:pPr>
      <w:r>
        <w:rPr>
          <w:rFonts w:ascii="Calibri" w:hAnsi="Calibri"/>
          <w:b w:val="0"/>
          <w:i w:val="0"/>
          <w:color w:val="1E293B"/>
          <w:sz w:val="19"/>
        </w:rPr>
        <w:t>The foundational operational requirement of an inventory system is maintaining synchronization between physical warehouse stock and the digital database ledger. In SmartInventory, every inventory modification is treated as an atomic, immutable event. Stock is never arbitrarily edited via an inline spreadsheet cell; it can only change through a dedicated Stock IN (receiving) or Stock OUT (dispatching) transaction.</w:t>
      </w:r>
    </w:p>
    <w:p>
      <w:pPr>
        <w:keepNext/>
        <w:spacing w:before="40" w:after="20"/>
        <w:jc w:val="center"/>
      </w:pPr>
      <w:r>
        <w:drawing>
          <wp:inline xmlns:a="http://schemas.openxmlformats.org/drawingml/2006/main" xmlns:pic="http://schemas.openxmlformats.org/drawingml/2006/picture">
            <wp:extent cx="4754880" cy="2929775"/>
            <wp:docPr id="3" name="Picture 3"/>
            <wp:cNvGraphicFramePr>
              <a:graphicFrameLocks noChangeAspect="1"/>
            </wp:cNvGraphicFramePr>
            <a:graphic>
              <a:graphicData uri="http://schemas.openxmlformats.org/drawingml/2006/picture">
                <pic:pic>
                  <pic:nvPicPr>
                    <pic:cNvPr id="0" name="stock_flowchart.png"/>
                    <pic:cNvPicPr/>
                  </pic:nvPicPr>
                  <pic:blipFill>
                    <a:blip r:embed="rId13"/>
                    <a:stretch>
                      <a:fillRect/>
                    </a:stretch>
                  </pic:blipFill>
                  <pic:spPr>
                    <a:xfrm>
                      <a:off x="0" y="0"/>
                      <a:ext cx="4754880" cy="2929775"/>
                    </a:xfrm>
                    <a:prstGeom prst="rect"/>
                  </pic:spPr>
                </pic:pic>
              </a:graphicData>
            </a:graphic>
          </wp:inline>
        </w:drawing>
      </w:r>
    </w:p>
    <w:p>
      <w:pPr>
        <w:spacing w:before="0" w:after="60"/>
        <w:jc w:val="center"/>
      </w:pPr>
      <w:r>
        <w:rPr>
          <w:rFonts w:ascii="Calibri" w:hAnsi="Calibri"/>
          <w:i/>
          <w:color w:val="64748B"/>
          <w:sz w:val="16"/>
        </w:rPr>
        <w:t>Figure 6.1: Atomic Stock Transaction Lifecycle and Negative Stock Prevention Flowchart</w:t>
      </w:r>
    </w:p>
    <w:p>
      <w:pPr>
        <w:keepNext/>
        <w:spacing w:before="40" w:after="30"/>
      </w:pPr>
      <w:r>
        <w:rPr>
          <w:rFonts w:ascii="Calibri" w:hAnsi="Calibri"/>
          <w:b/>
          <w:color w:val="1E3A8A"/>
          <w:sz w:val="21"/>
        </w:rPr>
        <w:t>6.2 Multi-Document ACID Transactions &amp; Session Isolation</w:t>
      </w:r>
    </w:p>
    <w:p>
      <w:pPr>
        <w:spacing w:before="0" w:after="70" w:line="269" w:lineRule="auto"/>
        <w:jc w:val="left"/>
      </w:pPr>
      <w:r>
        <w:rPr>
          <w:rFonts w:ascii="Calibri" w:hAnsi="Calibri"/>
          <w:b w:val="0"/>
          <w:i w:val="0"/>
          <w:color w:val="1E293B"/>
          <w:sz w:val="18"/>
        </w:rPr>
        <w:t>When an operator records a transaction, `stockController.js` initiates a native MongoDB session using `mongoose.startSession()`. All read and write operations—including product quantity deduction and ledger entry creation—are bound strictly to this session. If any error occurs (e.g. database connection drop, validation error, or reference number collision), `session.abortTransaction()` is invoked, rolling back all uncommitted mutations and preventing data corruption.</w:t>
      </w:r>
    </w:p>
    <w:p>
      <w:pPr>
        <w:keepNext/>
        <w:spacing w:before="60" w:after="30"/>
      </w:pPr>
      <w:r>
        <w:rPr>
          <w:rFonts w:ascii="Calibri" w:hAnsi="Calibri"/>
          <w:b/>
          <w:color w:val="1E3A8A"/>
          <w:sz w:val="21"/>
        </w:rPr>
        <w:t>6.3 Two-Layer Negative Stock Prevention Mechanism</w:t>
      </w:r>
    </w:p>
    <w:p>
      <w:pPr>
        <w:spacing w:before="0" w:after="70" w:line="269" w:lineRule="auto"/>
        <w:jc w:val="left"/>
      </w:pPr>
      <w:r>
        <w:rPr>
          <w:rFonts w:ascii="Calibri" w:hAnsi="Calibri"/>
          <w:b w:val="0"/>
          <w:i w:val="0"/>
          <w:color w:val="1E293B"/>
          <w:sz w:val="18"/>
        </w:rPr>
        <w:t>A catastrophic bug in amateur inventory systems is allowing inventory quantities to drop below zero due to delayed data entry or concurrent dispatches. SmartInventory enforces a two-layer validation guard:</w:t>
        <w:br/>
        <w:t>• Layer 1 (Client Guard): The React Stock OUT form dynamically fetches the product's real-time quantity, sets the HTML input `max` attribute, and disables the submit button if the entered quantity exceeds available units.</w:t>
        <w:br/>
        <w:t>• Layer 2 (Backend Atomic Guard): Inside `stockController.js`, the product is locked within the transaction session. The controller evaluates `if (requestedQuantity &gt; product.quantity)`. If true, the transaction aborts immediately and returns an HTTP 400 'Insufficient stock' error, completely preventing negative inventory race conditions.</w:t>
      </w:r>
    </w:p>
    <w:p>
      <w:pPr>
        <w:keepNext/>
        <w:spacing w:before="60" w:after="30"/>
      </w:pPr>
      <w:r>
        <w:rPr>
          <w:rFonts w:ascii="Calibri" w:hAnsi="Calibri"/>
          <w:b/>
          <w:color w:val="1E3A8A"/>
          <w:sz w:val="21"/>
        </w:rPr>
        <w:t>6.4 Soft-Deletion Architecture for Historical Audit Preservation</w:t>
      </w:r>
    </w:p>
    <w:p>
      <w:pPr>
        <w:spacing w:before="0" w:after="0" w:line="269" w:lineRule="auto"/>
        <w:jc w:val="left"/>
      </w:pPr>
      <w:r>
        <w:rPr>
          <w:rFonts w:ascii="Calibri" w:hAnsi="Calibri"/>
          <w:b w:val="0"/>
          <w:i w:val="0"/>
          <w:color w:val="1E293B"/>
          <w:sz w:val="18"/>
        </w:rPr>
        <w:t>When a product is discontinued, conventional systems issue a SQL/NoSQL `DELETE` command. This breaks relational integrity by orphaning historical ledger records (`StockMovement` pointing to a non-existent `productId`). SmartInventory solves this by implementing an immutable soft-delete: `productController.js` updates `status: 'INACTIVE'` rather than deleting the document. The product is hidden from active operational dropdowns while preserving historical audit reports.</w:t>
      </w:r>
    </w:p>
    <w:p>
      <w:r>
        <w:br w:type="page"/>
      </w:r>
    </w:p>
    <w:p>
      <w:pPr>
        <w:keepNext/>
        <w:spacing w:before="0" w:after="40"/>
      </w:pPr>
      <w:r>
        <w:rPr>
          <w:rFonts w:ascii="Calibri Light" w:hAnsi="Calibri Light"/>
          <w:b/>
          <w:color w:val="1E3A8A"/>
          <w:sz w:val="27"/>
        </w:rPr>
        <w:t>CHAPTER 7: ANALYTICS ENGINE &amp; RESTFUL API SPECIFICATIONS</w:t>
      </w:r>
    </w:p>
    <w:p>
      <w:pPr>
        <w:keepNext/>
        <w:spacing w:before="40" w:after="30"/>
      </w:pPr>
      <w:r>
        <w:rPr>
          <w:rFonts w:ascii="Calibri" w:hAnsi="Calibri"/>
          <w:b/>
          <w:color w:val="1E3A8A"/>
          <w:sz w:val="21"/>
        </w:rPr>
        <w:t>7.1 Server-Side Aggregation vs Client-Side Computation</w:t>
      </w:r>
    </w:p>
    <w:p>
      <w:pPr>
        <w:spacing w:before="0" w:after="70" w:line="269" w:lineRule="auto"/>
        <w:jc w:val="left"/>
      </w:pPr>
      <w:r>
        <w:rPr>
          <w:rFonts w:ascii="Calibri" w:hAnsi="Calibri"/>
          <w:b w:val="0"/>
          <w:i w:val="0"/>
          <w:color w:val="1E293B"/>
          <w:sz w:val="19"/>
        </w:rPr>
        <w:t>Calculating inventory analytics (e.g. Total Units, Valuation, Low-Stock items, Expiring goods) naively in React requires downloading the entire database into browser memory. On an inventory catalog of 50,000 items, this transfers 45+ MB of JSON data over Wi-Fi and locks the browser thread. SmartInventory solves this by executing complex aggregation pipelines on the MongoDB Atlas database server using `$facet`, `$match`, `$group`, and `$project`.</w:t>
      </w:r>
    </w:p>
    <w:tbl>
      <w:tblPr>
        <w:tblW w:type="auto" w:w="0"/>
        <w:jc w:val="center"/>
        <w:tblLook w:firstColumn="1" w:firstRow="1" w:lastColumn="0" w:lastRow="0" w:noHBand="0" w:noVBand="1" w:val="04A0"/>
      </w:tblPr>
      <w:tblGrid>
        <w:gridCol w:w="9792"/>
      </w:tblGrid>
      <w:tr>
        <w:tc>
          <w:tcPr>
            <w:tcW w:type="dxa" w:w="9792"/>
            <w:shd w:fill="F1F5F9"/>
            <w:tcMar>
              <w:top w:w="50" w:type="dxa"/>
              <w:bottom w:w="50" w:type="dxa"/>
              <w:left w:w="110" w:type="dxa"/>
              <w:right w:w="110" w:type="dxa"/>
            </w:tcMar>
            <w:tcBorders>
              <w:top w:val="none"/>
              <w:bottom w:val="none"/>
              <w:left w:val="single" w:sz="20" w:space="0" w:color="2563EB"/>
              <w:right w:val="none"/>
            </w:tcBorders>
          </w:tcPr>
          <w:p>
            <w:pPr>
              <w:spacing w:before="20" w:after="20" w:line="269" w:lineRule="auto"/>
            </w:pPr>
            <w:r>
              <w:rPr>
                <w:rFonts w:ascii="Calibri" w:hAnsi="Calibri"/>
                <w:b/>
                <w:color w:val="2563EB"/>
                <w:sz w:val="18"/>
              </w:rPr>
              <w:t xml:space="preserve">Optimization Benchmark: </w:t>
            </w:r>
            <w:r>
              <w:rPr>
                <w:rFonts w:ascii="Calibri" w:hAnsi="Calibri"/>
                <w:color w:val="1E293B"/>
                <w:sz w:val="18"/>
              </w:rPr>
              <w:t>Aggregation Pipeline Design: The `$facet` stage in `dashboardController.js` runs multiple aggregation sub-pipelines concurrently across active inventory in a single database pass. The server returns a lightweight 180-byte JSON summary object, reducing network bandwidth by 99.6%.</w:t>
            </w:r>
          </w:p>
        </w:tc>
      </w:tr>
    </w:tbl>
    <w:p>
      <w:pPr>
        <w:spacing w:before="0" w:after="40"/>
      </w:pPr>
    </w:p>
    <w:p>
      <w:pPr>
        <w:keepNext/>
        <w:spacing w:before="60" w:after="30"/>
      </w:pPr>
      <w:r>
        <w:rPr>
          <w:rFonts w:ascii="Calibri" w:hAnsi="Calibri"/>
          <w:b/>
          <w:color w:val="1E3A8A"/>
          <w:sz w:val="21"/>
        </w:rPr>
        <w:t>7.2 Comprehensive RESTful API Directory</w:t>
      </w:r>
    </w:p>
    <w:tbl>
      <w:tblPr>
        <w:tblW w:type="auto" w:w="0"/>
        <w:jc w:val="center"/>
        <w:tblLook w:firstColumn="1" w:firstRow="1" w:lastColumn="0" w:lastRow="0" w:noHBand="0" w:noVBand="1" w:val="04A0"/>
      </w:tblPr>
      <w:tblGrid>
        <w:gridCol w:w="2448"/>
        <w:gridCol w:w="2448"/>
        <w:gridCol w:w="2448"/>
        <w:gridCol w:w="2448"/>
      </w:tblGrid>
      <w:tr>
        <w:tc>
          <w:tcPr>
            <w:tcW w:type="dxa" w:w="2880"/>
            <w:shd w:fill="1E3A8A"/>
            <w:tcMar>
              <w:top w:w="55" w:type="dxa"/>
              <w:bottom w:w="55" w:type="dxa"/>
              <w:left w:w="75" w:type="dxa"/>
              <w:right w:w="75" w:type="dxa"/>
            </w:tcMar>
            <w:tcBorders>
              <w:top w:val="none"/>
              <w:bottom w:val="single" w:sz="10" w:space="0" w:color="1E3A8A"/>
              <w:left w:val="none"/>
              <w:right w:val="none"/>
            </w:tcBorders>
          </w:tcPr>
          <w:p>
            <w:pPr>
              <w:spacing w:before="20" w:after="20"/>
              <w:jc w:val="left"/>
            </w:pPr>
            <w:r>
              <w:rPr>
                <w:rFonts w:ascii="Calibri" w:hAnsi="Calibri"/>
                <w:b/>
                <w:color w:val="FFFFFF"/>
                <w:sz w:val="17"/>
              </w:rPr>
              <w:t>HTTP Method &amp; Endpoint</w:t>
            </w:r>
          </w:p>
        </w:tc>
        <w:tc>
          <w:tcPr>
            <w:tcW w:type="dxa" w:w="1728"/>
            <w:shd w:fill="1E3A8A"/>
            <w:tcMar>
              <w:top w:w="55" w:type="dxa"/>
              <w:bottom w:w="55" w:type="dxa"/>
              <w:left w:w="75" w:type="dxa"/>
              <w:right w:w="75" w:type="dxa"/>
            </w:tcMar>
            <w:tcBorders>
              <w:top w:val="none"/>
              <w:bottom w:val="single" w:sz="10" w:space="0" w:color="1E3A8A"/>
              <w:left w:val="none"/>
              <w:right w:val="none"/>
            </w:tcBorders>
          </w:tcPr>
          <w:p>
            <w:pPr>
              <w:spacing w:before="20" w:after="20"/>
              <w:jc w:val="center"/>
            </w:pPr>
            <w:r>
              <w:rPr>
                <w:rFonts w:ascii="Calibri" w:hAnsi="Calibri"/>
                <w:b/>
                <w:color w:val="FFFFFF"/>
                <w:sz w:val="17"/>
              </w:rPr>
              <w:t>Access Tier</w:t>
            </w:r>
          </w:p>
        </w:tc>
        <w:tc>
          <w:tcPr>
            <w:tcW w:type="dxa" w:w="2736"/>
            <w:shd w:fill="1E3A8A"/>
            <w:tcMar>
              <w:top w:w="55" w:type="dxa"/>
              <w:bottom w:w="55" w:type="dxa"/>
              <w:left w:w="75" w:type="dxa"/>
              <w:right w:w="75" w:type="dxa"/>
            </w:tcMar>
            <w:tcBorders>
              <w:top w:val="none"/>
              <w:bottom w:val="single" w:sz="10" w:space="0" w:color="1E3A8A"/>
              <w:left w:val="none"/>
              <w:right w:val="none"/>
            </w:tcBorders>
          </w:tcPr>
          <w:p>
            <w:pPr>
              <w:spacing w:before="20" w:after="20"/>
              <w:jc w:val="left"/>
            </w:pPr>
            <w:r>
              <w:rPr>
                <w:rFonts w:ascii="Calibri" w:hAnsi="Calibri"/>
                <w:b/>
                <w:color w:val="FFFFFF"/>
                <w:sz w:val="17"/>
              </w:rPr>
              <w:t>Request Body / Parameters</w:t>
            </w:r>
          </w:p>
        </w:tc>
        <w:tc>
          <w:tcPr>
            <w:tcW w:type="dxa" w:w="2448"/>
            <w:shd w:fill="1E3A8A"/>
            <w:tcMar>
              <w:top w:w="55" w:type="dxa"/>
              <w:bottom w:w="55" w:type="dxa"/>
              <w:left w:w="75" w:type="dxa"/>
              <w:right w:w="75" w:type="dxa"/>
            </w:tcMar>
            <w:tcBorders>
              <w:top w:val="none"/>
              <w:bottom w:val="single" w:sz="10" w:space="0" w:color="1E3A8A"/>
              <w:left w:val="none"/>
              <w:right w:val="none"/>
            </w:tcBorders>
          </w:tcPr>
          <w:p>
            <w:pPr>
              <w:spacing w:before="20" w:after="20"/>
              <w:jc w:val="left"/>
            </w:pPr>
            <w:r>
              <w:rPr>
                <w:rFonts w:ascii="Calibri" w:hAnsi="Calibri"/>
                <w:b/>
                <w:color w:val="FFFFFF"/>
                <w:sz w:val="17"/>
              </w:rPr>
              <w:t>HTTP Status &amp; Response Payload</w:t>
            </w:r>
          </w:p>
        </w:tc>
      </w:tr>
      <w:tr>
        <w:tc>
          <w:tcPr>
            <w:tcW w:type="dxa" w:w="2880"/>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POST /api/auth/login</w:t>
            </w:r>
          </w:p>
        </w:tc>
        <w:tc>
          <w:tcPr>
            <w:tcW w:type="dxa" w:w="1728"/>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Public</w:t>
            </w:r>
          </w:p>
        </w:tc>
        <w:tc>
          <w:tcPr>
            <w:tcW w:type="dxa" w:w="2736"/>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email, password</w:t>
            </w:r>
          </w:p>
        </w:tc>
        <w:tc>
          <w:tcPr>
            <w:tcW w:type="dxa" w:w="2448"/>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200: { user, token } | 401: Invalid credentials</w:t>
            </w:r>
          </w:p>
        </w:tc>
      </w:tr>
      <w:tr>
        <w:tc>
          <w:tcPr>
            <w:tcW w:type="dxa" w:w="2880"/>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POST /api/auth/google</w:t>
            </w:r>
          </w:p>
        </w:tc>
        <w:tc>
          <w:tcPr>
            <w:tcW w:type="dxa" w:w="1728"/>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Public</w:t>
            </w:r>
          </w:p>
        </w:tc>
        <w:tc>
          <w:tcPr>
            <w:tcW w:type="dxa" w:w="2736"/>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credential (Google ID token)</w:t>
            </w:r>
          </w:p>
        </w:tc>
        <w:tc>
          <w:tcPr>
            <w:tcW w:type="dxa" w:w="2448"/>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200: { user, token } | 401: Invalid Google token</w:t>
            </w:r>
          </w:p>
        </w:tc>
      </w:tr>
      <w:tr>
        <w:tc>
          <w:tcPr>
            <w:tcW w:type="dxa" w:w="2880"/>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GET /api/auth/me</w:t>
            </w:r>
          </w:p>
        </w:tc>
        <w:tc>
          <w:tcPr>
            <w:tcW w:type="dxa" w:w="1728"/>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Private (All)</w:t>
            </w:r>
          </w:p>
        </w:tc>
        <w:tc>
          <w:tcPr>
            <w:tcW w:type="dxa" w:w="2736"/>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Authorization: Bearer &lt;JWT&gt;</w:t>
            </w:r>
          </w:p>
        </w:tc>
        <w:tc>
          <w:tcPr>
            <w:tcW w:type="dxa" w:w="2448"/>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200: Decoded user profile object</w:t>
            </w:r>
          </w:p>
        </w:tc>
      </w:tr>
      <w:tr>
        <w:tc>
          <w:tcPr>
            <w:tcW w:type="dxa" w:w="2880"/>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GET /api/products</w:t>
            </w:r>
          </w:p>
        </w:tc>
        <w:tc>
          <w:tcPr>
            <w:tcW w:type="dxa" w:w="1728"/>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Private (All)</w:t>
            </w:r>
          </w:p>
        </w:tc>
        <w:tc>
          <w:tcPr>
            <w:tcW w:type="dxa" w:w="2736"/>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search, categoryId, status, page</w:t>
            </w:r>
          </w:p>
        </w:tc>
        <w:tc>
          <w:tcPr>
            <w:tcW w:type="dxa" w:w="2448"/>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200: Paginated product list + metadata</w:t>
            </w:r>
          </w:p>
        </w:tc>
      </w:tr>
      <w:tr>
        <w:tc>
          <w:tcPr>
            <w:tcW w:type="dxa" w:w="2880"/>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POST /api/products</w:t>
            </w:r>
          </w:p>
        </w:tc>
        <w:tc>
          <w:tcPr>
            <w:tcW w:type="dxa" w:w="1728"/>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Admin / Manager</w:t>
            </w:r>
          </w:p>
        </w:tc>
        <w:tc>
          <w:tcPr>
            <w:tcW w:type="dxa" w:w="2736"/>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sku, name, unitCost, minStock, etc.</w:t>
            </w:r>
          </w:p>
        </w:tc>
        <w:tc>
          <w:tcPr>
            <w:tcW w:type="dxa" w:w="2448"/>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201: Newly created Product document</w:t>
            </w:r>
          </w:p>
        </w:tc>
      </w:tr>
      <w:tr>
        <w:tc>
          <w:tcPr>
            <w:tcW w:type="dxa" w:w="2880"/>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DELETE /api/products/:id</w:t>
            </w:r>
          </w:p>
        </w:tc>
        <w:tc>
          <w:tcPr>
            <w:tcW w:type="dxa" w:w="1728"/>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Admin Only</w:t>
            </w:r>
          </w:p>
        </w:tc>
        <w:tc>
          <w:tcPr>
            <w:tcW w:type="dxa" w:w="2736"/>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URL param: productId</w:t>
            </w:r>
          </w:p>
        </w:tc>
        <w:tc>
          <w:tcPr>
            <w:tcW w:type="dxa" w:w="2448"/>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200: Product status set to INACTIVE</w:t>
            </w:r>
          </w:p>
        </w:tc>
      </w:tr>
      <w:tr>
        <w:tc>
          <w:tcPr>
            <w:tcW w:type="dxa" w:w="2880"/>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POST /api/stock/in</w:t>
            </w:r>
          </w:p>
        </w:tc>
        <w:tc>
          <w:tcPr>
            <w:tcW w:type="dxa" w:w="1728"/>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Admin / Manager</w:t>
            </w:r>
          </w:p>
        </w:tc>
        <w:tc>
          <w:tcPr>
            <w:tcW w:type="dxa" w:w="2736"/>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productId, quantity, supplierId, refNo</w:t>
            </w:r>
          </w:p>
        </w:tc>
        <w:tc>
          <w:tcPr>
            <w:tcW w:type="dxa" w:w="2448"/>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200: Updated product &amp; StockMovement ledger</w:t>
            </w:r>
          </w:p>
        </w:tc>
      </w:tr>
      <w:tr>
        <w:tc>
          <w:tcPr>
            <w:tcW w:type="dxa" w:w="2880"/>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POST /api/stock/out</w:t>
            </w:r>
          </w:p>
        </w:tc>
        <w:tc>
          <w:tcPr>
            <w:tcW w:type="dxa" w:w="1728"/>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Admin / Manager</w:t>
            </w:r>
          </w:p>
        </w:tc>
        <w:tc>
          <w:tcPr>
            <w:tcW w:type="dxa" w:w="2736"/>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productId, quantity, destination, refNo</w:t>
            </w:r>
          </w:p>
        </w:tc>
        <w:tc>
          <w:tcPr>
            <w:tcW w:type="dxa" w:w="2448"/>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200: Success | 400: Insufficient stock error</w:t>
            </w:r>
          </w:p>
        </w:tc>
      </w:tr>
      <w:tr>
        <w:tc>
          <w:tcPr>
            <w:tcW w:type="dxa" w:w="2880"/>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GET /api/stock/movements</w:t>
            </w:r>
          </w:p>
        </w:tc>
        <w:tc>
          <w:tcPr>
            <w:tcW w:type="dxa" w:w="1728"/>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Private (All)</w:t>
            </w:r>
          </w:p>
        </w:tc>
        <w:tc>
          <w:tcPr>
            <w:tcW w:type="dxa" w:w="2736"/>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page, limit, productId, type</w:t>
            </w:r>
          </w:p>
        </w:tc>
        <w:tc>
          <w:tcPr>
            <w:tcW w:type="dxa" w:w="2448"/>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200: Paginated historical movement ledger</w:t>
            </w:r>
          </w:p>
        </w:tc>
      </w:tr>
      <w:tr>
        <w:tc>
          <w:tcPr>
            <w:tcW w:type="dxa" w:w="2880"/>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GET /api/dashboard/summary</w:t>
            </w:r>
          </w:p>
        </w:tc>
        <w:tc>
          <w:tcPr>
            <w:tcW w:type="dxa" w:w="1728"/>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Private (All)</w:t>
            </w:r>
          </w:p>
        </w:tc>
        <w:tc>
          <w:tcPr>
            <w:tcW w:type="dxa" w:w="2736"/>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None (Extracts active stock)</w:t>
            </w:r>
          </w:p>
        </w:tc>
        <w:tc>
          <w:tcPr>
            <w:tcW w:type="dxa" w:w="2448"/>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200: { totalValue, totalUnits, lowStockCount }</w:t>
            </w:r>
          </w:p>
        </w:tc>
      </w:tr>
      <w:tr>
        <w:tc>
          <w:tcPr>
            <w:tcW w:type="dxa" w:w="2880"/>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GET /api/dashboard/trends</w:t>
            </w:r>
          </w:p>
        </w:tc>
        <w:tc>
          <w:tcPr>
            <w:tcW w:type="dxa" w:w="1728"/>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Private (All)</w:t>
            </w:r>
          </w:p>
        </w:tc>
        <w:tc>
          <w:tcPr>
            <w:tcW w:type="dxa" w:w="2736"/>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days=30 (Query string)</w:t>
            </w:r>
          </w:p>
        </w:tc>
        <w:tc>
          <w:tcPr>
            <w:tcW w:type="dxa" w:w="2448"/>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200: Time-series stock movement trends</w:t>
            </w:r>
          </w:p>
        </w:tc>
      </w:tr>
    </w:tbl>
    <w:p>
      <w:pPr>
        <w:spacing w:before="0" w:after="50"/>
      </w:pPr>
    </w:p>
    <w:p>
      <w:pPr>
        <w:keepNext/>
        <w:spacing w:before="60" w:after="30"/>
      </w:pPr>
      <w:r>
        <w:rPr>
          <w:rFonts w:ascii="Calibri" w:hAnsi="Calibri"/>
          <w:b/>
          <w:color w:val="1E3A8A"/>
          <w:sz w:val="21"/>
        </w:rPr>
        <w:t>7.3 Standardized API Response Wrapper</w:t>
      </w:r>
    </w:p>
    <w:p>
      <w:pPr>
        <w:spacing w:before="0" w:after="0" w:line="269" w:lineRule="auto"/>
        <w:jc w:val="left"/>
      </w:pPr>
      <w:r>
        <w:rPr>
          <w:rFonts w:ascii="Calibri" w:hAnsi="Calibri"/>
          <w:b w:val="0"/>
          <w:i w:val="0"/>
          <w:color w:val="1E293B"/>
          <w:sz w:val="18"/>
        </w:rPr>
        <w:t>All Express endpoints utilize standardized helper functions (`successResponse` and `errorResponse` in `apiResponse.js`). This ensures that every API response follows an immutable envelope structure: `{ success: boolean, message: string, data: object, timestamp: ISOString }`, enabling effortless frontend error handling and centralized logging.</w:t>
      </w:r>
    </w:p>
    <w:p>
      <w:r>
        <w:br w:type="page"/>
      </w:r>
    </w:p>
    <w:p>
      <w:pPr>
        <w:keepNext/>
        <w:spacing w:before="0" w:after="40"/>
      </w:pPr>
      <w:r>
        <w:rPr>
          <w:rFonts w:ascii="Calibri Light" w:hAnsi="Calibri Light"/>
          <w:b/>
          <w:color w:val="1E3A8A"/>
          <w:sz w:val="27"/>
        </w:rPr>
        <w:t>CHAPTER 8: SECURITY ARCHITECTURE &amp; QUALITY ASSURANCE</w:t>
      </w:r>
    </w:p>
    <w:p>
      <w:pPr>
        <w:keepNext/>
        <w:spacing w:before="40" w:after="30"/>
      </w:pPr>
      <w:r>
        <w:rPr>
          <w:rFonts w:ascii="Calibri" w:hAnsi="Calibri"/>
          <w:b/>
          <w:color w:val="1E3A8A"/>
          <w:sz w:val="21"/>
        </w:rPr>
        <w:t>8.1 Dual Authentication &amp; Cryptographic Token Security</w:t>
      </w:r>
    </w:p>
    <w:p>
      <w:pPr>
        <w:spacing w:before="0" w:after="70" w:line="269" w:lineRule="auto"/>
        <w:jc w:val="left"/>
      </w:pPr>
      <w:r>
        <w:rPr>
          <w:rFonts w:ascii="Calibri" w:hAnsi="Calibri"/>
          <w:b w:val="0"/>
          <w:i w:val="0"/>
          <w:color w:val="1E293B"/>
          <w:sz w:val="19"/>
        </w:rPr>
        <w:t>SmartInventory supports dual authentication channels: traditional email/password credentials and modern Google OAuth 2.0 Single Sign-On (SSO). Passwords undergo cryptographic salting and hashing via `bcryptjs` with 10 salt rounds prior to database insertion. For Google authentication, the frontend Google Login button generates an OAuth 2.0 credential which is validated cryptographically by the backend using Google's official `google-auth-library` `OAuth2Client`. Verified users receive a stateless JSON Web Token (JWT) signed with the `HS256` algorithm and an expiration window.</w:t>
      </w:r>
    </w:p>
    <w:p>
      <w:pPr>
        <w:keepNext/>
        <w:spacing w:before="60" w:after="30"/>
      </w:pPr>
      <w:r>
        <w:rPr>
          <w:rFonts w:ascii="Calibri" w:hAnsi="Calibri"/>
          <w:b/>
          <w:color w:val="1E3A8A"/>
          <w:sz w:val="21"/>
        </w:rPr>
        <w:t>8.2 Security Middleware &amp; Attack Surface Hardening</w:t>
      </w:r>
    </w:p>
    <w:p>
      <w:pPr>
        <w:spacing w:before="0" w:after="70" w:line="269" w:lineRule="auto"/>
        <w:jc w:val="left"/>
      </w:pPr>
      <w:r>
        <w:rPr>
          <w:rFonts w:ascii="Calibri" w:hAnsi="Calibri"/>
          <w:b w:val="0"/>
          <w:i w:val="0"/>
          <w:color w:val="1E293B"/>
          <w:sz w:val="18"/>
        </w:rPr>
        <w:t>• NoSQL Injection Protection: `express-mongo-sanitize` scrubs all incoming payloads, preventing attackers from injecting operators like `{"email": {"$gt": ""}}` to bypass authentication.</w:t>
        <w:br/>
        <w:t>• HTTP Header Hardening: `helmet` sets strict HTTP security headers, including XSS protection, anti-clickjacking frameguards, and disabling `X-Powered-By: Express` banners to deter reconnaissance.</w:t>
        <w:br/>
        <w:t>• Rate Limiting: `express-rate-limit` throttles repeated brute-force authentication requests to 100 requests per 15-minute window.</w:t>
        <w:br/>
        <w:t>• Role-Based Access Control (RBAC): `roleMiddleware.js` restricts dangerous endpoints (e.g. Product Deletion) exclusively to `ADMIN`, while inventory operators are granted `INVENTORY_MANAGER` permissions.</w:t>
      </w:r>
    </w:p>
    <w:p>
      <w:pPr>
        <w:keepNext/>
        <w:spacing w:before="60" w:after="30"/>
      </w:pPr>
      <w:r>
        <w:rPr>
          <w:rFonts w:ascii="Calibri" w:hAnsi="Calibri"/>
          <w:b/>
          <w:color w:val="1E3A8A"/>
          <w:sz w:val="21"/>
        </w:rPr>
        <w:t>8.3 Comprehensive Verification &amp; Test Suite Matrix</w:t>
      </w:r>
    </w:p>
    <w:tbl>
      <w:tblPr>
        <w:tblW w:type="auto" w:w="0"/>
        <w:jc w:val="center"/>
        <w:tblLook w:firstColumn="1" w:firstRow="1" w:lastColumn="0" w:lastRow="0" w:noHBand="0" w:noVBand="1" w:val="04A0"/>
      </w:tblPr>
      <w:tblGrid>
        <w:gridCol w:w="1958"/>
        <w:gridCol w:w="1958"/>
        <w:gridCol w:w="1958"/>
        <w:gridCol w:w="1958"/>
        <w:gridCol w:w="1958"/>
      </w:tblGrid>
      <w:tr>
        <w:tc>
          <w:tcPr>
            <w:tcW w:type="dxa" w:w="1152"/>
            <w:shd w:fill="1E3A8A"/>
            <w:tcMar>
              <w:top w:w="55" w:type="dxa"/>
              <w:bottom w:w="55" w:type="dxa"/>
              <w:left w:w="75" w:type="dxa"/>
              <w:right w:w="75" w:type="dxa"/>
            </w:tcMar>
            <w:tcBorders>
              <w:top w:val="none"/>
              <w:bottom w:val="single" w:sz="10" w:space="0" w:color="1E3A8A"/>
              <w:left w:val="none"/>
              <w:right w:val="none"/>
            </w:tcBorders>
          </w:tcPr>
          <w:p>
            <w:pPr>
              <w:spacing w:before="20" w:after="20"/>
              <w:jc w:val="center"/>
            </w:pPr>
            <w:r>
              <w:rPr>
                <w:rFonts w:ascii="Calibri" w:hAnsi="Calibri"/>
                <w:b/>
                <w:color w:val="FFFFFF"/>
                <w:sz w:val="17"/>
              </w:rPr>
              <w:t>Test ID</w:t>
            </w:r>
          </w:p>
        </w:tc>
        <w:tc>
          <w:tcPr>
            <w:tcW w:type="dxa" w:w="2016"/>
            <w:shd w:fill="1E3A8A"/>
            <w:tcMar>
              <w:top w:w="55" w:type="dxa"/>
              <w:bottom w:w="55" w:type="dxa"/>
              <w:left w:w="75" w:type="dxa"/>
              <w:right w:w="75" w:type="dxa"/>
            </w:tcMar>
            <w:tcBorders>
              <w:top w:val="none"/>
              <w:bottom w:val="single" w:sz="10" w:space="0" w:color="1E3A8A"/>
              <w:left w:val="none"/>
              <w:right w:val="none"/>
            </w:tcBorders>
          </w:tcPr>
          <w:p>
            <w:pPr>
              <w:spacing w:before="20" w:after="20"/>
              <w:jc w:val="left"/>
            </w:pPr>
            <w:r>
              <w:rPr>
                <w:rFonts w:ascii="Calibri" w:hAnsi="Calibri"/>
                <w:b/>
                <w:color w:val="FFFFFF"/>
                <w:sz w:val="17"/>
              </w:rPr>
              <w:t>Module Under Test</w:t>
            </w:r>
          </w:p>
        </w:tc>
        <w:tc>
          <w:tcPr>
            <w:tcW w:type="dxa" w:w="3024"/>
            <w:shd w:fill="1E3A8A"/>
            <w:tcMar>
              <w:top w:w="55" w:type="dxa"/>
              <w:bottom w:w="55" w:type="dxa"/>
              <w:left w:w="75" w:type="dxa"/>
              <w:right w:w="75" w:type="dxa"/>
            </w:tcMar>
            <w:tcBorders>
              <w:top w:val="none"/>
              <w:bottom w:val="single" w:sz="10" w:space="0" w:color="1E3A8A"/>
              <w:left w:val="none"/>
              <w:right w:val="none"/>
            </w:tcBorders>
          </w:tcPr>
          <w:p>
            <w:pPr>
              <w:spacing w:before="20" w:after="20"/>
              <w:jc w:val="left"/>
            </w:pPr>
            <w:r>
              <w:rPr>
                <w:rFonts w:ascii="Calibri" w:hAnsi="Calibri"/>
                <w:b/>
                <w:color w:val="FFFFFF"/>
                <w:sz w:val="17"/>
              </w:rPr>
              <w:t>Test Scenario &amp; Input</w:t>
            </w:r>
          </w:p>
        </w:tc>
        <w:tc>
          <w:tcPr>
            <w:tcW w:type="dxa" w:w="2880"/>
            <w:shd w:fill="1E3A8A"/>
            <w:tcMar>
              <w:top w:w="55" w:type="dxa"/>
              <w:bottom w:w="55" w:type="dxa"/>
              <w:left w:w="75" w:type="dxa"/>
              <w:right w:w="75" w:type="dxa"/>
            </w:tcMar>
            <w:tcBorders>
              <w:top w:val="none"/>
              <w:bottom w:val="single" w:sz="10" w:space="0" w:color="1E3A8A"/>
              <w:left w:val="none"/>
              <w:right w:val="none"/>
            </w:tcBorders>
          </w:tcPr>
          <w:p>
            <w:pPr>
              <w:spacing w:before="20" w:after="20"/>
              <w:jc w:val="left"/>
            </w:pPr>
            <w:r>
              <w:rPr>
                <w:rFonts w:ascii="Calibri" w:hAnsi="Calibri"/>
                <w:b/>
                <w:color w:val="FFFFFF"/>
                <w:sz w:val="17"/>
              </w:rPr>
              <w:t>Expected System Behavior</w:t>
            </w:r>
          </w:p>
        </w:tc>
        <w:tc>
          <w:tcPr>
            <w:tcW w:type="dxa" w:w="720"/>
            <w:shd w:fill="1E3A8A"/>
            <w:tcMar>
              <w:top w:w="55" w:type="dxa"/>
              <w:bottom w:w="55" w:type="dxa"/>
              <w:left w:w="75" w:type="dxa"/>
              <w:right w:w="75" w:type="dxa"/>
            </w:tcMar>
            <w:tcBorders>
              <w:top w:val="none"/>
              <w:bottom w:val="single" w:sz="10" w:space="0" w:color="1E3A8A"/>
              <w:left w:val="none"/>
              <w:right w:val="none"/>
            </w:tcBorders>
          </w:tcPr>
          <w:p>
            <w:pPr>
              <w:spacing w:before="20" w:after="20"/>
              <w:jc w:val="center"/>
            </w:pPr>
            <w:r>
              <w:rPr>
                <w:rFonts w:ascii="Calibri" w:hAnsi="Calibri"/>
                <w:b/>
                <w:color w:val="FFFFFF"/>
                <w:sz w:val="17"/>
              </w:rPr>
              <w:t>Result</w:t>
            </w:r>
          </w:p>
        </w:tc>
      </w:tr>
      <w:tr>
        <w:tc>
          <w:tcPr>
            <w:tcW w:type="dxa" w:w="1152"/>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TC-01</w:t>
            </w:r>
          </w:p>
        </w:tc>
        <w:tc>
          <w:tcPr>
            <w:tcW w:type="dxa" w:w="2016"/>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Auth &amp; Password</w:t>
            </w:r>
          </w:p>
        </w:tc>
        <w:tc>
          <w:tcPr>
            <w:tcW w:type="dxa" w:w="3024"/>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Submit invalid password for admin</w:t>
            </w:r>
          </w:p>
        </w:tc>
        <w:tc>
          <w:tcPr>
            <w:tcW w:type="dxa" w:w="2880"/>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HTTP 401 'Invalid email or password', no token issued</w:t>
            </w:r>
          </w:p>
        </w:tc>
        <w:tc>
          <w:tcPr>
            <w:tcW w:type="dxa" w:w="720"/>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PASSED</w:t>
            </w:r>
          </w:p>
        </w:tc>
      </w:tr>
      <w:tr>
        <w:tc>
          <w:tcPr>
            <w:tcW w:type="dxa" w:w="1152"/>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TC-02</w:t>
            </w:r>
          </w:p>
        </w:tc>
        <w:tc>
          <w:tcPr>
            <w:tcW w:type="dxa" w:w="2016"/>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Google OAuth SSO</w:t>
            </w:r>
          </w:p>
        </w:tc>
        <w:tc>
          <w:tcPr>
            <w:tcW w:type="dxa" w:w="3024"/>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Submit verified Google ID token</w:t>
            </w:r>
          </w:p>
        </w:tc>
        <w:tc>
          <w:tcPr>
            <w:tcW w:type="dxa" w:w="2880"/>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HTTP 200, user created/retrieved, valid JWT issued</w:t>
            </w:r>
          </w:p>
        </w:tc>
        <w:tc>
          <w:tcPr>
            <w:tcW w:type="dxa" w:w="720"/>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PASSED</w:t>
            </w:r>
          </w:p>
        </w:tc>
      </w:tr>
      <w:tr>
        <w:tc>
          <w:tcPr>
            <w:tcW w:type="dxa" w:w="1152"/>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TC-03</w:t>
            </w:r>
          </w:p>
        </w:tc>
        <w:tc>
          <w:tcPr>
            <w:tcW w:type="dxa" w:w="2016"/>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SKU Uniqueness</w:t>
            </w:r>
          </w:p>
        </w:tc>
        <w:tc>
          <w:tcPr>
            <w:tcW w:type="dxa" w:w="3024"/>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Create 2nd product with duplicate SKU</w:t>
            </w:r>
          </w:p>
        </w:tc>
        <w:tc>
          <w:tcPr>
            <w:tcW w:type="dxa" w:w="2880"/>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HTTP 400 Duplicate Key Error caught by middleware</w:t>
            </w:r>
          </w:p>
        </w:tc>
        <w:tc>
          <w:tcPr>
            <w:tcW w:type="dxa" w:w="720"/>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PASSED</w:t>
            </w:r>
          </w:p>
        </w:tc>
      </w:tr>
      <w:tr>
        <w:tc>
          <w:tcPr>
            <w:tcW w:type="dxa" w:w="1152"/>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TC-04</w:t>
            </w:r>
          </w:p>
        </w:tc>
        <w:tc>
          <w:tcPr>
            <w:tcW w:type="dxa" w:w="2016"/>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Stock OUT Validation</w:t>
            </w:r>
          </w:p>
        </w:tc>
        <w:tc>
          <w:tcPr>
            <w:tcW w:type="dxa" w:w="3024"/>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Dispatch 100 units when 40 in stock</w:t>
            </w:r>
          </w:p>
        </w:tc>
        <w:tc>
          <w:tcPr>
            <w:tcW w:type="dxa" w:w="2880"/>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HTTP 400 'Insufficient stock', transaction rolled back</w:t>
            </w:r>
          </w:p>
        </w:tc>
        <w:tc>
          <w:tcPr>
            <w:tcW w:type="dxa" w:w="720"/>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PASSED</w:t>
            </w:r>
          </w:p>
        </w:tc>
      </w:tr>
      <w:tr>
        <w:tc>
          <w:tcPr>
            <w:tcW w:type="dxa" w:w="1152"/>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TC-05</w:t>
            </w:r>
          </w:p>
        </w:tc>
        <w:tc>
          <w:tcPr>
            <w:tcW w:type="dxa" w:w="2016"/>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Stock IN Atomic</w:t>
            </w:r>
          </w:p>
        </w:tc>
        <w:tc>
          <w:tcPr>
            <w:tcW w:type="dxa" w:w="3024"/>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Receive 50 units with unit cost update</w:t>
            </w:r>
          </w:p>
        </w:tc>
        <w:tc>
          <w:tcPr>
            <w:tcW w:type="dxa" w:w="2880"/>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Product quantity becomes 90, StockMovement logged</w:t>
            </w:r>
          </w:p>
        </w:tc>
        <w:tc>
          <w:tcPr>
            <w:tcW w:type="dxa" w:w="720"/>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PASSED</w:t>
            </w:r>
          </w:p>
        </w:tc>
      </w:tr>
      <w:tr>
        <w:tc>
          <w:tcPr>
            <w:tcW w:type="dxa" w:w="1152"/>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TC-06</w:t>
            </w:r>
          </w:p>
        </w:tc>
        <w:tc>
          <w:tcPr>
            <w:tcW w:type="dxa" w:w="2016"/>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Soft Deletion</w:t>
            </w:r>
          </w:p>
        </w:tc>
        <w:tc>
          <w:tcPr>
            <w:tcW w:type="dxa" w:w="3024"/>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Admin deletes product with ledger records</w:t>
            </w:r>
          </w:p>
        </w:tc>
        <w:tc>
          <w:tcPr>
            <w:tcW w:type="dxa" w:w="2880"/>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Status changes to INACTIVE; movement ledger intact</w:t>
            </w:r>
          </w:p>
        </w:tc>
        <w:tc>
          <w:tcPr>
            <w:tcW w:type="dxa" w:w="720"/>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PASSED</w:t>
            </w:r>
          </w:p>
        </w:tc>
      </w:tr>
      <w:tr>
        <w:tc>
          <w:tcPr>
            <w:tcW w:type="dxa" w:w="1152"/>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TC-07</w:t>
            </w:r>
          </w:p>
        </w:tc>
        <w:tc>
          <w:tcPr>
            <w:tcW w:type="dxa" w:w="2016"/>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RBAC Route Guard</w:t>
            </w:r>
          </w:p>
        </w:tc>
        <w:tc>
          <w:tcPr>
            <w:tcW w:type="dxa" w:w="3024"/>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VIEWER role attempts to dispatch stock</w:t>
            </w:r>
          </w:p>
        </w:tc>
        <w:tc>
          <w:tcPr>
            <w:tcW w:type="dxa" w:w="2880"/>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HTTP 403 Forbidden 'Access denied for this role'</w:t>
            </w:r>
          </w:p>
        </w:tc>
        <w:tc>
          <w:tcPr>
            <w:tcW w:type="dxa" w:w="720"/>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PASSED</w:t>
            </w:r>
          </w:p>
        </w:tc>
      </w:tr>
      <w:tr>
        <w:tc>
          <w:tcPr>
            <w:tcW w:type="dxa" w:w="1152"/>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TC-08</w:t>
            </w:r>
          </w:p>
        </w:tc>
        <w:tc>
          <w:tcPr>
            <w:tcW w:type="dxa" w:w="2016"/>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NoSQL Sanitization</w:t>
            </w:r>
          </w:p>
        </w:tc>
        <w:tc>
          <w:tcPr>
            <w:tcW w:type="dxa" w:w="3024"/>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Payload with MongoDB operator {"$ne": null}</w:t>
            </w:r>
          </w:p>
        </w:tc>
        <w:tc>
          <w:tcPr>
            <w:tcW w:type="dxa" w:w="2880"/>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Sanitizer strips '$', prevents unauthorized match</w:t>
            </w:r>
          </w:p>
        </w:tc>
        <w:tc>
          <w:tcPr>
            <w:tcW w:type="dxa" w:w="720"/>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center"/>
            </w:pPr>
            <w:r>
              <w:rPr>
                <w:rFonts w:ascii="Calibri" w:hAnsi="Calibri"/>
                <w:color w:val="1E293B"/>
                <w:sz w:val="16"/>
              </w:rPr>
              <w:t>PASSED</w:t>
            </w:r>
          </w:p>
        </w:tc>
      </w:tr>
    </w:tbl>
    <w:p>
      <w:pPr>
        <w:spacing w:before="0" w:after="50"/>
      </w:pPr>
    </w:p>
    <w:tbl>
      <w:tblPr>
        <w:tblW w:type="auto" w:w="0"/>
        <w:jc w:val="center"/>
        <w:tblLook w:firstColumn="1" w:firstRow="1" w:lastColumn="0" w:lastRow="0" w:noHBand="0" w:noVBand="1" w:val="04A0"/>
      </w:tblPr>
      <w:tblGrid>
        <w:gridCol w:w="9792"/>
      </w:tblGrid>
      <w:tr>
        <w:tc>
          <w:tcPr>
            <w:tcW w:type="dxa" w:w="9792"/>
            <w:shd w:fill="F1F5F9"/>
            <w:tcMar>
              <w:top w:w="50" w:type="dxa"/>
              <w:bottom w:w="50" w:type="dxa"/>
              <w:left w:w="110" w:type="dxa"/>
              <w:right w:w="110" w:type="dxa"/>
            </w:tcMar>
            <w:tcBorders>
              <w:top w:val="none"/>
              <w:bottom w:val="none"/>
              <w:left w:val="single" w:sz="20" w:space="0" w:color="2563EB"/>
              <w:right w:val="none"/>
            </w:tcBorders>
          </w:tcPr>
          <w:p>
            <w:pPr>
              <w:spacing w:before="20" w:after="20" w:line="269" w:lineRule="auto"/>
            </w:pPr>
            <w:r>
              <w:rPr>
                <w:rFonts w:ascii="Calibri" w:hAnsi="Calibri"/>
                <w:b/>
                <w:color w:val="2563EB"/>
                <w:sz w:val="18"/>
              </w:rPr>
              <w:t xml:space="preserve">Quality Assurance Verdict: </w:t>
            </w:r>
            <w:r>
              <w:rPr>
                <w:rFonts w:ascii="Calibri" w:hAnsi="Calibri"/>
                <w:color w:val="1E293B"/>
                <w:sz w:val="18"/>
              </w:rPr>
              <w:t>Zero-Regression Architecture: Automated testing confirmed that all 8 core test scenarios passed with 100% adherence to specification, confirming stability and complete isolation across all transactional boundaries.</w:t>
            </w:r>
          </w:p>
        </w:tc>
      </w:tr>
    </w:tbl>
    <w:p>
      <w:pPr>
        <w:spacing w:before="0" w:after="40"/>
      </w:pPr>
    </w:p>
    <w:p>
      <w:r>
        <w:br w:type="page"/>
      </w:r>
    </w:p>
    <w:p>
      <w:pPr>
        <w:keepNext/>
        <w:spacing w:before="0" w:after="40"/>
      </w:pPr>
      <w:r>
        <w:rPr>
          <w:rFonts w:ascii="Calibri Light" w:hAnsi="Calibri Light"/>
          <w:b/>
          <w:color w:val="1E3A8A"/>
          <w:sz w:val="27"/>
        </w:rPr>
        <w:t>CHAPTER 9: ENGINEERING CHALLENGES &amp; FUTURE ROADMAP</w:t>
      </w:r>
    </w:p>
    <w:p>
      <w:pPr>
        <w:keepNext/>
        <w:spacing w:before="40" w:after="30"/>
      </w:pPr>
      <w:r>
        <w:rPr>
          <w:rFonts w:ascii="Calibri" w:hAnsi="Calibri"/>
          <w:b/>
          <w:color w:val="1E3A8A"/>
          <w:sz w:val="21"/>
        </w:rPr>
        <w:t>9.1 Real-World Technical Challenges Encountered &amp; Overcome</w:t>
      </w:r>
    </w:p>
    <w:p>
      <w:pPr>
        <w:spacing w:before="0" w:after="70" w:line="269" w:lineRule="auto"/>
        <w:jc w:val="left"/>
      </w:pPr>
      <w:r>
        <w:rPr>
          <w:rFonts w:ascii="Calibri" w:hAnsi="Calibri"/>
          <w:b w:val="0"/>
          <w:i w:val="0"/>
          <w:color w:val="1E293B"/>
          <w:sz w:val="19"/>
        </w:rPr>
        <w:t>During the lifecycle of developing SmartInventory, several non-trivial engineering obstacles arose:</w:t>
        <w:br/>
        <w:t>1. Concurrency Race Conditions in Standalone MongoDB Instances: In local development, MongoDB runs as a standalone server without a replica set, which disallows multi-document transactions. To resolve this for both local testing and production, we configured replica-set initialization and fallback error handling ensuring atomic `$inc` updates operate safely.</w:t>
        <w:br/>
        <w:t>2. React Context Synchronization Across Multiple Browser Windows: When an operator completed a Stock OUT transaction in one tab, the TopNav profile and Dashboard metrics in adjacent tabs became stale. We addressed this by implementing custom event dispatchers and cache-invalidation triggers on Axios responses.</w:t>
        <w:br/>
        <w:t>3. Dynamic Role Rendering in TopNav: Initially, the frontend interface had hardcoded administrator labels. We refactored `TopNav.jsx` and `AuthContext.jsx` to dynamically parse and format the authenticated user's name, role badges, and initials (`getInitials(user?.name)`).</w:t>
      </w:r>
    </w:p>
    <w:p>
      <w:pPr>
        <w:keepNext/>
        <w:spacing w:before="60" w:after="30"/>
      </w:pPr>
      <w:r>
        <w:rPr>
          <w:rFonts w:ascii="Calibri" w:hAnsi="Calibri"/>
          <w:b/>
          <w:color w:val="1E3A8A"/>
          <w:sz w:val="21"/>
        </w:rPr>
        <w:t>9.2 Risk and Mitigation Architecture Matrix</w:t>
      </w:r>
    </w:p>
    <w:tbl>
      <w:tblPr>
        <w:tblW w:type="auto" w:w="0"/>
        <w:jc w:val="center"/>
        <w:tblLook w:firstColumn="1" w:firstRow="1" w:lastColumn="0" w:lastRow="0" w:noHBand="0" w:noVBand="1" w:val="04A0"/>
      </w:tblPr>
      <w:tblGrid>
        <w:gridCol w:w="3264"/>
        <w:gridCol w:w="3264"/>
        <w:gridCol w:w="3264"/>
      </w:tblGrid>
      <w:tr>
        <w:tc>
          <w:tcPr>
            <w:tcW w:type="dxa" w:w="2880"/>
            <w:shd w:fill="1E3A8A"/>
            <w:tcMar>
              <w:top w:w="55" w:type="dxa"/>
              <w:bottom w:w="55" w:type="dxa"/>
              <w:left w:w="75" w:type="dxa"/>
              <w:right w:w="75" w:type="dxa"/>
            </w:tcMar>
            <w:tcBorders>
              <w:top w:val="none"/>
              <w:bottom w:val="single" w:sz="10" w:space="0" w:color="1E3A8A"/>
              <w:left w:val="none"/>
              <w:right w:val="none"/>
            </w:tcBorders>
          </w:tcPr>
          <w:p>
            <w:pPr>
              <w:spacing w:before="20" w:after="20"/>
              <w:jc w:val="left"/>
            </w:pPr>
            <w:r>
              <w:rPr>
                <w:rFonts w:ascii="Calibri" w:hAnsi="Calibri"/>
                <w:b/>
                <w:color w:val="FFFFFF"/>
                <w:sz w:val="17"/>
              </w:rPr>
              <w:t>Identified Risk Vector</w:t>
            </w:r>
          </w:p>
        </w:tc>
        <w:tc>
          <w:tcPr>
            <w:tcW w:type="dxa" w:w="3168"/>
            <w:shd w:fill="1E3A8A"/>
            <w:tcMar>
              <w:top w:w="55" w:type="dxa"/>
              <w:bottom w:w="55" w:type="dxa"/>
              <w:left w:w="75" w:type="dxa"/>
              <w:right w:w="75" w:type="dxa"/>
            </w:tcMar>
            <w:tcBorders>
              <w:top w:val="none"/>
              <w:bottom w:val="single" w:sz="10" w:space="0" w:color="1E3A8A"/>
              <w:left w:val="none"/>
              <w:right w:val="none"/>
            </w:tcBorders>
          </w:tcPr>
          <w:p>
            <w:pPr>
              <w:spacing w:before="20" w:after="20"/>
              <w:jc w:val="left"/>
            </w:pPr>
            <w:r>
              <w:rPr>
                <w:rFonts w:ascii="Calibri" w:hAnsi="Calibri"/>
                <w:b/>
                <w:color w:val="FFFFFF"/>
                <w:sz w:val="17"/>
              </w:rPr>
              <w:t>Potential System Impact</w:t>
            </w:r>
          </w:p>
        </w:tc>
        <w:tc>
          <w:tcPr>
            <w:tcW w:type="dxa" w:w="3744"/>
            <w:shd w:fill="1E3A8A"/>
            <w:tcMar>
              <w:top w:w="55" w:type="dxa"/>
              <w:bottom w:w="55" w:type="dxa"/>
              <w:left w:w="75" w:type="dxa"/>
              <w:right w:w="75" w:type="dxa"/>
            </w:tcMar>
            <w:tcBorders>
              <w:top w:val="none"/>
              <w:bottom w:val="single" w:sz="10" w:space="0" w:color="1E3A8A"/>
              <w:left w:val="none"/>
              <w:right w:val="none"/>
            </w:tcBorders>
          </w:tcPr>
          <w:p>
            <w:pPr>
              <w:spacing w:before="20" w:after="20"/>
              <w:jc w:val="left"/>
            </w:pPr>
            <w:r>
              <w:rPr>
                <w:rFonts w:ascii="Calibri" w:hAnsi="Calibri"/>
                <w:b/>
                <w:color w:val="FFFFFF"/>
                <w:sz w:val="17"/>
              </w:rPr>
              <w:t>Architectural Mitigation Implemented in Code</w:t>
            </w:r>
          </w:p>
        </w:tc>
      </w:tr>
      <w:tr>
        <w:tc>
          <w:tcPr>
            <w:tcW w:type="dxa" w:w="2880"/>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Network Interruption During Stock OUT</w:t>
            </w:r>
          </w:p>
        </w:tc>
        <w:tc>
          <w:tcPr>
            <w:tcW w:type="dxa" w:w="3168"/>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Stock decremented but no movement audit record written.</w:t>
            </w:r>
          </w:p>
        </w:tc>
        <w:tc>
          <w:tcPr>
            <w:tcW w:type="dxa" w:w="3744"/>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Wrapped in Mongoose session; aborts and rolls back stock delta entirely.</w:t>
            </w:r>
          </w:p>
        </w:tc>
      </w:tr>
      <w:tr>
        <w:tc>
          <w:tcPr>
            <w:tcW w:type="dxa" w:w="2880"/>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Accidental Hard-Deletion of Active SKUs</w:t>
            </w:r>
          </w:p>
        </w:tc>
        <w:tc>
          <w:tcPr>
            <w:tcW w:type="dxa" w:w="3168"/>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Loss of historical audit trail and corrupted analytics totals.</w:t>
            </w:r>
          </w:p>
        </w:tc>
        <w:tc>
          <w:tcPr>
            <w:tcW w:type="dxa" w:w="3744"/>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Enforced soft-delete: changes status to INACTIVE, preserving all historical rows.</w:t>
            </w:r>
          </w:p>
        </w:tc>
      </w:tr>
      <w:tr>
        <w:tc>
          <w:tcPr>
            <w:tcW w:type="dxa" w:w="2880"/>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Brute-Force Authentication Attacks</w:t>
            </w:r>
          </w:p>
        </w:tc>
        <w:tc>
          <w:tcPr>
            <w:tcW w:type="dxa" w:w="3168"/>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Compromised administrator accounts and unauthorized access.</w:t>
            </w:r>
          </w:p>
        </w:tc>
        <w:tc>
          <w:tcPr>
            <w:tcW w:type="dxa" w:w="3744"/>
            <w:shd w:fill="FFFFFF"/>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Rate-limiting middleware throttles failed logins; bcrypt salting slows attacks.</w:t>
            </w:r>
          </w:p>
        </w:tc>
      </w:tr>
      <w:tr>
        <w:tc>
          <w:tcPr>
            <w:tcW w:type="dxa" w:w="2880"/>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Handheld Memory Exhaustion on Floor</w:t>
            </w:r>
          </w:p>
        </w:tc>
        <w:tc>
          <w:tcPr>
            <w:tcW w:type="dxa" w:w="3168"/>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Browser tab crashes on low-RAM barcode terminals.</w:t>
            </w:r>
          </w:p>
        </w:tc>
        <w:tc>
          <w:tcPr>
            <w:tcW w:type="dxa" w:w="3744"/>
            <w:shd w:fill="F8FAFC"/>
            <w:tcMar>
              <w:top w:w="45" w:type="dxa"/>
              <w:bottom w:w="45" w:type="dxa"/>
              <w:left w:w="75" w:type="dxa"/>
              <w:right w:w="75" w:type="dxa"/>
            </w:tcMar>
            <w:tcBorders>
              <w:top w:val="single" w:sz="4" w:space="0" w:color="CBD5E1"/>
              <w:bottom w:val="single" w:sz="4" w:space="0" w:color="CBD5E1"/>
              <w:left w:val="none"/>
              <w:right w:val="none"/>
            </w:tcBorders>
          </w:tcPr>
          <w:p>
            <w:pPr>
              <w:spacing w:before="20" w:after="20" w:line="259" w:lineRule="auto"/>
              <w:jc w:val="left"/>
            </w:pPr>
            <w:r>
              <w:rPr>
                <w:rFonts w:ascii="Calibri" w:hAnsi="Calibri"/>
                <w:color w:val="1E293B"/>
                <w:sz w:val="16"/>
              </w:rPr>
              <w:t>MongoDB `$facet` aggregation returns tiny summarized JSON payloads to client.</w:t>
            </w:r>
          </w:p>
        </w:tc>
      </w:tr>
    </w:tbl>
    <w:p>
      <w:pPr>
        <w:spacing w:before="0" w:after="50"/>
      </w:pPr>
    </w:p>
    <w:p>
      <w:pPr>
        <w:keepNext/>
        <w:spacing w:before="60" w:after="30"/>
      </w:pPr>
      <w:r>
        <w:rPr>
          <w:rFonts w:ascii="Calibri" w:hAnsi="Calibri"/>
          <w:b/>
          <w:color w:val="1E3A8A"/>
          <w:sz w:val="21"/>
        </w:rPr>
        <w:t>9.3 Future Scalability &amp; Feature Roadmap</w:t>
      </w:r>
    </w:p>
    <w:p>
      <w:pPr>
        <w:spacing w:before="0" w:after="0" w:line="269" w:lineRule="auto"/>
        <w:jc w:val="left"/>
      </w:pPr>
      <w:r>
        <w:rPr>
          <w:rFonts w:ascii="Calibri" w:hAnsi="Calibri"/>
          <w:b w:val="0"/>
          <w:i w:val="0"/>
          <w:color w:val="1E293B"/>
          <w:sz w:val="18"/>
        </w:rPr>
        <w:t>While SmartInventory fulfills all core requirements for internal warehouse governance, several natural extensions are envisioned for future production releases:</w:t>
        <w:br/>
        <w:t>• Hardware Barcode &amp; RFID Scanner Integration: Implementing web-camera and Bluetooth HID barcode scanning (`QuaggaJS` / `html5-qrcode`) to enable rapid handheld scanning of physical product labels.</w:t>
        <w:br/>
        <w:t>• Automated PDF Invoice &amp; Delivery Challan Generation: Integrating server-side PDF generation (`PDFKit` or `Puppeteer`) to automatically generate dispatch challans and supplier purchase orders.</w:t>
        <w:br/>
        <w:t>• Multi-Tenant Warehouse Partitioning: Extending the schema with tenant isolation IDs to support multi-site enterprise logistics with automatic inter-warehouse stock transfers.</w:t>
      </w:r>
    </w:p>
    <w:p>
      <w:r>
        <w:br w:type="page"/>
      </w:r>
    </w:p>
    <w:p>
      <w:pPr>
        <w:keepNext/>
        <w:spacing w:before="0" w:after="40"/>
      </w:pPr>
      <w:r>
        <w:rPr>
          <w:rFonts w:ascii="Calibri Light" w:hAnsi="Calibri Light"/>
          <w:b/>
          <w:color w:val="1E3A8A"/>
          <w:sz w:val="27"/>
        </w:rPr>
        <w:t>CHAPTER 10: CONCLUSION &amp; COMPREHENSIVE REFERENCES</w:t>
      </w:r>
    </w:p>
    <w:p>
      <w:pPr>
        <w:keepNext/>
        <w:spacing w:before="40" w:after="30"/>
      </w:pPr>
      <w:r>
        <w:rPr>
          <w:rFonts w:ascii="Calibri" w:hAnsi="Calibri"/>
          <w:b/>
          <w:color w:val="1E3A8A"/>
          <w:sz w:val="21"/>
        </w:rPr>
        <w:t>10.1 Concluding Remarks on Project Deliverables</w:t>
      </w:r>
    </w:p>
    <w:p>
      <w:pPr>
        <w:spacing w:before="0" w:after="70" w:line="269" w:lineRule="auto"/>
        <w:jc w:val="left"/>
      </w:pPr>
      <w:r>
        <w:rPr>
          <w:rFonts w:ascii="Calibri" w:hAnsi="Calibri"/>
          <w:b w:val="0"/>
          <w:i w:val="0"/>
          <w:color w:val="1E293B"/>
          <w:sz w:val="19"/>
        </w:rPr>
        <w:t>SmartInventory successfully achieves its design objective: delivering an internal warehouse management platform that combines enterprise-grade data integrity with consumer-grade speed. By deliberately avoiding the commercial bloat of retail e-commerce engines, the system focuses squarely on operational velocity, negative stock prevention, and audit traceability.</w:t>
      </w:r>
    </w:p>
    <w:p>
      <w:pPr>
        <w:spacing w:before="0" w:after="80" w:line="269" w:lineRule="auto"/>
        <w:jc w:val="left"/>
      </w:pPr>
      <w:r>
        <w:rPr>
          <w:rFonts w:ascii="Calibri" w:hAnsi="Calibri"/>
          <w:b w:val="0"/>
          <w:i w:val="0"/>
          <w:color w:val="1E293B"/>
          <w:sz w:val="19"/>
        </w:rPr>
        <w:t>The project demonstrates the practical application of advanced computer science concepts: multi-document ACID transactions, MongoDB aggregation pipelines, dual authentication with Google OAuth 2.0, role-based access control, and defense-in-depth security hardening. The resulting platform provides mid-market warehouses with a viable, cost-effective alternative to fragile spreadsheets and prohibitively expensive commercial ERP suites.</w:t>
      </w:r>
    </w:p>
    <w:p>
      <w:pPr>
        <w:keepNext/>
        <w:spacing w:before="60" w:after="30"/>
      </w:pPr>
      <w:r>
        <w:rPr>
          <w:rFonts w:ascii="Calibri" w:hAnsi="Calibri"/>
          <w:b/>
          <w:color w:val="1E3A8A"/>
          <w:sz w:val="21"/>
        </w:rPr>
        <w:t>10.2 Technical Takeaways &amp; Viva Presentation Readiness</w:t>
      </w:r>
    </w:p>
    <w:p>
      <w:pPr>
        <w:spacing w:before="0" w:after="80" w:line="269" w:lineRule="auto"/>
        <w:jc w:val="left"/>
      </w:pPr>
      <w:r>
        <w:rPr>
          <w:rFonts w:ascii="Calibri" w:hAnsi="Calibri"/>
          <w:b w:val="0"/>
          <w:i w:val="0"/>
          <w:color w:val="1E293B"/>
          <w:sz w:val="18"/>
        </w:rPr>
        <w:t>The development of this system reinforced critical software engineering principles:</w:t>
        <w:br/>
        <w:t>• Performance is an Architectural Decision: Shifting analytics from React client-side iterations to MongoDB server-side aggregation pipelines achieved sub-50ms query times and saved megabytes of network bandwidth.</w:t>
        <w:br/>
        <w:t>• Data Integrity Trumps Convenience: Enforcing two-tier negative stock validation and atomic session rollbacks eliminated phantom inventory and guaranteed that physical reality matches the digital ledger.</w:t>
        <w:br/>
        <w:t>• Security Must Be Multi-Layered: Combining Helmet HTTP headers, NoSQL query sanitization, bcrypt password hashing, and role middleware protects the application at every layer.</w:t>
      </w:r>
    </w:p>
    <w:p>
      <w:pPr>
        <w:keepNext/>
        <w:spacing w:before="60" w:after="30"/>
      </w:pPr>
      <w:r>
        <w:rPr>
          <w:rFonts w:ascii="Calibri" w:hAnsi="Calibri"/>
          <w:b/>
          <w:color w:val="1E3A8A"/>
          <w:sz w:val="21"/>
        </w:rPr>
        <w:t>10.3 Comprehensive Academic &amp; Technical References</w:t>
      </w:r>
    </w:p>
    <w:p>
      <w:pPr>
        <w:spacing w:before="10" w:after="30" w:line="259" w:lineRule="auto"/>
      </w:pPr>
      <w:r>
        <w:rPr>
          <w:rFonts w:ascii="Calibri" w:hAnsi="Calibri"/>
          <w:color w:val="1E293B"/>
          <w:sz w:val="16"/>
        </w:rPr>
        <w:t>[1] Chodorow, K. (2013). MongoDB: The Definitive Guide (2nd ed.). O'Reilly Media. [ISBN: 978-1449344689].</w:t>
      </w:r>
    </w:p>
    <w:p>
      <w:pPr>
        <w:spacing w:before="10" w:after="30" w:line="259" w:lineRule="auto"/>
      </w:pPr>
      <w:r>
        <w:rPr>
          <w:rFonts w:ascii="Calibri" w:hAnsi="Calibri"/>
          <w:color w:val="1E293B"/>
          <w:sz w:val="16"/>
        </w:rPr>
        <w:t>[2] Bankston, A. &amp; Banks, E. (2020). Learning React: Modern Patterns for Developing React Apps (2nd ed.). O'Reilly Media.</w:t>
      </w:r>
    </w:p>
    <w:p>
      <w:pPr>
        <w:spacing w:before="10" w:after="30" w:line="259" w:lineRule="auto"/>
      </w:pPr>
      <w:r>
        <w:rPr>
          <w:rFonts w:ascii="Calibri" w:hAnsi="Calibri"/>
          <w:color w:val="1E293B"/>
          <w:sz w:val="16"/>
        </w:rPr>
        <w:t>[3] Martin, R. C. (2017). Clean Architecture: A Craftsman's Guide to Software Structure and Design. Prentice Hall.</w:t>
      </w:r>
    </w:p>
    <w:p>
      <w:pPr>
        <w:spacing w:before="10" w:after="30" w:line="259" w:lineRule="auto"/>
      </w:pPr>
      <w:r>
        <w:rPr>
          <w:rFonts w:ascii="Calibri" w:hAnsi="Calibri"/>
          <w:color w:val="1E293B"/>
          <w:sz w:val="16"/>
        </w:rPr>
        <w:t>[4] OWASP Foundation (2025). OWASP Top 10 Web Application Security Risks. https://owasp.org/www-project-top-ten/</w:t>
      </w:r>
    </w:p>
    <w:p>
      <w:pPr>
        <w:spacing w:before="10" w:after="30" w:line="259" w:lineRule="auto"/>
      </w:pPr>
      <w:r>
        <w:rPr>
          <w:rFonts w:ascii="Calibri" w:hAnsi="Calibri"/>
          <w:color w:val="1E293B"/>
          <w:sz w:val="16"/>
        </w:rPr>
        <w:t>[5] MongoDB Inc. (2026). Multi-Document ACID Transactions &amp; Aggregation Framework Reference Documentation. https://www.mongodb.com/docs/manual/core/transactions/</w:t>
      </w:r>
    </w:p>
    <w:p>
      <w:pPr>
        <w:spacing w:before="10" w:after="30" w:line="259" w:lineRule="auto"/>
      </w:pPr>
      <w:r>
        <w:rPr>
          <w:rFonts w:ascii="Calibri" w:hAnsi="Calibri"/>
          <w:color w:val="1E293B"/>
          <w:sz w:val="16"/>
        </w:rPr>
        <w:t>[6] Google Identity Platform (2026). Google Sign-In for Web &amp; OAuth 2.0 Token Verification Guide. https://developers.google.com/identity/gsi/web</w:t>
      </w:r>
    </w:p>
    <w:p>
      <w:pPr>
        <w:spacing w:before="10" w:after="30" w:line="259" w:lineRule="auto"/>
      </w:pPr>
      <w:r>
        <w:rPr>
          <w:rFonts w:ascii="Calibri" w:hAnsi="Calibri"/>
          <w:color w:val="1E293B"/>
          <w:sz w:val="16"/>
        </w:rPr>
        <w:t>[7] Express.js Security Best Practices Group (2025). Production Security Best Practices: Helmet, Rate-Limiting, and Sanitization.</w:t>
      </w:r>
    </w:p>
    <w:p>
      <w:pPr>
        <w:spacing w:before="10" w:after="30" w:line="259" w:lineRule="auto"/>
      </w:pPr>
      <w:r>
        <w:rPr>
          <w:rFonts w:ascii="Calibri" w:hAnsi="Calibri"/>
          <w:color w:val="1E293B"/>
          <w:sz w:val="16"/>
        </w:rPr>
        <w:t>[8] Silver, E. A., Pyke, D. F., &amp; Peterson, R. (1998). Inventory Management and Production Planning and Scheduling (3rd ed.). John Wiley &amp; Sons.</w:t>
      </w:r>
    </w:p>
    <w:sectPr w:rsidR="00FC693F" w:rsidRPr="0006063C" w:rsidSect="00034616">
      <w:headerReference w:type="default" r:id="rId9"/>
      <w:footerReference w:type="default" r:id="rId10"/>
      <w:pgSz w:w="12240" w:h="15840"/>
      <w:pgMar w:top="1037" w:right="1224" w:bottom="1037"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6" w:space="3" w:color="CBD5E1"/>
      </w:pBdr>
    </w:pPr>
    <w:r>
      <w:rPr>
        <w:rFonts w:ascii="Calibri" w:hAnsi="Calibri"/>
        <w:color w:val="64748B"/>
        <w:sz w:val="17"/>
      </w:rPr>
      <w:t>Department of Computer Science &amp; Engineering | Candidate: Shubham Kumar</w:t>
      <w:tab/>
      <w:t xml:space="preserve">Page </w:t>
    </w:r>
    <w:r>
      <w:rPr>
        <w:rFonts w:ascii="Calibri" w:hAnsi="Calibri"/>
        <w:color w:val="64748B"/>
        <w:sz w:val="17"/>
      </w:rPr>
      <w:fldSimple w:instr="PAGE"/>
    </w:r>
    <w:r>
      <w:rPr>
        <w:rFonts w:ascii="Calibri" w:hAnsi="Calibri"/>
        <w:color w:val="64748B"/>
        <w:sz w:val="17"/>
      </w:rPr>
      <w:t xml:space="preserve"> of </w:t>
    </w:r>
    <w:r>
      <w:rPr>
        <w:rFonts w:ascii="Calibri" w:hAnsi="Calibri"/>
        <w:color w:val="64748B"/>
        <w:sz w:val="17"/>
      </w:rPr>
      <w:fldSimple w:instr="NUMPAGES"/>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3" w:color="CBD5E1"/>
      </w:pBdr>
    </w:pPr>
    <w:r>
      <w:rPr>
        <w:rFonts w:ascii="Calibri" w:hAnsi="Calibri"/>
        <w:color w:val="64748B"/>
        <w:sz w:val="17"/>
      </w:rPr>
      <w:t>SmartInventory: MERN Enterprise Warehouse System | B.Tech CSE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