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5BC3741" w14:textId="77777777" w:rsidR="008D018E" w:rsidRPr="008D018E" w:rsidRDefault="008D018E" w:rsidP="008D018E">
      <w:pPr>
        <w:pStyle w:val="papertitle"/>
        <w:rPr>
          <w:kern w:val="48"/>
          <w:lang w:val="en-IN"/>
        </w:rPr>
      </w:pPr>
      <w:r w:rsidRPr="008D018E">
        <w:rPr>
          <w:b/>
          <w:bCs/>
          <w:kern w:val="48"/>
          <w:lang w:val="en-IN"/>
        </w:rPr>
        <w:t>Predictive Analysis of Revenue Expenditure in Indian States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110EBA85" w:rsidR="001A3B3D" w:rsidRPr="00F847A6" w:rsidRDefault="00BD670B" w:rsidP="007B6DDA">
      <w:pPr>
        <w:pStyle w:val="Author"/>
        <w:spacing w:before="5pt" w:beforeAutospacing="1"/>
        <w:rPr>
          <w:sz w:val="18"/>
          <w:szCs w:val="18"/>
        </w:rPr>
      </w:pPr>
      <w:r>
        <w:rPr>
          <w:sz w:val="18"/>
          <w:szCs w:val="18"/>
        </w:rPr>
        <w:br w:type="column"/>
      </w:r>
      <w:r w:rsidR="007662D3">
        <w:rPr>
          <w:sz w:val="18"/>
          <w:szCs w:val="18"/>
        </w:rPr>
        <w:t>Shubham Kumar</w:t>
      </w:r>
      <w:r w:rsidR="007662D3" w:rsidRPr="00F847A6">
        <w:rPr>
          <w:sz w:val="18"/>
          <w:szCs w:val="18"/>
        </w:rPr>
        <w:t xml:space="preserve"> </w:t>
      </w:r>
      <w:r w:rsidR="001A3B3D" w:rsidRPr="00F847A6">
        <w:rPr>
          <w:sz w:val="18"/>
          <w:szCs w:val="18"/>
        </w:rPr>
        <w:br/>
      </w:r>
      <w:r w:rsidR="007662D3" w:rsidRPr="007662D3">
        <w:rPr>
          <w:sz w:val="18"/>
          <w:szCs w:val="18"/>
        </w:rPr>
        <w:t>Department of</w:t>
      </w:r>
      <w:r w:rsidR="007662D3">
        <w:rPr>
          <w:sz w:val="18"/>
          <w:szCs w:val="18"/>
        </w:rPr>
        <w:t xml:space="preserve"> </w:t>
      </w:r>
      <w:r w:rsidR="007662D3" w:rsidRPr="007662D3">
        <w:rPr>
          <w:sz w:val="18"/>
          <w:szCs w:val="18"/>
        </w:rPr>
        <w:t xml:space="preserve">Computer Science and Engineering  </w:t>
      </w:r>
      <w:r w:rsidR="001A3B3D" w:rsidRPr="00F847A6">
        <w:rPr>
          <w:sz w:val="18"/>
          <w:szCs w:val="18"/>
        </w:rPr>
        <w:br/>
      </w:r>
      <w:r w:rsidR="007662D3" w:rsidRPr="007662D3">
        <w:rPr>
          <w:iCs/>
          <w:sz w:val="18"/>
          <w:szCs w:val="18"/>
        </w:rPr>
        <w:t>Lovely Professional University</w:t>
      </w:r>
      <w:r w:rsidR="001A3B3D" w:rsidRPr="00F847A6">
        <w:rPr>
          <w:i/>
          <w:sz w:val="18"/>
          <w:szCs w:val="18"/>
        </w:rPr>
        <w:br/>
      </w:r>
      <w:r w:rsidR="007662D3">
        <w:rPr>
          <w:sz w:val="18"/>
          <w:szCs w:val="18"/>
        </w:rPr>
        <w:t>Phagwara, Punjab</w:t>
      </w:r>
      <w:r w:rsidR="007662D3" w:rsidRPr="007662D3">
        <w:rPr>
          <w:sz w:val="18"/>
          <w:szCs w:val="18"/>
        </w:rPr>
        <w:t xml:space="preserve">, India  </w:t>
      </w:r>
      <w:r w:rsidR="001A3B3D" w:rsidRPr="00F847A6">
        <w:rPr>
          <w:sz w:val="18"/>
          <w:szCs w:val="18"/>
        </w:rPr>
        <w:br/>
      </w:r>
      <w:r w:rsidR="007662D3" w:rsidRPr="007662D3">
        <w:rPr>
          <w:sz w:val="18"/>
          <w:szCs w:val="18"/>
        </w:rPr>
        <w:t>shubhamkumar</w:t>
      </w:r>
      <w:r w:rsidR="007662D3">
        <w:rPr>
          <w:sz w:val="18"/>
          <w:szCs w:val="18"/>
        </w:rPr>
        <w:t>240804</w:t>
      </w:r>
      <w:r w:rsidR="007662D3" w:rsidRPr="007662D3">
        <w:rPr>
          <w:sz w:val="18"/>
          <w:szCs w:val="18"/>
        </w:rPr>
        <w:t>@</w:t>
      </w:r>
      <w:r w:rsidR="007662D3">
        <w:rPr>
          <w:sz w:val="18"/>
          <w:szCs w:val="18"/>
        </w:rPr>
        <w:t>g</w:t>
      </w:r>
      <w:r w:rsidR="007662D3" w:rsidRPr="007662D3">
        <w:rPr>
          <w:sz w:val="18"/>
          <w:szCs w:val="18"/>
        </w:rPr>
        <w:t>mail.com</w:t>
      </w:r>
    </w:p>
    <w:p w14:paraId="11C3FF66" w14:textId="7D163D74" w:rsidR="001A3B3D" w:rsidRPr="00F847A6" w:rsidRDefault="00BD670B" w:rsidP="00447BB9">
      <w:pPr>
        <w:pStyle w:val="Author"/>
        <w:spacing w:before="5pt" w:beforeAutospacing="1"/>
        <w:rPr>
          <w:sz w:val="18"/>
          <w:szCs w:val="18"/>
        </w:rPr>
      </w:pPr>
      <w:r>
        <w:rPr>
          <w:sz w:val="18"/>
          <w:szCs w:val="18"/>
        </w:rPr>
        <w:br w:type="column"/>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2DA9D11" w:rsidR="004D72B5" w:rsidRPr="00876FFF" w:rsidRDefault="009303D9" w:rsidP="00972203">
      <w:pPr>
        <w:pStyle w:val="Abstract"/>
        <w:rPr>
          <w:b w:val="0"/>
          <w:bCs w:val="0"/>
          <w:i/>
          <w:iCs/>
          <w:sz w:val="20"/>
          <w:szCs w:val="20"/>
        </w:rPr>
      </w:pPr>
      <w:r w:rsidRPr="00F937FA">
        <w:rPr>
          <w:i/>
          <w:iCs/>
          <w:sz w:val="20"/>
          <w:szCs w:val="20"/>
        </w:rPr>
        <w:t>Abstract</w:t>
      </w:r>
      <w:r w:rsidRPr="00F937FA">
        <w:rPr>
          <w:sz w:val="20"/>
          <w:szCs w:val="20"/>
        </w:rPr>
        <w:t>—</w:t>
      </w:r>
      <w:r w:rsidR="007C53EE" w:rsidRPr="00F937FA">
        <w:rPr>
          <w:b w:val="0"/>
          <w:bCs w:val="0"/>
          <w:sz w:val="20"/>
          <w:szCs w:val="20"/>
        </w:rPr>
        <w:t xml:space="preserve"> </w:t>
      </w:r>
      <w:r w:rsidR="007C53EE" w:rsidRPr="00876FFF">
        <w:rPr>
          <w:b w:val="0"/>
          <w:bCs w:val="0"/>
          <w:sz w:val="20"/>
          <w:szCs w:val="20"/>
        </w:rPr>
        <w:t>This paper presents a structured analytical framework for examining state-wise revenue expenditure using official government budget data. The document outlines the complete workflow of the study, including data extraction, data transformation, exploratory analysis, and the application of machine learning techniques. Revenue expenditure data published by the National Data and Analytics Platform maintained by NITI Aayog is used to analyze sector-wise spending patterns across Indian states. Predictive models are employed to estimate total revenue expenditure, while classification methods are used to distinguish states based on spending behavior. In addition, clustering techniques are applied to identify groups of states with similar expenditure characteristics. The study demonstrates how machine learning methods can be effectively used to analyze public finance data and support systematic interpretation of government expenditure trends.</w:t>
      </w:r>
    </w:p>
    <w:p w14:paraId="58B10678" w14:textId="0434DC31" w:rsidR="009303D9" w:rsidRPr="00876FFF" w:rsidRDefault="004D72B5" w:rsidP="00876FFF">
      <w:pPr>
        <w:pStyle w:val="Keywords"/>
        <w:ind w:firstLine="0pt"/>
        <w:rPr>
          <w:b w:val="0"/>
          <w:bCs w:val="0"/>
          <w:sz w:val="20"/>
          <w:szCs w:val="20"/>
        </w:rPr>
      </w:pPr>
      <w:r w:rsidRPr="00876FFF">
        <w:rPr>
          <w:b w:val="0"/>
          <w:bCs w:val="0"/>
          <w:sz w:val="20"/>
          <w:szCs w:val="20"/>
        </w:rPr>
        <w:t>Keywords—</w:t>
      </w:r>
      <w:r w:rsidR="007C53EE" w:rsidRPr="00876FFF">
        <w:rPr>
          <w:b w:val="0"/>
          <w:bCs w:val="0"/>
          <w:i w:val="0"/>
          <w:sz w:val="20"/>
          <w:szCs w:val="20"/>
        </w:rPr>
        <w:t xml:space="preserve"> </w:t>
      </w:r>
      <w:r w:rsidR="007C53EE" w:rsidRPr="00876FFF">
        <w:rPr>
          <w:b w:val="0"/>
          <w:bCs w:val="0"/>
          <w:sz w:val="20"/>
          <w:szCs w:val="20"/>
        </w:rPr>
        <w:t>Revenue Expenditure, Predictive Analysis, Machine Learning, Government Budget Data, Classification, Clustering</w:t>
      </w:r>
    </w:p>
    <w:p w14:paraId="1A521F3C" w14:textId="509E00EA" w:rsidR="009303D9" w:rsidRPr="00D632BE" w:rsidRDefault="009303D9" w:rsidP="006B6B66">
      <w:pPr>
        <w:pStyle w:val="Heading1"/>
      </w:pPr>
      <w:r w:rsidRPr="00D632BE">
        <w:t xml:space="preserve">Introduction </w:t>
      </w:r>
    </w:p>
    <w:p w14:paraId="1AB28045" w14:textId="3E651A5B" w:rsidR="007C53EE" w:rsidRPr="007C53EE" w:rsidRDefault="00876FFF" w:rsidP="00876FFF">
      <w:pPr>
        <w:pStyle w:val="NormalWeb"/>
        <w:rPr>
          <w:sz w:val="20"/>
          <w:szCs w:val="20"/>
        </w:rPr>
      </w:pPr>
      <w:r>
        <w:rPr>
          <w:sz w:val="20"/>
          <w:szCs w:val="20"/>
        </w:rPr>
        <w:t xml:space="preserve">    </w:t>
      </w:r>
      <w:r w:rsidR="007C53EE" w:rsidRPr="007C53EE">
        <w:rPr>
          <w:sz w:val="20"/>
          <w:szCs w:val="20"/>
        </w:rPr>
        <w:t xml:space="preserve">Revenue expenditure represents recurring government spending on public services and administrative functions. State governments in India allocate significant portions of their budgets to sectors such as education, healthcare, agriculture, energy, and transportation to support socio-economic development. </w:t>
      </w:r>
      <w:proofErr w:type="spellStart"/>
      <w:r w:rsidR="007C53EE" w:rsidRPr="007C53EE">
        <w:rPr>
          <w:sz w:val="20"/>
          <w:szCs w:val="20"/>
        </w:rPr>
        <w:t>Analyzing</w:t>
      </w:r>
      <w:proofErr w:type="spellEnd"/>
      <w:r w:rsidR="007C53EE" w:rsidRPr="007C53EE">
        <w:rPr>
          <w:sz w:val="20"/>
          <w:szCs w:val="20"/>
        </w:rPr>
        <w:t xml:space="preserve"> historical expenditure data can help identify spending trends and improve financial planning.</w:t>
      </w:r>
    </w:p>
    <w:p w14:paraId="4CEF9B40" w14:textId="2811CBA0" w:rsidR="007C53EE" w:rsidRDefault="007C53EE" w:rsidP="007C53EE">
      <w:pPr>
        <w:pStyle w:val="NormalWeb"/>
      </w:pPr>
      <w:r w:rsidRPr="007C53EE">
        <w:rPr>
          <w:sz w:val="20"/>
          <w:szCs w:val="20"/>
        </w:rPr>
        <w:t>With the availability of open government datasets, data analytics and machine learning methods can be applied to study public finance in a systematic manner. Predictive analysis enables the modelling of relationships between sector-wise expenditure and total revenue spending, while classification and clustering techniques help in identifying patterns across states. This study focuses on applying machine learning algorithms to state-level revenue expenditure data to derive actionable insights and support data-driven decision making.</w:t>
      </w:r>
    </w:p>
    <w:p w14:paraId="179EA777" w14:textId="2E73804B" w:rsidR="009303D9" w:rsidRPr="006B6B66" w:rsidRDefault="007C53EE" w:rsidP="006B6B66">
      <w:pPr>
        <w:pStyle w:val="Heading1"/>
      </w:pPr>
      <w:r w:rsidRPr="007C53EE">
        <w:t>DATASET AND PREPROCESSING</w:t>
      </w:r>
    </w:p>
    <w:p w14:paraId="07458917" w14:textId="05C1FEDC" w:rsidR="00876FFF" w:rsidRPr="00876FFF" w:rsidRDefault="007C53EE" w:rsidP="00876FFF">
      <w:pPr>
        <w:pStyle w:val="Heading2"/>
      </w:pPr>
      <w:r w:rsidRPr="007C53EE">
        <w:t>Data Source</w:t>
      </w:r>
    </w:p>
    <w:p w14:paraId="4522E337" w14:textId="28A066D7" w:rsidR="009303D9" w:rsidRDefault="007C53EE" w:rsidP="00E7596C">
      <w:pPr>
        <w:pStyle w:val="BodyText"/>
      </w:pPr>
      <w:r w:rsidRPr="007C53EE">
        <w:rPr>
          <w:lang w:val="en-US"/>
        </w:rPr>
        <w:t xml:space="preserve">The dataset used in this study was sourced from the National Data and Analytics Platform (NDAP), maintained by </w:t>
      </w:r>
      <w:r w:rsidRPr="007C53EE">
        <w:rPr>
          <w:lang w:val="en-US"/>
        </w:rPr>
        <w:t>NITI Aayog, Government of India. The dataset provides state-wise revenue expenditure details across multiple sectors and budget types</w:t>
      </w:r>
      <w:r w:rsidR="009303D9" w:rsidRPr="005B520E">
        <w:t>.</w:t>
      </w:r>
    </w:p>
    <w:p w14:paraId="59722B29" w14:textId="77777777" w:rsidR="00876FFF" w:rsidRPr="005B520E" w:rsidRDefault="00876FFF" w:rsidP="00E7596C">
      <w:pPr>
        <w:pStyle w:val="BodyText"/>
      </w:pPr>
    </w:p>
    <w:p w14:paraId="66739D0E" w14:textId="7944EEB7" w:rsidR="009303D9" w:rsidRDefault="007C53EE" w:rsidP="00ED0149">
      <w:pPr>
        <w:pStyle w:val="Heading2"/>
      </w:pPr>
      <w:r w:rsidRPr="007C53EE">
        <w:t>Data Cleaning and Transformation</w:t>
      </w:r>
    </w:p>
    <w:p w14:paraId="1447C488" w14:textId="77777777" w:rsidR="00876FFF" w:rsidRPr="00876FFF" w:rsidRDefault="00876FFF" w:rsidP="00876FFF"/>
    <w:p w14:paraId="7C5D0763" w14:textId="7AA42246" w:rsidR="009303D9" w:rsidRDefault="007C53EE" w:rsidP="00E7596C">
      <w:pPr>
        <w:pStyle w:val="BodyText"/>
      </w:pPr>
      <w:r w:rsidRPr="007C53EE">
        <w:rPr>
          <w:lang w:val="en-US"/>
        </w:rPr>
        <w:t>An Extract–Transform–Load (ETL) process was applied to prepare the dataset for analysis. Duplicate records were removed, and missing values were handled using forward-fill imputation to maintain continuity in expenditure records. Only “Accounts” type budget entries were retained to ensure consistency and reliability. Relevant features such as total expenditure, education, medical and public health, agriculture, energy, and transport were selected. Min–Max normalization was applied to scale numerical features for machine learning models</w:t>
      </w:r>
      <w:r w:rsidR="009303D9" w:rsidRPr="005B520E">
        <w:t>.</w:t>
      </w:r>
    </w:p>
    <w:p w14:paraId="5C626440" w14:textId="77777777" w:rsidR="00876FFF" w:rsidRPr="005B520E" w:rsidRDefault="00876FFF" w:rsidP="00E7596C">
      <w:pPr>
        <w:pStyle w:val="BodyText"/>
      </w:pPr>
    </w:p>
    <w:p w14:paraId="17F150FC" w14:textId="164C79AB" w:rsidR="009303D9" w:rsidRDefault="00F937FA" w:rsidP="006B6B66">
      <w:pPr>
        <w:pStyle w:val="Heading1"/>
      </w:pPr>
      <w:r w:rsidRPr="00F937FA">
        <w:t>EXPLORATORY DATA ANALYSIS</w:t>
      </w:r>
    </w:p>
    <w:p w14:paraId="21C51E20" w14:textId="72FED772" w:rsidR="009303D9" w:rsidRPr="005B520E" w:rsidRDefault="00F937FA" w:rsidP="00E7596C">
      <w:pPr>
        <w:pStyle w:val="BodyText"/>
      </w:pPr>
      <w:r w:rsidRPr="00F937FA">
        <w:rPr>
          <w:lang w:val="en-US"/>
        </w:rPr>
        <w:t>Exploratory Data Analysis (EDA) was conducted to understand the underlying structure of the dataset. Histogram analysis of total revenue expenditure revealed a right-skewed distribution, indicating variation in spending levels among states. Year-wise trend analysis showed a gradual increase in average revenue expenditure, reflecting rising fiscal commitments over time. Correlation analysis highlighted strong positive relationships between total expenditure and key sectors such as education and healthcare, emphasizing their dominant contribution to overall spending</w:t>
      </w:r>
      <w:r w:rsidR="009303D9" w:rsidRPr="005B520E">
        <w:t>.</w:t>
      </w:r>
    </w:p>
    <w:p w14:paraId="22217789" w14:textId="2BD95DA2" w:rsidR="009303D9" w:rsidRDefault="00F937FA" w:rsidP="00ED0149">
      <w:pPr>
        <w:pStyle w:val="Heading2"/>
      </w:pPr>
      <w:r w:rsidRPr="00F937FA">
        <w:t>Data Distribution Analysis</w:t>
      </w:r>
    </w:p>
    <w:p w14:paraId="78F3884D" w14:textId="3950440A" w:rsidR="009303D9" w:rsidRPr="00F937FA" w:rsidRDefault="00876FFF" w:rsidP="00876FFF">
      <w:pPr>
        <w:pStyle w:val="NormalWeb"/>
        <w:spacing w:before="0pt" w:beforeAutospacing="0" w:after="0pt" w:afterAutospacing="0"/>
        <w:rPr>
          <w:sz w:val="20"/>
          <w:szCs w:val="20"/>
        </w:rPr>
      </w:pPr>
      <w:r>
        <w:rPr>
          <w:sz w:val="20"/>
          <w:szCs w:val="20"/>
        </w:rPr>
        <w:t xml:space="preserve">    </w:t>
      </w:r>
      <w:r w:rsidR="00F937FA" w:rsidRPr="00F937FA">
        <w:rPr>
          <w:sz w:val="20"/>
          <w:szCs w:val="20"/>
        </w:rPr>
        <w:t>Before applying machine learning models, the distribution of revenue expenditure data must be examined to understand its spread and variability. Frequency distribution plots are used to observe the overall shape of total revenue expenditure across states. Skewness in expenditure values indicates differences in fiscal capacity and spending priorities among states. Identifying such patterns helps in selecting appropriate preprocessing and model</w:t>
      </w:r>
      <w:r w:rsidR="00F937FA">
        <w:rPr>
          <w:sz w:val="20"/>
          <w:szCs w:val="20"/>
        </w:rPr>
        <w:t>l</w:t>
      </w:r>
      <w:r w:rsidR="00F937FA" w:rsidRPr="00F937FA">
        <w:rPr>
          <w:sz w:val="20"/>
          <w:szCs w:val="20"/>
        </w:rPr>
        <w:t>ing techniques.</w:t>
      </w:r>
    </w:p>
    <w:p w14:paraId="67956196" w14:textId="0C24AA83" w:rsidR="00103222" w:rsidRPr="00876FFF" w:rsidRDefault="00F937FA" w:rsidP="00876FFF">
      <w:pPr>
        <w:pStyle w:val="Heading2"/>
        <w:rPr>
          <w:lang w:val="en-IN"/>
        </w:rPr>
      </w:pPr>
      <w:r w:rsidRPr="00F937FA">
        <w:rPr>
          <w:lang w:val="en-IN"/>
        </w:rPr>
        <w:t>Temporal Trend Examination</w:t>
      </w:r>
    </w:p>
    <w:p w14:paraId="4F939710" w14:textId="6BC2F430" w:rsidR="009303D9" w:rsidRPr="005B520E" w:rsidRDefault="00F937FA" w:rsidP="00E7596C">
      <w:pPr>
        <w:pStyle w:val="bulletlist"/>
      </w:pPr>
      <w:r w:rsidRPr="00F937FA">
        <w:rPr>
          <w:lang w:val="en-US"/>
        </w:rPr>
        <w:t>Perform year-wise aggregation of revenue expenditure to examine changes in spending patterns over time. Financial year should be used as the primary temporal unit for analysis.</w:t>
      </w:r>
    </w:p>
    <w:p w14:paraId="6C172391" w14:textId="1E283DE9" w:rsidR="009303D9" w:rsidRPr="005B520E" w:rsidRDefault="00103222" w:rsidP="00E7596C">
      <w:pPr>
        <w:pStyle w:val="bulletlist"/>
      </w:pPr>
      <w:r w:rsidRPr="00103222">
        <w:rPr>
          <w:lang w:val="en-US"/>
        </w:rPr>
        <w:t>Use line plots to visualize temporal trends in average revenue expenditure. Ensure that the time axis follows chronological order to maintain interpretability</w:t>
      </w:r>
      <w:r w:rsidR="009303D9" w:rsidRPr="005B520E">
        <w:t>.</w:t>
      </w:r>
    </w:p>
    <w:p w14:paraId="4EBC5AF3" w14:textId="2BEFEA34" w:rsidR="009303D9" w:rsidRPr="005B520E" w:rsidRDefault="00103222" w:rsidP="00E7596C">
      <w:pPr>
        <w:pStyle w:val="bulletlist"/>
      </w:pPr>
      <w:r w:rsidRPr="00103222">
        <w:rPr>
          <w:lang w:val="en-US"/>
        </w:rPr>
        <w:lastRenderedPageBreak/>
        <w:t>Clearly label axes and legends in temporal visualizations to distinguish between financial years and expenditure values</w:t>
      </w:r>
      <w:r w:rsidR="009303D9" w:rsidRPr="005B520E">
        <w:t>.</w:t>
      </w:r>
    </w:p>
    <w:p w14:paraId="539460DC" w14:textId="7B2E6EF3" w:rsidR="009303D9" w:rsidRDefault="00103222" w:rsidP="00103222">
      <w:pPr>
        <w:pStyle w:val="bulletlist"/>
      </w:pPr>
      <w:r>
        <w:t>Do not infer causality from temporal trends alone. Observed increases or decreases indicate spending behaviour over time but may be influenced by external economic or policy factors.</w:t>
      </w:r>
    </w:p>
    <w:p w14:paraId="3244706E" w14:textId="77777777" w:rsidR="00103222" w:rsidRPr="005B520E" w:rsidRDefault="00103222" w:rsidP="00103222">
      <w:pPr>
        <w:pStyle w:val="bulletlist"/>
        <w:numPr>
          <w:ilvl w:val="0"/>
          <w:numId w:val="0"/>
        </w:numPr>
        <w:ind w:start="28.80pt"/>
      </w:pPr>
    </w:p>
    <w:p w14:paraId="7E54C8D6" w14:textId="147A6497" w:rsidR="009303D9" w:rsidRPr="005B520E" w:rsidRDefault="00103222" w:rsidP="00ED0149">
      <w:pPr>
        <w:pStyle w:val="Heading2"/>
      </w:pPr>
      <w:r w:rsidRPr="00103222">
        <w:t>Correlation Analysis</w:t>
      </w:r>
    </w:p>
    <w:p w14:paraId="1ACA854E" w14:textId="049C0441" w:rsidR="00103222" w:rsidRPr="00103222" w:rsidRDefault="00876FFF" w:rsidP="00876FFF">
      <w:pPr>
        <w:pStyle w:val="NormalWeb"/>
        <w:rPr>
          <w:sz w:val="20"/>
          <w:szCs w:val="20"/>
        </w:rPr>
      </w:pPr>
      <w:r>
        <w:rPr>
          <w:sz w:val="20"/>
          <w:szCs w:val="20"/>
        </w:rPr>
        <w:t xml:space="preserve">    </w:t>
      </w:r>
      <w:r w:rsidR="00103222" w:rsidRPr="00103222">
        <w:rPr>
          <w:sz w:val="20"/>
          <w:szCs w:val="20"/>
        </w:rPr>
        <w:t>Correlation analysis is an essential step in exploratory data analysis for examining the relationship between total revenue expenditure and its sector-wise components. The analysis should be conducted only after the dataset has been cleaned and transformed to ensure consistency across variables. Correlation coefficients are used to measure the strength and direction of association between expenditure variables.</w:t>
      </w:r>
    </w:p>
    <w:p w14:paraId="6668D15B" w14:textId="77777777" w:rsidR="00103222" w:rsidRPr="00103222" w:rsidRDefault="00103222" w:rsidP="00103222">
      <w:pPr>
        <w:pStyle w:val="NormalWeb"/>
        <w:rPr>
          <w:sz w:val="20"/>
          <w:szCs w:val="20"/>
        </w:rPr>
      </w:pPr>
      <w:r w:rsidRPr="00103222">
        <w:rPr>
          <w:sz w:val="20"/>
          <w:szCs w:val="20"/>
        </w:rPr>
        <w:t>A correlation heatmap should be employed to visually represent the relationships among total revenue expenditure and sector-specific expenditures such as education, medical and public health, agriculture, energy, and transport. Positive correlation values indicate that an increase in sector-wise expenditure is associated with an increase in total revenue expenditure, while lower or near-zero values suggest limited influence.</w:t>
      </w:r>
    </w:p>
    <w:p w14:paraId="0EEED555" w14:textId="25EF9AE0" w:rsidR="009303D9" w:rsidRPr="00103222" w:rsidRDefault="00103222" w:rsidP="00103222">
      <w:pPr>
        <w:pStyle w:val="NormalWeb"/>
        <w:rPr>
          <w:sz w:val="20"/>
          <w:szCs w:val="20"/>
        </w:rPr>
      </w:pPr>
      <w:r w:rsidRPr="00103222">
        <w:rPr>
          <w:sz w:val="20"/>
          <w:szCs w:val="20"/>
        </w:rPr>
        <w:t>Care must be taken not to interpret correlation as causation. Correlation analysis provides insights into linear relationships but does not explain underlying economic or policy-driven factors. All variables included in the correlation analysis should be clearly defined before interpretation, and results should be used primarily to support feature selection and model design in subsequent predictive analysis.</w:t>
      </w:r>
    </w:p>
    <w:p w14:paraId="7B7ADA1E" w14:textId="7CFF897B" w:rsidR="009303D9" w:rsidRDefault="00103222" w:rsidP="00ED0149">
      <w:pPr>
        <w:pStyle w:val="Heading2"/>
      </w:pPr>
      <w:r w:rsidRPr="00103222">
        <w:t>Data Preparation and Analysis Guideline</w:t>
      </w:r>
      <w:r w:rsidR="009303D9">
        <w:t>s</w:t>
      </w:r>
    </w:p>
    <w:p w14:paraId="330EB29A" w14:textId="1B770988" w:rsidR="009303D9" w:rsidRPr="005B520E" w:rsidRDefault="00103222" w:rsidP="00E7596C">
      <w:pPr>
        <w:pStyle w:val="bulletlist"/>
      </w:pPr>
      <w:r w:rsidRPr="00103222">
        <w:rPr>
          <w:lang w:val="en-US"/>
        </w:rPr>
        <w:t>Perform feature selection only after completing exploratory data analysis to ensure informed and objective decision making.</w:t>
      </w:r>
    </w:p>
    <w:p w14:paraId="55E6819B" w14:textId="24CE1151" w:rsidR="009303D9" w:rsidRPr="005B520E" w:rsidRDefault="00103222" w:rsidP="00E7596C">
      <w:pPr>
        <w:pStyle w:val="bulletlist"/>
      </w:pPr>
      <w:r w:rsidRPr="00103222">
        <w:rPr>
          <w:lang w:val="en-US"/>
        </w:rPr>
        <w:t>Retain sector-wise expenditure variables that demonstrate meaningful association with total revenue expenditure to improve model performance and interpretability</w:t>
      </w:r>
      <w:r w:rsidR="009303D9" w:rsidRPr="005B520E">
        <w:t>.</w:t>
      </w:r>
    </w:p>
    <w:p w14:paraId="0706F1FA" w14:textId="696273BF" w:rsidR="009303D9" w:rsidRPr="005B520E" w:rsidRDefault="00E22DEF" w:rsidP="00E7596C">
      <w:pPr>
        <w:pStyle w:val="bulletlist"/>
      </w:pPr>
      <w:r w:rsidRPr="00E22DEF">
        <w:rPr>
          <w:lang w:val="en-US"/>
        </w:rPr>
        <w:t>Avoid including redundant or weakly related features, as they may introduce noise and negatively affect learning outcomes.</w:t>
      </w:r>
    </w:p>
    <w:p w14:paraId="307DAF0E" w14:textId="747CE0B7" w:rsidR="009303D9" w:rsidRPr="005B520E" w:rsidRDefault="00E22DEF" w:rsidP="00E7596C">
      <w:pPr>
        <w:pStyle w:val="bulletlist"/>
      </w:pPr>
      <w:r w:rsidRPr="00E22DEF">
        <w:rPr>
          <w:lang w:val="en-US"/>
        </w:rPr>
        <w:t>Use visualizations consistently to support analytical interpretation alongside numerical summaries</w:t>
      </w:r>
      <w:r w:rsidR="009303D9" w:rsidRPr="005B520E">
        <w:t>.</w:t>
      </w:r>
    </w:p>
    <w:p w14:paraId="60B17E81" w14:textId="074615D2" w:rsidR="009303D9" w:rsidRPr="005B520E" w:rsidRDefault="00E22DEF" w:rsidP="00E7596C">
      <w:pPr>
        <w:pStyle w:val="bulletlist"/>
      </w:pPr>
      <w:r w:rsidRPr="00E22DEF">
        <w:rPr>
          <w:lang w:val="en-US"/>
        </w:rPr>
        <w:t>Employ histograms to analyze the distribution of total revenue expenditure across states</w:t>
      </w:r>
      <w:r w:rsidR="009303D9" w:rsidRPr="005B520E">
        <w:t>.</w:t>
      </w:r>
    </w:p>
    <w:p w14:paraId="144F1393" w14:textId="64175F76" w:rsidR="009303D9" w:rsidRPr="005B520E" w:rsidRDefault="00E22DEF" w:rsidP="00E7596C">
      <w:pPr>
        <w:pStyle w:val="bulletlist"/>
      </w:pPr>
      <w:r w:rsidRPr="00E22DEF">
        <w:rPr>
          <w:lang w:val="en-US"/>
        </w:rPr>
        <w:t>Use line plots to examine year-wise expenditure trends and identify long-term fiscal patterns</w:t>
      </w:r>
      <w:r w:rsidR="009303D9" w:rsidRPr="005B520E">
        <w:t>.</w:t>
      </w:r>
    </w:p>
    <w:p w14:paraId="38AEB9C8" w14:textId="03EC18A7" w:rsidR="009303D9" w:rsidRPr="005B520E" w:rsidRDefault="00E22DEF" w:rsidP="00E7596C">
      <w:pPr>
        <w:pStyle w:val="bulletlist"/>
      </w:pPr>
      <w:r w:rsidRPr="00E22DEF">
        <w:rPr>
          <w:lang w:val="en-US"/>
        </w:rPr>
        <w:t>Apply correlation heatmaps to evaluate relationships among sector-wise expenditure components and total expenditure.</w:t>
      </w:r>
    </w:p>
    <w:p w14:paraId="2219FD28" w14:textId="5A014F61" w:rsidR="009303D9" w:rsidRPr="005B520E" w:rsidRDefault="00E22DEF" w:rsidP="00E7596C">
      <w:pPr>
        <w:pStyle w:val="bulletlist"/>
      </w:pPr>
      <w:r w:rsidRPr="00E22DEF">
        <w:rPr>
          <w:lang w:val="en-US"/>
        </w:rPr>
        <w:t>Ensure that all visualizations include clear axis labels, legends, and titles to maintain readability.</w:t>
      </w:r>
    </w:p>
    <w:p w14:paraId="5A11B6A7" w14:textId="440B4100" w:rsidR="009303D9" w:rsidRPr="005B520E" w:rsidRDefault="00E22DEF" w:rsidP="00E7596C">
      <w:pPr>
        <w:pStyle w:val="bulletlist"/>
      </w:pPr>
      <w:r w:rsidRPr="00E22DEF">
        <w:rPr>
          <w:lang w:val="en-US"/>
        </w:rPr>
        <w:t>Verify dataset completeness and consistency after exploratory analysis is completed.</w:t>
      </w:r>
    </w:p>
    <w:p w14:paraId="74991DAD" w14:textId="6C08282C" w:rsidR="009303D9" w:rsidRPr="005B520E" w:rsidRDefault="00E22DEF" w:rsidP="00E7596C">
      <w:pPr>
        <w:pStyle w:val="bulletlist"/>
      </w:pPr>
      <w:r w:rsidRPr="00E22DEF">
        <w:rPr>
          <w:lang w:val="en-US"/>
        </w:rPr>
        <w:t>Address missing values during preprocessing to prevent bias in machine learning models.</w:t>
      </w:r>
    </w:p>
    <w:p w14:paraId="31145D1A" w14:textId="629FB9A7" w:rsidR="009303D9" w:rsidRDefault="00E22DEF" w:rsidP="00E7596C">
      <w:pPr>
        <w:pStyle w:val="bulletlist"/>
      </w:pPr>
      <w:r w:rsidRPr="00E22DEF">
        <w:rPr>
          <w:lang w:val="en-US"/>
        </w:rPr>
        <w:t>Normalize numerical features prior to model training to ensure comparability across different expenditure scales.</w:t>
      </w:r>
    </w:p>
    <w:p w14:paraId="7B9291B4" w14:textId="38D943B7" w:rsidR="00E22DEF" w:rsidRPr="00876FFF" w:rsidRDefault="00E22DEF" w:rsidP="00E7596C">
      <w:pPr>
        <w:pStyle w:val="bulletlist"/>
      </w:pPr>
      <w:r w:rsidRPr="00E22DEF">
        <w:rPr>
          <w:lang w:val="en-US"/>
        </w:rPr>
        <w:t>Confirm that the processed dataset is suitable for both supervised and unsupervised learning techniques before model implementation.</w:t>
      </w:r>
    </w:p>
    <w:p w14:paraId="28967629" w14:textId="77777777" w:rsidR="00876FFF" w:rsidRPr="005B520E" w:rsidRDefault="00876FFF" w:rsidP="00876FFF">
      <w:pPr>
        <w:pStyle w:val="bulletlist"/>
        <w:numPr>
          <w:ilvl w:val="0"/>
          <w:numId w:val="0"/>
        </w:numPr>
        <w:ind w:start="28.80pt"/>
      </w:pPr>
    </w:p>
    <w:p w14:paraId="5D2DD83B" w14:textId="7DA7E3B7" w:rsidR="009303D9" w:rsidRDefault="00E22DEF" w:rsidP="006B6B66">
      <w:pPr>
        <w:pStyle w:val="Heading1"/>
      </w:pPr>
      <w:r w:rsidRPr="00E22DEF">
        <w:t>MACHINE LEARNING METHODOLOG</w:t>
      </w:r>
      <w:r>
        <w:t>y</w:t>
      </w:r>
    </w:p>
    <w:p w14:paraId="42CD3244" w14:textId="02F6FA88" w:rsidR="009303D9" w:rsidRDefault="00E22DEF" w:rsidP="00E22DEF">
      <w:pPr>
        <w:pStyle w:val="BodyText"/>
        <w:ind w:firstLine="0pt"/>
      </w:pPr>
      <w:r>
        <w:rPr>
          <w:lang w:val="en-US"/>
        </w:rPr>
        <w:tab/>
      </w:r>
      <w:r w:rsidRPr="00E22DEF">
        <w:rPr>
          <w:lang w:val="en-US"/>
        </w:rPr>
        <w:t>This section outlines the systematic approach adopted for applying machine learning techniques to analyze state-wise revenue expenditure. Each objective corresponds to a specific analytical task, and appropriate models are selected based on the nature of the problem. Consistent preprocessing, evaluation metrics, and visualization practices are followed across all objectives to ensure reliability and interpretability of results</w:t>
      </w:r>
      <w:r w:rsidR="009303D9" w:rsidRPr="005B520E">
        <w:t>.</w:t>
      </w:r>
    </w:p>
    <w:p w14:paraId="771C6CDB" w14:textId="77777777" w:rsidR="00876FFF" w:rsidRPr="005B520E" w:rsidRDefault="00876FFF" w:rsidP="00E22DEF">
      <w:pPr>
        <w:pStyle w:val="BodyText"/>
        <w:ind w:firstLine="0pt"/>
      </w:pPr>
    </w:p>
    <w:p w14:paraId="550E2495" w14:textId="58C5EB32" w:rsidR="009303D9" w:rsidRDefault="00E22DEF" w:rsidP="00ED0149">
      <w:pPr>
        <w:pStyle w:val="Heading2"/>
      </w:pPr>
      <w:r w:rsidRPr="00E22DEF">
        <w:t>Revenue Expenditure Prediction</w:t>
      </w:r>
    </w:p>
    <w:p w14:paraId="1A9E45B8" w14:textId="04D538F6" w:rsidR="009303D9" w:rsidRDefault="00E22DEF" w:rsidP="00E22DEF">
      <w:pPr>
        <w:pStyle w:val="BodyText"/>
        <w:ind w:firstLine="0pt"/>
        <w:rPr>
          <w:bCs/>
          <w:lang w:val="en-US"/>
        </w:rPr>
      </w:pPr>
      <w:r>
        <w:rPr>
          <w:b/>
          <w:lang w:val="en-US"/>
        </w:rPr>
        <w:tab/>
      </w:r>
      <w:r w:rsidRPr="00E22DEF">
        <w:rPr>
          <w:bCs/>
          <w:lang w:val="en-US"/>
        </w:rPr>
        <w:t>Regression techniques are employed to model the relationship between sector-wise expenditure components and total revenue expenditure. Multiple Linear Regression is used to estimate expenditure values based on selected input features. Model performance should be evaluated using error-based metrics such as Mean Absolute Error, Root Mean Squared Error, and the coefficient of determination. These measures help assess prediction accuracy and explain the proportion of variance captured by the model. Regression analysis provides insight into how individual sectors contribute to overall revenue expenditure.</w:t>
      </w:r>
    </w:p>
    <w:p w14:paraId="2F1EB706" w14:textId="3B944C42" w:rsidR="00E845C5" w:rsidRPr="00E22DEF" w:rsidRDefault="00E845C5" w:rsidP="00E22DEF">
      <w:pPr>
        <w:pStyle w:val="BodyText"/>
        <w:ind w:firstLine="0pt"/>
        <w:rPr>
          <w:bCs/>
        </w:rPr>
      </w:pPr>
      <w:r>
        <w:rPr>
          <w:bCs/>
          <w:noProof/>
        </w:rPr>
        <w:drawing>
          <wp:inline distT="0" distB="0" distL="0" distR="0" wp14:anchorId="433E48BB" wp14:editId="10153A7F">
            <wp:extent cx="2728872" cy="1143000"/>
            <wp:effectExtent l="0" t="0" r="0" b="0"/>
            <wp:docPr id="6393549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935493" name="Picture 63935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7128" cy="1167401"/>
                    </a:xfrm>
                    <a:prstGeom prst="rect">
                      <a:avLst/>
                    </a:prstGeom>
                  </pic:spPr>
                </pic:pic>
              </a:graphicData>
            </a:graphic>
          </wp:inline>
        </w:drawing>
      </w:r>
    </w:p>
    <w:p w14:paraId="4AC68130" w14:textId="7D10284E" w:rsidR="006F6D3D" w:rsidRDefault="00E845C5" w:rsidP="006F6D3D">
      <w:pPr>
        <w:jc w:val="start"/>
        <w:rPr>
          <w:i/>
          <w:iCs/>
          <w:noProof/>
        </w:rPr>
      </w:pPr>
      <w:r>
        <w:rPr>
          <w:i/>
          <w:iCs/>
          <w:noProof/>
        </w:rPr>
        <w:t>Fig.1.: Actual vs Predicted Revenue Expenditure</w:t>
      </w:r>
    </w:p>
    <w:p w14:paraId="3E54BD5E" w14:textId="77777777" w:rsidR="00876FFF" w:rsidRDefault="00876FFF" w:rsidP="006F6D3D">
      <w:pPr>
        <w:jc w:val="start"/>
        <w:rPr>
          <w:i/>
          <w:iCs/>
          <w:noProof/>
        </w:rPr>
      </w:pPr>
    </w:p>
    <w:p w14:paraId="3C56E4E8" w14:textId="1A922C8A" w:rsidR="009303D9" w:rsidRDefault="00E22DEF" w:rsidP="00ED0149">
      <w:pPr>
        <w:pStyle w:val="Heading2"/>
      </w:pPr>
      <w:r w:rsidRPr="00E22DEF">
        <w:t>Classification of Spending Behavio</w:t>
      </w:r>
      <w:r>
        <w:t>u</w:t>
      </w:r>
      <w:r w:rsidRPr="00E22DEF">
        <w:t>r</w:t>
      </w:r>
    </w:p>
    <w:p w14:paraId="6CE65EF7" w14:textId="3E480EE6" w:rsidR="00DE0CED" w:rsidRPr="005B520E" w:rsidRDefault="00DE0CED" w:rsidP="00E7596C">
      <w:pPr>
        <w:pStyle w:val="BodyText"/>
      </w:pPr>
      <w:r w:rsidRPr="00DE0CED">
        <w:rPr>
          <w:lang w:val="en-US"/>
        </w:rPr>
        <w:t>Classification techniques are applied to categorize states based on their spending behavior. States are grouped into high-spending and low-spending categories using supervised learning models. Logistic Regression and K-Nearest Neighbors classifiers are implemented to perform this task. Model evaluation should be conducted using accuracy measures, confusion matrices, and classification reports. These metrics assist in comparing model effectiveness and understanding classification outcomes</w:t>
      </w:r>
      <w:r w:rsidR="009303D9" w:rsidRPr="005B520E">
        <w:t>.</w:t>
      </w:r>
    </w:p>
    <w:p w14:paraId="04D6A610" w14:textId="61F664DD" w:rsidR="009303D9" w:rsidRDefault="00DE0CED" w:rsidP="00ED0149">
      <w:pPr>
        <w:pStyle w:val="Heading2"/>
      </w:pPr>
      <w:r>
        <w:lastRenderedPageBreak/>
        <w:t>C</w:t>
      </w:r>
      <w:r w:rsidRPr="00DE0CED">
        <w:t>omparative Analysis of Classification Models</w:t>
      </w:r>
    </w:p>
    <w:p w14:paraId="755AA371" w14:textId="50CF0EC8" w:rsidR="00DE0CED" w:rsidRDefault="00876FFF" w:rsidP="00765FDB">
      <w:pPr>
        <w:pStyle w:val="Heading4"/>
        <w:numPr>
          <w:ilvl w:val="0"/>
          <w:numId w:val="0"/>
        </w:numPr>
      </w:pPr>
      <w:r>
        <w:t xml:space="preserve">    </w:t>
      </w:r>
      <w:r w:rsidR="0004781E">
        <w:t xml:space="preserve"> </w:t>
      </w:r>
      <w:r w:rsidR="00DE0CED" w:rsidRPr="00DE0CED">
        <w:rPr>
          <w:i w:val="0"/>
          <w:iCs w:val="0"/>
        </w:rPr>
        <w:t>Tree-based classification methods are used to compare interpretability and performance with other supervised learning approaches. A Decision Tree classifier is employed to generate rule-based predictions and identify influential features. Feature importance scores derived from the model help explain expenditure behavior across states. Comparative analysis of classifiers supports model selection based on both accuracy and interpretability</w:t>
      </w:r>
      <w:r w:rsidR="00DE0CED">
        <w:t>.</w:t>
      </w:r>
    </w:p>
    <w:p w14:paraId="3372258D" w14:textId="77777777" w:rsidR="00DE0CED" w:rsidRPr="00DE0CED" w:rsidRDefault="00DE0CED" w:rsidP="00DE0CED"/>
    <w:p w14:paraId="19735D5A" w14:textId="650B6022" w:rsidR="00DE0CED" w:rsidRDefault="00DE0CED" w:rsidP="00DE0CED">
      <w:pPr>
        <w:pStyle w:val="Heading2"/>
      </w:pPr>
      <w:r w:rsidRPr="00DE0CED">
        <w:t>Identification of Expenditure Patterns Through Clustering</w:t>
      </w:r>
    </w:p>
    <w:p w14:paraId="24122E1B" w14:textId="53689E7C" w:rsidR="00DE0CED" w:rsidRDefault="00876FFF" w:rsidP="00765FDB">
      <w:pPr>
        <w:jc w:val="both"/>
      </w:pPr>
      <w:r>
        <w:t xml:space="preserve">    </w:t>
      </w:r>
      <w:r w:rsidR="00DE0CED" w:rsidRPr="00DE0CED">
        <w:t>Unsupervised learning techniques are applied to discover hidden patterns in revenue expenditure data. K-Means clustering is used to group states based on similarities in sector-wise spending characteristics. The Elbow Method is employed to determine the optimal number of clusters. Cluster analysis enables the identification of states with similar fiscal profiles and supports comparative expenditure assessment.</w:t>
      </w:r>
    </w:p>
    <w:p w14:paraId="55A7ABC9" w14:textId="77777777" w:rsidR="00DE0CED" w:rsidRPr="00DE0CED" w:rsidRDefault="00DE0CED" w:rsidP="00DE0CED"/>
    <w:p w14:paraId="7FC814EC" w14:textId="16806E4F" w:rsidR="0080791D" w:rsidRDefault="0080791D" w:rsidP="0080791D">
      <w:pPr>
        <w:pStyle w:val="Heading5"/>
      </w:pPr>
      <w:r w:rsidRPr="005B520E">
        <w:t>Acknowledgment</w:t>
      </w:r>
      <w:r>
        <w:t xml:space="preserve"> </w:t>
      </w:r>
    </w:p>
    <w:p w14:paraId="39D7A7EF" w14:textId="6B5FC881" w:rsidR="00575BCA" w:rsidRDefault="00765FDB" w:rsidP="00765FDB">
      <w:pPr>
        <w:pStyle w:val="BodyText"/>
      </w:pPr>
      <w:r w:rsidRPr="00765FDB">
        <w:rPr>
          <w:lang w:val="en-US"/>
        </w:rPr>
        <w:t>The author gratefully acknowledges the National Data and Analytics Platform (NDAP), NITI Aayog, Government of India, for providing open and reliable access to state-wise government budget data. The availability of this dataset played a crucial role in enabling the analysis of revenue expenditure patterns across Indian states. The author also appreciates the efforts of public institutions involved in data collection, standardization, and dissemination, which contribute significantly to transparency and data-driven research. This study would not have been possible without such open data initiatives that support academic research and informed policy analysis</w:t>
      </w:r>
      <w:r w:rsidR="0080791D" w:rsidRPr="005B520E">
        <w:t>.</w:t>
      </w:r>
    </w:p>
    <w:p w14:paraId="21523B97" w14:textId="77777777" w:rsidR="009303D9" w:rsidRDefault="009303D9" w:rsidP="00A059B3">
      <w:pPr>
        <w:pStyle w:val="Heading5"/>
      </w:pPr>
      <w:r w:rsidRPr="005B520E">
        <w:t>References</w:t>
      </w:r>
    </w:p>
    <w:p w14:paraId="144D91D7" w14:textId="77777777" w:rsidR="009303D9" w:rsidRPr="005B520E" w:rsidRDefault="009303D9"/>
    <w:p w14:paraId="7EE0A05F" w14:textId="1AB94B71" w:rsidR="009303D9" w:rsidRPr="00BF65DF" w:rsidRDefault="00BF65DF" w:rsidP="0004781E">
      <w:pPr>
        <w:pStyle w:val="references"/>
        <w:ind w:start="17.70pt" w:hanging="17.70pt"/>
        <w:rPr>
          <w:sz w:val="20"/>
          <w:szCs w:val="20"/>
        </w:rPr>
      </w:pPr>
      <w:r w:rsidRPr="00BF65DF">
        <w:rPr>
          <w:sz w:val="20"/>
          <w:szCs w:val="20"/>
        </w:rPr>
        <w:t>National Institution for Transforming India (NITI Aayog), “Revenue expenditure of states and union territories,” National Data and Analytics Platform (NDAP), Government of India, 2024. [Online]. Available:</w:t>
      </w:r>
      <w:r w:rsidR="00003D17">
        <w:rPr>
          <w:sz w:val="20"/>
          <w:szCs w:val="20"/>
        </w:rPr>
        <w:t xml:space="preserve"> </w:t>
      </w:r>
      <w:hyperlink r:id="rId10" w:history="1">
        <w:r w:rsidR="00003D17" w:rsidRPr="00003D17">
          <w:rPr>
            <w:rStyle w:val="Hyperlink"/>
            <w:sz w:val="20"/>
            <w:szCs w:val="20"/>
          </w:rPr>
          <w:t>https://ndap.niti.gov.in/dataset/7</w:t>
        </w:r>
        <w:r w:rsidR="00003D17" w:rsidRPr="00003D17">
          <w:rPr>
            <w:rStyle w:val="Hyperlink"/>
            <w:sz w:val="20"/>
            <w:szCs w:val="20"/>
          </w:rPr>
          <w:t>5</w:t>
        </w:r>
        <w:r w:rsidR="00003D17" w:rsidRPr="00003D17">
          <w:rPr>
            <w:rStyle w:val="Hyperlink"/>
            <w:sz w:val="20"/>
            <w:szCs w:val="20"/>
          </w:rPr>
          <w:t>67?tab=profile</w:t>
        </w:r>
      </w:hyperlink>
    </w:p>
    <w:p w14:paraId="0A75505B" w14:textId="13E35FBF" w:rsidR="009303D9" w:rsidRPr="00BF65DF" w:rsidRDefault="00BF65DF" w:rsidP="0004781E">
      <w:pPr>
        <w:pStyle w:val="references"/>
        <w:ind w:start="17.70pt" w:hanging="17.70pt"/>
        <w:rPr>
          <w:sz w:val="20"/>
          <w:szCs w:val="20"/>
        </w:rPr>
      </w:pPr>
      <w:r w:rsidRPr="00BF65DF">
        <w:rPr>
          <w:sz w:val="20"/>
          <w:szCs w:val="20"/>
        </w:rPr>
        <w:t>Government of India, “State finances: A study of budgets,” Ministry of Finance, New Delhi, India, various years</w:t>
      </w:r>
      <w:r w:rsidR="009303D9" w:rsidRPr="00BF65DF">
        <w:rPr>
          <w:sz w:val="20"/>
          <w:szCs w:val="20"/>
        </w:rPr>
        <w:t>.</w:t>
      </w:r>
    </w:p>
    <w:p w14:paraId="51985FA4" w14:textId="7F69FCCC" w:rsidR="009303D9" w:rsidRPr="00BF65DF" w:rsidRDefault="00BF65DF" w:rsidP="0004781E">
      <w:pPr>
        <w:pStyle w:val="references"/>
        <w:ind w:start="17.70pt" w:hanging="17.70pt"/>
        <w:rPr>
          <w:sz w:val="20"/>
          <w:szCs w:val="20"/>
        </w:rPr>
      </w:pPr>
      <w:r w:rsidRPr="00BF65DF">
        <w:rPr>
          <w:sz w:val="20"/>
          <w:szCs w:val="20"/>
        </w:rPr>
        <w:t xml:space="preserve">T. Hastie, R. Tibshirani, and J. Friedman, </w:t>
      </w:r>
      <w:r w:rsidRPr="00BF65DF">
        <w:rPr>
          <w:i/>
          <w:iCs/>
          <w:sz w:val="20"/>
          <w:szCs w:val="20"/>
        </w:rPr>
        <w:t>The Elements of Statistical Learning: Data Mining, Inference, and Prediction</w:t>
      </w:r>
      <w:r w:rsidRPr="00BF65DF">
        <w:rPr>
          <w:sz w:val="20"/>
          <w:szCs w:val="20"/>
        </w:rPr>
        <w:t>, 2nd ed. New York, NY, USA: Springer, 2009</w:t>
      </w:r>
      <w:r w:rsidR="009303D9" w:rsidRPr="00BF65DF">
        <w:rPr>
          <w:sz w:val="20"/>
          <w:szCs w:val="20"/>
        </w:rPr>
        <w:t>.</w:t>
      </w:r>
    </w:p>
    <w:p w14:paraId="5D99F356" w14:textId="78EDE21D" w:rsidR="009303D9" w:rsidRPr="00BF65DF" w:rsidRDefault="00BF65DF" w:rsidP="0004781E">
      <w:pPr>
        <w:pStyle w:val="references"/>
        <w:ind w:start="17.70pt" w:hanging="17.70pt"/>
        <w:rPr>
          <w:sz w:val="20"/>
          <w:szCs w:val="20"/>
        </w:rPr>
      </w:pPr>
      <w:r w:rsidRPr="00BF65DF">
        <w:rPr>
          <w:sz w:val="20"/>
          <w:szCs w:val="20"/>
        </w:rPr>
        <w:t xml:space="preserve">I. H. Witten, E. Frank, M. A. Hall, and C. J. Pal, </w:t>
      </w:r>
      <w:r w:rsidRPr="00BF65DF">
        <w:rPr>
          <w:i/>
          <w:iCs/>
          <w:sz w:val="20"/>
          <w:szCs w:val="20"/>
        </w:rPr>
        <w:t>Data Mining: Practical Machine Learning Tools and Techniques</w:t>
      </w:r>
      <w:r w:rsidRPr="00BF65DF">
        <w:rPr>
          <w:sz w:val="20"/>
          <w:szCs w:val="20"/>
        </w:rPr>
        <w:t>, 4th ed. San Francisco, CA, USA: Morgan Kaufmann, 2017</w:t>
      </w:r>
      <w:r w:rsidR="009303D9" w:rsidRPr="00BF65DF">
        <w:rPr>
          <w:sz w:val="20"/>
          <w:szCs w:val="20"/>
        </w:rPr>
        <w:t>.</w:t>
      </w:r>
    </w:p>
    <w:p w14:paraId="7619257F" w14:textId="357B2123" w:rsidR="009303D9" w:rsidRPr="00BF65DF" w:rsidRDefault="00BF65DF" w:rsidP="0004781E">
      <w:pPr>
        <w:pStyle w:val="references"/>
        <w:ind w:start="17.70pt" w:hanging="17.70pt"/>
        <w:rPr>
          <w:sz w:val="20"/>
          <w:szCs w:val="20"/>
        </w:rPr>
      </w:pPr>
      <w:r w:rsidRPr="00BF65DF">
        <w:rPr>
          <w:sz w:val="20"/>
          <w:szCs w:val="20"/>
        </w:rPr>
        <w:t xml:space="preserve">G. James, D. Witten, T. Hastie, and R. Tibshirani, </w:t>
      </w:r>
      <w:r w:rsidRPr="00BF65DF">
        <w:rPr>
          <w:i/>
          <w:iCs/>
          <w:sz w:val="20"/>
          <w:szCs w:val="20"/>
        </w:rPr>
        <w:t>An Introduction to Statistical Learning</w:t>
      </w:r>
      <w:r w:rsidRPr="00BF65DF">
        <w:rPr>
          <w:sz w:val="20"/>
          <w:szCs w:val="20"/>
        </w:rPr>
        <w:t>, 2nd ed. New York, NY, USA: Springer, 2021</w:t>
      </w:r>
      <w:r w:rsidR="009303D9" w:rsidRPr="00BF65DF">
        <w:rPr>
          <w:sz w:val="20"/>
          <w:szCs w:val="20"/>
        </w:rPr>
        <w:t>.</w:t>
      </w:r>
    </w:p>
    <w:p w14:paraId="3DC0719F" w14:textId="71CC2155" w:rsidR="009303D9" w:rsidRPr="00BF65DF" w:rsidRDefault="00BF65DF" w:rsidP="0004781E">
      <w:pPr>
        <w:pStyle w:val="references"/>
        <w:ind w:start="17.70pt" w:hanging="17.70pt"/>
        <w:rPr>
          <w:sz w:val="20"/>
          <w:szCs w:val="20"/>
        </w:rPr>
      </w:pPr>
      <w:r w:rsidRPr="00BF65DF">
        <w:rPr>
          <w:sz w:val="20"/>
          <w:szCs w:val="20"/>
        </w:rPr>
        <w:t xml:space="preserve">L. Breiman, J. H. Friedman, R. A. Olshen, and C. J. Stone, </w:t>
      </w:r>
      <w:r w:rsidRPr="00BF65DF">
        <w:rPr>
          <w:i/>
          <w:iCs/>
          <w:sz w:val="20"/>
          <w:szCs w:val="20"/>
        </w:rPr>
        <w:t>Classification and Regression Trees</w:t>
      </w:r>
      <w:r w:rsidRPr="00BF65DF">
        <w:rPr>
          <w:sz w:val="20"/>
          <w:szCs w:val="20"/>
        </w:rPr>
        <w:t>. Belmont, CA, USA: Wadsworth, 1984</w:t>
      </w:r>
      <w:r w:rsidR="009303D9" w:rsidRPr="00BF65DF">
        <w:rPr>
          <w:sz w:val="20"/>
          <w:szCs w:val="20"/>
        </w:rPr>
        <w:t>.</w:t>
      </w:r>
    </w:p>
    <w:p w14:paraId="1AD3BD9A" w14:textId="50611E4F" w:rsidR="009303D9" w:rsidRPr="00BF65DF" w:rsidRDefault="00BF65DF" w:rsidP="0004781E">
      <w:pPr>
        <w:pStyle w:val="references"/>
        <w:ind w:start="17.70pt" w:hanging="17.70pt"/>
        <w:rPr>
          <w:sz w:val="20"/>
          <w:szCs w:val="20"/>
        </w:rPr>
      </w:pPr>
      <w:r w:rsidRPr="00BF65DF">
        <w:rPr>
          <w:sz w:val="20"/>
          <w:szCs w:val="20"/>
        </w:rPr>
        <w:t xml:space="preserve">J. Han, M. Kamber, and J. Pei, </w:t>
      </w:r>
      <w:r w:rsidRPr="00BF65DF">
        <w:rPr>
          <w:i/>
          <w:iCs/>
          <w:sz w:val="20"/>
          <w:szCs w:val="20"/>
        </w:rPr>
        <w:t>Data Mining: Concepts and Techniques</w:t>
      </w:r>
      <w:r w:rsidRPr="00BF65DF">
        <w:rPr>
          <w:sz w:val="20"/>
          <w:szCs w:val="20"/>
        </w:rPr>
        <w:t>, 3rd ed. Waltham, MA, USA: Morgan Kaufmann, 2012</w:t>
      </w:r>
      <w:r w:rsidR="009303D9" w:rsidRPr="00BF65DF">
        <w:rPr>
          <w:sz w:val="20"/>
          <w:szCs w:val="20"/>
        </w:rPr>
        <w:t>.</w:t>
      </w:r>
    </w:p>
    <w:p w14:paraId="5A6F4A28" w14:textId="638AB1AA" w:rsidR="008147B5" w:rsidRPr="00BF65DF" w:rsidRDefault="00BF65DF" w:rsidP="008147B5">
      <w:pPr>
        <w:pStyle w:val="references"/>
        <w:ind w:start="17.70pt" w:hanging="17.70pt"/>
        <w:rPr>
          <w:rFonts w:ascii="NimbusRomNo9L-Regu" w:eastAsia="NimbusRomNo9L-Regu" w:cs="NimbusRomNo9L-Regu"/>
          <w:sz w:val="20"/>
          <w:szCs w:val="20"/>
        </w:rPr>
      </w:pPr>
      <w:r w:rsidRPr="00BF65DF">
        <w:rPr>
          <w:sz w:val="20"/>
          <w:szCs w:val="20"/>
        </w:rPr>
        <w:t xml:space="preserve">S. Raschka, Y. Liu, and V. Mirjalili, </w:t>
      </w:r>
      <w:r w:rsidRPr="00BF65DF">
        <w:rPr>
          <w:i/>
          <w:iCs/>
          <w:sz w:val="20"/>
          <w:szCs w:val="20"/>
        </w:rPr>
        <w:t>Machine Learning with Python</w:t>
      </w:r>
      <w:r w:rsidRPr="00BF65DF">
        <w:rPr>
          <w:sz w:val="20"/>
          <w:szCs w:val="20"/>
        </w:rPr>
        <w:t>, 3rd ed. Birmingham, U.K.: Packt Publishing, 2020.</w:t>
      </w:r>
      <w:r w:rsidR="008147B5" w:rsidRPr="00BF65DF">
        <w:rPr>
          <w:sz w:val="20"/>
          <w:szCs w:val="20"/>
        </w:rPr>
        <w:t xml:space="preserve"> </w:t>
      </w:r>
    </w:p>
    <w:p w14:paraId="53AA2304" w14:textId="58B2A2D2" w:rsidR="00BF65DF" w:rsidRPr="00BF65DF" w:rsidRDefault="00BF65DF" w:rsidP="008147B5">
      <w:pPr>
        <w:pStyle w:val="references"/>
        <w:autoSpaceDE w:val="0"/>
        <w:autoSpaceDN w:val="0"/>
        <w:adjustRightInd w:val="0"/>
        <w:ind w:start="17.70pt" w:hanging="17.70pt"/>
        <w:jc w:val="start"/>
        <w:rPr>
          <w:sz w:val="20"/>
          <w:szCs w:val="20"/>
        </w:rPr>
      </w:pPr>
      <w:r w:rsidRPr="00BF65DF">
        <w:rPr>
          <w:sz w:val="20"/>
          <w:szCs w:val="20"/>
        </w:rPr>
        <w:t xml:space="preserve">F. Pedregosa </w:t>
      </w:r>
      <w:r w:rsidRPr="00BF65DF">
        <w:rPr>
          <w:i/>
          <w:iCs/>
          <w:sz w:val="20"/>
          <w:szCs w:val="20"/>
        </w:rPr>
        <w:t>et al.</w:t>
      </w:r>
      <w:r w:rsidRPr="00BF65DF">
        <w:rPr>
          <w:sz w:val="20"/>
          <w:szCs w:val="20"/>
        </w:rPr>
        <w:t xml:space="preserve">, “Scikit-learn: Machine learning in Python,” </w:t>
      </w:r>
      <w:r w:rsidRPr="00BF65DF">
        <w:rPr>
          <w:i/>
          <w:iCs/>
          <w:sz w:val="20"/>
          <w:szCs w:val="20"/>
        </w:rPr>
        <w:t>J. Mach. Learn. Res.</w:t>
      </w:r>
      <w:r w:rsidRPr="00BF65DF">
        <w:rPr>
          <w:sz w:val="20"/>
          <w:szCs w:val="20"/>
        </w:rPr>
        <w:t>, vol. 12, pp. 2825–2830, 2011.</w:t>
      </w:r>
    </w:p>
    <w:p w14:paraId="1DF840D5" w14:textId="7F137F27" w:rsidR="008147B5" w:rsidRPr="00BF65DF" w:rsidRDefault="00BF65DF" w:rsidP="008147B5">
      <w:pPr>
        <w:pStyle w:val="references"/>
        <w:autoSpaceDE w:val="0"/>
        <w:autoSpaceDN w:val="0"/>
        <w:adjustRightInd w:val="0"/>
        <w:ind w:start="17.70pt" w:hanging="17.70pt"/>
        <w:jc w:val="start"/>
        <w:rPr>
          <w:sz w:val="20"/>
          <w:szCs w:val="20"/>
        </w:rPr>
      </w:pPr>
      <w:r w:rsidRPr="00BF65DF">
        <w:rPr>
          <w:sz w:val="20"/>
          <w:szCs w:val="20"/>
        </w:rPr>
        <w:t xml:space="preserve">A. Géron, </w:t>
      </w:r>
      <w:r w:rsidRPr="00BF65DF">
        <w:rPr>
          <w:i/>
          <w:iCs/>
          <w:sz w:val="20"/>
          <w:szCs w:val="20"/>
        </w:rPr>
        <w:t>Hands-On Machine Learning with Scikit-Learn, Keras, and TensorFlow</w:t>
      </w:r>
      <w:r w:rsidRPr="00BF65DF">
        <w:rPr>
          <w:sz w:val="20"/>
          <w:szCs w:val="20"/>
        </w:rPr>
        <w:t>, 2nd ed. Sebastopol, CA, USA: O’Reilly Media, 2019.</w:t>
      </w:r>
    </w:p>
    <w:p w14:paraId="57DBF316" w14:textId="598448BB" w:rsidR="008147B5" w:rsidRPr="00BF65DF" w:rsidRDefault="00BF65DF" w:rsidP="008147B5">
      <w:pPr>
        <w:pStyle w:val="references"/>
        <w:autoSpaceDE w:val="0"/>
        <w:autoSpaceDN w:val="0"/>
        <w:adjustRightInd w:val="0"/>
        <w:ind w:start="17.70pt" w:hanging="17.70pt"/>
        <w:jc w:val="start"/>
        <w:rPr>
          <w:sz w:val="20"/>
          <w:szCs w:val="20"/>
        </w:rPr>
      </w:pPr>
      <w:r w:rsidRPr="00BF65DF">
        <w:rPr>
          <w:sz w:val="20"/>
          <w:szCs w:val="20"/>
        </w:rPr>
        <w:t xml:space="preserve">M. Young, </w:t>
      </w:r>
      <w:r w:rsidRPr="00BF65DF">
        <w:rPr>
          <w:i/>
          <w:iCs/>
          <w:sz w:val="20"/>
          <w:szCs w:val="20"/>
        </w:rPr>
        <w:t>The Technical Writer’s Handbook</w:t>
      </w:r>
      <w:r w:rsidRPr="00BF65DF">
        <w:rPr>
          <w:sz w:val="20"/>
          <w:szCs w:val="20"/>
        </w:rPr>
        <w:t>. Mill Valley, CA, USA: University Science, 1989.</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4357EC5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AC976D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527CD11" w14:textId="77777777" w:rsidR="009274F1" w:rsidRDefault="009274F1" w:rsidP="001A3B3D">
      <w:r>
        <w:separator/>
      </w:r>
    </w:p>
  </w:endnote>
  <w:endnote w:type="continuationSeparator" w:id="0">
    <w:p w14:paraId="0F4A959D" w14:textId="77777777" w:rsidR="009274F1" w:rsidRDefault="009274F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23FFFE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2DDD4BE" w14:textId="77777777" w:rsidR="009274F1" w:rsidRDefault="009274F1" w:rsidP="001A3B3D">
      <w:r>
        <w:separator/>
      </w:r>
    </w:p>
  </w:footnote>
  <w:footnote w:type="continuationSeparator" w:id="0">
    <w:p w14:paraId="6C8DB3A5" w14:textId="77777777" w:rsidR="009274F1" w:rsidRDefault="009274F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41.9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D17"/>
    <w:rsid w:val="0004781E"/>
    <w:rsid w:val="0008758A"/>
    <w:rsid w:val="000C1E68"/>
    <w:rsid w:val="00103222"/>
    <w:rsid w:val="001670A0"/>
    <w:rsid w:val="001A2EFD"/>
    <w:rsid w:val="001A3B3D"/>
    <w:rsid w:val="001B67DC"/>
    <w:rsid w:val="002254A9"/>
    <w:rsid w:val="00233D97"/>
    <w:rsid w:val="002347A2"/>
    <w:rsid w:val="00240293"/>
    <w:rsid w:val="002850E3"/>
    <w:rsid w:val="002850ED"/>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7075"/>
    <w:rsid w:val="00765FDB"/>
    <w:rsid w:val="007662D3"/>
    <w:rsid w:val="00794804"/>
    <w:rsid w:val="007B33F1"/>
    <w:rsid w:val="007B6DDA"/>
    <w:rsid w:val="007C0308"/>
    <w:rsid w:val="007C2FF2"/>
    <w:rsid w:val="007C53EE"/>
    <w:rsid w:val="007D6232"/>
    <w:rsid w:val="007F1F99"/>
    <w:rsid w:val="007F768F"/>
    <w:rsid w:val="0080791D"/>
    <w:rsid w:val="008147B5"/>
    <w:rsid w:val="00836367"/>
    <w:rsid w:val="00873603"/>
    <w:rsid w:val="00876FFF"/>
    <w:rsid w:val="008A2C7D"/>
    <w:rsid w:val="008B6524"/>
    <w:rsid w:val="008C4B23"/>
    <w:rsid w:val="008D018E"/>
    <w:rsid w:val="008F6E2C"/>
    <w:rsid w:val="009274F1"/>
    <w:rsid w:val="009303D9"/>
    <w:rsid w:val="00933C64"/>
    <w:rsid w:val="00972203"/>
    <w:rsid w:val="009F1D79"/>
    <w:rsid w:val="00A059B3"/>
    <w:rsid w:val="00AE3409"/>
    <w:rsid w:val="00B11A60"/>
    <w:rsid w:val="00B22613"/>
    <w:rsid w:val="00B44A76"/>
    <w:rsid w:val="00B768D1"/>
    <w:rsid w:val="00BA1025"/>
    <w:rsid w:val="00BC3420"/>
    <w:rsid w:val="00BD670B"/>
    <w:rsid w:val="00BE3122"/>
    <w:rsid w:val="00BE7D3C"/>
    <w:rsid w:val="00BF5FF6"/>
    <w:rsid w:val="00BF65DF"/>
    <w:rsid w:val="00C0207F"/>
    <w:rsid w:val="00C16117"/>
    <w:rsid w:val="00C3075A"/>
    <w:rsid w:val="00C7327A"/>
    <w:rsid w:val="00C919A4"/>
    <w:rsid w:val="00CA15EE"/>
    <w:rsid w:val="00CA4392"/>
    <w:rsid w:val="00CC393F"/>
    <w:rsid w:val="00D2176E"/>
    <w:rsid w:val="00D632BE"/>
    <w:rsid w:val="00D72D06"/>
    <w:rsid w:val="00D7522C"/>
    <w:rsid w:val="00D7536F"/>
    <w:rsid w:val="00D76668"/>
    <w:rsid w:val="00DE0CED"/>
    <w:rsid w:val="00E07383"/>
    <w:rsid w:val="00E165BC"/>
    <w:rsid w:val="00E22DEF"/>
    <w:rsid w:val="00E52C76"/>
    <w:rsid w:val="00E61E12"/>
    <w:rsid w:val="00E71744"/>
    <w:rsid w:val="00E7596C"/>
    <w:rsid w:val="00E845C5"/>
    <w:rsid w:val="00E878F2"/>
    <w:rsid w:val="00ED0149"/>
    <w:rsid w:val="00EF7DE3"/>
    <w:rsid w:val="00F03103"/>
    <w:rsid w:val="00F271DE"/>
    <w:rsid w:val="00F627DA"/>
    <w:rsid w:val="00F72233"/>
    <w:rsid w:val="00F7288F"/>
    <w:rsid w:val="00F847A6"/>
    <w:rsid w:val="00F937FA"/>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7C53EE"/>
    <w:pPr>
      <w:spacing w:before="5pt" w:beforeAutospacing="1" w:after="5pt" w:afterAutospacing="1"/>
      <w:jc w:val="start"/>
    </w:pPr>
    <w:rPr>
      <w:rFonts w:eastAsia="Times New Roman"/>
      <w:sz w:val="24"/>
      <w:szCs w:val="24"/>
      <w:lang w:val="en-IN" w:eastAsia="en-IN"/>
    </w:rPr>
  </w:style>
  <w:style w:type="character" w:customStyle="1" w:styleId="Heading2Char">
    <w:name w:val="Heading 2 Char"/>
    <w:basedOn w:val="DefaultParagraphFont"/>
    <w:link w:val="Heading2"/>
    <w:rsid w:val="00DE0CED"/>
    <w:rPr>
      <w:i/>
      <w:iCs/>
      <w:noProof/>
    </w:rPr>
  </w:style>
  <w:style w:type="character" w:styleId="Hyperlink">
    <w:name w:val="Hyperlink"/>
    <w:basedOn w:val="DefaultParagraphFont"/>
    <w:rsid w:val="00BF65DF"/>
    <w:rPr>
      <w:color w:val="0563C1" w:themeColor="hyperlink"/>
      <w:u w:val="single"/>
    </w:rPr>
  </w:style>
  <w:style w:type="character" w:styleId="UnresolvedMention">
    <w:name w:val="Unresolved Mention"/>
    <w:basedOn w:val="DefaultParagraphFont"/>
    <w:uiPriority w:val="99"/>
    <w:semiHidden/>
    <w:unhideWhenUsed/>
    <w:rsid w:val="00BF65DF"/>
    <w:rPr>
      <w:color w:val="605E5C"/>
      <w:shd w:val="clear" w:color="auto" w:fill="E1DFDD"/>
    </w:rPr>
  </w:style>
  <w:style w:type="character" w:styleId="FollowedHyperlink">
    <w:name w:val="FollowedHyperlink"/>
    <w:basedOn w:val="DefaultParagraphFont"/>
    <w:rsid w:val="00003D17"/>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ndap.niti.gov.in/dataset/7567?tab=profile"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118</TotalTime>
  <Pages>3</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shubham kumar</cp:lastModifiedBy>
  <cp:revision>61</cp:revision>
  <dcterms:created xsi:type="dcterms:W3CDTF">2024-07-16T13:42:00Z</dcterms:created>
  <dcterms:modified xsi:type="dcterms:W3CDTF">2025-12-15T17:39:00Z</dcterms:modified>
</cp:coreProperties>
</file>