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76732" w14:textId="7261BFA7" w:rsidR="00E5346C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drawing>
          <wp:inline distT="0" distB="0" distL="0" distR="0" wp14:anchorId="2B026946" wp14:editId="4C587C92">
            <wp:extent cx="5731510" cy="2819400"/>
            <wp:effectExtent l="0" t="0" r="2540" b="0"/>
            <wp:docPr id="10896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6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D35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Service-Oriented Architecture (SOA)</w:t>
      </w:r>
      <w:r w:rsidRPr="005F322B">
        <w:rPr>
          <w:rFonts w:ascii="Cambria" w:hAnsi="Cambria"/>
          <w:sz w:val="28"/>
          <w:szCs w:val="28"/>
        </w:rPr>
        <w:t xml:space="preserve"> is a design pattern where software components (called "services") are loosely coupled and communicate with each other over a network using standardized protocols (typically via SOAP, XML, or HTTP). Each service in SOA is designed to perform a specific business function and can be reused across different applications.</w:t>
      </w:r>
    </w:p>
    <w:p w14:paraId="34E34659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pict w14:anchorId="41F09944">
          <v:rect id="_x0000_i1049" style="width:0;height:1.5pt" o:hralign="center" o:hrstd="t" o:hr="t" fillcolor="#a0a0a0" stroked="f"/>
        </w:pict>
      </w:r>
    </w:p>
    <w:p w14:paraId="0E0E91BD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5F322B">
        <w:rPr>
          <w:rFonts w:ascii="Cambria" w:hAnsi="Cambria"/>
          <w:b/>
          <w:bCs/>
          <w:sz w:val="28"/>
          <w:szCs w:val="28"/>
        </w:rPr>
        <w:t xml:space="preserve"> 1. What is SOA (Service-Oriented Architecture)?</w:t>
      </w:r>
    </w:p>
    <w:p w14:paraId="5FF9A51F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Definition</w:t>
      </w:r>
      <w:r w:rsidRPr="005F322B">
        <w:rPr>
          <w:rFonts w:ascii="Cambria" w:hAnsi="Cambria"/>
          <w:sz w:val="28"/>
          <w:szCs w:val="28"/>
        </w:rPr>
        <w:t xml:space="preserve">: SOA is a design pattern where business logic is split into individual </w:t>
      </w:r>
      <w:r w:rsidRPr="005F322B">
        <w:rPr>
          <w:rFonts w:ascii="Cambria" w:hAnsi="Cambria"/>
          <w:b/>
          <w:bCs/>
          <w:sz w:val="28"/>
          <w:szCs w:val="28"/>
        </w:rPr>
        <w:t>services</w:t>
      </w:r>
      <w:r w:rsidRPr="005F322B">
        <w:rPr>
          <w:rFonts w:ascii="Cambria" w:hAnsi="Cambria"/>
          <w:sz w:val="28"/>
          <w:szCs w:val="28"/>
        </w:rPr>
        <w:t xml:space="preserve"> that are orchestrated and reused across systems.</w:t>
      </w:r>
    </w:p>
    <w:p w14:paraId="07408F93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Core Concepts</w:t>
      </w:r>
      <w:r w:rsidRPr="005F322B">
        <w:rPr>
          <w:rFonts w:ascii="Cambria" w:hAnsi="Cambria"/>
          <w:sz w:val="28"/>
          <w:szCs w:val="28"/>
        </w:rPr>
        <w:t>:</w:t>
      </w:r>
    </w:p>
    <w:p w14:paraId="52D0B0CD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Services are independent and loosely coupled</w:t>
      </w:r>
    </w:p>
    <w:p w14:paraId="2B1B7D5E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Services interact via well-defined interfaces</w:t>
      </w:r>
    </w:p>
    <w:p w14:paraId="58A55145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Emphasis on </w:t>
      </w:r>
      <w:r w:rsidRPr="005F322B">
        <w:rPr>
          <w:rFonts w:ascii="Cambria" w:hAnsi="Cambria"/>
          <w:b/>
          <w:bCs/>
          <w:sz w:val="28"/>
          <w:szCs w:val="28"/>
        </w:rPr>
        <w:t>interoperability</w:t>
      </w:r>
      <w:r w:rsidRPr="005F322B">
        <w:rPr>
          <w:rFonts w:ascii="Cambria" w:hAnsi="Cambria"/>
          <w:sz w:val="28"/>
          <w:szCs w:val="28"/>
        </w:rPr>
        <w:t xml:space="preserve"> (especially in enterprise systems)</w:t>
      </w:r>
    </w:p>
    <w:p w14:paraId="592BA0E7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Often uses </w:t>
      </w:r>
      <w:r w:rsidRPr="005F322B">
        <w:rPr>
          <w:rFonts w:ascii="Cambria" w:hAnsi="Cambria"/>
          <w:b/>
          <w:bCs/>
          <w:sz w:val="28"/>
          <w:szCs w:val="28"/>
        </w:rPr>
        <w:t>SOAP/XML</w:t>
      </w:r>
      <w:r w:rsidRPr="005F322B">
        <w:rPr>
          <w:rFonts w:ascii="Cambria" w:hAnsi="Cambria"/>
          <w:sz w:val="28"/>
          <w:szCs w:val="28"/>
        </w:rPr>
        <w:t xml:space="preserve">, </w:t>
      </w:r>
      <w:r w:rsidRPr="005F322B">
        <w:rPr>
          <w:rFonts w:ascii="Cambria" w:hAnsi="Cambria"/>
          <w:b/>
          <w:bCs/>
          <w:sz w:val="28"/>
          <w:szCs w:val="28"/>
        </w:rPr>
        <w:t>WSDL</w:t>
      </w:r>
      <w:r w:rsidRPr="005F322B">
        <w:rPr>
          <w:rFonts w:ascii="Cambria" w:hAnsi="Cambria"/>
          <w:sz w:val="28"/>
          <w:szCs w:val="28"/>
        </w:rPr>
        <w:t xml:space="preserve">, </w:t>
      </w:r>
      <w:r w:rsidRPr="005F322B">
        <w:rPr>
          <w:rFonts w:ascii="Cambria" w:hAnsi="Cambria"/>
          <w:b/>
          <w:bCs/>
          <w:sz w:val="28"/>
          <w:szCs w:val="28"/>
        </w:rPr>
        <w:t>ESB</w:t>
      </w:r>
      <w:r w:rsidRPr="005F322B">
        <w:rPr>
          <w:rFonts w:ascii="Cambria" w:hAnsi="Cambria"/>
          <w:sz w:val="28"/>
          <w:szCs w:val="28"/>
        </w:rPr>
        <w:t xml:space="preserve"> (Enterprise Service Bus)</w:t>
      </w:r>
    </w:p>
    <w:p w14:paraId="79C899C7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pict w14:anchorId="46348C49">
          <v:rect id="_x0000_i1050" style="width:0;height:1.5pt" o:hralign="center" o:hrstd="t" o:hr="t" fillcolor="#a0a0a0" stroked="f"/>
        </w:pict>
      </w:r>
    </w:p>
    <w:p w14:paraId="1FC05BA9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5F322B">
        <w:rPr>
          <w:rFonts w:ascii="Cambria" w:hAnsi="Cambria"/>
          <w:b/>
          <w:bCs/>
          <w:sz w:val="28"/>
          <w:szCs w:val="28"/>
        </w:rPr>
        <w:t xml:space="preserve"> 2. What is Monolithic Architecture?</w:t>
      </w:r>
    </w:p>
    <w:p w14:paraId="31891951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Definition</w:t>
      </w:r>
      <w:r w:rsidRPr="005F322B">
        <w:rPr>
          <w:rFonts w:ascii="Cambria" w:hAnsi="Cambria"/>
          <w:sz w:val="28"/>
          <w:szCs w:val="28"/>
        </w:rPr>
        <w:t>: A monolith is a single unified codebase that contains all the application’s modules.</w:t>
      </w:r>
    </w:p>
    <w:p w14:paraId="739D17BB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Characteristics</w:t>
      </w:r>
      <w:r w:rsidRPr="005F322B">
        <w:rPr>
          <w:rFonts w:ascii="Cambria" w:hAnsi="Cambria"/>
          <w:sz w:val="28"/>
          <w:szCs w:val="28"/>
        </w:rPr>
        <w:t>:</w:t>
      </w:r>
    </w:p>
    <w:p w14:paraId="6CA462EF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All features and functions are tightly integrated</w:t>
      </w:r>
    </w:p>
    <w:p w14:paraId="79744A5B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Single codebase and database</w:t>
      </w:r>
    </w:p>
    <w:p w14:paraId="7D5575AC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Easier to develop initially but hard to scale/maintain</w:t>
      </w:r>
    </w:p>
    <w:p w14:paraId="529047FC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Changes in one area can affect the whole system</w:t>
      </w:r>
    </w:p>
    <w:p w14:paraId="04267C2C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pict w14:anchorId="68F6AA67">
          <v:rect id="_x0000_i1051" style="width:0;height:1.5pt" o:hralign="center" o:hrstd="t" o:hr="t" fillcolor="#a0a0a0" stroked="f"/>
        </w:pict>
      </w:r>
    </w:p>
    <w:p w14:paraId="53764D7E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5F322B">
        <w:rPr>
          <w:rFonts w:ascii="Cambria" w:hAnsi="Cambria"/>
          <w:b/>
          <w:bCs/>
          <w:sz w:val="28"/>
          <w:szCs w:val="28"/>
        </w:rPr>
        <w:t xml:space="preserve"> 3. What is Microservices Architecture?</w:t>
      </w:r>
    </w:p>
    <w:p w14:paraId="7C87CCBC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Definition</w:t>
      </w:r>
      <w:r w:rsidRPr="005F322B">
        <w:rPr>
          <w:rFonts w:ascii="Cambria" w:hAnsi="Cambria"/>
          <w:sz w:val="28"/>
          <w:szCs w:val="28"/>
        </w:rPr>
        <w:t xml:space="preserve">: Microservices break the application into </w:t>
      </w:r>
      <w:r w:rsidRPr="005F322B">
        <w:rPr>
          <w:rFonts w:ascii="Cambria" w:hAnsi="Cambria"/>
          <w:b/>
          <w:bCs/>
          <w:sz w:val="28"/>
          <w:szCs w:val="28"/>
        </w:rPr>
        <w:t>small, independently deployable services</w:t>
      </w:r>
      <w:r w:rsidRPr="005F322B">
        <w:rPr>
          <w:rFonts w:ascii="Cambria" w:hAnsi="Cambria"/>
          <w:sz w:val="28"/>
          <w:szCs w:val="28"/>
        </w:rPr>
        <w:t>, each responsible for a specific functionality.</w:t>
      </w:r>
    </w:p>
    <w:p w14:paraId="00C65311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Core Concepts</w:t>
      </w:r>
      <w:r w:rsidRPr="005F322B">
        <w:rPr>
          <w:rFonts w:ascii="Cambria" w:hAnsi="Cambria"/>
          <w:sz w:val="28"/>
          <w:szCs w:val="28"/>
        </w:rPr>
        <w:t>:</w:t>
      </w:r>
    </w:p>
    <w:p w14:paraId="536D75F0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Lightweight protocols like </w:t>
      </w:r>
      <w:r w:rsidRPr="005F322B">
        <w:rPr>
          <w:rFonts w:ascii="Cambria" w:hAnsi="Cambria"/>
          <w:b/>
          <w:bCs/>
          <w:sz w:val="28"/>
          <w:szCs w:val="28"/>
        </w:rPr>
        <w:t>REST/JSON</w:t>
      </w:r>
      <w:r w:rsidRPr="005F322B">
        <w:rPr>
          <w:rFonts w:ascii="Cambria" w:hAnsi="Cambria"/>
          <w:sz w:val="28"/>
          <w:szCs w:val="28"/>
        </w:rPr>
        <w:t xml:space="preserve"> or </w:t>
      </w:r>
      <w:proofErr w:type="spellStart"/>
      <w:r w:rsidRPr="005F322B">
        <w:rPr>
          <w:rFonts w:ascii="Cambria" w:hAnsi="Cambria"/>
          <w:b/>
          <w:bCs/>
          <w:sz w:val="28"/>
          <w:szCs w:val="28"/>
        </w:rPr>
        <w:t>gRPC</w:t>
      </w:r>
      <w:proofErr w:type="spellEnd"/>
    </w:p>
    <w:p w14:paraId="29524BF6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Independent deployment and scalability</w:t>
      </w:r>
    </w:p>
    <w:p w14:paraId="5538DE27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Decentralized data management</w:t>
      </w:r>
    </w:p>
    <w:p w14:paraId="01AF6A72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Follows </w:t>
      </w:r>
      <w:r w:rsidRPr="005F322B">
        <w:rPr>
          <w:rFonts w:ascii="Cambria" w:hAnsi="Cambria"/>
          <w:b/>
          <w:bCs/>
          <w:sz w:val="28"/>
          <w:szCs w:val="28"/>
        </w:rPr>
        <w:t>DevOps</w:t>
      </w:r>
      <w:r w:rsidRPr="005F322B">
        <w:rPr>
          <w:rFonts w:ascii="Cambria" w:hAnsi="Cambria"/>
          <w:sz w:val="28"/>
          <w:szCs w:val="28"/>
        </w:rPr>
        <w:t xml:space="preserve">, </w:t>
      </w:r>
      <w:r w:rsidRPr="005F322B">
        <w:rPr>
          <w:rFonts w:ascii="Cambria" w:hAnsi="Cambria"/>
          <w:b/>
          <w:bCs/>
          <w:sz w:val="28"/>
          <w:szCs w:val="28"/>
        </w:rPr>
        <w:t>CI/CD</w:t>
      </w:r>
      <w:r w:rsidRPr="005F322B">
        <w:rPr>
          <w:rFonts w:ascii="Cambria" w:hAnsi="Cambria"/>
          <w:sz w:val="28"/>
          <w:szCs w:val="28"/>
        </w:rPr>
        <w:t>, and containerization (Docker, Kubernetes)</w:t>
      </w:r>
    </w:p>
    <w:p w14:paraId="41933696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pict w14:anchorId="59F4221C">
          <v:rect id="_x0000_i1052" style="width:0;height:1.5pt" o:hralign="center" o:hrstd="t" o:hr="t" fillcolor="#a0a0a0" stroked="f"/>
        </w:pict>
      </w:r>
    </w:p>
    <w:p w14:paraId="47A1E18D" w14:textId="77777777" w:rsidR="005F322B" w:rsidRPr="005F322B" w:rsidRDefault="005F322B" w:rsidP="005F322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t>🔸</w:t>
      </w:r>
      <w:r w:rsidRPr="005F322B">
        <w:rPr>
          <w:rFonts w:ascii="Cambria" w:hAnsi="Cambria"/>
          <w:b/>
          <w:bCs/>
          <w:sz w:val="28"/>
          <w:szCs w:val="28"/>
        </w:rPr>
        <w:t xml:space="preserve"> 4. Key Differences Between SOA, Monolith, and Microservices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2005"/>
        <w:gridCol w:w="2168"/>
        <w:gridCol w:w="2315"/>
      </w:tblGrid>
      <w:tr w:rsidR="005F322B" w:rsidRPr="005F322B" w14:paraId="006D74F0" w14:textId="77777777" w:rsidTr="005F32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56AC86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20256367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Monolithic</w:t>
            </w:r>
          </w:p>
        </w:tc>
        <w:tc>
          <w:tcPr>
            <w:tcW w:w="0" w:type="auto"/>
            <w:vAlign w:val="center"/>
            <w:hideMark/>
          </w:tcPr>
          <w:p w14:paraId="55632E46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SOA</w:t>
            </w:r>
          </w:p>
        </w:tc>
        <w:tc>
          <w:tcPr>
            <w:tcW w:w="0" w:type="auto"/>
            <w:vAlign w:val="center"/>
            <w:hideMark/>
          </w:tcPr>
          <w:p w14:paraId="58F314AF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Microservices</w:t>
            </w:r>
          </w:p>
        </w:tc>
      </w:tr>
      <w:tr w:rsidR="005F322B" w:rsidRPr="005F322B" w14:paraId="6BFE2921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BDC3B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Structure</w:t>
            </w:r>
          </w:p>
        </w:tc>
        <w:tc>
          <w:tcPr>
            <w:tcW w:w="0" w:type="auto"/>
            <w:vAlign w:val="center"/>
            <w:hideMark/>
          </w:tcPr>
          <w:p w14:paraId="67AC6A05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Single unit</w:t>
            </w:r>
          </w:p>
        </w:tc>
        <w:tc>
          <w:tcPr>
            <w:tcW w:w="0" w:type="auto"/>
            <w:vAlign w:val="center"/>
            <w:hideMark/>
          </w:tcPr>
          <w:p w14:paraId="5C6C3C0F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Modular, services via ESB</w:t>
            </w:r>
          </w:p>
        </w:tc>
        <w:tc>
          <w:tcPr>
            <w:tcW w:w="0" w:type="auto"/>
            <w:vAlign w:val="center"/>
            <w:hideMark/>
          </w:tcPr>
          <w:p w14:paraId="3F48EECE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Small, independent services</w:t>
            </w:r>
          </w:p>
        </w:tc>
      </w:tr>
      <w:tr w:rsidR="005F322B" w:rsidRPr="005F322B" w14:paraId="3AFAE017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CBE18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1C954FCD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One stack</w:t>
            </w:r>
          </w:p>
        </w:tc>
        <w:tc>
          <w:tcPr>
            <w:tcW w:w="0" w:type="auto"/>
            <w:vAlign w:val="center"/>
            <w:hideMark/>
          </w:tcPr>
          <w:p w14:paraId="27231DFA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Interoperable (SOAP, WSDL, XML)</w:t>
            </w:r>
          </w:p>
        </w:tc>
        <w:tc>
          <w:tcPr>
            <w:tcW w:w="0" w:type="auto"/>
            <w:vAlign w:val="center"/>
            <w:hideMark/>
          </w:tcPr>
          <w:p w14:paraId="0941C3A2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 xml:space="preserve">Lightweight (REST, JSON, </w:t>
            </w:r>
            <w:proofErr w:type="spellStart"/>
            <w:r w:rsidRPr="005F322B">
              <w:rPr>
                <w:rFonts w:ascii="Cambria" w:hAnsi="Cambria"/>
                <w:sz w:val="28"/>
                <w:szCs w:val="28"/>
              </w:rPr>
              <w:t>gRPC</w:t>
            </w:r>
            <w:proofErr w:type="spellEnd"/>
            <w:r w:rsidRPr="005F322B">
              <w:rPr>
                <w:rFonts w:ascii="Cambria" w:hAnsi="Cambria"/>
                <w:sz w:val="28"/>
                <w:szCs w:val="28"/>
              </w:rPr>
              <w:t>)</w:t>
            </w:r>
          </w:p>
        </w:tc>
      </w:tr>
      <w:tr w:rsidR="005F322B" w:rsidRPr="005F322B" w14:paraId="7B15CC48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39BB6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7F296849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Difficult</w:t>
            </w:r>
          </w:p>
        </w:tc>
        <w:tc>
          <w:tcPr>
            <w:tcW w:w="0" w:type="auto"/>
            <w:vAlign w:val="center"/>
            <w:hideMark/>
          </w:tcPr>
          <w:p w14:paraId="7292AA2F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7F97BC0A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High (each service scales individually)</w:t>
            </w:r>
          </w:p>
        </w:tc>
      </w:tr>
      <w:tr w:rsidR="005F322B" w:rsidRPr="005F322B" w14:paraId="70018B21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AE1B7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69C1F12F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All together</w:t>
            </w:r>
          </w:p>
        </w:tc>
        <w:tc>
          <w:tcPr>
            <w:tcW w:w="0" w:type="auto"/>
            <w:vAlign w:val="center"/>
            <w:hideMark/>
          </w:tcPr>
          <w:p w14:paraId="504E91C2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Complex due to central ESB</w:t>
            </w:r>
          </w:p>
        </w:tc>
        <w:tc>
          <w:tcPr>
            <w:tcW w:w="0" w:type="auto"/>
            <w:vAlign w:val="center"/>
            <w:hideMark/>
          </w:tcPr>
          <w:p w14:paraId="713A98B7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Independently</w:t>
            </w:r>
          </w:p>
        </w:tc>
      </w:tr>
      <w:tr w:rsidR="005F322B" w:rsidRPr="005F322B" w14:paraId="421ACEDC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36B80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Coupling</w:t>
            </w:r>
          </w:p>
        </w:tc>
        <w:tc>
          <w:tcPr>
            <w:tcW w:w="0" w:type="auto"/>
            <w:vAlign w:val="center"/>
            <w:hideMark/>
          </w:tcPr>
          <w:p w14:paraId="637FC060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Tightly coupled</w:t>
            </w:r>
          </w:p>
        </w:tc>
        <w:tc>
          <w:tcPr>
            <w:tcW w:w="0" w:type="auto"/>
            <w:vAlign w:val="center"/>
            <w:hideMark/>
          </w:tcPr>
          <w:p w14:paraId="37040987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Loosely coupled</w:t>
            </w:r>
          </w:p>
        </w:tc>
        <w:tc>
          <w:tcPr>
            <w:tcW w:w="0" w:type="auto"/>
            <w:vAlign w:val="center"/>
            <w:hideMark/>
          </w:tcPr>
          <w:p w14:paraId="30EE540A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Highly loosely coupled</w:t>
            </w:r>
          </w:p>
        </w:tc>
      </w:tr>
      <w:tr w:rsidR="005F322B" w:rsidRPr="005F322B" w14:paraId="6638E344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EB5DA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Reuse</w:t>
            </w:r>
          </w:p>
        </w:tc>
        <w:tc>
          <w:tcPr>
            <w:tcW w:w="0" w:type="auto"/>
            <w:vAlign w:val="center"/>
            <w:hideMark/>
          </w:tcPr>
          <w:p w14:paraId="2D131D33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Hard to reuse</w:t>
            </w:r>
          </w:p>
        </w:tc>
        <w:tc>
          <w:tcPr>
            <w:tcW w:w="0" w:type="auto"/>
            <w:vAlign w:val="center"/>
            <w:hideMark/>
          </w:tcPr>
          <w:p w14:paraId="5153FF6C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Reuse of enterprise-level services</w:t>
            </w:r>
          </w:p>
        </w:tc>
        <w:tc>
          <w:tcPr>
            <w:tcW w:w="0" w:type="auto"/>
            <w:vAlign w:val="center"/>
            <w:hideMark/>
          </w:tcPr>
          <w:p w14:paraId="1E7AC088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Code-level reuse is discouraged</w:t>
            </w:r>
          </w:p>
        </w:tc>
      </w:tr>
      <w:tr w:rsidR="005F322B" w:rsidRPr="005F322B" w14:paraId="1C9D3BBC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39AF2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Communication</w:t>
            </w:r>
          </w:p>
        </w:tc>
        <w:tc>
          <w:tcPr>
            <w:tcW w:w="0" w:type="auto"/>
            <w:vAlign w:val="center"/>
            <w:hideMark/>
          </w:tcPr>
          <w:p w14:paraId="010BF755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Function calls</w:t>
            </w:r>
          </w:p>
        </w:tc>
        <w:tc>
          <w:tcPr>
            <w:tcW w:w="0" w:type="auto"/>
            <w:vAlign w:val="center"/>
            <w:hideMark/>
          </w:tcPr>
          <w:p w14:paraId="431C1AF2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ESB (SOAP/XML)</w:t>
            </w:r>
          </w:p>
        </w:tc>
        <w:tc>
          <w:tcPr>
            <w:tcW w:w="0" w:type="auto"/>
            <w:vAlign w:val="center"/>
            <w:hideMark/>
          </w:tcPr>
          <w:p w14:paraId="2842900E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HTTP/</w:t>
            </w:r>
            <w:proofErr w:type="spellStart"/>
            <w:r w:rsidRPr="005F322B">
              <w:rPr>
                <w:rFonts w:ascii="Cambria" w:hAnsi="Cambria"/>
                <w:sz w:val="28"/>
                <w:szCs w:val="28"/>
              </w:rPr>
              <w:t>gRPC</w:t>
            </w:r>
            <w:proofErr w:type="spellEnd"/>
            <w:r w:rsidRPr="005F322B">
              <w:rPr>
                <w:rFonts w:ascii="Cambria" w:hAnsi="Cambria"/>
                <w:sz w:val="28"/>
                <w:szCs w:val="28"/>
              </w:rPr>
              <w:t>, message brokers</w:t>
            </w:r>
          </w:p>
        </w:tc>
      </w:tr>
      <w:tr w:rsidR="005F322B" w:rsidRPr="005F322B" w14:paraId="5BD5DF65" w14:textId="77777777" w:rsidTr="005F32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95C2F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b/>
                <w:bCs/>
                <w:sz w:val="28"/>
                <w:szCs w:val="28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1D225C74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Simple, small applications</w:t>
            </w:r>
          </w:p>
        </w:tc>
        <w:tc>
          <w:tcPr>
            <w:tcW w:w="0" w:type="auto"/>
            <w:vAlign w:val="center"/>
            <w:hideMark/>
          </w:tcPr>
          <w:p w14:paraId="4A419EC3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Large enterprise systems</w:t>
            </w:r>
          </w:p>
        </w:tc>
        <w:tc>
          <w:tcPr>
            <w:tcW w:w="0" w:type="auto"/>
            <w:vAlign w:val="center"/>
            <w:hideMark/>
          </w:tcPr>
          <w:p w14:paraId="527489C3" w14:textId="77777777" w:rsidR="005F322B" w:rsidRPr="005F322B" w:rsidRDefault="005F322B" w:rsidP="005F322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8"/>
                <w:szCs w:val="28"/>
              </w:rPr>
            </w:pPr>
            <w:r w:rsidRPr="005F322B">
              <w:rPr>
                <w:rFonts w:ascii="Cambria" w:hAnsi="Cambria"/>
                <w:sz w:val="28"/>
                <w:szCs w:val="28"/>
              </w:rPr>
              <w:t>Agile, scalable cloud-native apps</w:t>
            </w:r>
          </w:p>
        </w:tc>
      </w:tr>
    </w:tbl>
    <w:p w14:paraId="7D56B402" w14:textId="77777777" w:rsidR="005F322B" w:rsidRDefault="005F322B" w:rsidP="005F322B">
      <w:pPr>
        <w:rPr>
          <w:rFonts w:ascii="Cambria" w:hAnsi="Cambria"/>
          <w:sz w:val="28"/>
          <w:szCs w:val="28"/>
        </w:rPr>
      </w:pPr>
    </w:p>
    <w:p w14:paraId="08FB52EA" w14:textId="77777777" w:rsidR="005F322B" w:rsidRDefault="005F322B" w:rsidP="005F322B">
      <w:pPr>
        <w:rPr>
          <w:rFonts w:ascii="Cambria" w:hAnsi="Cambria"/>
          <w:sz w:val="28"/>
          <w:szCs w:val="28"/>
        </w:rPr>
      </w:pPr>
    </w:p>
    <w:p w14:paraId="749C71D7" w14:textId="77777777" w:rsidR="005F322B" w:rsidRPr="005F322B" w:rsidRDefault="005F322B" w:rsidP="005F322B">
      <w:p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t>🔄</w:t>
      </w:r>
      <w:r w:rsidRPr="005F322B">
        <w:rPr>
          <w:rFonts w:ascii="Cambria" w:hAnsi="Cambria"/>
          <w:b/>
          <w:bCs/>
          <w:sz w:val="28"/>
          <w:szCs w:val="28"/>
        </w:rPr>
        <w:t xml:space="preserve"> How SOA Works in This Example:</w:t>
      </w:r>
    </w:p>
    <w:p w14:paraId="30C83F51" w14:textId="77777777" w:rsidR="005F322B" w:rsidRPr="005F322B" w:rsidRDefault="005F322B" w:rsidP="005F322B">
      <w:p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Each of the above modules is an </w:t>
      </w:r>
      <w:r w:rsidRPr="005F322B">
        <w:rPr>
          <w:rFonts w:ascii="Cambria" w:hAnsi="Cambria"/>
          <w:b/>
          <w:bCs/>
          <w:sz w:val="28"/>
          <w:szCs w:val="28"/>
        </w:rPr>
        <w:t>independent service</w:t>
      </w:r>
      <w:r w:rsidRPr="005F322B">
        <w:rPr>
          <w:rFonts w:ascii="Cambria" w:hAnsi="Cambria"/>
          <w:sz w:val="28"/>
          <w:szCs w:val="28"/>
        </w:rPr>
        <w:t xml:space="preserve"> exposed over the network via </w:t>
      </w:r>
      <w:r w:rsidRPr="005F322B">
        <w:rPr>
          <w:rFonts w:ascii="Cambria" w:hAnsi="Cambria"/>
          <w:b/>
          <w:bCs/>
          <w:sz w:val="28"/>
          <w:szCs w:val="28"/>
        </w:rPr>
        <w:t>SOAP/Web Services</w:t>
      </w:r>
      <w:r w:rsidRPr="005F322B">
        <w:rPr>
          <w:rFonts w:ascii="Cambria" w:hAnsi="Cambria"/>
          <w:sz w:val="28"/>
          <w:szCs w:val="28"/>
        </w:rPr>
        <w:t xml:space="preserve"> using </w:t>
      </w:r>
      <w:r w:rsidRPr="005F322B">
        <w:rPr>
          <w:rFonts w:ascii="Cambria" w:hAnsi="Cambria"/>
          <w:b/>
          <w:bCs/>
          <w:sz w:val="28"/>
          <w:szCs w:val="28"/>
        </w:rPr>
        <w:t>WSDL</w:t>
      </w:r>
      <w:r w:rsidRPr="005F322B">
        <w:rPr>
          <w:rFonts w:ascii="Cambria" w:hAnsi="Cambria"/>
          <w:sz w:val="28"/>
          <w:szCs w:val="28"/>
        </w:rPr>
        <w:t xml:space="preserve"> (Web Service Description Language).</w:t>
      </w:r>
    </w:p>
    <w:p w14:paraId="0D31C3CC" w14:textId="77777777" w:rsidR="005F322B" w:rsidRPr="005F322B" w:rsidRDefault="005F322B" w:rsidP="005F322B">
      <w:p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 xml:space="preserve">These services interact via a central component, often an </w:t>
      </w:r>
      <w:r w:rsidRPr="005F322B">
        <w:rPr>
          <w:rFonts w:ascii="Cambria" w:hAnsi="Cambria"/>
          <w:b/>
          <w:bCs/>
          <w:sz w:val="28"/>
          <w:szCs w:val="28"/>
        </w:rPr>
        <w:t>Enterprise Service Bus (ESB)</w:t>
      </w:r>
      <w:r w:rsidRPr="005F322B">
        <w:rPr>
          <w:rFonts w:ascii="Cambria" w:hAnsi="Cambria"/>
          <w:sz w:val="28"/>
          <w:szCs w:val="28"/>
        </w:rPr>
        <w:t>, which:</w:t>
      </w:r>
    </w:p>
    <w:p w14:paraId="49311385" w14:textId="77777777" w:rsidR="005F322B" w:rsidRPr="005F322B" w:rsidRDefault="005F322B" w:rsidP="005F322B">
      <w:pPr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Coordinates requests between services</w:t>
      </w:r>
    </w:p>
    <w:p w14:paraId="7AC6A7CF" w14:textId="77777777" w:rsidR="005F322B" w:rsidRPr="005F322B" w:rsidRDefault="005F322B" w:rsidP="005F322B">
      <w:pPr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Transforms data formats</w:t>
      </w:r>
    </w:p>
    <w:p w14:paraId="3220AFE1" w14:textId="77777777" w:rsidR="005F322B" w:rsidRPr="005F322B" w:rsidRDefault="005F322B" w:rsidP="005F322B">
      <w:pPr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sz w:val="28"/>
          <w:szCs w:val="28"/>
        </w:rPr>
        <w:t>Handles security, logging, and error handling</w:t>
      </w:r>
    </w:p>
    <w:p w14:paraId="2B0811FF" w14:textId="77777777" w:rsidR="005F322B" w:rsidRPr="005F322B" w:rsidRDefault="005F322B" w:rsidP="005F322B">
      <w:pPr>
        <w:rPr>
          <w:rFonts w:ascii="Cambria" w:hAnsi="Cambria"/>
          <w:b/>
          <w:bCs/>
          <w:sz w:val="28"/>
          <w:szCs w:val="28"/>
        </w:rPr>
      </w:pPr>
      <w:r w:rsidRPr="005F322B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5F322B">
        <w:rPr>
          <w:rFonts w:ascii="Cambria" w:hAnsi="Cambria"/>
          <w:b/>
          <w:bCs/>
          <w:sz w:val="28"/>
          <w:szCs w:val="28"/>
        </w:rPr>
        <w:t xml:space="preserve"> Scenario: Customer transfers money</w:t>
      </w:r>
    </w:p>
    <w:p w14:paraId="6FA73382" w14:textId="77777777" w:rsidR="005F322B" w:rsidRPr="005F322B" w:rsidRDefault="005F322B" w:rsidP="005F322B">
      <w:pPr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User logs in</w:t>
      </w:r>
      <w:r w:rsidRPr="005F322B">
        <w:rPr>
          <w:rFonts w:ascii="Cambria" w:hAnsi="Cambria"/>
          <w:sz w:val="28"/>
          <w:szCs w:val="28"/>
        </w:rPr>
        <w:t xml:space="preserve"> – Authentication Service validates credentials.</w:t>
      </w:r>
    </w:p>
    <w:p w14:paraId="7C6FF430" w14:textId="77777777" w:rsidR="005F322B" w:rsidRPr="005F322B" w:rsidRDefault="005F322B" w:rsidP="005F322B">
      <w:pPr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User initiates transfer</w:t>
      </w:r>
      <w:r w:rsidRPr="005F322B">
        <w:rPr>
          <w:rFonts w:ascii="Cambria" w:hAnsi="Cambria"/>
          <w:sz w:val="28"/>
          <w:szCs w:val="28"/>
        </w:rPr>
        <w:t xml:space="preserve"> – Funds Transfer Service checks balance and processes the transfer.</w:t>
      </w:r>
    </w:p>
    <w:p w14:paraId="6DF7E047" w14:textId="77777777" w:rsidR="005F322B" w:rsidRPr="005F322B" w:rsidRDefault="005F322B" w:rsidP="005F322B">
      <w:pPr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Transaction complete</w:t>
      </w:r>
      <w:r w:rsidRPr="005F322B">
        <w:rPr>
          <w:rFonts w:ascii="Cambria" w:hAnsi="Cambria"/>
          <w:sz w:val="28"/>
          <w:szCs w:val="28"/>
        </w:rPr>
        <w:t xml:space="preserve"> – Notification Service sends SMS/email confirmation.</w:t>
      </w:r>
    </w:p>
    <w:p w14:paraId="5963F3F6" w14:textId="77777777" w:rsidR="005F322B" w:rsidRPr="005F322B" w:rsidRDefault="005F322B" w:rsidP="005F322B">
      <w:pPr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5F322B">
        <w:rPr>
          <w:rFonts w:ascii="Cambria" w:hAnsi="Cambria"/>
          <w:b/>
          <w:bCs/>
          <w:sz w:val="28"/>
          <w:szCs w:val="28"/>
        </w:rPr>
        <w:t>All services</w:t>
      </w:r>
      <w:r w:rsidRPr="005F322B">
        <w:rPr>
          <w:rFonts w:ascii="Cambria" w:hAnsi="Cambria"/>
          <w:sz w:val="28"/>
          <w:szCs w:val="28"/>
        </w:rPr>
        <w:t xml:space="preserve"> exchange messages using </w:t>
      </w:r>
      <w:r w:rsidRPr="005F322B">
        <w:rPr>
          <w:rFonts w:ascii="Cambria" w:hAnsi="Cambria"/>
          <w:b/>
          <w:bCs/>
          <w:sz w:val="28"/>
          <w:szCs w:val="28"/>
        </w:rPr>
        <w:t>SOAP over HTTP</w:t>
      </w:r>
      <w:r w:rsidRPr="005F322B">
        <w:rPr>
          <w:rFonts w:ascii="Cambria" w:hAnsi="Cambria"/>
          <w:sz w:val="28"/>
          <w:szCs w:val="28"/>
        </w:rPr>
        <w:t xml:space="preserve"> with </w:t>
      </w:r>
      <w:r w:rsidRPr="005F322B">
        <w:rPr>
          <w:rFonts w:ascii="Cambria" w:hAnsi="Cambria"/>
          <w:b/>
          <w:bCs/>
          <w:sz w:val="28"/>
          <w:szCs w:val="28"/>
        </w:rPr>
        <w:t>XML</w:t>
      </w:r>
      <w:r w:rsidRPr="005F322B">
        <w:rPr>
          <w:rFonts w:ascii="Cambria" w:hAnsi="Cambria"/>
          <w:sz w:val="28"/>
          <w:szCs w:val="28"/>
        </w:rPr>
        <w:t>.</w:t>
      </w:r>
    </w:p>
    <w:p w14:paraId="5B54DDDB" w14:textId="4933B54B" w:rsidR="005F322B" w:rsidRDefault="006E5DAF" w:rsidP="005F322B">
      <w:pPr>
        <w:rPr>
          <w:rFonts w:ascii="Cambria" w:hAnsi="Cambria"/>
          <w:sz w:val="28"/>
          <w:szCs w:val="28"/>
        </w:rPr>
      </w:pPr>
      <w:r w:rsidRPr="006E5DAF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5FBED5B0" wp14:editId="0FE5CC5E">
            <wp:extent cx="5731510" cy="2885440"/>
            <wp:effectExtent l="0" t="0" r="2540" b="0"/>
            <wp:docPr id="192907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6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9937" w14:textId="77777777" w:rsidR="002E2E26" w:rsidRDefault="002E2E26" w:rsidP="005F322B">
      <w:pPr>
        <w:rPr>
          <w:rFonts w:ascii="Cambria" w:hAnsi="Cambria"/>
          <w:sz w:val="28"/>
          <w:szCs w:val="28"/>
        </w:rPr>
      </w:pPr>
    </w:p>
    <w:p w14:paraId="396F4352" w14:textId="130A701F" w:rsidR="002E2E26" w:rsidRDefault="002E2E26" w:rsidP="005F322B">
      <w:pPr>
        <w:rPr>
          <w:rFonts w:ascii="Cambria" w:hAnsi="Cambria"/>
          <w:sz w:val="28"/>
          <w:szCs w:val="28"/>
        </w:rPr>
      </w:pPr>
      <w:r w:rsidRPr="002E2E26">
        <w:rPr>
          <w:rFonts w:ascii="Cambria" w:hAnsi="Cambria"/>
          <w:sz w:val="28"/>
          <w:szCs w:val="28"/>
        </w:rPr>
        <w:drawing>
          <wp:inline distT="0" distB="0" distL="0" distR="0" wp14:anchorId="127C1999" wp14:editId="1FF1A5EE">
            <wp:extent cx="5731510" cy="2714625"/>
            <wp:effectExtent l="0" t="0" r="2540" b="9525"/>
            <wp:docPr id="159220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07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2587" w14:textId="77777777" w:rsidR="002F6494" w:rsidRDefault="002F6494" w:rsidP="005F322B">
      <w:pPr>
        <w:rPr>
          <w:rFonts w:ascii="Cambria" w:hAnsi="Cambria"/>
          <w:sz w:val="28"/>
          <w:szCs w:val="28"/>
        </w:rPr>
      </w:pPr>
    </w:p>
    <w:p w14:paraId="6A7C8CBA" w14:textId="77777777" w:rsidR="002F6494" w:rsidRDefault="002F6494" w:rsidP="005F322B">
      <w:pPr>
        <w:rPr>
          <w:rFonts w:ascii="Cambria" w:hAnsi="Cambria"/>
          <w:sz w:val="28"/>
          <w:szCs w:val="28"/>
        </w:rPr>
      </w:pPr>
    </w:p>
    <w:p w14:paraId="09750F73" w14:textId="3E846F99" w:rsidR="002F6494" w:rsidRPr="001F5C97" w:rsidRDefault="002F6494" w:rsidP="001F5C97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1F5C97">
        <w:rPr>
          <w:rFonts w:ascii="Cambria" w:hAnsi="Cambria"/>
          <w:sz w:val="28"/>
          <w:szCs w:val="28"/>
        </w:rPr>
        <w:t>Microservice Architecture itself a Service Oriented Architecture</w:t>
      </w:r>
    </w:p>
    <w:p w14:paraId="75941BE2" w14:textId="6412AF9B" w:rsidR="002F6494" w:rsidRPr="001F5C97" w:rsidRDefault="002F6494" w:rsidP="001F5C97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1F5C97">
        <w:rPr>
          <w:rFonts w:ascii="Cambria" w:hAnsi="Cambria"/>
          <w:sz w:val="28"/>
          <w:szCs w:val="28"/>
        </w:rPr>
        <w:t>In SOA if we Changning any service we might need to change another dependent service</w:t>
      </w:r>
    </w:p>
    <w:p w14:paraId="3A3B2B94" w14:textId="77777777" w:rsidR="002F6494" w:rsidRPr="005F322B" w:rsidRDefault="002F6494" w:rsidP="005F322B">
      <w:pPr>
        <w:rPr>
          <w:rFonts w:ascii="Cambria" w:hAnsi="Cambria"/>
          <w:sz w:val="28"/>
          <w:szCs w:val="28"/>
        </w:rPr>
      </w:pPr>
    </w:p>
    <w:sectPr w:rsidR="002F6494" w:rsidRPr="005F3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1B4B"/>
    <w:multiLevelType w:val="multilevel"/>
    <w:tmpl w:val="9BDE1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D796D"/>
    <w:multiLevelType w:val="hybridMultilevel"/>
    <w:tmpl w:val="1840A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C0F23"/>
    <w:multiLevelType w:val="hybridMultilevel"/>
    <w:tmpl w:val="E0604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F3F0C"/>
    <w:multiLevelType w:val="multilevel"/>
    <w:tmpl w:val="F99A0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360E9"/>
    <w:multiLevelType w:val="multilevel"/>
    <w:tmpl w:val="1474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9724F6"/>
    <w:multiLevelType w:val="multilevel"/>
    <w:tmpl w:val="37C2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6260F0"/>
    <w:multiLevelType w:val="multilevel"/>
    <w:tmpl w:val="36664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9912933">
    <w:abstractNumId w:val="2"/>
  </w:num>
  <w:num w:numId="2" w16cid:durableId="634214738">
    <w:abstractNumId w:val="4"/>
  </w:num>
  <w:num w:numId="3" w16cid:durableId="1998879850">
    <w:abstractNumId w:val="6"/>
  </w:num>
  <w:num w:numId="4" w16cid:durableId="299724477">
    <w:abstractNumId w:val="5"/>
  </w:num>
  <w:num w:numId="5" w16cid:durableId="1440949266">
    <w:abstractNumId w:val="3"/>
  </w:num>
  <w:num w:numId="6" w16cid:durableId="1949191706">
    <w:abstractNumId w:val="0"/>
  </w:num>
  <w:num w:numId="7" w16cid:durableId="304706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77"/>
    <w:rsid w:val="001F5C97"/>
    <w:rsid w:val="002E2E26"/>
    <w:rsid w:val="002F6494"/>
    <w:rsid w:val="005F322B"/>
    <w:rsid w:val="006E5DAF"/>
    <w:rsid w:val="006F4970"/>
    <w:rsid w:val="00C25F12"/>
    <w:rsid w:val="00DE4177"/>
    <w:rsid w:val="00E5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D0B1"/>
  <w15:chartTrackingRefBased/>
  <w15:docId w15:val="{FE34967C-3422-4530-98CF-FC8D27BE9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1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1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1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1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1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1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1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1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1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1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7</cp:revision>
  <dcterms:created xsi:type="dcterms:W3CDTF">2025-07-09T15:41:00Z</dcterms:created>
  <dcterms:modified xsi:type="dcterms:W3CDTF">2025-07-09T16:01:00Z</dcterms:modified>
</cp:coreProperties>
</file>