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DF8350" w14:textId="166E3445" w:rsidR="00E5346C" w:rsidRDefault="00255278">
      <w:pPr>
        <w:rPr>
          <w:rFonts w:ascii="Cambria" w:hAnsi="Cambria"/>
          <w:sz w:val="28"/>
          <w:szCs w:val="28"/>
        </w:rPr>
      </w:pPr>
      <w:r w:rsidRPr="00255278">
        <w:rPr>
          <w:rFonts w:ascii="Cambria" w:hAnsi="Cambria"/>
          <w:sz w:val="28"/>
          <w:szCs w:val="28"/>
        </w:rPr>
        <w:drawing>
          <wp:inline distT="0" distB="0" distL="0" distR="0" wp14:anchorId="1CD7E7F3" wp14:editId="2EC4DFEC">
            <wp:extent cx="5731510" cy="2807335"/>
            <wp:effectExtent l="0" t="0" r="2540" b="0"/>
            <wp:docPr id="180650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006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AFC7" w14:textId="3D2D46EB" w:rsidR="00F55FD8" w:rsidRPr="006F5480" w:rsidRDefault="00F55FD8" w:rsidP="006F5480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6F5480">
        <w:rPr>
          <w:rFonts w:ascii="Cambria" w:hAnsi="Cambria"/>
          <w:sz w:val="28"/>
          <w:szCs w:val="28"/>
        </w:rPr>
        <w:t>Each service can run on different VM.</w:t>
      </w:r>
    </w:p>
    <w:p w14:paraId="4A83B1F4" w14:textId="4A39AEE8" w:rsidR="00F55FD8" w:rsidRPr="006F5480" w:rsidRDefault="00F55FD8" w:rsidP="006F5480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6F5480">
        <w:rPr>
          <w:rFonts w:ascii="Cambria" w:hAnsi="Cambria"/>
          <w:sz w:val="28"/>
          <w:szCs w:val="28"/>
        </w:rPr>
        <w:t>If developer developing one service, then other service for him can be black box.</w:t>
      </w:r>
    </w:p>
    <w:p w14:paraId="0D2846BF" w14:textId="5F2FB857" w:rsidR="00F55FD8" w:rsidRPr="006F5480" w:rsidRDefault="00F55FD8" w:rsidP="006F5480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6F5480">
        <w:rPr>
          <w:rFonts w:ascii="Cambria" w:hAnsi="Cambria"/>
          <w:sz w:val="28"/>
          <w:szCs w:val="28"/>
        </w:rPr>
        <w:t>Each service run independently.</w:t>
      </w:r>
    </w:p>
    <w:p w14:paraId="1F6EDBB3" w14:textId="7BF9AB1F" w:rsidR="007D0AF9" w:rsidRPr="006F5480" w:rsidRDefault="007D0AF9" w:rsidP="006F5480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6F5480">
        <w:rPr>
          <w:rFonts w:ascii="Cambria" w:hAnsi="Cambria"/>
          <w:sz w:val="28"/>
          <w:szCs w:val="28"/>
        </w:rPr>
        <w:t>Focus for the developer is their own service so do one thing well</w:t>
      </w:r>
    </w:p>
    <w:p w14:paraId="4C605104" w14:textId="63F78FA0" w:rsidR="007D0AF9" w:rsidRDefault="006F5480" w:rsidP="006F5480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6F5480">
        <w:rPr>
          <w:rFonts w:ascii="Cambria" w:hAnsi="Cambria"/>
          <w:sz w:val="28"/>
          <w:szCs w:val="28"/>
        </w:rPr>
        <w:t>O</w:t>
      </w:r>
      <w:r w:rsidR="008100FB" w:rsidRPr="006F5480">
        <w:rPr>
          <w:rFonts w:ascii="Cambria" w:hAnsi="Cambria"/>
          <w:sz w:val="28"/>
          <w:szCs w:val="28"/>
        </w:rPr>
        <w:t>wnership of each microservice divide among team so you build it then you run it</w:t>
      </w:r>
    </w:p>
    <w:p w14:paraId="07453CC4" w14:textId="61BC78B9" w:rsidR="009C11F6" w:rsidRPr="009C11F6" w:rsidRDefault="009C11F6" w:rsidP="009C11F6">
      <w:pPr>
        <w:rPr>
          <w:rFonts w:ascii="Cambria" w:hAnsi="Cambria"/>
          <w:sz w:val="28"/>
          <w:szCs w:val="28"/>
        </w:rPr>
      </w:pPr>
      <w:r w:rsidRPr="009C11F6">
        <w:rPr>
          <w:rFonts w:ascii="Cambria" w:hAnsi="Cambria"/>
          <w:sz w:val="28"/>
          <w:szCs w:val="28"/>
        </w:rPr>
        <w:drawing>
          <wp:inline distT="0" distB="0" distL="0" distR="0" wp14:anchorId="1670456C" wp14:editId="4BDB0812">
            <wp:extent cx="5731510" cy="2952115"/>
            <wp:effectExtent l="0" t="0" r="2540" b="635"/>
            <wp:docPr id="35368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850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4E54" w14:textId="77777777" w:rsidR="00F55FD8" w:rsidRDefault="00F55FD8">
      <w:pPr>
        <w:rPr>
          <w:rFonts w:ascii="Cambria" w:hAnsi="Cambria"/>
          <w:sz w:val="28"/>
          <w:szCs w:val="28"/>
        </w:rPr>
      </w:pPr>
    </w:p>
    <w:p w14:paraId="7C9B05B0" w14:textId="5CB8E5D1" w:rsidR="009C11F6" w:rsidRPr="001842E4" w:rsidRDefault="009C11F6">
      <w:pPr>
        <w:rPr>
          <w:rFonts w:ascii="Cambria" w:hAnsi="Cambria"/>
          <w:sz w:val="28"/>
          <w:szCs w:val="28"/>
        </w:rPr>
      </w:pPr>
      <w:r w:rsidRPr="009C11F6">
        <w:rPr>
          <w:rFonts w:ascii="Cambria" w:hAnsi="Cambria"/>
          <w:sz w:val="28"/>
          <w:szCs w:val="28"/>
        </w:rPr>
        <w:lastRenderedPageBreak/>
        <w:drawing>
          <wp:inline distT="0" distB="0" distL="0" distR="0" wp14:anchorId="3C55793D" wp14:editId="318616E8">
            <wp:extent cx="5731510" cy="3165475"/>
            <wp:effectExtent l="0" t="0" r="2540" b="0"/>
            <wp:docPr id="1017843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434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11F6" w:rsidRPr="001842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8D367F"/>
    <w:multiLevelType w:val="hybridMultilevel"/>
    <w:tmpl w:val="8F0434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3383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D28"/>
    <w:rsid w:val="001842E4"/>
    <w:rsid w:val="00255278"/>
    <w:rsid w:val="006F4970"/>
    <w:rsid w:val="006F5480"/>
    <w:rsid w:val="007D0AF9"/>
    <w:rsid w:val="008100FB"/>
    <w:rsid w:val="009C11F6"/>
    <w:rsid w:val="00BC1D28"/>
    <w:rsid w:val="00C25F12"/>
    <w:rsid w:val="00E5346C"/>
    <w:rsid w:val="00F55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2A7A5"/>
  <w15:chartTrackingRefBased/>
  <w15:docId w15:val="{A2340A24-8DB1-40FE-B0E4-84FDD018E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1D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1D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1D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1D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1D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1D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1D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1D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1D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D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1D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1D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1D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1D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1D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1D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1D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1D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1D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1D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1D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1D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1D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1D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1D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1D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1D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1D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1D2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Lekule</dc:creator>
  <cp:keywords/>
  <dc:description/>
  <cp:lastModifiedBy>Shubham Lekule</cp:lastModifiedBy>
  <cp:revision>9</cp:revision>
  <dcterms:created xsi:type="dcterms:W3CDTF">2025-07-09T16:21:00Z</dcterms:created>
  <dcterms:modified xsi:type="dcterms:W3CDTF">2025-07-09T16:29:00Z</dcterms:modified>
</cp:coreProperties>
</file>