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af69aa35eb6cab6fcc6c524186e545cb3c1c10e"/>
    <w:p>
      <w:pPr>
        <w:pStyle w:val="Heading1"/>
      </w:pPr>
      <w:r>
        <w:t xml:space="preserve">Triangulating Option Value: A Multi-Method Derivative Pricing Engine with Analytic Greeks, Lattice Models, and Variance-Reduced Monte Carlo</w:t>
      </w:r>
    </w:p>
    <w:bookmarkStart w:id="20" w:name="abstract"/>
    <w:p>
      <w:pPr>
        <w:pStyle w:val="Heading2"/>
      </w:pPr>
      <w:r>
        <w:t xml:space="preserve">Abstract</w:t>
      </w:r>
    </w:p>
    <w:p>
      <w:pPr>
        <w:pStyle w:val="FirstParagraph"/>
      </w:pPr>
      <w:r>
        <w:t>This project designs, implements, and validates a unified derivative pricing engine that values European and American equity options under the Black-Scholes-Merton framework with continuous dividend yield. A single validated option specification object feeds three independent pricers: the closed-form Black-Scholes-Merton solution with a full analytic Greek suite (delta, gamma, vega, theta, rho), a Cox-Ross-Rubinstein binomial lattice supporting both European and American exercise, and a risk-neutral Monte Carlo simulator equipped with antithetic variates and a European-call control variate. Implied volatility is recovered through a hybrid solver that brackets the root with Brent's method and polishes it with safeguarded Newton-Raphson iterations driven by analytic vega; the same solver is applied to a live SPY option chain to produce an implied volatility smile, with an explicitly labeled synthetic fallback when no market connection is available. Correctness is established through eight independent tests: put-call parity holds to machine precision, American values weakly dominate European values, analytic Greeks match central finite differences to within one part in ten to the eighth, the delta parity identity delta(call) minus delta(put) equals the dividend discount factor also holds to machine precision, Monte Carlo standard error decays at the theoretical N to the minus one-half rate, implied volatility round-trips recover the input volatility to ten decimal places, Monte Carlo confidence bands achieve genuine 95 percent coverage (measured at 95.0 percent over 200 independent trials), and variance reduction is quantified directly rather than asserted: for a put target the combination of antithetic variates and a control variate cuts the root-mean-square pricing error by a factor of roughly ten at 64,000 paths relative to plain Monte Carlo. A triangulation harness prices a 75-cell grid spanning five moneyness levels, five maturities, and three volatility regimes with all three methods, and confirms cross-method agreement at the level of discretization and sampling theory. All pricing, Greeks, and validation demonstrations use clearly labeled synthetic parameters; the implied volatility smile is the sole live-data component. No real-market trading claims are made.</w:t>
      </w:r>
    </w:p>
    <w:bookmarkEnd w:id="20"/>
    <w:bookmarkStart w:id="21" w:name="introduction-and-motivation"/>
    <w:p>
      <w:pPr>
        <w:pStyle w:val="Heading2"/>
      </w:pPr>
      <w:r>
        <w:t xml:space="preserve">1. Introduction and Motivation</w:t>
      </w:r>
    </w:p>
    <w:p>
      <w:pPr>
        <w:pStyle w:val="FirstParagraph"/>
      </w:pPr>
      <w:r>
        <w:t xml:space="preserve">Option pricing is the canonical meeting point of stochastic calculus, numerical analysis, and software engineering. The Black-Scholes-Merton (BSM) model delivers a closed-form benchmark, yet real desks cannot rely on a single formula: American exercise rights break closed-form solvability, exotic payoffs demand simulation, and every production number must survive independent replication before it is trusted. This project therefore treats pricing as a triangulation problem. Three methodologically independent engines, one analytic, one lattice-based, one stochastic, are built behind a common interface and then forced to agree with each other and with self-consistency identities such as put-call parity. Disagreement between methods is not a defect; it is diagnostic information about discretization error, sampling error, and tolerance choices.</w:t>
      </w:r>
    </w:p>
    <w:bookmarkEnd w:id="21"/>
    <w:bookmarkStart w:id="28" w:name="methodology"/>
    <w:p>
      <w:pPr>
        <w:pStyle w:val="Heading2"/>
      </w:pPr>
      <w:r>
        <w:t xml:space="preserve">2. Methodology</w:t>
      </w:r>
    </w:p>
    <w:bookmarkStart w:id="22" w:name="modeling-assumptions"/>
    <w:p>
      <w:pPr>
        <w:pStyle w:val="Heading3"/>
      </w:pPr>
      <w:r>
        <w:t xml:space="preserve">2.1 Modeling assumptions</w:t>
      </w:r>
    </w:p>
    <w:p>
      <w:pPr>
        <w:pStyle w:val="FirstParagraph"/>
      </w:pPr>
      <w:r>
        <w:t xml:space="preserve">The underlying asset follows a geometric Brownian motion under the risk-neutral measure with continuously compounded risk-free rate r, continuous dividend yield q, and constant volatility sigma. The option contract is fully described by a single OptionSpec data class carrying spot S0, strike K, maturity T, r, sigma, q, and the option type. Validation at construction rejects nonpositive spot, strike, maturity, and volatility, which removes an entire class of silent failures downstream.</w:t>
      </w:r>
    </w:p>
    <w:bookmarkEnd w:id="22"/>
    <w:bookmarkStart w:id="23" w:name="black-scholes-merton-analytic-pricer"/>
    <w:p>
      <w:pPr>
        <w:pStyle w:val="Heading3"/>
      </w:pPr>
      <w:r>
        <w:t xml:space="preserve">2.2 Black-Scholes-Merton analytic pricer</w:t>
      </w:r>
    </w:p>
    <w:p>
      <w:pPr>
        <w:pStyle w:val="FirstParagraph"/>
      </w:pPr>
      <w:r>
        <w:t xml:space="preserve">The European call and put values follow the standard BSM formulas generalized by Merton to include the dividend yield through the discount factor exp(-qT) on the spot leg. The full Greek suite is derived analytically: delta and rho switch sign conventions between calls and puts, while gamma and vega are type-independent. Theta is quoted per year and includes the dividend carry term. These closed forms are the reference against which every numerical method is measured.</w:t>
      </w:r>
    </w:p>
    <w:bookmarkEnd w:id="23"/>
    <w:bookmarkStart w:id="24" w:name="cox-ross-rubinstein-binomial-lattice"/>
    <w:p>
      <w:pPr>
        <w:pStyle w:val="Heading3"/>
      </w:pPr>
      <w:r>
        <w:t xml:space="preserve">2.3 Cox-Ross-Rubinstein binomial lattice</w:t>
      </w:r>
    </w:p>
    <w:p>
      <w:pPr>
        <w:pStyle w:val="FirstParagraph"/>
      </w:pPr>
      <w:r>
        <w:t>The CRR tree sets the up factor u = exp(sigma sqrt(dt)) and down factor d = 1/u, which makes the lattice recombine and centers the geometry on the spot. The risk-neutral up probability p = (exp((r-q)dt) - d)/(u - d) is checked to lie in [0, 1] before induction proceeds. Backward induction is vectorized with NumPy over each time slice, giving O(steps) memory. American exercise is handled by comparing continuation value against intrinsic value at every node; the European price falls out as the special case where early exercise is never taken. Convergence of the European tree to the BSM price is measured directly at step counts from 50 to 1000: the error envelope shrinks like 1/steps, but the CRR lattice is known to oscillate as node alignment shifts relative to the strike, so the error is not required to decrease monotonically at every individual step count.</w:t>
      </w:r>
    </w:p>
    <w:bookmarkEnd w:id="24"/>
    <w:bookmarkStart w:id="25" w:name="Xe488adcd99debe776bfab6c6774d5474ccf299f"/>
    <w:p>
      <w:pPr>
        <w:pStyle w:val="Heading3"/>
      </w:pPr>
      <w:r>
        <w:t xml:space="preserve">2.4 Monte Carlo under risk-neutral GBM with variance reduction</w:t>
      </w:r>
    </w:p>
    <w:p>
      <w:pPr>
        <w:pStyle w:val="FirstParagraph"/>
      </w:pPr>
      <w:r>
        <w:t>Terminal prices are simulated in closed form from the exact lognormal transition density, so the only Monte Carlo error is sampling error, not time-discretization error. Two variance reduction techniques are stacked. Antithetic variates pair each Gaussian draw Z with its negation, canceling first-order noise in symmetric functionals of the path. The control variate uses the discounted payoff of the European call at the same strike, whose risk-neutral expectation is known exactly from BSM; the optimal control coefficient is estimated from the sample covariance. When the target contract is itself a call, the control is perfectly correlated with the target and the estimator variance collapses to numerical zero, which is observed in the demo and is a useful sanity result in its own right. For puts the control remains correlated through put-call parity and delivers a material variance reduction: measured over 30 independent trials at 64,000 paths, the RMS pricing error falls by a factor of about 10.4 relative to plain Monte Carlo, in line with the rule of thumb that a well-chosen control variate should cut error by roughly an order of magnitude.</w:t>
      </w:r>
    </w:p>
    <w:p>
      <w:pPr>
        <w:pStyle w:val="FirstParagraph"/>
      </w:pPr>
      <w:r>
        <w:t>A subtlety surfaced during validation and was corrected: when antithetic variates and the control variate are combined, the optimal control coefficient must be estimated on the antithetic pair averages (the unit of an approximately independent observation), not on the raw pool of individual simulated paths. Estimating it on the pooled sample ignores the negative correlation that antithetic pairing deliberately introduces and, counterintuitively, inflates variance rather than reducing it; an early version of this engine exhibited exactly that failure mode, with the combined estimator performing worse than antithetic variates alone. Comparing the measured root-mean-square error against the closed-form optimum (computed independently from the population covariance of the paired payoffs) exposed the discrepancy, and mc_price now estimates the control coefficient, the price, and the standard error consistently on paired observations when antithetic variates are active.</w:t>
      </w:r>
    </w:p>
    <w:bookmarkEnd w:id="25"/>
    <w:bookmarkStart w:id="26" w:name="implied-volatility-solver"/>
    <w:p>
      <w:pPr>
        <w:pStyle w:val="Heading3"/>
      </w:pPr>
      <w:r>
        <w:t xml:space="preserve">2.5 Implied volatility solver</w:t>
      </w:r>
    </w:p>
    <w:p>
      <w:pPr>
        <w:pStyle w:val="FirstParagraph"/>
      </w:pPr>
      <w:r>
        <w:t xml:space="preserve">Implied volatility inverts the BSM pricing map. Because the map is strictly increasing in sigma (vega is positive), a root is guaranteed to be unique whenever it exists. The solver first brackets the root on [1e-6, 5.0] with Brent’s method, which cannot diverge, then applies safeguarded Newton-Raphson steps using analytic vega as the derivative. Newton iterates that would leave the current bracket are rejected and the bracket is re-tightened by sign, so convergence is bounded by construction. A price below the no-arbitrage floor raises an explicit error instead of returning a spurious number.</w:t>
      </w:r>
    </w:p>
    <w:bookmarkEnd w:id="26"/>
    <w:bookmarkStart w:id="27" w:name="triangulation-harness"/>
    <w:p>
      <w:pPr>
        <w:pStyle w:val="Heading3"/>
      </w:pPr>
      <w:r>
        <w:t xml:space="preserve">2.6 Triangulation harness</w:t>
      </w:r>
    </w:p>
    <w:p>
      <w:pPr>
        <w:pStyle w:val="FirstParagraph"/>
      </w:pPr>
      <w:r>
        <w:t xml:space="preserve">The harness prices a grid defined by moneyness S/K in {0.8, 0.9, 1.0, 1.1, 1.2}, maturities {1M, 3M, 6M, 1Y, 2Y}, and volatilities {10%, 20%, 40%}, producing 75 cells. Each cell is priced by all three methods, and the implied volatility is recovered from the tree price as an end-to-end probe: if both the tree and the IV solver are correct, the recovered vol must equal the grid vol up to tree discretization error.</w:t>
      </w:r>
    </w:p>
    <w:p>
      <w:pPr>
        <w:pStyle w:val="Heading3"/>
      </w:pPr>
      <w:r>
        <w:t>2.7 Implied volatility smile</w:t>
      </w:r>
    </w:p>
    <w:p>
      <w:pPr>
        <w:pStyle w:val="FirstParagraph"/>
      </w:pPr>
      <w:r>
        <w:t>The round-trip check (Section 4) establishes that the solver is internally consistent, but a solver is only useful if it also works on quotes it did not generate. The engine therefore attempts to fetch a live SPY option chain (via yfinance), selects the expiration closest to 30 calendar days out, filters to liquid quotes with positive bid and ask within 30 percent of the money, and inverts each mid price into an implied volatility with the same Brent-plus-Newton solver used everywhere else in the engine. If the network call fails, yfinance is not installed, or fewer than five usable quotes survive filtering, the code falls back to a synthetic chain built from a known quadratic-in-log-moneyness volatility skew, generates synthetic market prices from BSM under that skew, and recovers the smile from those prices instead; this fallback is explicitly labeled as synthetic in both the console output and the plot title, satisfying the same live-data-with-honest-fallback discipline used throughout the project.</w:t>
      </w:r>
    </w:p>
    <w:bookmarkEnd w:id="27"/>
    <w:bookmarkEnd w:id="28"/>
    <w:bookmarkStart w:id="29" w:name="step-by-step-application"/>
    <w:p>
      <w:pPr>
        <w:pStyle w:val="Heading2"/>
      </w:pPr>
      <w:r>
        <w:t xml:space="preserve">3. Step-by-Step Application</w:t>
      </w:r>
    </w:p>
    <w:p>
      <w:pPr>
        <w:numPr>
          <w:ilvl w:val="0"/>
          <w:numId w:val="1001"/>
        </w:numPr>
        <w:pStyle w:val="Compact"/>
      </w:pPr>
      <w:r>
        <w:t xml:space="preserve">Define the contract once as an OptionSpec; validation runs immediately.</w:t>
      </w:r>
    </w:p>
    <w:p>
      <w:pPr>
        <w:numPr>
          <w:ilvl w:val="0"/>
          <w:numId w:val="1001"/>
        </w:numPr>
        <w:pStyle w:val="Compact"/>
      </w:pPr>
      <w:r>
        <w:t xml:space="preserve">Price it with bs_price and read the full risk profile from bs_greeks.</w:t>
      </w:r>
    </w:p>
    <w:p>
      <w:pPr>
        <w:numPr>
          <w:ilvl w:val="0"/>
          <w:numId w:val="1001"/>
        </w:numPr>
        <w:pStyle w:val="Compact"/>
      </w:pPr>
      <w:r>
        <w:t xml:space="preserve">Price the European and American versions on the CRR tree; the difference is the early-exercise premium.</w:t>
      </w:r>
    </w:p>
    <w:p>
      <w:pPr>
        <w:numPr>
          <w:ilvl w:val="0"/>
          <w:numId w:val="1001"/>
        </w:numPr>
        <w:pStyle w:val="Compact"/>
      </w:pPr>
      <w:r>
        <w:t xml:space="preserve">Price the European contract with mc_price at a chosen path count, obtaining a point estimate, standard error, and 95 percent confidence band.</w:t>
      </w:r>
    </w:p>
    <w:p>
      <w:pPr>
        <w:numPr>
          <w:ilvl w:val="0"/>
          <w:numId w:val="1001"/>
        </w:numPr>
        <w:pStyle w:val="Compact"/>
      </w:pPr>
      <w:r>
        <w:t xml:space="preserve">Given a market price, call implied_volatility to invert the model.</w:t>
      </w:r>
    </w:p>
    <w:p>
      <w:pPr>
        <w:numPr>
          <w:ilvl w:val="0"/>
          <w:numId w:val="1001"/>
        </w:numPr>
        <w:pStyle w:val="Compact"/>
      </w:pPr>
      <w:r>
        <w:t xml:space="preserve">Run the validation battery (Section 4) to confirm the engine before trusting any output.</w:t>
      </w:r>
    </w:p>
    <w:p>
      <w:pPr>
        <w:numPr>
          <w:ilvl w:val="0"/>
          <w:numId w:val="1001"/>
        </w:numPr>
        <w:pStyle w:val="Compact"/>
      </w:pPr>
      <w:r>
        <w:t xml:space="preserve">Run run_triangulation to sweep the contract grid and inspect cross-method agreement.</w:t>
      </w:r>
    </w:p>
    <w:p>
      <w:pPr>
        <w:numPr>
          <w:ilvl w:val="0"/>
          <w:numId w:val="1001"/>
        </w:numPr>
        <w:pStyle w:val="Compact"/>
      </w:pPr>
      <w:r>
        <w:t xml:space="preserve">Optionally benchmark against QuantLib when it is installed; the engine degrades gracefully when it is not.</w:t>
      </w:r>
    </w:p>
    <w:p>
      <w:pPr>
        <w:numPr>
          <w:ilvl w:val="0"/>
          <w:numId w:val="1001"/>
        </w:numPr>
        <w:pStyle w:val="Compact"/>
      </w:pPr>
      <w:r>
        <w:t>Call build_iv_smile to fetch a live option chain (or fall back to the labeled synthetic one) and plot_iv_smile to visualize it.</w:t>
      </w:r>
    </w:p>
    <w:bookmarkEnd w:id="29"/>
    <w:bookmarkStart w:id="30" w:name="X34e429474f0922e00bcf0eb78f3279db485e595"/>
    <w:p>
      <w:pPr>
        <w:pStyle w:val="Heading2"/>
      </w:pPr>
      <w:r>
        <w:t xml:space="preserve">4. Validation Results and Output Interpretation</w:t>
      </w:r>
    </w:p>
    <w:p>
      <w:pPr>
        <w:pStyle w:val="FirstParagraph"/>
      </w:pPr>
      <w:r>
        <w:t xml:space="preserve">The demonstration contract is a synthetic one-year at-the-money option with S0 = K = 100, r = 5%, q = 2%, sigma = 20%.</w:t>
      </w:r>
    </w:p>
    <w:p>
      <w:pPr>
        <w:numPr>
          <w:ilvl w:val="0"/>
          <w:numId w:val="1002"/>
        </w:numPr>
        <w:pStyle w:val="Compact"/>
      </w:pPr>
      <w:r>
        <w:t xml:space="preserve">BSM prices: call 9.227006, put 6.330081. Analytic Greeks are economically sensible: call delta 0.587, put delta -0.393, shared gamma 0.0190, vega 37.90 per unit vol, negative theta for both types.</w:t>
      </w:r>
    </w:p>
    <w:p>
      <w:pPr>
        <w:numPr>
          <w:ilvl w:val="0"/>
          <w:numId w:val="1002"/>
        </w:numPr>
        <w:pStyle w:val="Compact"/>
      </w:pPr>
      <w:r>
        <w:t xml:space="preserve">CRR trees (500 steps): European values agree with BSM to about 0.004, the expected O(1/steps) discretization error with the characteristic CRR oscillation. The American call equals the European call (early exercise of a call on a low-dividend asset is suboptimal), while the American put at 6.658816 sits 0.333 above its European counterpart, a positive early-exercise premium exactly where theory predicts one.</w:t>
      </w:r>
    </w:p>
    <w:p>
      <w:pPr>
        <w:numPr>
          <w:ilvl w:val="0"/>
          <w:numId w:val="1002"/>
        </w:numPr>
        <w:pStyle w:val="Compact"/>
      </w:pPr>
      <w:r>
        <w:t>Tree convergence (European call, 50 to 1000 steps): the pricing error versus BSM shrinks from 0.0388 at 50 steps to 0.0019 at 1000 steps, consistent with O(1/steps) convergence.</w:t>
      </w:r>
    </w:p>
    <w:p>
      <w:pPr>
        <w:numPr>
          <w:ilvl w:val="0"/>
          <w:numId w:val="1002"/>
        </w:numPr>
        <w:pStyle w:val="Compact"/>
      </w:pPr>
      <w:r>
        <w:t>Monte Carlo (200,000 paths, antithetic plus control variate): the call estimate matches BSM to all printed digits with standard error collapsing to zero because the control variate is the target payoff itself; the put estimate is 6.330018 with standard error 0.002414, a 95 percent confidence band of [6.325286, 6.334750] that contains the BSM value of 6.330081, and roughly an order of magnitude tighter than plain Monte Carlo at the same path count.</w:t>
      </w:r>
    </w:p>
    <w:p>
      <w:pPr>
        <w:numPr>
          <w:ilvl w:val="0"/>
          <w:numId w:val="1002"/>
        </w:numPr>
        <w:pStyle w:val="Compact"/>
      </w:pPr>
      <w:r>
        <w:t>Put-call parity: the residual |C - P - (S exp(-qT) - K exp(-rT))| is 0.000e+00, exact at machine precision.</w:t>
      </w:r>
    </w:p>
    <w:p>
      <w:pPr>
        <w:numPr>
          <w:ilvl w:val="0"/>
          <w:numId w:val="1002"/>
        </w:numPr>
        <w:pStyle w:val="Compact"/>
      </w:pPr>
      <w:r>
        <w:t>Delta parity: the residual |delta(call) - delta(put) - exp(-qT)| is 0.000e+00, also exact at machine precision, an independent check on the analytic Greek formulas derived by differentiating put-call parity.</w:t>
      </w:r>
    </w:p>
    <w:p>
      <w:pPr>
        <w:numPr>
          <w:ilvl w:val="0"/>
          <w:numId w:val="1002"/>
        </w:numPr>
        <w:pStyle w:val="Compact"/>
      </w:pPr>
      <w:r>
        <w:t>Greeks versus finite differences: relative errors between 4e-11 and 1.3e-8 across all five Greeks.</w:t>
      </w:r>
    </w:p>
    <w:p>
      <w:pPr>
        <w:numPr>
          <w:ilvl w:val="0"/>
          <w:numId w:val="1002"/>
        </w:numPr>
        <w:pStyle w:val="Compact"/>
      </w:pPr>
      <w:r>
        <w:t xml:space="preserve">MC convergence: fitted log-log slope of standard error against path count is -0.484 against a theoretical -0.500.</w:t>
      </w:r>
    </w:p>
    <w:p>
      <w:pPr>
        <w:numPr>
          <w:ilvl w:val="0"/>
          <w:numId w:val="1002"/>
        </w:numPr>
        <w:pStyle w:val="Compact"/>
      </w:pPr>
      <w:r>
        <w:t xml:space="preserve">IV round-trip: an input vol of 0.27 is recovered as 0.2700000000.</w:t>
      </w:r>
    </w:p>
    <w:p>
      <w:pPr>
        <w:numPr>
          <w:ilvl w:val="0"/>
          <w:numId w:val="1002"/>
        </w:numPr>
        <w:pStyle w:val="Compact"/>
      </w:pPr>
      <w:r>
        <w:t>Coverage: across 200 independent simulations the 95 percent band contained the BSM price 95.0 percent of the time, a genuine measurement rather than an approximation, made possible by computing standard errors on the antithetic pair averages rather than the raw pooled sample.</w:t>
      </w:r>
    </w:p>
    <w:p>
      <w:pPr>
        <w:numPr>
          <w:ilvl w:val="0"/>
          <w:numId w:val="1002"/>
        </w:numPr>
        <w:pStyle w:val="Compact"/>
      </w:pPr>
      <w:r>
        <w:t>Variance reduction, quantified rather than asserted: for a call target at 64,000 paths, RMS error over 30 trials falls from 5.8e-2 (plain) to 4.5e-2 (antithetic, a 1.27x reduction) and to floating-point noise under the control variate, because the call control variate equals the call target by construction. For a put target, the genuine (non-degenerate) test, RMS error falls from 4.2e-2 (plain) to 3.0e-2 (antithetic, 1.39x) to 4.0e-3 (antithetic plus control variate, a 10.45x reduction versus plain Monte Carlo).</w:t>
      </w:r>
    </w:p>
    <w:p>
      <w:pPr>
        <w:numPr>
          <w:ilvl w:val="0"/>
          <w:numId w:val="1002"/>
        </w:numPr>
        <w:pStyle w:val="Compact"/>
      </w:pPr>
      <w:r>
        <w:t>Triangulation grid: maximum |CRR - BS| across all 75 cells is 0.0174 (concentrated in the long-maturity, high-volatility corner where dt is largest), maximum |MC - BS| is 9e-6 under the control variate, and the implied vol recovered from tree prices is within 1.8e-3 of the grid vol everywhere, itself a direct measurement of tree discretization error. A second, grid-level coverage statistic complements the repeated-trial coverage check above: pricing every one of the 75 cells once with the control variate turned off (so the band has genuine width rather than collapsing near zero) and checking whether the BSM price falls inside that cell's own two-standard-error Monte Carlo band gives 90.7 percent (68 of 75 cells), consistent with a true rate near 95 percent given the sampling noise inherent in only 75 Bernoulli trials.</w:t>
      </w:r>
    </w:p>
    <w:p>
      <w:pPr>
        <w:numPr>
          <w:ilvl w:val="0"/>
          <w:numId w:val="1002"/>
        </w:numPr>
        <w:pStyle w:val="Compact"/>
      </w:pPr>
      <w:r>
        <w:t>Implied volatility smile: a live SPY chain (expiration roughly 27-33 days out, depending on the trading day the script is run) produces a textbook downward-sloping equity skew, with implied volatility around 10-11 percent near the money rising to the low 30s for far in-the-money calls and back up into the high teens for far out-of-the-money calls; the shape and location vary with market conditions each run, which is expected for live data and is documented as such rather than hidden.</w:t>
      </w:r>
    </w:p>
    <w:bookmarkEnd w:id="30"/>
    <w:bookmarkStart w:id="31" w:name="X9f660707bec832c9e172d0afe7a0a2fa2c581eb"/>
    <w:p>
      <w:pPr>
        <w:pStyle w:val="Heading2"/>
      </w:pPr>
      <w:r>
        <w:t xml:space="preserve">5. Overfitting and Underfitting in Numerical Terms</w:t>
      </w:r>
    </w:p>
    <w:p>
      <w:pPr>
        <w:pStyle w:val="FirstParagraph"/>
      </w:pPr>
      <w:r>
        <w:t xml:space="preserve">The bias-variance language of statistical modeling maps cleanly onto numerical pricing. Underfitting corresponds to systematic bias from a model that is too coarse: a binomial tree with too few steps carries O(1/N) discretization error and a visible oscillation around the true price, and a Monte Carlo run with too few paths has a standard error so wide that the estimate is uninformative. Overfitting corresponds to over-resolving noise: pushing path counts or tree steps far beyond the tolerance justified by input uncertainty (bid-ask spreads, vol estimation error) burns computation to fit rounding error, and estimating the control variate coefficient on the same small pilot sample used for pricing can introduce a mild self-tuning bias. The engine manages the trade-off explicitly. Variance reduction attacks the constant in the Monte Carlo error without changing its N to the minus one-half rate, so the same accuracy is reached at a fraction of the paths. Tolerances are chosen to sit between truncation error and floating-point cancellation: the finite-difference bump of 1e-4 balances O(eps squared) truncation against machine epsilon, and the IV solver tolerance of 1e-10 is meaningful only because Brent guarantees the bracket. Convergence diagnostics (the fitted log-log slope and the tree-to-BSM gap) are reported rather than assumed, which is the numerical analogue of validating a model out of sample.</w:t>
      </w:r>
    </w:p>
    <w:bookmarkEnd w:id="31"/>
    <w:bookmarkStart w:id="32" w:name="limitations"/>
    <w:p>
      <w:pPr>
        <w:pStyle w:val="Heading2"/>
      </w:pPr>
      <w:r>
        <w:t xml:space="preserve">6. Limitations</w:t>
      </w:r>
    </w:p>
    <w:p>
      <w:pPr>
        <w:numPr>
          <w:ilvl w:val="0"/>
          <w:numId w:val="1003"/>
        </w:numPr>
        <w:pStyle w:val="Compact"/>
      </w:pPr>
      <w:r>
        <w:t>Constant volatility and rates in the pricing and Greeks layer: the BSM, CRR, and Monte Carlo pricers all assume a flat volatility and rate surface; the live implied volatility smile shows that real markets do not satisfy that assumption, and pricing exotic or path-dependent payoffs consistently with the observed smile would require local-vol or stochastic-vol extensions.</w:t>
      </w:r>
    </w:p>
    <w:p>
      <w:pPr>
        <w:numPr>
          <w:ilvl w:val="0"/>
          <w:numId w:val="1003"/>
        </w:numPr>
        <w:pStyle w:val="Compact"/>
      </w:pPr>
      <w:r>
        <w:t>The control variate demonstration is deliberately split by moneyness type: for a call target the control is perfectly correlated with the target and collapses to floating-point noise, which is a useful sanity check but not informative about the technique's typical behavior; the put target is the genuine, non-degenerate test, and it delivers a real order-of-magnitude reduction (10.45x RMSE at 64,000 paths).</w:t>
      </w:r>
    </w:p>
    <w:p>
      <w:pPr>
        <w:numPr>
          <w:ilvl w:val="0"/>
          <w:numId w:val="1003"/>
        </w:numPr>
        <w:pStyle w:val="Compact"/>
      </w:pPr>
      <w:r>
        <w:t>Combining antithetic variates with a control variate requires estimating the control coefficient on the antithetic pair averages rather than the pooled sample; this was a real bug found during validation (the pooled estimator inflated variance instead of reducing it) and has been corrected, but it is a reminder that variance reduction techniques do not always compose safely without care.</w:t>
      </w:r>
    </w:p>
    <w:p>
      <w:pPr>
        <w:numPr>
          <w:ilvl w:val="0"/>
          <w:numId w:val="1003"/>
        </w:numPr>
        <w:pStyle w:val="Compact"/>
      </w:pPr>
      <w:r>
        <w:t xml:space="preserve">Monte Carlo here prices European payoffs only; American Monte Carlo would require least-squares regression in the spirit of Longstaff-Schwartz.</w:t>
      </w:r>
    </w:p>
    <w:p>
      <w:pPr>
        <w:numPr>
          <w:ilvl w:val="0"/>
          <w:numId w:val="1003"/>
        </w:numPr>
        <w:pStyle w:val="Compact"/>
      </w:pPr>
      <w:r>
        <w:t xml:space="preserve">The CRR tree exhibits the well-known convergence oscillation, so tree error does not decrease monotonically in steps; Richardson extrapolation or a smoothing technique (for example, the Tian moment-matched tree) would improve it.</w:t>
      </w:r>
    </w:p>
    <w:p>
      <w:pPr>
        <w:numPr>
          <w:ilvl w:val="0"/>
          <w:numId w:val="1003"/>
        </w:numPr>
        <w:pStyle w:val="Compact"/>
      </w:pPr>
      <w:r>
        <w:t>QuantLib was not installed in the environment this project was validated in, so the QuantLib benchmark section is documented as skipped, with an explicit console message, rather than silently omitted; the triangulation harness (BSM vs. CRR vs. Monte Carlo) remains the validation path that runs unconditionally. Date-count conventions would introduce small timing differences if QuantLib were used, since it works from actual calendar dates rather than a flat year fraction.</w:t>
      </w:r>
    </w:p>
    <w:p>
      <w:pPr>
        <w:numPr>
          <w:ilvl w:val="0"/>
          <w:numId w:val="1003"/>
        </w:numPr>
        <w:pStyle w:val="Compact"/>
      </w:pPr>
      <w:r>
        <w:t xml:space="preserve">The American-versus-European check and the coverage test are probabilistic in the Monte Carlo case and are asserted with bands rather than exact equality.</w:t>
      </w:r>
    </w:p>
    <w:p>
      <w:pPr>
        <w:numPr>
          <w:ilvl w:val="0"/>
          <w:numId w:val="1003"/>
        </w:numPr>
        <w:pStyle w:val="Compact"/>
      </w:pPr>
      <w:r>
        <w:t>The implied volatility smile is the only live-data component; everything else in the engine is validated exclusively on synthetic, seeded inputs, and no output here should be read as a real-time trading signal.</w:t>
      </w:r>
    </w:p>
    <w:bookmarkEnd w:id="32"/>
    <w:bookmarkStart w:id="33" w:name="conclusion"/>
    <w:p>
      <w:pPr>
        <w:pStyle w:val="Heading2"/>
      </w:pPr>
      <w:r>
        <w:t xml:space="preserve">7. Conclusion</w:t>
      </w:r>
    </w:p>
    <w:p>
      <w:pPr>
        <w:pStyle w:val="FirstParagraph"/>
      </w:pPr>
      <w:r>
        <w:t>The engine demonstrates that a disciplined triangulation workflow, analytic formula, lattice, and simulation behind one validated interface, produces prices that are mutually consistent at the level predicted by numerical theory, while an eight-part validation battery catches the failure modes that silent implementations hide: parity violations (both price and delta parity), negative American premia, incorrect Greeks, sub-theoretical convergence, unstable implied vols, miscalibrated confidence bands, and variance reduction that fails to reduce variance. That last failure mode was not hypothetical: it was caught during this project's own validation, when combining antithetic variates with a control variate the naive way inflated error instead of shrinking it, and fixing it turned a modest, uncertain variance reduction claim into a measured order-of-magnitude improvement. The same scaffolding extends naturally to barrier and Asian payoffs in the Monte Carlo layer, to smile-consistent models in the analytic layer, and to production benchmarking against QuantLib, making it both a portfolio artifact and a reusable research codebase.</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2026-08-12T00:18:24Z</dcterms:created>
  <dcterms:modified xsi:type="dcterms:W3CDTF">2026-08-12T00:18:24Z</dcterms:modified>
</cp:coreProperties>
</file>

<file path=docProps/custom.xml><?xml version="1.0" encoding="utf-8"?>
<Properties xmlns="http://schemas.openxmlformats.org/officeDocument/2006/custom-properties" xmlns:vt="http://schemas.openxmlformats.org/officeDocument/2006/docPropsVTypes"/>
</file>