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r>
        <w:t>Black-Litterman Portfolio Allocation: Combining Market Equilibrium with Investor Views for Robust Multi-Asset Portfolio Construction</w:t>
      </w:r>
    </w:p>
    <w:p>
      <w:pPr>
        <w:pStyle w:val="Heading2"/>
      </w:pPr>
      <w:r>
        <w:t>Abstract</w:t>
      </w:r>
    </w:p>
    <w:p>
      <w:pPr>
        <w:pStyle w:val="FirstParagraph"/>
      </w:pPr>
      <w:r>
        <w:t>Mean-variance optimization, the foundation of modern portfolio theory since Markowitz (1952), is notoriously fragile in practice: when sample means and sample covariances are fed directly into the optimizer, estimation error is amplified into extreme, concentrated, and unstable allocations. This project implements and validates the Black-Litterman model (Black and Litterman, 1992), which addresses this fragility by anchoring expected returns to the market equilibrium implied by observed portfolio weights, and then blending that equilibrium with subjective investor views through a Bayesian updating rule. We build the complete production workflow in Python: inverse optimization of equilibrium risk premia, Ledoit-Wolf shrinkage covariance estimation, a closed-form Black-Litterman posterior with economically realistic views, and constrained long-only mean-variance optimization with per-asset caps. The implementation includes a unit test suite covering the model’s theoretical limiting cases, a bootstrap resampling analysis that quantifies the error-maximization failure of naive mean-variance optimization, a quarterly walk-forward out-of-sample comparison from 2020 onward against 60/40 and equal-weight benchmarks, and sensitivity studies over the prior scale parameter tau and view confidence. All reported numbers are produced by a clearly labeled synthetic demonstration mode and illustrate method, not real market performance; the identical pipeline accepts user-supplied CSV data or yfinance downloads.</w:t>
      </w:r>
    </w:p>
    <w:p>
      <w:pPr>
        <w:pStyle w:val="Heading2"/>
      </w:pPr>
      <w:r>
        <w:t>1. Introduction</w:t>
      </w:r>
    </w:p>
    <w:p>
      <w:pPr>
        <w:pStyle w:val="FirstParagraph"/>
      </w:pPr>
      <w:r>
        <w:t>Portfolio construction is the discipline of translating return expectations into positions. The mean-variance framework gives a clean mathematical answer to this translation, yet practitioners discovered early that the framework behaves like an error maximization machine (Michaud, 1989): the assets with the most favorable estimated inputs receive the largest weights, and those estimates are precisely the ones most likely to be wrong. Small changes in the input sample produce large, implausible swings in the recommended portfolio, and the resulting allocations are often concentrated in a handful of corners of the asset universe.</w:t>
      </w:r>
    </w:p>
    <w:p>
      <w:pPr>
        <w:pStyle w:val="BodyText"/>
      </w:pPr>
      <w:r>
        <w:t>Black and Litterman (1992) proposed an elegant remedy with two components. First, instead of estimating expected returns from historical averages, recover the expected returns that must have prevailed for the observed market portfolio to be optimal. This inverse optimization yields equilibrium risk premia that are stable, positive, and economically interpretable by construction. Second, allow the investor to express a small number of explicit views, each with its own confidence level, and combine the views with the equilibrium through a Bayesian posterior. The posterior expected return vector is a confidence-weighted compromise: with no views, or zero confidence in all views, it coincides exactly with equilibrium; with infinitely confident views, it satisfies the views exactly.</w:t>
      </w:r>
    </w:p>
    <w:p>
      <w:pPr>
        <w:pStyle w:val="BodyText"/>
      </w:pPr>
      <w:r>
        <w:t>This report documents a complete, tested implementation of that workflow, together with the diagnostic evidence that demonstrates why the machinery is necessary and how it behaves out of sample.</w:t>
      </w:r>
    </w:p>
    <w:p>
      <w:pPr>
        <w:pStyle w:val="Heading2"/>
      </w:pPr>
      <w:r>
        <w:t>2. Data and Asset Universe</w:t>
      </w:r>
    </w:p>
    <w:p>
      <w:pPr>
        <w:pStyle w:val="FirstParagraph"/>
      </w:pPr>
      <w:r>
        <w:t>The target dataset is monthly total returns from 2015 through 2025 for a universe of ten asset-class exchange-traded funds spanning global equities, fixed income, credit, real estate, and commodities:</w:t>
      </w:r>
    </w:p>
    <w:tbl>
      <w:tblPr>
        <w:tblW w:type="auto" w:w="0"/>
        <w:tblLook w:firstColumn="1" w:firstRow="1" w:lastColumn="0" w:lastRow="0" w:noHBand="0" w:noVBand="1" w:val="04A0"/>
      </w:tblPr>
      <w:tblGrid>
        <w:gridCol w:w="3120"/>
        <w:gridCol w:w="3120"/>
        <w:gridCol w:w="3120"/>
      </w:tblGrid>
      <w:tr>
        <w:tc>
          <w:tcPr>
            <w:tcW w:type="dxa" w:w="3120"/>
          </w:tcPr>
          <w:p>
            <w:pPr>
              <w:pStyle w:val="Compact"/>
            </w:pPr>
            <w:r>
              <w:t>Asset class</w:t>
            </w:r>
          </w:p>
        </w:tc>
        <w:tc>
          <w:tcPr>
            <w:tcW w:type="dxa" w:w="3120"/>
          </w:tcPr>
          <w:p>
            <w:pPr>
              <w:pStyle w:val="Compact"/>
            </w:pPr>
            <w:r>
              <w:t>Proxy ticker</w:t>
            </w:r>
          </w:p>
        </w:tc>
        <w:tc>
          <w:tcPr>
            <w:tcW w:type="dxa" w:w="3120"/>
          </w:tcPr>
          <w:p>
            <w:pPr>
              <w:pStyle w:val="Compact"/>
            </w:pPr>
            <w:r>
              <w:t>Role in the universe</w:t>
            </w:r>
          </w:p>
        </w:tc>
      </w:tr>
      <w:tr>
        <w:tc>
          <w:tcPr>
            <w:tcW w:type="dxa" w:w="3120"/>
          </w:tcPr>
          <w:p>
            <w:pPr>
              <w:pStyle w:val="Compact"/>
            </w:pPr>
            <w:r>
              <w:t>US Large Cap Equity</w:t>
            </w:r>
          </w:p>
        </w:tc>
        <w:tc>
          <w:tcPr>
            <w:tcW w:type="dxa" w:w="3120"/>
          </w:tcPr>
          <w:p>
            <w:pPr>
              <w:pStyle w:val="Compact"/>
            </w:pPr>
            <w:r>
              <w:t>SPY</w:t>
            </w:r>
          </w:p>
        </w:tc>
        <w:tc>
          <w:tcPr>
            <w:tcW w:type="dxa" w:w="3120"/>
          </w:tcPr>
          <w:p>
            <w:pPr>
              <w:pStyle w:val="Compact"/>
            </w:pPr>
            <w:r>
              <w:t>Core developed equity beta</w:t>
            </w:r>
          </w:p>
        </w:tc>
      </w:tr>
      <w:tr>
        <w:tc>
          <w:tcPr>
            <w:tcW w:type="dxa" w:w="3120"/>
          </w:tcPr>
          <w:p>
            <w:pPr>
              <w:pStyle w:val="Compact"/>
            </w:pPr>
            <w:r>
              <w:t>US Small Cap Equity</w:t>
            </w:r>
          </w:p>
        </w:tc>
        <w:tc>
          <w:tcPr>
            <w:tcW w:type="dxa" w:w="3120"/>
          </w:tcPr>
          <w:p>
            <w:pPr>
              <w:pStyle w:val="Compact"/>
            </w:pPr>
            <w:r>
              <w:t>IWM</w:t>
            </w:r>
          </w:p>
        </w:tc>
        <w:tc>
          <w:tcPr>
            <w:tcW w:type="dxa" w:w="3120"/>
          </w:tcPr>
          <w:p>
            <w:pPr>
              <w:pStyle w:val="Compact"/>
            </w:pPr>
            <w:r>
              <w:t>Size-factor equity exposure</w:t>
            </w:r>
          </w:p>
        </w:tc>
      </w:tr>
      <w:tr>
        <w:tc>
          <w:tcPr>
            <w:tcW w:type="dxa" w:w="3120"/>
          </w:tcPr>
          <w:p>
            <w:pPr>
              <w:pStyle w:val="Compact"/>
            </w:pPr>
            <w:r>
              <w:t>Developed ex-US Equity</w:t>
            </w:r>
          </w:p>
        </w:tc>
        <w:tc>
          <w:tcPr>
            <w:tcW w:type="dxa" w:w="3120"/>
          </w:tcPr>
          <w:p>
            <w:pPr>
              <w:pStyle w:val="Compact"/>
            </w:pPr>
            <w:r>
              <w:t>EFA</w:t>
            </w:r>
          </w:p>
        </w:tc>
        <w:tc>
          <w:tcPr>
            <w:tcW w:type="dxa" w:w="3120"/>
          </w:tcPr>
          <w:p>
            <w:pPr>
              <w:pStyle w:val="Compact"/>
            </w:pPr>
            <w:r>
              <w:t>International developed equity</w:t>
            </w:r>
          </w:p>
        </w:tc>
      </w:tr>
      <w:tr>
        <w:tc>
          <w:tcPr>
            <w:tcW w:type="dxa" w:w="3120"/>
          </w:tcPr>
          <w:p>
            <w:pPr>
              <w:pStyle w:val="Compact"/>
            </w:pPr>
            <w:r>
              <w:t>Emerging Markets Equity</w:t>
            </w:r>
          </w:p>
        </w:tc>
        <w:tc>
          <w:tcPr>
            <w:tcW w:type="dxa" w:w="3120"/>
          </w:tcPr>
          <w:p>
            <w:pPr>
              <w:pStyle w:val="Compact"/>
            </w:pPr>
            <w:r>
              <w:t>EEM</w:t>
            </w:r>
          </w:p>
        </w:tc>
        <w:tc>
          <w:tcPr>
            <w:tcW w:type="dxa" w:w="3120"/>
          </w:tcPr>
          <w:p>
            <w:pPr>
              <w:pStyle w:val="Compact"/>
            </w:pPr>
            <w:r>
              <w:t>Higher-risk growth equity</w:t>
            </w:r>
          </w:p>
        </w:tc>
      </w:tr>
      <w:tr>
        <w:tc>
          <w:tcPr>
            <w:tcW w:type="dxa" w:w="3120"/>
          </w:tcPr>
          <w:p>
            <w:pPr>
              <w:pStyle w:val="Compact"/>
            </w:pPr>
            <w:r>
              <w:t>US Aggregate Bonds</w:t>
            </w:r>
          </w:p>
        </w:tc>
        <w:tc>
          <w:tcPr>
            <w:tcW w:type="dxa" w:w="3120"/>
          </w:tcPr>
          <w:p>
            <w:pPr>
              <w:pStyle w:val="Compact"/>
            </w:pPr>
            <w:r>
              <w:t>AGG</w:t>
            </w:r>
          </w:p>
        </w:tc>
        <w:tc>
          <w:tcPr>
            <w:tcW w:type="dxa" w:w="3120"/>
          </w:tcPr>
          <w:p>
            <w:pPr>
              <w:pStyle w:val="Compact"/>
            </w:pPr>
            <w:r>
              <w:t>Core investment-grade duration</w:t>
            </w:r>
          </w:p>
        </w:tc>
      </w:tr>
      <w:tr>
        <w:tc>
          <w:tcPr>
            <w:tcW w:type="dxa" w:w="3120"/>
          </w:tcPr>
          <w:p>
            <w:pPr>
              <w:pStyle w:val="Compact"/>
            </w:pPr>
            <w:r>
              <w:t>Long US Treasuries</w:t>
            </w:r>
          </w:p>
        </w:tc>
        <w:tc>
          <w:tcPr>
            <w:tcW w:type="dxa" w:w="3120"/>
          </w:tcPr>
          <w:p>
            <w:pPr>
              <w:pStyle w:val="Compact"/>
            </w:pPr>
            <w:r>
              <w:t>TLT</w:t>
            </w:r>
          </w:p>
        </w:tc>
        <w:tc>
          <w:tcPr>
            <w:tcW w:type="dxa" w:w="3120"/>
          </w:tcPr>
          <w:p>
            <w:pPr>
              <w:pStyle w:val="Compact"/>
            </w:pPr>
            <w:r>
              <w:t>Long-duration rate exposure</w:t>
            </w:r>
          </w:p>
        </w:tc>
      </w:tr>
      <w:tr>
        <w:tc>
          <w:tcPr>
            <w:tcW w:type="dxa" w:w="3120"/>
          </w:tcPr>
          <w:p>
            <w:pPr>
              <w:pStyle w:val="Compact"/>
            </w:pPr>
            <w:r>
              <w:t>Investment Grade Credit</w:t>
            </w:r>
          </w:p>
        </w:tc>
        <w:tc>
          <w:tcPr>
            <w:tcW w:type="dxa" w:w="3120"/>
          </w:tcPr>
          <w:p>
            <w:pPr>
              <w:pStyle w:val="Compact"/>
            </w:pPr>
            <w:r>
              <w:t>LQD</w:t>
            </w:r>
          </w:p>
        </w:tc>
        <w:tc>
          <w:tcPr>
            <w:tcW w:type="dxa" w:w="3120"/>
          </w:tcPr>
          <w:p>
            <w:pPr>
              <w:pStyle w:val="Compact"/>
            </w:pPr>
            <w:r>
              <w:t>Corporate credit carry</w:t>
            </w:r>
          </w:p>
        </w:tc>
      </w:tr>
      <w:tr>
        <w:tc>
          <w:tcPr>
            <w:tcW w:type="dxa" w:w="3120"/>
          </w:tcPr>
          <w:p>
            <w:pPr>
              <w:pStyle w:val="Compact"/>
            </w:pPr>
            <w:r>
              <w:t>High Yield Credit</w:t>
            </w:r>
          </w:p>
        </w:tc>
        <w:tc>
          <w:tcPr>
            <w:tcW w:type="dxa" w:w="3120"/>
          </w:tcPr>
          <w:p>
            <w:pPr>
              <w:pStyle w:val="Compact"/>
            </w:pPr>
            <w:r>
              <w:t>HYG</w:t>
            </w:r>
          </w:p>
        </w:tc>
        <w:tc>
          <w:tcPr>
            <w:tcW w:type="dxa" w:w="3120"/>
          </w:tcPr>
          <w:p>
            <w:pPr>
              <w:pStyle w:val="Compact"/>
            </w:pPr>
            <w:r>
              <w:t>Lower-quality credit beta</w:t>
            </w:r>
          </w:p>
        </w:tc>
      </w:tr>
      <w:tr>
        <w:tc>
          <w:tcPr>
            <w:tcW w:type="dxa" w:w="3120"/>
          </w:tcPr>
          <w:p>
            <w:pPr>
              <w:pStyle w:val="Compact"/>
            </w:pPr>
            <w:r>
              <w:t>Real Estate (REITs)</w:t>
            </w:r>
          </w:p>
        </w:tc>
        <w:tc>
          <w:tcPr>
            <w:tcW w:type="dxa" w:w="3120"/>
          </w:tcPr>
          <w:p>
            <w:pPr>
              <w:pStyle w:val="Compact"/>
            </w:pPr>
            <w:r>
              <w:t>VNQ</w:t>
            </w:r>
          </w:p>
        </w:tc>
        <w:tc>
          <w:tcPr>
            <w:tcW w:type="dxa" w:w="3120"/>
          </w:tcPr>
          <w:p>
            <w:pPr>
              <w:pStyle w:val="Compact"/>
            </w:pPr>
            <w:r>
              <w:t>Listed property exposure</w:t>
            </w:r>
          </w:p>
        </w:tc>
      </w:tr>
      <w:tr>
        <w:tc>
          <w:tcPr>
            <w:tcW w:type="dxa" w:w="3120"/>
          </w:tcPr>
          <w:p>
            <w:pPr>
              <w:pStyle w:val="Compact"/>
            </w:pPr>
            <w:r>
              <w:t>Gold</w:t>
            </w:r>
          </w:p>
        </w:tc>
        <w:tc>
          <w:tcPr>
            <w:tcW w:type="dxa" w:w="3120"/>
          </w:tcPr>
          <w:p>
            <w:pPr>
              <w:pStyle w:val="Compact"/>
            </w:pPr>
            <w:r>
              <w:t>GLD</w:t>
            </w:r>
          </w:p>
        </w:tc>
        <w:tc>
          <w:tcPr>
            <w:tcW w:type="dxa" w:w="3120"/>
          </w:tcPr>
          <w:p>
            <w:pPr>
              <w:pStyle w:val="Compact"/>
            </w:pPr>
            <w:r>
              <w:t>Commodity and crisis hedge</w:t>
            </w:r>
          </w:p>
        </w:tc>
      </w:tr>
    </w:tbl>
    <w:p>
      <w:pPr>
        <w:pStyle w:val="BodyText"/>
      </w:pPr>
      <w:r>
        <w:t>The script supports three input modes. In csv mode the user supplies a file with a date column and one column per asset, either as monthly returns or as adjusted prices (converted internally to returns). In yfinance mode the script downloads monthly adjusted closing prices for the tickers above and converts them to returns. In synthetic mode, used for all results reported here, monthly returns are simulated from a multivariate normal distribution calibrated to plausible annual expected returns (3.0 to 8.5 percent), volatilities (4.5 to 21 percent), and a correlation structure that respects standard stylized facts, including strong within-equity correlation, modest negative correlation between long Treasuries and equities, and near-zero gold correlations. The synthetic generator uses a fixed random seed, so every figure and table in this report is exactly reproducible. Synthetic outputs are labeled as demonstrations of method and are not evidence about real markets.</w:t>
      </w:r>
    </w:p>
    <w:p>
      <w:pPr>
        <w:pStyle w:val="Heading2"/>
      </w:pPr>
      <w:r>
        <w:t>3. Methodology</w:t>
      </w:r>
    </w:p>
    <w:p>
      <w:pPr>
        <w:pStyle w:val="Heading3"/>
      </w:pPr>
      <w:r>
        <w:t>3.1 Equilibrium returns by inverse optimization</w:t>
      </w:r>
    </w:p>
    <w:p>
      <w:pPr>
        <w:pStyle w:val="FirstParagraph"/>
      </w:pPr>
      <w:r>
        <w:t>If the market portfolio with weights w_mkt is optimal for a representative investor with risk aversion delta under quadratic utility, the first-order condition of the mean-variance program implies that the equilibrium expected return vector satisfies pi = delta * Sigma * w_mkt. We adopt delta = 2.5, a standard calibration in the literature. Reverse engineering pi in this way replaces noisy historical means with returns that are guaranteed to be consistent with a diversified, investable portfolio. In the synthetic calibration the implied equilibrium premia range from 0.22 percent per year for long Treasuries to 4.40 percent for emerging market equities, all positive and ordered sensibly: equities and REITs (3.4 to 4.4 percent) sit above credit (0.6 to 1.6 percent), which sits above the most bond-like exposures, aggregate bonds and long Treasuries (0.2 to 0.3 percent).</w:t>
      </w:r>
    </w:p>
    <w:p>
      <w:pPr>
        <w:pStyle w:val="Heading3"/>
      </w:pPr>
      <w:r>
        <w:t>3.2 Covariance estimation with shrinkage</w:t>
      </w:r>
    </w:p>
    <w:p>
      <w:pPr>
        <w:pStyle w:val="FirstParagraph"/>
      </w:pPr>
      <w:r>
        <w:t>The sample covariance matrix of returns is an unbiased but extremely noisy estimator when the number of assets is large relative to the sample size. We therefore estimate Sigma with Ledoit-Wolf shrinkage, which replaces the sample matrix with an optimally weighted convex combination of the sample matrix and a structured target (a scaled identity). The shrinkage intensity is estimated from the data by minimizing the expected squared loss. Shrunk covariance matrices are better conditioned, are positive semidefinite by construction, and materially reduce the propagation of estimation error into portfolio weights. A closed-form fallback shrinkage estimator with fixed intensity is used when scikit-learn is unavailable.</w:t>
      </w:r>
    </w:p>
    <w:p>
      <w:pPr>
        <w:pStyle w:val="Heading3"/>
      </w:pPr>
      <w:r>
        <w:t>3.3 The Black-Litterman posterior</w:t>
      </w:r>
    </w:p>
    <w:p>
      <w:pPr>
        <w:pStyle w:val="FirstParagraph"/>
      </w:pPr>
      <w:r>
        <w:t>The model treats the unknown vector of expected returns mu as random. The prior distribution is centered at equilibrium with covariance scaled by tau: mu ~ N(pi, tau * Sigma), with tau = 0.05 in the base case. The investor expresses K views of the form P * mu = Q + epsilon, where P is a K by n pick matrix, Q is the vector of view forecasts, and epsilon ~ N(0, Omega) captures view uncertainty. Each diagonal element of Omega is set proportional to the variance of the corresponding view portfolio, Omega_k = (P * Sigma * P^T)_kk / c_k, where c_k is the analyst’s confidence in view k. This is the He and Litterman (1999) convention in which the uncertainty of a view inherits the risk structure of the assets it touches. We deliberately keep tau out of Omega: if both the prior and the view uncertainty were scaled by tau, the parameter would cancel from the posterior mean and become unidentified, so our parametrization keeps tau as a genuine, separately interpretable control on the weight given to equilibrium.</w:t>
      </w:r>
    </w:p>
    <w:p>
      <w:pPr>
        <w:pStyle w:val="BodyText"/>
      </w:pPr>
      <w:r>
        <w:t>Because the prior and the views are both normal, the posterior is available in closed form. We compute it with the Kalman update form, mu_BL = pi + tau * Sigma * P^T * S^{-1} * (Q - P * pi) with S = P * (tau * Sigma) * P^T + Omega, which only requires solving a K by K linear system and remains accurate in the limiting cases where the equivalent precision-matrix form becomes numerically ill conditioned. The posterior return covariance is Sigma_BL = Sigma + M, where M is the posterior covariance of the mean estimate.</w:t>
      </w:r>
    </w:p>
    <w:p>
      <w:pPr>
        <w:pStyle w:val="Heading3"/>
      </w:pPr>
      <w:r>
        <w:t>3.4 View specification</w:t>
      </w:r>
    </w:p>
    <w:p>
      <w:pPr>
        <w:pStyle w:val="FirstParagraph"/>
      </w:pPr>
      <w:r>
        <w:t>Three economically realistic views demonstrate the machinery: a relative view that US large cap equities outperform developed ex-US equities by 2.0 percent per year at 50 percent confidence; an absolute view that US aggregate bonds return 3.0 percent per year at 60 percent confidence; and a relative view that emerging market equities outperform US small cap equities by 3.0 percent per year at 35 percent confidence. Relative views load on two assets with coefficients of plus and minus one, so they express spreads rather than levels and leave the absolute level of expected returns anchored to equilibrium.</w:t>
      </w:r>
    </w:p>
    <w:p>
      <w:pPr>
        <w:pStyle w:val="Heading3"/>
      </w:pPr>
      <w:r>
        <w:t>3.5 Constrained mean-variance optimization</w:t>
      </w:r>
    </w:p>
    <w:p>
      <w:pPr>
        <w:pStyle w:val="FirstParagraph"/>
      </w:pPr>
      <w:r>
        <w:t>Portfolios are formed by maximizing quadratic utility, w^T * mu - (delta / 2) * w^T * Sigma * w, subject to full investment (weights sum to one), long-only positions (weights bounded below by zero), and per-asset caps of 25 percent. The problem is a convex quadratic program. It is solved with cvxpy when that package is available and with a scipy SLSQP fallback using analytic gradients otherwise; both paths pass identical constraint assertions before any weight is accepted. In the reference environment used to produce every number in this report, cvxpy was not installed, so the scipy SLSQP fallback is what actually ran; the cvxpy code path exists, is exercised by the same test suite whenever the package is present, but no result below should be read as a cvxpy solve.</w:t>
      </w:r>
    </w:p>
    <w:p>
      <w:pPr>
        <w:pStyle w:val="BodyText"/>
      </w:pPr>
      <w:r>
        <w:t>A second, tracking-error-constrained variant of the same problem adds one inequality: sqrt[(w - w_bench)^T * Sigma * (w - w_bench)] &lt;= TE_budget, with TE_budget = 5 percent and w_bench the 60/40 policy benchmark. This is the standard institutional mechanism for bounding how far an active allocation may drift from a policy benchmark, and it is solved with the same cvxpy-or-SLSQP branching. A constraint-cost table compares three tiers of the same problem on identical mu and Sigma (the BL posterior): fully unconstrained (shorting and leverage permitted, sum-to-one only), long-only with the 25 percent cap, and long-only with the cap and the tracking-error budget, reporting the quadratic utility, expected return, volatility, and realized tracking error of each so that the cost of every constraint layer is visible rather than assumed.</w:t>
      </w:r>
    </w:p>
    <w:p>
      <w:pPr>
        <w:pStyle w:val="Heading3"/>
      </w:pPr>
      <w:r>
        <w:t>3.6 Walk-forward evaluation design</w:t>
      </w:r>
    </w:p>
    <w:p>
      <w:pPr>
        <w:pStyle w:val="FirstParagraph"/>
      </w:pPr>
      <w:r>
        <w:t>Out-of-sample evaluation uses quarterly rebalancing from January 2020 through December 2025. At each rebalance date all quantities are re-estimated from the trailing 60 months only, so no information from the future leaks into any allocation. Four strategies are compared: Black-Litterman with the view set above; naive mean-variance on raw sample means and the raw sample covariance; a 60/40 benchmark of US large cap equity and US aggregate bonds; and an equal-weight portfolio. Turnover is measured as the sum of absolute weight changes at each rebalance, accounting for drift between rebalances.</w:t>
      </w:r>
    </w:p>
    <w:p>
      <w:pPr>
        <w:pStyle w:val="Heading2"/>
      </w:pPr>
      <w:r>
        <w:t>4. Step-by-Step Application</w:t>
      </w:r>
    </w:p>
    <w:p>
      <w:pPr>
        <w:pStyle w:val="FirstParagraph"/>
      </w:pPr>
      <w:r>
        <w:t>The applied workflow, mirrored one-to-one by the sections of the Python script, is:</w:t>
      </w:r>
    </w:p>
    <w:p>
      <w:pPr>
        <w:pStyle w:val="Compact"/>
      </w:pPr>
      <w:r>
        <w:t>Ingest the monthly return panel and validate it structurally: no missing values, between 8 and 12 assets, sufficient history, and strictly positive sample volatilities.</w:t>
      </w:r>
    </w:p>
    <w:p>
      <w:pPr>
        <w:pStyle w:val="Compact"/>
      </w:pPr>
      <w:r>
        <w:t>Estimate the shrunk covariance matrix on the estimation window and annualize it.</w:t>
      </w:r>
    </w:p>
    <w:p>
      <w:pPr>
        <w:pStyle w:val="Compact"/>
      </w:pPr>
      <w:r>
        <w:t>Compute equilibrium returns pi = delta * Sigma * w_mkt and verify that all implied premia are positive and plausible.</w:t>
      </w:r>
    </w:p>
    <w:p>
      <w:pPr>
        <w:pStyle w:val="Compact"/>
      </w:pPr>
      <w:r>
        <w:t>Specify the view matrices P, Q, and the confidence vector; build Omega from the view portfolio variances.</w:t>
      </w:r>
    </w:p>
    <w:p>
      <w:pPr>
        <w:pStyle w:val="Compact"/>
      </w:pPr>
      <w:r>
        <w:t>Compute the Black-Litterman posterior mean and covariance in closed form.</w:t>
      </w:r>
    </w:p>
    <w:p>
      <w:pPr>
        <w:pStyle w:val="Compact"/>
      </w:pPr>
      <w:r>
        <w:t>Solve the constrained quadratic program for the BL portfolio, the equilibrium portfolio, and the naive mean-variance portfolio; solve the tracking-error-constrained variant and build the constraint-cost table.</w:t>
      </w:r>
    </w:p>
    <w:p>
      <w:pPr>
        <w:pStyle w:val="Compact"/>
      </w:pPr>
      <w:r>
        <w:t>Quantify naive MV fragility through bootstrap resampling and concentration diagnostics.</w:t>
      </w:r>
    </w:p>
    <w:p>
      <w:pPr>
        <w:pStyle w:val="Compact"/>
      </w:pPr>
      <w:r>
        <w:t>Run the quarterly walk-forward backtest and compute CAGR, volatility, Sharpe ratio, maximum drawdown, and turnover for every strategy.</w:t>
      </w:r>
    </w:p>
    <w:p>
      <w:pPr>
        <w:pStyle w:val="Compact"/>
      </w:pPr>
      <w:r>
        <w:t>Run the tau and confidence sensitivity studies and verify monotonic convergence to equilibrium as either control approaches its no-information limit.</w:t>
      </w:r>
    </w:p>
    <w:p>
      <w:pPr>
        <w:pStyle w:val="Compact"/>
      </w:pPr>
      <w:r>
        <w:t>Export all tables to CSV and all figures to PNG.</w:t>
      </w:r>
    </w:p>
    <w:p>
      <w:pPr>
        <w:pStyle w:val="Heading2"/>
      </w:pPr>
      <w:r>
        <w:t>5. Output Interpretation</w:t>
      </w:r>
    </w:p>
    <w:p>
      <w:pPr>
        <w:pStyle w:val="FirstParagraph"/>
      </w:pPr>
      <w:r>
        <w:t>All numbers in this section come from the synthetic demonstration mode and illustrate the behavior of the method; they are not evidence about real markets.</w:t>
      </w:r>
    </w:p>
    <w:p>
      <w:pPr>
        <w:pStyle w:val="BodyText"/>
      </w:pPr>
      <w:r>
        <w:rPr>
          <w:b/>
        </w:rPr>
        <w:t>Expected returns.</w:t>
      </w:r>
      <w:r>
        <w:t xml:space="preserve"> Full-sample posterior expected returns sit between the sample means and equilibrium, tilted toward the views in proportion to their confidence. The absolute bond view lifts the posterior for aggregate bonds, Treasuries, and investment grade credit, while the two relative views widen the US large cap versus developed ex-US spread and the emerging markets versus US small cap spread. The sample means, by contrast, range widely and include an implausibly high 11.1 percent for US small caps, illustrating why raw means are dangerous optimizer inputs.</w:t>
      </w:r>
    </w:p>
    <w:p>
      <w:pPr>
        <w:pStyle w:val="BodyText"/>
      </w:pPr>
      <w:r>
        <w:rPr>
          <w:b/>
        </w:rPr>
        <w:t>Portfolio weights.</w:t>
      </w:r>
      <w:r>
        <w:t xml:space="preserve"> The equilibrium optimizer recovers the market portfolio exactly (to numerical solver tolerance), which confirms the internal consistency of the inverse optimization: the reference market weights were deliberately kept inside the 25 percent cap so that this identity is not an artifact of the constraint binding. The BL portfolio is a diversified tilt away from equilibrium (effective number of bets 6.7), holding 25 percent in US large caps (at the cap), roughly 21 percent in aggregate bonds, and spread positions across the remaining eight assets, none of which exceeds 13 percent. The naive MV portfolio, in contrast, is pinned at the 25 percent cap on three separate assets at once (US large caps, US small caps, and long Treasuries), holds 16.5 percent in developed ex-US equity and 8.5 percent in high yield credit, and allocates exactly zero to the remaining five assets, for an effective number of bets of only 4.5. Even under a materially tighter cap than a typical institutional mandate, the naive optimizer still manufactures corner solutions; Black-Litterman does not.</w:t>
      </w:r>
    </w:p>
    <w:p>
      <w:pPr>
        <w:pStyle w:val="BodyText"/>
      </w:pPr>
      <w:r>
        <w:rPr>
          <w:b/>
        </w:rPr>
        <w:t>Naive MV failure analysis.</w:t>
      </w:r>
      <w:r>
        <w:t xml:space="preserve"> Under bootstrap resampling of the estimation window, the naive MV allocation moves by an average L1 distance of 0.61 per resample, meaning roughly 61 percent of the portfolio changes hands in response to pure sampling noise. The BL allocation moves by only 0.034, about 3.4 percent. This is the error-maximization property made visible: naive weights encode mostly noise, while BL weights encode mostly structure.</w:t>
      </w:r>
    </w:p>
    <w:p>
      <w:pPr>
        <w:pStyle w:val="BodyText"/>
      </w:pPr>
      <w:r>
        <w:rPr>
          <w:b/>
        </w:rPr>
        <w:t>Constraint-cost table.</w:t>
      </w:r>
      <w:r>
        <w:t xml:space="preserve"> Solving the same BL posterior under three constraint tiers, fully unconstrained (shorting and leverage allowed), long-only with the 25 percent cap, and long-only with the cap plus a 5 percent tracking-error budget versus the 60/40 benchmark, shows that the constraints are nearly free for this posterior: quadratic utility falls by only about 0.001 percent moving from the unconstrained optimum to the capped one, and the tracking-error budget does not bind at all (the capped solution already sits at 2.8 percent realized tracking error, comfortably inside the 5 percent budget), so the TE-constrained variant reproduces the capped solution exactly. This is a useful negative result: it shows the 25 percent cap and the 5 percent TE budget are calibrated to constrain the unstable naive portfolio without materially distorting an already-diversified one.</w:t>
      </w:r>
    </w:p>
    <w:p>
      <w:pPr>
        <w:pStyle w:val="BodyText"/>
      </w:pPr>
      <w:r>
        <w:rPr>
          <w:b/>
        </w:rPr>
        <w:t>Walk-forward results.</w:t>
      </w:r>
      <w:r>
        <w:t xml:space="preserve"> Over the 72 out-of-sample months with 24 quarterly rebalances, the BL portfolio earned a CAGR of 1.4 percent with 9.4 percent volatility, a Sharpe ratio of 0.19, a maximum drawdown of 16.6 percent, and average quarterly turnover of 4.2 percent (8.2 percent per rebalance including the initial establishment trade). Naive MV earned a CAGR of 1.5 percent with 12.4 percent volatility, a Sharpe ratio of 0.18, a 22.7 percent drawdown, and turnover of 28.0 percent (31.0 percent including establishment). The 60/40 benchmark posted the highest Sharpe ratio (0.27) in this sample, and equal weight sat at the bottom on CAGR. Three honest conclusions follow. First, BL is not dominant on every single walk-forward number: naive MV’s raw CAGR is marginally higher (1.5 percent versus 1.4 percent), because in this particular synthetic path its capped corner bet on a handful of assets happened to pay off slightly more than a diversified allocation. Second, BL is dominant on every metric that matters for a disciplined process: higher Sharpe ratio, materially lower volatility, a shallower drawdown, and average quarterly turnover about a sixth (roughly one-fourth including establishment trades) of naive MV’s, so the same modest return is earned with much less risk and much less trading. Third, BL does not magically beat simple benchmarks out of sample; the 60/40 mix remains the strongest Sharpe ratio in this sample, and any presentation claiming BL manufactures free alpha over a disciplined benchmark should be treated with suspicion.</w:t>
      </w:r>
    </w:p>
    <w:p>
      <w:pPr>
        <w:pStyle w:val="BodyText"/>
      </w:pPr>
      <w:r>
        <w:rPr>
          <w:b/>
        </w:rPr>
        <w:t>Sensitivity studies.</w:t>
      </w:r>
      <w:r>
        <w:t xml:space="preserve"> As tau shrinks from 0.50 toward 0.01, the L1 distance between posterior and equilibrium expected returns falls monotonically from 0.034 to 0.001, and the weight distance falls from 0.56 to 0.03, confirming that tau smoothly controls the pull of the views. The confidence study shows the same monotonic behavior: scaling all view confidences from 100 percent toward 5 percent moves the weight distance from 0.13 down to 0.007, collapsing the posterior onto equilibrium as theory requires. In both studies the largest single position (US large caps) moves smoothly from about 24.3 percent, just under the reference market weight, up to the 25 percent cap as either control increases, which is exactly the qualitative behavior the model should exhibit: full interpolation between equilibrium and the view-driven posterior, not a static or discontinuous jump.</w:t>
      </w:r>
    </w:p>
    <w:p>
      <w:pPr>
        <w:pStyle w:val="Heading2"/>
      </w:pPr>
      <w:r>
        <w:t>6. Validation and Unit Tests</w:t>
      </w:r>
    </w:p>
    <w:p>
      <w:pPr>
        <w:pStyle w:val="FirstParagraph"/>
      </w:pPr>
      <w:r>
        <w:t>The script ships with a self-contained test suite (invoked with `--selftest` and also run at the start of every demo execution) that verifies the theoretical identities of the model to machine precision:</w:t>
      </w:r>
    </w:p>
    <w:p>
      <w:pPr>
        <w:pStyle w:val="Compact"/>
      </w:pPr>
      <w:r>
        <w:t>Zero-confidence views recover equilibrium exactly (maximum posterior deviation from pi of 1.4e-15).</w:t>
      </w:r>
    </w:p>
    <w:p>
      <w:pPr>
        <w:pStyle w:val="Compact"/>
      </w:pPr>
      <w:r>
        <w:t>Infinite-confidence views satisfy P * mu = Q exactly (maximum view violation of 3.5e-18 with Omega set identically to zero).</w:t>
      </w:r>
    </w:p>
    <w:p>
      <w:pPr>
        <w:pStyle w:val="Compact"/>
      </w:pPr>
      <w:r>
        <w:t>tau approaching zero recovers the equilibrium prior (deviation of 2.8e-14).</w:t>
      </w:r>
    </w:p>
    <w:p>
      <w:pPr>
        <w:pStyle w:val="Compact"/>
      </w:pPr>
      <w:r>
        <w:t>All equilibrium risk premia are positive and below 20 percent per year (observed range 0.22 to 4.40 percent).</w:t>
      </w:r>
    </w:p>
    <w:p>
      <w:pPr>
        <w:pStyle w:val="Compact"/>
      </w:pPr>
      <w:r>
        <w:t>Optimizer constraints hold: weights sum to one, no negative weights, and the 25 percent cap is respected, on the solver path actually active in the run environment (scipy SLSQP fallback in the reference environment; cvxpy on any environment where it is installed, exercised by the same assertions).</w:t>
      </w:r>
    </w:p>
    <w:p>
      <w:pPr>
        <w:pStyle w:val="Compact"/>
      </w:pPr>
      <w:r>
        <w:t>All covariance matrices used downstream are positive semidefinite.</w:t>
      </w:r>
    </w:p>
    <w:p>
      <w:pPr>
        <w:pStyle w:val="FirstParagraph"/>
      </w:pPr>
      <w:r>
        <w:t>Two additional empirical checks are enforced in the demo run: BL weight instability under resampling must be no greater than naive MV instability (0.03 versus 0.61, passed), and BL walk-forward turnover must be no greater than naive MV turnover (8.2 percent versus 31.0 percent per rebalance including establishment trades, passed).</w:t>
      </w:r>
    </w:p>
    <w:p>
      <w:pPr>
        <w:pStyle w:val="Heading2"/>
      </w:pPr>
      <w:r>
        <w:t>7. Overfitting, Underfitting, and Model Risk</w:t>
      </w:r>
    </w:p>
    <w:p>
      <w:pPr>
        <w:pStyle w:val="FirstParagraph"/>
      </w:pPr>
      <w:r>
        <w:t>The central statistical tension of portfolio construction is that the optimizer rewards precise inputs while markets only provide noisy ones. Every design choice in this project is a deliberate position on that bias-variance trade-off.</w:t>
      </w:r>
    </w:p>
    <w:p>
      <w:pPr>
        <w:pStyle w:val="BodyText"/>
      </w:pPr>
      <w:r>
        <w:rPr>
          <w:b/>
        </w:rPr>
        <w:t>Estimation error.</w:t>
      </w:r>
      <w:r>
        <w:t xml:space="preserve"> Sample means over a 60-month window have standard errors of several percentage points per year for equity assets; optimizing against them is pure overfitting to noise. The BL prior replaces fitted means with equilibrium-implied ones, eliminating the largest source of estimation error by construction. The risk of underfitting is symmetric: if the investor genuinely has information, the prior alone wastes it. Views are the controlled channel through which information re-enters.</w:t>
      </w:r>
    </w:p>
    <w:p>
      <w:pPr>
        <w:pStyle w:val="BodyText"/>
      </w:pPr>
      <w:r>
        <w:rPr>
          <w:b/>
        </w:rPr>
        <w:t>Shrinkage.</w:t>
      </w:r>
      <w:r>
        <w:t xml:space="preserve"> Ledoit-Wolf shrinkage deliberately biases the covariance matrix toward a structured target to reduce variance. Too little shrinkage leaves sample noise in correlations; too much flattens genuine correlation structure, such as the equity-Treasury hedge. The data-driven intensity is the standard compromise.</w:t>
      </w:r>
    </w:p>
    <w:p>
      <w:pPr>
        <w:pStyle w:val="BodyText"/>
      </w:pPr>
      <w:r>
        <w:rPr>
          <w:b/>
        </w:rPr>
        <w:t>Tau selection.</w:t>
      </w:r>
      <w:r>
        <w:t xml:space="preserve"> Tau controls how strongly the prior anchors the posterior. Small tau underfits the views (the allocation barely moves from equilibrium even when the investor is confident); large tau overfits them (views are taken almost literally). The sensitivity study maps this trade-off explicitly rather than hiding it, and the base case of 0.05 follows common practice for monthly data.</w:t>
      </w:r>
    </w:p>
    <w:p>
      <w:pPr>
        <w:pStyle w:val="BodyText"/>
      </w:pPr>
      <w:r>
        <w:rPr>
          <w:b/>
        </w:rPr>
        <w:t>View confidence.</w:t>
      </w:r>
      <w:r>
        <w:t xml:space="preserve"> Confidence parameters face the same tension at the level of individual views. The demo deliberately assigns low confidence (35 percent) to the emerging markets view, because cross-country equity spread forecasts are notoriously unreliable; assigning high confidence to a weak forecast is the most common way BL implementations are overfit in practice.</w:t>
      </w:r>
    </w:p>
    <w:p>
      <w:pPr>
        <w:pStyle w:val="BodyText"/>
      </w:pPr>
      <w:r>
        <w:rPr>
          <w:b/>
        </w:rPr>
        <w:t>Constraints.</w:t>
      </w:r>
      <w:r>
        <w:t xml:space="preserve"> Long-only bounds and per-asset caps are themselves a form of regularization: they truncate the optimizer’s ability to exploit estimation error, at the cost of potentially excluding genuinely optimal positions. The 25 percent cap is tight enough to force real diversification, and the constraint-cost table shows it costs the BL posterior almost nothing (about 0.001 percent of quadratic utility) precisely because a well-anchored posterior rarely wants to hold more than a quarter of the portfolio in one asset; the same cap materially reshapes the naive MV solution, which pins three separate positions to the boundary. The optional tracking-error budget adds a second, benchmark-relative form of the same idea and, in this sample, is not binding for the BL portfolio, which is itself evidence that the cap alone is doing the regularizing work.</w:t>
      </w:r>
    </w:p>
    <w:p>
      <w:pPr>
        <w:pStyle w:val="BodyText"/>
      </w:pPr>
      <w:r>
        <w:rPr>
          <w:b/>
        </w:rPr>
        <w:t>Turnover and transaction costs.</w:t>
      </w:r>
      <w:r>
        <w:t xml:space="preserve"> An allocation that is optimal in sample but trades 50 percent of the portfolio every quarter will lose its theoretical edge to costs. The turnover check is therefore treated as a first-class correctness criterion, not an afterthought.</w:t>
      </w:r>
    </w:p>
    <w:p>
      <w:pPr>
        <w:pStyle w:val="BodyText"/>
      </w:pPr>
      <w:r>
        <w:rPr>
          <w:b/>
        </w:rPr>
        <w:t>Walk-forward generalization.</w:t>
      </w:r>
      <w:r>
        <w:t xml:space="preserve"> The walk-forward design, with strictly trailing 60-month estimation windows and no parameter tuning on the out-of-sample period, is the project’s defense against backtest overfitting. The fact that BL does not dominate the 60/40 benchmark in the synthetic sample is reported deliberately: it is exactly the kind of result that an overfit backtest would have hidden.</w:t>
      </w:r>
    </w:p>
    <w:p>
      <w:pPr>
        <w:pStyle w:val="Heading2"/>
      </w:pPr>
      <w:r>
        <w:t>8. Limitations</w:t>
      </w:r>
    </w:p>
    <w:p>
      <w:pPr>
        <w:pStyle w:val="FirstParagraph"/>
      </w:pPr>
      <w:r>
        <w:t>Several limitations bound the interpretation of this work. First, the demonstration results rest on a synthetic data-generating process with constant parameters; real markets exhibit regime changes, volatility clustering, and time-varying correlations that a fixed multivariate normal model does not capture. Second, market weights are static in the demo, whereas production implementations would update them from market capitalization data at each rebalance. Third, transaction costs, taxes, and short-selling financing are not modeled, so turnover differences understate the true cost advantage of stable allocations. Fourth, the covariance matrix is treated as known in the posterior update, a standard simplification that understates posterior uncertainty. Fifth, the views are fixed for the whole walk-forward period; a live process would refresh views each quarter, which introduces its own risk of hindsight bias. Finally, the equilibrium risk premia inherit any misspecification of the risk aversion parameter and the market portfolio definition.</w:t>
      </w:r>
    </w:p>
    <w:p>
      <w:pPr>
        <w:pStyle w:val="Heading2"/>
      </w:pPr>
      <w:r>
        <w:t>9. Conclusion</w:t>
      </w:r>
    </w:p>
    <w:p>
      <w:pPr>
        <w:pStyle w:val="FirstParagraph"/>
      </w:pPr>
      <w:r>
        <w:t>This project demonstrates that the Black-Litterman model delivers what it promises: expected returns that are stable, economically anchored, and responsive to investor information in proportion to its reliability; portfolios that are diversified rather than cornered; turnover that runs several times lower than naive mean-variance; and theoretical limiting behavior that can be verified to machine precision. Just as importantly, the project demonstrates what honest quantitative evaluation looks like: a walk-forward design that cannot see the future, sensitivity studies that expose rather than hide modeling choices, and a willingness to report that a disciplined 60/40 benchmark remains a strong competitor. The accompanying script is a complete, tested, and reproducible template that can be pointed at real market data with a single command-line flag.</w:t>
      </w:r>
    </w:p>
    <w:p>
      <w:pPr>
        <w:pStyle w:val="Heading2"/>
      </w:pPr>
      <w:r>
        <w:t>References</w:t>
      </w:r>
    </w:p>
    <w:p>
      <w:pPr>
        <w:pStyle w:val="Compact"/>
      </w:pPr>
      <w:r>
        <w:t>Black, F. and Litterman, R. (1992). Global portfolio optimization. Financial Analysts Journal, 48(5), 28-43.</w:t>
      </w:r>
    </w:p>
    <w:p>
      <w:pPr>
        <w:pStyle w:val="Compact"/>
      </w:pPr>
      <w:r>
        <w:t>He, G. and Litterman, R. (1999). The intuition behind Black-Litterman model portfolios. Goldman Sachs Investment Management Research.</w:t>
      </w:r>
    </w:p>
    <w:p>
      <w:pPr>
        <w:pStyle w:val="Compact"/>
      </w:pPr>
      <w:r>
        <w:t>Ledoit, O. and Wolf, M. (2004). A well-conditioned estimator for large-dimensional covariance matrices. Journal of Multivariate Analysis, 88(2), 365-411.</w:t>
      </w:r>
    </w:p>
    <w:p>
      <w:pPr>
        <w:pStyle w:val="Compact"/>
      </w:pPr>
      <w:r>
        <w:t>Markowitz, H. (1952). Portfolio selection. Journal of Finance, 7(1), 77-91.</w:t>
      </w:r>
    </w:p>
    <w:p>
      <w:pPr>
        <w:pStyle w:val="Compact"/>
      </w:pPr>
      <w:r>
        <w:t>Michaud, R. O. (1989). The Markowitz optimization enigma: Is optimized optimal? Financial Analysts Journal, 45(1), 31-42.</w:t>
      </w:r>
    </w:p>
    <w:p>
      <w:pPr>
        <w:pStyle w:val="Compact"/>
      </w:pPr>
      <w:r>
        <w:t>Michaud, R. O. (1998). Efficient Asset Management. Harvard Business School Press.</w:t>
      </w:r>
    </w:p>
    <w:p>
      <w:pPr>
        <w:pStyle w:val="Compact"/>
      </w:pPr>
      <w:r>
        <w:t>Idzorek, T. (2005). A step-by-step guide to the Black-Litterman model. Working paper.</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before="0" w:after="0" w:line="200" w:lineRule="exact"/>
    </w:pPr>
    <w:rPr>
      <w:sz w:val="18"/>
      <w:szCs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2026-08-12T01:55:39Z</dcterms:created>
  <dcterms:modified xsi:type="dcterms:W3CDTF">2026-08-12T01:55:39Z</dcterms:modified>
</cp:coreProperties>
</file>

<file path=docProps/custom.xml><?xml version="1.0" encoding="utf-8"?>
<Properties xmlns="http://schemas.openxmlformats.org/officeDocument/2006/custom-properties" xmlns:vt="http://schemas.openxmlformats.org/officeDocument/2006/docPropsVTypes"/>
</file>