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5c6250c169261b04080e4b675149dd67a7ee1a"/>
    <w:p>
      <w:pPr>
        <w:pStyle w:val="Heading1"/>
      </w:pPr>
      <w:r>
        <w:t xml:space="preserve">A Point-in-Time Cross-Sectional Factor Backtesting Engine: Momentum and Value Decile Portfolios under Realistic Timing and Cost Assumptions</w:t>
      </w:r>
    </w:p>
    <w:bookmarkStart w:id="20" w:name="abstract"/>
    <w:p>
      <w:pPr>
        <w:pStyle w:val="Heading2"/>
      </w:pPr>
      <w:r>
        <w:t xml:space="preserve">Abstract</w:t>
      </w:r>
    </w:p>
    <w:p>
      <w:pPr>
        <w:pStyle w:val="FirstParagraph"/>
      </w:pPr>
      <w:r>
        <w:t xml:space="preserve">This project designs, implements, and validates a cross-sectional equity</w:t>
      </w:r>
      <w:r>
        <w:t xml:space="preserve"> </w:t>
      </w:r>
      <w:r>
        <w:t xml:space="preserve">factor backtesting engine built entirely from first principles, without</w:t>
      </w:r>
      <w:r>
        <w:t xml:space="preserve"> </w:t>
      </w:r>
      <w:r>
        <w:t xml:space="preserve">recourse to any backtesting library. The engine evaluates a composite of</w:t>
      </w:r>
      <w:r>
        <w:t xml:space="preserve"> </w:t>
      </w:r>
      <w:r>
        <w:t xml:space="preserve">two canonical factors, 12-1 price momentum and earnings yield lagged six</w:t>
      </w:r>
      <w:r>
        <w:t xml:space="preserve"> </w:t>
      </w:r>
      <w:r>
        <w:t xml:space="preserve">months, on a point-in-time top-500-by-market-capitalization universe with</w:t>
      </w:r>
      <w:r>
        <w:t xml:space="preserve"> </w:t>
      </w:r>
      <w:r>
        <w:t xml:space="preserve">monthly rebalancing. Portfolio construction follows the academic decile</w:t>
      </w:r>
      <w:r>
        <w:t xml:space="preserve"> </w:t>
      </w:r>
      <w:r>
        <w:t xml:space="preserve">sort tradition: equal-weighted decile portfolios, a dollar-neutral</w:t>
      </w:r>
      <w:r>
        <w:t xml:space="preserve"> </w:t>
      </w:r>
      <w:r>
        <w:t xml:space="preserve">long-short portfolio (top decile minus bottom decile), and a long-only</w:t>
      </w:r>
      <w:r>
        <w:t xml:space="preserve"> </w:t>
      </w:r>
      <w:r>
        <w:t xml:space="preserve">top-decile variant benchmarked against a naive equal-weighted universe</w:t>
      </w:r>
      <w:r>
        <w:t xml:space="preserve"> </w:t>
      </w:r>
      <w:r>
        <w:t xml:space="preserve">portfolio. Trade simulation respects a strict information boundary:</w:t>
      </w:r>
      <w:r>
        <w:t xml:space="preserve"> </w:t>
      </w:r>
      <w:r>
        <w:t xml:space="preserve">signals are computed from data available at the prior close, execution</w:t>
      </w:r>
      <w:r>
        <w:t xml:space="preserve"> </w:t>
      </w:r>
      <w:r>
        <w:t xml:space="preserve">occurs at the next open, and a one-way transaction cost of ten basis</w:t>
      </w:r>
      <w:r>
        <w:t xml:space="preserve"> </w:t>
      </w:r>
      <w:r>
        <w:t xml:space="preserve">points is charged on traded notional. The engine reports gross and net</w:t>
      </w:r>
      <w:r>
        <w:t xml:space="preserve"> </w:t>
      </w:r>
      <w:r>
        <w:t xml:space="preserve">equity curves, a full performance metric suite, rank information</w:t>
      </w:r>
      <w:r>
        <w:t xml:space="preserve"> </w:t>
      </w:r>
      <w:r>
        <w:t xml:space="preserve">coefficients against forward 21-day returns, decile monotonicity, factor</w:t>
      </w:r>
      <w:r>
        <w:t xml:space="preserve"> </w:t>
      </w:r>
      <w:r>
        <w:t xml:space="preserve">decay at 1, 3, 6, and 12 month horizons, signal rank autocorrelation, and</w:t>
      </w:r>
      <w:r>
        <w:t xml:space="preserve"> </w:t>
      </w:r>
      <w:r>
        <w:t xml:space="preserve">turnover. Robustness is examined through formation-window perturbations,</w:t>
      </w:r>
      <w:r>
        <w:t xml:space="preserve"> </w:t>
      </w:r>
      <w:r>
        <w:t xml:space="preserve">cost sensitivity, validation and test sample separation, calendar regime</w:t>
      </w:r>
      <w:r>
        <w:t xml:space="preserve"> </w:t>
      </w:r>
      <w:r>
        <w:t xml:space="preserve">breakdown, and an explicit trial-count disclosure. Correctness is enforced</w:t>
      </w:r>
      <w:r>
        <w:t xml:space="preserve"> </w:t>
      </w:r>
      <w:r>
        <w:t xml:space="preserve">by a runtime audit covering weight feasibility, position timing, return</w:t>
      </w:r>
      <w:r>
        <w:t xml:space="preserve"> </w:t>
      </w:r>
      <w:r>
        <w:t xml:space="preserve">finiteness, the cost ordering of net and gross performance, a</w:t>
      </w:r>
      <w:r>
        <w:t xml:space="preserve"> </w:t>
      </w:r>
      <w:r>
        <w:t xml:space="preserve">hand-checkable profit and loss reconstruction, and an independent</w:t>
      </w:r>
      <w:r>
        <w:t xml:space="preserve"> </w:t>
      </w:r>
      <w:r>
        <w:t xml:space="preserve">equal-weight benchmark cross-check. The engine ships with a clearly</w:t>
      </w:r>
      <w:r>
        <w:t xml:space="preserve"> </w:t>
      </w:r>
      <w:r>
        <w:t xml:space="preserve">labeled synthetic data mode so the complete pipeline is reproducible</w:t>
      </w:r>
      <w:r>
        <w:t xml:space="preserve"> </w:t>
      </w:r>
      <w:r>
        <w:t xml:space="preserve">offline; synthetic results are used exclusively to demonstrate mechanical</w:t>
      </w:r>
      <w:r>
        <w:t xml:space="preserve"> </w:t>
      </w:r>
      <w:r>
        <w:t xml:space="preserve">correctness and are never presented as market evidence.</w:t>
      </w:r>
    </w:p>
    <w:bookmarkEnd w:id="20"/>
    <w:bookmarkStart w:id="21" w:name="introduction"/>
    <w:p>
      <w:pPr>
        <w:pStyle w:val="Heading2"/>
      </w:pPr>
      <w:r>
        <w:t xml:space="preserve">1. Introduction</w:t>
      </w:r>
    </w:p>
    <w:p>
      <w:pPr>
        <w:pStyle w:val="FirstParagraph"/>
      </w:pPr>
      <w:r>
        <w:t xml:space="preserve">Cross-sectional factor investing rests on a deceptively simple premise:</w:t>
      </w:r>
      <w:r>
        <w:t xml:space="preserve"> </w:t>
      </w:r>
      <w:r>
        <w:t xml:space="preserve">sorting stocks on a characteristic today should order their future</w:t>
      </w:r>
      <w:r>
        <w:t xml:space="preserve"> </w:t>
      </w:r>
      <w:r>
        <w:t xml:space="preserve">returns. The academic literature, from Jegadeesh and Titman’s momentum</w:t>
      </w:r>
      <w:r>
        <w:t xml:space="preserve"> </w:t>
      </w:r>
      <w:r>
        <w:t xml:space="preserve">portfolios to the value strategies of Fama and French, established that</w:t>
      </w:r>
      <w:r>
        <w:t xml:space="preserve"> </w:t>
      </w:r>
      <w:r>
        <w:t xml:space="preserve">such sorts can carry economically meaningful information. The practical</w:t>
      </w:r>
      <w:r>
        <w:t xml:space="preserve"> </w:t>
      </w:r>
      <w:r>
        <w:t xml:space="preserve">difficulty is that a backtest of these ideas is only credible if its</w:t>
      </w:r>
      <w:r>
        <w:t xml:space="preserve"> </w:t>
      </w:r>
      <w:r>
        <w:t xml:space="preserve">information handling is impeccable. Three failure modes recur: look-ahead</w:t>
      </w:r>
      <w:r>
        <w:t xml:space="preserve"> </w:t>
      </w:r>
      <w:r>
        <w:t xml:space="preserve">bias, in which the simulation trades on information that was not yet</w:t>
      </w:r>
      <w:r>
        <w:t xml:space="preserve"> </w:t>
      </w:r>
      <w:r>
        <w:t xml:space="preserve">available; survivorship bias, in which the test universe is defined using</w:t>
      </w:r>
      <w:r>
        <w:t xml:space="preserve"> </w:t>
      </w:r>
      <w:r>
        <w:t xml:space="preserve">outcomes known only in the future; and cost neglect, in which gross paper</w:t>
      </w:r>
      <w:r>
        <w:t xml:space="preserve"> </w:t>
      </w:r>
      <w:r>
        <w:t xml:space="preserve">returns are presented as if trading were free.</w:t>
      </w:r>
    </w:p>
    <w:p>
      <w:pPr>
        <w:pStyle w:val="BodyText"/>
      </w:pPr>
      <w:r>
        <w:t xml:space="preserve">This project treats those failure modes as engineering constraints rather</w:t>
      </w:r>
      <w:r>
        <w:t xml:space="preserve"> </w:t>
      </w:r>
      <w:r>
        <w:t xml:space="preserve">than afterthoughts. The engine is written as a single, heavily commented</w:t>
      </w:r>
      <w:r>
        <w:t xml:space="preserve"> </w:t>
      </w:r>
      <w:r>
        <w:t xml:space="preserve">Python script in which every accounting step is explicit. No backtesting</w:t>
      </w:r>
      <w:r>
        <w:t xml:space="preserve"> </w:t>
      </w:r>
      <w:r>
        <w:t xml:space="preserve">library is used, because the objective is not merely to obtain an equity</w:t>
      </w:r>
      <w:r>
        <w:t xml:space="preserve"> </w:t>
      </w:r>
      <w:r>
        <w:t xml:space="preserve">curve but to obtain one whose every dollar can be traced to raw prices by</w:t>
      </w:r>
      <w:r>
        <w:t xml:space="preserve"> </w:t>
      </w:r>
      <w:r>
        <w:t xml:space="preserve">hand.</w:t>
      </w:r>
    </w:p>
    <w:bookmarkEnd w:id="21"/>
    <w:bookmarkStart w:id="24" w:name="data"/>
    <w:p>
      <w:pPr>
        <w:pStyle w:val="Heading2"/>
      </w:pPr>
      <w:r>
        <w:t xml:space="preserve">2. Data</w:t>
      </w:r>
    </w:p>
    <w:bookmarkStart w:id="22" w:name="real-data-workflow"/>
    <w:p>
      <w:pPr>
        <w:pStyle w:val="Heading3"/>
      </w:pPr>
      <w:r>
        <w:t xml:space="preserve">2.1 Real data workflow</w:t>
      </w:r>
    </w:p>
    <w:p>
      <w:pPr>
        <w:pStyle w:val="FirstParagraph"/>
      </w:pPr>
      <w:r>
        <w:t xml:space="preserve">The engine accepts daily adjusted OHLCV data in long format with the</w:t>
      </w:r>
      <w:r>
        <w:t xml:space="preserve"> </w:t>
      </w:r>
      <w:r>
        <w:t xml:space="preserve">schema date, ticker, open, high, low, close, volume, and optional columns</w:t>
      </w:r>
      <w:r>
        <w:t xml:space="preserve"> </w:t>
      </w:r>
      <w:r>
        <w:t xml:space="preserve">for market capitalization, earnings yield, and book-to-market. Prices must</w:t>
      </w:r>
      <w:r>
        <w:t xml:space="preserve"> </w:t>
      </w:r>
      <w:r>
        <w:t xml:space="preserve">be split- and dividend-adjusted so that computed returns are total</w:t>
      </w:r>
      <w:r>
        <w:t xml:space="preserve"> </w:t>
      </w:r>
      <w:r>
        <w:t xml:space="preserve">returns. The target configuration is fifteen years of daily data, 2010 to</w:t>
      </w:r>
      <w:r>
        <w:t xml:space="preserve"> </w:t>
      </w:r>
      <w:r>
        <w:t xml:space="preserve">2025, for a universe large enough to support a top-500 ranking. Market</w:t>
      </w:r>
      <w:r>
        <w:t xml:space="preserve"> </w:t>
      </w:r>
      <w:r>
        <w:t xml:space="preserve">capitalization drives point-in-time universe membership. Fundamentals are</w:t>
      </w:r>
      <w:r>
        <w:t xml:space="preserve"> </w:t>
      </w:r>
      <w:r>
        <w:t xml:space="preserve">lagged six months internally to reflect publication delay; a</w:t>
      </w:r>
      <w:r>
        <w:t xml:space="preserve"> </w:t>
      </w:r>
      <w:r>
        <w:t xml:space="preserve">point-in-time vendor snapshot is the preferred source for real research.</w:t>
      </w:r>
    </w:p>
    <w:bookmarkEnd w:id="22"/>
    <w:bookmarkStart w:id="23" w:name="synthetic-demonstration-mode"/>
    <w:p>
      <w:pPr>
        <w:pStyle w:val="Heading3"/>
      </w:pPr>
      <w:r>
        <w:t xml:space="preserve">2.2 Synthetic demonstration mode</w:t>
      </w:r>
    </w:p>
    <w:p>
      <w:pPr>
        <w:pStyle w:val="FirstParagraph"/>
      </w:pPr>
      <w:r>
        <w:t xml:space="preserve">For offline reproduction, the engine generates an artificial daily panel</w:t>
      </w:r>
      <w:r>
        <w:t xml:space="preserve"> </w:t>
      </w:r>
      <w:r>
        <w:t xml:space="preserve">with a realistic correlation structure: a common market factor, ten sector</w:t>
      </w:r>
      <w:r>
        <w:t xml:space="preserve"> </w:t>
      </w:r>
      <w:r>
        <w:t xml:space="preserve">factors, and idiosyncratic noise drive returns, while each stock carries a</w:t>
      </w:r>
      <w:r>
        <w:t xml:space="preserve"> </w:t>
      </w:r>
      <w:r>
        <w:t xml:space="preserve">persistent latent earnings yield trait and a slowly varying latent</w:t>
      </w:r>
      <w:r>
        <w:t xml:space="preserve"> </w:t>
      </w:r>
      <w:r>
        <w:t xml:space="preserve">momentum drift. Next-period returns load only modestly on these traits,</w:t>
      </w:r>
      <w:r>
        <w:t xml:space="preserve"> </w:t>
      </w:r>
      <w:r>
        <w:t xml:space="preserve">which is what keeps the resulting information coefficients in the</w:t>
      </w:r>
      <w:r>
        <w:t xml:space="preserve"> </w:t>
      </w:r>
      <w:r>
        <w:t xml:space="preserve">plausible range observed in the empirical literature rather than at</w:t>
      </w:r>
      <w:r>
        <w:t xml:space="preserve"> </w:t>
      </w:r>
      <w:r>
        <w:t xml:space="preserve">implausibly high values. Market capitalizations evolve with prices plus</w:t>
      </w:r>
      <w:r>
        <w:t xml:space="preserve"> </w:t>
      </w:r>
      <w:r>
        <w:t xml:space="preserve">noise so that universe membership rotates over time. All console output,</w:t>
      </w:r>
      <w:r>
        <w:t xml:space="preserve"> </w:t>
      </w:r>
      <w:r>
        <w:t xml:space="preserve">plots, and documentation generated from this mode carry an explicit</w:t>
      </w:r>
      <w:r>
        <w:t xml:space="preserve"> </w:t>
      </w:r>
      <w:r>
        <w:t xml:space="preserve">synthetic-data label. Statistics quoted in Section 6 come from this mode</w:t>
      </w:r>
      <w:r>
        <w:t xml:space="preserve"> </w:t>
      </w:r>
      <w:r>
        <w:t xml:space="preserve">and describe the demonstration data set only.</w:t>
      </w:r>
    </w:p>
    <w:bookmarkEnd w:id="23"/>
    <w:bookmarkEnd w:id="24"/>
    <w:bookmarkStart w:id="32" w:name="methodology"/>
    <w:p>
      <w:pPr>
        <w:pStyle w:val="Heading2"/>
      </w:pPr>
      <w:r>
        <w:t xml:space="preserve">3. Methodology</w:t>
      </w:r>
    </w:p>
    <w:bookmarkStart w:id="25" w:name="point-in-time-universe"/>
    <w:p>
      <w:pPr>
        <w:pStyle w:val="Heading3"/>
      </w:pPr>
      <w:r>
        <w:t xml:space="preserve">3.1 Point-in-time universe</w:t>
      </w:r>
    </w:p>
    <w:p>
      <w:pPr>
        <w:pStyle w:val="FirstParagraph"/>
      </w:pPr>
      <w:r>
        <w:t xml:space="preserve">On the last trading day of each month, the formation date, stocks are</w:t>
      </w:r>
      <w:r>
        <w:t xml:space="preserve"> </w:t>
      </w:r>
      <w:r>
        <w:t xml:space="preserve">ranked by market capitalization as of that day’s close and the top 500 are</w:t>
      </w:r>
      <w:r>
        <w:t xml:space="preserve"> </w:t>
      </w:r>
      <w:r>
        <w:t xml:space="preserve">admitted. Membership decided at a formation date governs the entire</w:t>
      </w:r>
      <w:r>
        <w:t xml:space="preserve"> </w:t>
      </w:r>
      <w:r>
        <w:t xml:space="preserve">subsequent holding period and is frozen between formation dates. Because</w:t>
      </w:r>
      <w:r>
        <w:t xml:space="preserve"> </w:t>
      </w:r>
      <w:r>
        <w:t xml:space="preserve">membership uses only information available at the formation close, and</w:t>
      </w:r>
      <w:r>
        <w:t xml:space="preserve"> </w:t>
      </w:r>
      <w:r>
        <w:t xml:space="preserve">because membership rotates as capitalizations evolve, the universe is free</w:t>
      </w:r>
      <w:r>
        <w:t xml:space="preserve"> </w:t>
      </w:r>
      <w:r>
        <w:t xml:space="preserve">of both look-ahead and survivorship flavor.</w:t>
      </w:r>
    </w:p>
    <w:bookmarkEnd w:id="25"/>
    <w:bookmarkStart w:id="26" w:name="factor-definitions"/>
    <w:p>
      <w:pPr>
        <w:pStyle w:val="Heading3"/>
      </w:pPr>
      <w:r>
        <w:t xml:space="preserve">3.2 Factor definitions</w:t>
      </w:r>
    </w:p>
    <w:p>
      <w:pPr>
        <w:pStyle w:val="FirstParagraph"/>
      </w:pPr>
      <w:r>
        <w:t xml:space="preserve">Momentum is the total return from 252 trading days ago to 21 trading days</w:t>
      </w:r>
      <w:r>
        <w:t xml:space="preserve"> </w:t>
      </w:r>
      <w:r>
        <w:t xml:space="preserve">ago, the standard 12-1 construction that omits the most recent month to</w:t>
      </w:r>
      <w:r>
        <w:t xml:space="preserve"> </w:t>
      </w:r>
      <w:r>
        <w:t xml:space="preserve">avoid contamination by short-term reversal. The value factor is earnings</w:t>
      </w:r>
      <w:r>
        <w:t xml:space="preserve"> </w:t>
      </w:r>
      <w:r>
        <w:t xml:space="preserve">yield, lagged six months (126 trading days) to model reporting delay;</w:t>
      </w:r>
      <w:r>
        <w:t xml:space="preserve"> </w:t>
      </w:r>
      <w:r>
        <w:t xml:space="preserve">book-to-market lagged six months is used instead when it is the available</w:t>
      </w:r>
      <w:r>
        <w:t xml:space="preserve"> </w:t>
      </w:r>
      <w:r>
        <w:t xml:space="preserve">fundamental. Each factor is winsorized cross-sectionally at the 2nd and</w:t>
      </w:r>
      <w:r>
        <w:t xml:space="preserve"> </w:t>
      </w:r>
      <w:r>
        <w:t xml:space="preserve">98th percentiles of each formation date and then z-scored</w:t>
      </w:r>
      <w:r>
        <w:t xml:space="preserve"> </w:t>
      </w:r>
      <w:r>
        <w:t xml:space="preserve">cross-sectionally. The composite signal is the equal-weighted average of</w:t>
      </w:r>
      <w:r>
        <w:t xml:space="preserve"> </w:t>
      </w:r>
      <w:r>
        <w:t xml:space="preserve">available factor z-scores.</w:t>
      </w:r>
    </w:p>
    <w:bookmarkEnd w:id="26"/>
    <w:bookmarkStart w:id="27" w:name="portfolio-construction"/>
    <w:p>
      <w:pPr>
        <w:pStyle w:val="Heading3"/>
      </w:pPr>
      <w:r>
        <w:t xml:space="preserve">3.3 Portfolio construction</w:t>
      </w:r>
    </w:p>
    <w:p>
      <w:pPr>
        <w:pStyle w:val="FirstParagraph"/>
      </w:pPr>
      <w:r>
        <w:t xml:space="preserve">At each formation date the universe is sorted on the composite signal and</w:t>
      </w:r>
      <w:r>
        <w:t xml:space="preserve"> </w:t>
      </w:r>
      <w:r>
        <w:t xml:space="preserve">split into ten equal-count deciles. Every decile portfolio is</w:t>
      </w:r>
      <w:r>
        <w:t xml:space="preserve"> </w:t>
      </w:r>
      <w:r>
        <w:t xml:space="preserve">equal-weighted, so each decile weight vector sums to exactly one. The</w:t>
      </w:r>
      <w:r>
        <w:t xml:space="preserve"> </w:t>
      </w:r>
      <w:r>
        <w:t xml:space="preserve">long-short portfolio holds decile 10 long and decile 1 short with equal</w:t>
      </w:r>
      <w:r>
        <w:t xml:space="preserve"> </w:t>
      </w:r>
      <w:r>
        <w:t xml:space="preserve">notional, making it dollar-neutral with weights summing to zero. The</w:t>
      </w:r>
      <w:r>
        <w:t xml:space="preserve"> </w:t>
      </w:r>
      <w:r>
        <w:t xml:space="preserve">long-only variant holds decile 10 alone and is compared with a naive</w:t>
      </w:r>
      <w:r>
        <w:t xml:space="preserve"> </w:t>
      </w:r>
      <w:r>
        <w:t xml:space="preserve">equal-weighted portfolio of the full universe.</w:t>
      </w:r>
    </w:p>
    <w:p>
      <w:pPr>
        <w:pStyle w:val="Heading3"/>
      </w:pPr>
      <w:r>
        <w:t>3.4 Performance metric suite</w:t>
      </w:r>
    </w:p>
    <w:p>
      <w:pPr>
        <w:pStyle w:val="FirstParagraph"/>
      </w:pPr>
      <w:r>
        <w:t>For every tracked book (each decile, the long-short composite, the long-only top decile, and the naive equal-weighted benchmark) the engine computes the same metric suite on both the gross and the net return series: annualized return (CAGR), annualized volatility, the Sharpe ratio, the Sortino ratio (which penalizes only downside variance, since upside variance is not a risk an investor wants penalized), maximum drawdown, the Calmar ratio (annualized return divided by the magnitude of the worst drawdown), and the hit rate. Turnover, both one-way and two-way, is reported per rebalance and averaged per book. Finally, a rough order-of-magnitude capacity estimate is computed from the median daily dollar volume of universe members, the number of names held per side, and the average turnover per rebalance, under an assumed maximum participation rate of 5% of a name's daily dollar volume; this is a liquidity sanity check, not a market-impact model, and is documented as such.</w:t>
      </w:r>
    </w:p>
    <w:bookmarkEnd w:id="27"/>
    <w:bookmarkStart w:id="28" w:name="trade-simulation-and-timing-audit"/>
    <w:p>
      <w:pPr>
        <w:pStyle w:val="Heading3"/>
      </w:pPr>
      <w:r>
        <w:t>3.5 Trade simulation and timing audit</w:t>
      </w:r>
    </w:p>
    <w:p>
      <w:pPr>
        <w:pStyle w:val="FirstParagraph"/>
      </w:pPr>
      <w:r>
        <w:t xml:space="preserve">The timing convention is the core of the design. Signals are computed from</w:t>
      </w:r>
      <w:r>
        <w:t xml:space="preserve"> </w:t>
      </w:r>
      <w:r>
        <w:t xml:space="preserve">information available at the close of the formation date T. Trades execute</w:t>
      </w:r>
      <w:r>
        <w:t xml:space="preserve"> </w:t>
      </w:r>
      <w:r>
        <w:t xml:space="preserve">at the open of the next trading day E. On day E, the pre-existing holdings</w:t>
      </w:r>
      <w:r>
        <w:t xml:space="preserve"> </w:t>
      </w:r>
      <w:r>
        <w:t xml:space="preserve">earn the overnight return from the close of T to the open of E, the new</w:t>
      </w:r>
      <w:r>
        <w:t xml:space="preserve"> </w:t>
      </w:r>
      <w:r>
        <w:t xml:space="preserve">weights are established at the open, a one-way cost of ten basis points is</w:t>
      </w:r>
      <w:r>
        <w:t xml:space="preserve"> </w:t>
      </w:r>
      <w:r>
        <w:t xml:space="preserve">charged on the absolute weight change summed across names, and the new</w:t>
      </w:r>
      <w:r>
        <w:t xml:space="preserve"> </w:t>
      </w:r>
      <w:r>
        <w:t xml:space="preserve">holdings earn the open-to-close return of day E. On all subsequent days</w:t>
      </w:r>
      <w:r>
        <w:t xml:space="preserve"> </w:t>
      </w:r>
      <w:r>
        <w:t xml:space="preserve">the portfolio earns close-to-close returns and weights drift with realized</w:t>
      </w:r>
      <w:r>
        <w:t xml:space="preserve"> </w:t>
      </w:r>
      <w:r>
        <w:t xml:space="preserve">returns. It follows mechanically that no position can earn a return from a</w:t>
      </w:r>
      <w:r>
        <w:t xml:space="preserve"> </w:t>
      </w:r>
      <w:r>
        <w:t xml:space="preserve">period preceding its signal, and that execution prices are always next-day</w:t>
      </w:r>
      <w:r>
        <w:t xml:space="preserve"> </w:t>
      </w:r>
      <w:r>
        <w:t xml:space="preserve">opens rather than formation-day closes. Both gross and net curves are</w:t>
      </w:r>
      <w:r>
        <w:t xml:space="preserve"> </w:t>
      </w:r>
      <w:r>
        <w:t xml:space="preserve">maintained; net differs from gross only by the subtraction of realized</w:t>
      </w:r>
      <w:r>
        <w:t xml:space="preserve"> </w:t>
      </w:r>
      <w:r>
        <w:t xml:space="preserve">costs.</w:t>
      </w:r>
    </w:p>
    <w:bookmarkEnd w:id="28"/>
    <w:bookmarkStart w:id="29" w:name="diagnostics"/>
    <w:p>
      <w:pPr>
        <w:pStyle w:val="Heading3"/>
      </w:pPr>
      <w:r>
        <w:t>3.6 Diagnostics</w:t>
      </w:r>
    </w:p>
    <w:p>
      <w:pPr>
        <w:pStyle w:val="FirstParagraph"/>
      </w:pPr>
      <w:r>
        <w:t xml:space="preserve">The rank information coefficient is the Spearman correlation between the</w:t>
      </w:r>
      <w:r>
        <w:t xml:space="preserve"> </w:t>
      </w:r>
      <w:r>
        <w:t xml:space="preserve">signal and the forward 21-trading-day return at each formation date;</w:t>
      </w:r>
      <w:r>
        <w:t xml:space="preserve"> </w:t>
      </w:r>
      <w:r>
        <w:t xml:space="preserve">mean IC, IC standard deviation, IC information ratio, and the fraction of</w:t>
      </w:r>
      <w:r>
        <w:t xml:space="preserve"> </w:t>
      </w:r>
      <w:r>
        <w:t xml:space="preserve">positive periods are reported. Decile monotonicity is assessed from the</w:t>
      </w:r>
      <w:r>
        <w:t xml:space="preserve"> </w:t>
      </w:r>
      <w:r>
        <w:t xml:space="preserve">mean forward return of each decile and a Spearman correlation between</w:t>
      </w:r>
      <w:r>
        <w:t xml:space="preserve"> </w:t>
      </w:r>
      <w:r>
        <w:t xml:space="preserve">decile number and mean return. Factor decay is measured by the rank IC at</w:t>
      </w:r>
      <w:r>
        <w:t xml:space="preserve"> </w:t>
      </w:r>
      <w:r>
        <w:t xml:space="preserve">forward horizons of 21, 63, 126, and 252 trading days, corresponding to</w:t>
      </w:r>
      <w:r>
        <w:t xml:space="preserve"> </w:t>
      </w:r>
      <w:r>
        <w:t xml:space="preserve">roughly 1, 3, 6, and 12 months. Signal persistence is measured by the</w:t>
      </w:r>
      <w:r>
        <w:t xml:space="preserve"> </w:t>
      </w:r>
      <w:r>
        <w:t xml:space="preserve">rank autocorrelation of scores between adjacent formation dates, and</w:t>
      </w:r>
      <w:r>
        <w:t xml:space="preserve"> </w:t>
      </w:r>
      <w:r>
        <w:t xml:space="preserve">trading intensity by one-way and two-way turnover per rebalance.</w:t>
      </w:r>
    </w:p>
    <w:bookmarkEnd w:id="29"/>
    <w:bookmarkStart w:id="30" w:name="robustness-protocol"/>
    <w:p>
      <w:pPr>
        <w:pStyle w:val="Heading3"/>
      </w:pPr>
      <w:r>
        <w:t>3.7 Robustness protocol</w:t>
      </w:r>
    </w:p>
    <w:p>
      <w:pPr>
        <w:pStyle w:val="FirstParagraph"/>
      </w:pPr>
      <w:r>
        <w:t>Six complementary checks probe overfitting, fragility, and the possibility of a hidden data leak. First, formation-window perturbations rerun the long-short backtest under 9-1, 12-1, and 12-3 momentum specifications; a genuine effect should keep its sign and rough magnitude under these neighbors. Second, cost sensitivity reruns the backtest at 0, 5, 10, and 20 basis points one-way; net performance must decline monotonically, and the cost level at which the edge disappears is itself informative. Third, validation and test sample separation evaluates the fixed, ex ante configuration on the first and second halves of the sample; the second half serves as a pseudo out-of-sample test. Fourth, a coarse calendar regime breakdown reports performance within up to four contiguous multi-year sub-periods so that concentration of returns in a single regime is visible, and a companion true calendar-year table reports net performance for every individual year in the sample, which is the finer-grained sub-period view the specification calls for and the one that would expose a single anomalous year (a momentum-crash year or a value-drawdown year) that a coarser regime table could mask. Fifth, a negative control repeats the composite signal five times with its cross-sectional values randomly reassigned across tickers at each formation date, destroying any true stock-to-signal correspondence while leaving universe membership, timing, and cost mechanics unchanged; a leak-free engine must show the placebo signal's pooled rank IC statistically indistinguishable from zero. Finally, a written trial-count note discloses how many variants were examined, in recognition that silent selection among many trials inflates false-discovery risk.</w:t>
      </w:r>
    </w:p>
    <w:bookmarkEnd w:id="30"/>
    <w:bookmarkStart w:id="31" w:name="runtime-correctness-audit"/>
    <w:p>
      <w:pPr>
        <w:pStyle w:val="Heading3"/>
      </w:pPr>
      <w:r>
        <w:t>3.8 Runtime correctness audit</w:t>
      </w:r>
    </w:p>
    <w:p>
      <w:pPr>
        <w:pStyle w:val="FirstParagraph"/>
      </w:pPr>
      <w:r>
        <w:t xml:space="preserve">Every execution of the engine ends with hard assertions: each decile</w:t>
      </w:r>
      <w:r>
        <w:t xml:space="preserve"> </w:t>
      </w:r>
      <w:r>
        <w:t xml:space="preserve">weight vector sums to one and the long-short book to zero; the first</w:t>
      </w:r>
      <w:r>
        <w:t xml:space="preserve"> </w:t>
      </w:r>
      <w:r>
        <w:t xml:space="preserve">nonzero return of every book occurs no earlier than the first execution</w:t>
      </w:r>
      <w:r>
        <w:t xml:space="preserve"> </w:t>
      </w:r>
      <w:r>
        <w:t xml:space="preserve">day; all daily returns are finite; cumulative net performance weakly</w:t>
      </w:r>
      <w:r>
        <w:t xml:space="preserve"> </w:t>
      </w:r>
      <w:r>
        <w:t xml:space="preserve">underperforms cumulative gross performance for every book; an</w:t>
      </w:r>
      <w:r>
        <w:t xml:space="preserve"> </w:t>
      </w:r>
      <w:r>
        <w:t xml:space="preserve">independently reconstructed, monthly rebalanced equal-weight universe</w:t>
      </w:r>
      <w:r>
        <w:t xml:space="preserve"> </w:t>
      </w:r>
      <w:r>
        <w:t xml:space="preserve">series matches the engine’s benchmark book to high precision; and one</w:t>
      </w:r>
      <w:r>
        <w:t xml:space="preserve"> </w:t>
      </w:r>
      <w:r>
        <w:t xml:space="preserve">execution day’s profit and loss is exported with weights and raw prices so</w:t>
      </w:r>
      <w:r>
        <w:t xml:space="preserve"> </w:t>
      </w:r>
      <w:r>
        <w:t xml:space="preserve">the identity weighted stock returns minus cost equals portfolio return can</w:t>
      </w:r>
      <w:r>
        <w:t xml:space="preserve"> </w:t>
      </w:r>
      <w:r>
        <w:t xml:space="preserve">be verified by hand.</w:t>
      </w:r>
    </w:p>
    <w:bookmarkEnd w:id="31"/>
    <w:bookmarkEnd w:id="32"/>
    <w:bookmarkStart w:id="33" w:name="step-by-step-application"/>
    <w:p>
      <w:pPr>
        <w:pStyle w:val="Heading2"/>
      </w:pPr>
      <w:r>
        <w:t xml:space="preserve">4. Step-by-step application</w:t>
      </w:r>
    </w:p>
    <w:p>
      <w:pPr>
        <w:numPr>
          <w:ilvl w:val="0"/>
          <w:numId w:val="1001"/>
        </w:numPr>
        <w:pStyle w:val="Compact"/>
      </w:pPr>
      <w:r>
        <w:t xml:space="preserve">Install dependencies with pip install -r requirements.txt.</w:t>
      </w:r>
    </w:p>
    <w:p>
      <w:pPr>
        <w:numPr>
          <w:ilvl w:val="0"/>
          <w:numId w:val="1001"/>
        </w:numPr>
        <w:pStyle w:val="Compact"/>
      </w:pPr>
      <w:r>
        <w:t xml:space="preserve">Run the offline demonstration:</w:t>
      </w:r>
      <w:r>
        <w:t xml:space="preserve"> </w:t>
      </w:r>
      <w:r>
        <w:rPr>
          <w:rStyle w:val="VerbatimChar"/>
        </w:rPr>
        <w:t xml:space="preserve">python    Point_in_Time_Factor_Backtesting_Engine.py --mode synthetic</w:t>
      </w:r>
      <w:r>
        <w:t xml:space="preserve">. For a</w:t>
      </w:r>
      <w:r>
        <w:t xml:space="preserve"> </w:t>
      </w:r>
      <w:r>
        <w:t xml:space="preserve">quick smoke test, add</w:t>
      </w:r>
      <w:r>
        <w:t xml:space="preserve"> </w:t>
      </w:r>
      <w:r>
        <w:rPr>
          <w:rStyle w:val="VerbatimChar"/>
        </w:rPr>
        <w:t xml:space="preserve">--fast</w:t>
      </w:r>
      <w:r>
        <w:t xml:space="preserve">.</w:t>
      </w:r>
    </w:p>
    <w:p>
      <w:pPr>
        <w:numPr>
          <w:ilvl w:val="0"/>
          <w:numId w:val="1001"/>
        </w:numPr>
        <w:pStyle w:val="Compact"/>
      </w:pPr>
      <w:r>
        <w:t xml:space="preserve">To run on real data, prepare a long-format adjusted OHLCV CSV with the</w:t>
      </w:r>
      <w:r>
        <w:t xml:space="preserve"> </w:t>
      </w:r>
      <w:r>
        <w:t xml:space="preserve">schema in Section 2.1, optionally including mktcap and earnings_yield</w:t>
      </w:r>
      <w:r>
        <w:t xml:space="preserve"> </w:t>
      </w:r>
      <w:r>
        <w:t xml:space="preserve">or book_to_market columns, then run with</w:t>
      </w:r>
      <w:r>
        <w:t xml:space="preserve"> </w:t>
      </w:r>
      <w:r>
        <w:rPr>
          <w:rStyle w:val="VerbatimChar"/>
        </w:rPr>
        <w:t xml:space="preserve">--mode csv --data prices.csv</w:t>
      </w:r>
      <w:r>
        <w:t xml:space="preserve">.</w:t>
      </w:r>
    </w:p>
    <w:p>
      <w:pPr>
        <w:numPr>
          <w:ilvl w:val="0"/>
          <w:numId w:val="1001"/>
        </w:numPr>
        <w:pStyle w:val="Compact"/>
      </w:pPr>
      <w:r>
        <w:t xml:space="preserve">Inspect the console: it prints data dimensions, the metric suite,</w:t>
      </w:r>
      <w:r>
        <w:t xml:space="preserve"> </w:t>
      </w:r>
      <w:r>
        <w:t xml:space="preserve">turnover, diagnostics, robustness tables, and the audit results.</w:t>
      </w:r>
    </w:p>
    <w:p>
      <w:pPr>
        <w:numPr>
          <w:ilvl w:val="0"/>
          <w:numId w:val="1001"/>
        </w:numPr>
        <w:pStyle w:val="Compact"/>
      </w:pPr>
      <w:r>
        <w:t xml:space="preserve">Open the output directory: performance_summary.csv and the plot files</w:t>
      </w:r>
      <w:r>
        <w:t xml:space="preserve"> </w:t>
      </w:r>
      <w:r>
        <w:t xml:space="preserve">give the headline view; robustness_*.csv and trial_count_note.txt give</w:t>
      </w:r>
      <w:r>
        <w:t xml:space="preserve"> </w:t>
      </w:r>
      <w:r>
        <w:t xml:space="preserve">the honesty layer; hand_check_snapshot.csv supports manual P&amp;L</w:t>
      </w:r>
      <w:r>
        <w:t xml:space="preserve"> </w:t>
      </w:r>
      <w:r>
        <w:t xml:space="preserve">verification.</w:t>
      </w:r>
    </w:p>
    <w:bookmarkEnd w:id="33"/>
    <w:bookmarkStart w:id="34" w:name="implementation-notes"/>
    <w:p>
      <w:pPr>
        <w:pStyle w:val="Heading2"/>
      </w:pPr>
      <w:r>
        <w:t xml:space="preserve">5. Implementation notes</w:t>
      </w:r>
    </w:p>
    <w:p>
      <w:pPr>
        <w:pStyle w:val="FirstParagraph"/>
      </w:pPr>
      <w:r>
        <w:t xml:space="preserve">The engine is a single Python file organized into clearly delimited</w:t>
      </w:r>
      <w:r>
        <w:t xml:space="preserve"> </w:t>
      </w:r>
      <w:r>
        <w:t xml:space="preserve">sections: configuration, synthetic data generation, real data loading,</w:t>
      </w:r>
      <w:r>
        <w:t xml:space="preserve"> </w:t>
      </w:r>
      <w:r>
        <w:t xml:space="preserve">panel construction, universe construction, factor computation, signal</w:t>
      </w:r>
      <w:r>
        <w:t xml:space="preserve"> </w:t>
      </w:r>
      <w:r>
        <w:t xml:space="preserve">processing, portfolio construction, the explicit backtest loop, metrics,</w:t>
      </w:r>
      <w:r>
        <w:t xml:space="preserve"> </w:t>
      </w:r>
      <w:r>
        <w:t xml:space="preserve">diagnostics, robustness, correctness checks, plotting, and orchestration.</w:t>
      </w:r>
      <w:r>
        <w:t xml:space="preserve"> </w:t>
      </w:r>
      <w:r>
        <w:t xml:space="preserve">The backtest loop walks every trading day in order and holds portfolio</w:t>
      </w:r>
      <w:r>
        <w:t xml:space="preserve"> </w:t>
      </w:r>
      <w:r>
        <w:t xml:space="preserve">state in a small PortfolioBook class whose drift, execution, and cost</w:t>
      </w:r>
      <w:r>
        <w:t xml:space="preserve"> </w:t>
      </w:r>
      <w:r>
        <w:t xml:space="preserve">arithmetic is written out explicitly. All cross-sectional operations are</w:t>
      </w:r>
      <w:r>
        <w:t xml:space="preserve"> </w:t>
      </w:r>
      <w:r>
        <w:t xml:space="preserve">vectorized with pandas; all accounting identities are asserted at runtime.</w:t>
      </w:r>
    </w:p>
    <w:bookmarkEnd w:id="34"/>
    <w:bookmarkStart w:id="39" w:name="Xaac6751ff45b544c424fd64f69dfa6f3f9199fc"/>
    <w:p>
      <w:pPr>
        <w:pStyle w:val="Heading2"/>
      </w:pPr>
      <w:r>
        <w:t xml:space="preserve">6. Output interpretation (synthetic demonstration data)</w:t>
      </w:r>
    </w:p>
    <w:p>
      <w:pPr>
        <w:pStyle w:val="FirstParagraph"/>
      </w:pPr>
      <w:r>
        <w:t xml:space="preserve">The figures below describe the artificial demonstration data set generated</w:t>
      </w:r>
      <w:r>
        <w:t xml:space="preserve"> </w:t>
      </w:r>
      <w:r>
        <w:t xml:space="preserve">by synthetic mode. They show that the machinery behaves as designed; they</w:t>
      </w:r>
      <w:r>
        <w:t xml:space="preserve"> </w:t>
      </w:r>
      <w:r>
        <w:t xml:space="preserve">are not evidence about real markets.</w:t>
      </w:r>
    </w:p>
    <w:bookmarkStart w:id="35" w:name="headline-performance"/>
    <w:p>
      <w:pPr>
        <w:pStyle w:val="Heading3"/>
      </w:pPr>
      <w:r>
        <w:t xml:space="preserve">6.1 Headline performance</w:t>
      </w:r>
    </w:p>
    <w:p>
      <w:pPr>
        <w:pStyle w:val="FirstParagraph"/>
      </w:pPr>
      <w:r>
        <w:t>Over the full synthetic sample, the dollar-neutral long-short composite earned an annualized net return of approximately 12.5% with an annualized volatility of approximately 7.7%, for a net Sharpe ratio of approximately 1.57, a net Sortino ratio of approximately 2.77, a net Calmar ratio of approximately 1.55, and a maximum drawdown of approximately -8.1%. The long-only top decile earned approximately 21.5% annualized net, versus approximately 11.9% for the naive equal-weighted benchmark. Gross and net curves differ by realized costs, and the audit confirms net is always the weaker of the two. A rough, explicitly non-rigorous capacity estimate (5% of median daily dollar volume, spread across the roughly 100 names held by the long-short book) puts the order of magnitude at approximately 2.4 billion dollars of NAV before a single name's rebalance trade would exceed that participation threshold; this is a liquidity sanity check, not a market-impact model, and should not be read as a precise capacity figure.</w:t>
      </w:r>
    </w:p>
    <w:bookmarkEnd w:id="35"/>
    <w:bookmarkStart w:id="36" w:name="signal-quality"/>
    <w:p>
      <w:pPr>
        <w:pStyle w:val="Heading3"/>
      </w:pPr>
      <w:r>
        <w:t xml:space="preserve">6.2 Signal quality</w:t>
      </w:r>
    </w:p>
    <w:p>
      <w:pPr>
        <w:pStyle w:val="FirstParagraph"/>
      </w:pPr>
      <w:r>
        <w:t xml:space="preserve">The composite signal achieved a mean monthly rank IC of approximately</w:t>
      </w:r>
      <w:r>
        <w:t xml:space="preserve"> </w:t>
      </w:r>
      <w:r>
        <w:t xml:space="preserve">0.032 with an IC information ratio of 0.67 and 70.5% of</w:t>
      </w:r>
      <w:r>
        <w:t xml:space="preserve"> </w:t>
      </w:r>
      <w:r>
        <w:t xml:space="preserve">months positive, values squarely inside the range the empirical</w:t>
      </w:r>
      <w:r>
        <w:t xml:space="preserve"> </w:t>
      </w:r>
      <w:r>
        <w:t xml:space="preserve">literature considers plausible for monthly equity factors. Mean forward</w:t>
      </w:r>
      <w:r>
        <w:t xml:space="preserve"> </w:t>
      </w:r>
      <w:r>
        <w:t xml:space="preserve">returns rise broadly across deciles, and the decile monotonicity</w:t>
      </w:r>
      <w:r>
        <w:t xml:space="preserve"> </w:t>
      </w:r>
      <w:r>
        <w:t xml:space="preserve">statistic (Spearman correlation between decile number and mean forward</w:t>
      </w:r>
      <w:r>
        <w:t xml:space="preserve"> </w:t>
      </w:r>
      <w:r>
        <w:t xml:space="preserve">return) is 0.88. The signal’s month-to-month rank autocorrelation</w:t>
      </w:r>
      <w:r>
        <w:t xml:space="preserve"> </w:t>
      </w:r>
      <w:r>
        <w:t xml:space="preserve">averages 0.95, indicating a persistent, low-churn ranking, and the</w:t>
      </w:r>
      <w:r>
        <w:t xml:space="preserve"> </w:t>
      </w:r>
      <w:r>
        <w:t xml:space="preserve">long-short book turns over roughly 48.7% of notional per</w:t>
      </w:r>
      <w:r>
        <w:t xml:space="preserve"> </w:t>
      </w:r>
      <w:r>
        <w:t xml:space="preserve">rebalance on a one-way basis.</w:t>
      </w:r>
    </w:p>
    <w:bookmarkEnd w:id="36"/>
    <w:bookmarkStart w:id="37" w:name="decay-and-robustness"/>
    <w:p>
      <w:pPr>
        <w:pStyle w:val="Heading3"/>
      </w:pPr>
      <w:r>
        <w:t xml:space="preserve">6.3 Decay and robustness</w:t>
      </w:r>
    </w:p>
    <w:p>
      <w:pPr>
        <w:pStyle w:val="FirstParagraph"/>
      </w:pPr>
      <w:r>
        <w:t>Rank IC in the demonstration data is 0.032 at one month, rising to 0.115 at twelve months, reflecting the persistent value component embedded in the generator; in real data, practitioners should expect momentum-dominated signals to decay rather than rise with horizon. Formation-window perturbations leave the long-short result with the same sign and similar magnitude (net Sharpe 1.74 for 9-1, 1.57 for 12-1, 1.63 for 12-3), indicating the finding is not an artifact of one parameter choice. Cost sensitivity shows the expected monotone decline in net performance as one-way costs rise from 0 to 20 basis points (net Sharpe 1.72 at 0 bps down to 1.42 at 20 bps). Bucket count and weighting also degrade gracefully rather than inverting: quintiles (net Sharpe 2.10) and vol-inverse weighting (net Sharpe 1.77) both keep the same sign and order of magnitude as the decile, equal-weighted baseline (net Sharpe 1.57), which is the qualitative behavior the specification calls for from a genuine, non-overfit signal. Rebalance frequency shows the expected turnover reduction as rebalancing slows (two-way turnover per rebalance rises from 0.97 monthly to 1.62 quarterly to 2.16 semiannually, while the number of rebalances per year falls correspondingly, so annualized turnover still declines); in this demonstration data net Sharpe does not degrade at lower frequencies (1.57 monthly, 1.59 quarterly, 1.84 semiannual) because the synthetic signal is unusually persistent, which is itself a reminder that this behavior is a property of the synthetic generator and should not be extrapolated to real markets, where staler signals typically do lose edge. Split-sample results are reported in robustness_split_sample.csv, regime results in robustness_regimes.csv, and the full calendar-year breakdown in robustness_calendar_year.csv; all are descriptive and accompany the written trial-count disclosure in trial_count_note.txt.</w:t>
      </w:r>
    </w:p>
    <w:bookmarkEnd w:id="37"/>
    <w:bookmarkStart w:id="38" w:name="correctness-audit"/>
    <w:p>
      <w:pPr>
        <w:pStyle w:val="Heading3"/>
      </w:pPr>
      <w:r>
        <w:t xml:space="preserve">6.4 Correctness audit</w:t>
      </w:r>
    </w:p>
    <w:p>
      <w:pPr>
        <w:pStyle w:val="FirstParagraph"/>
      </w:pPr>
      <w:r>
        <w:t>All runtime checks passed on the demonstration run: weights feasible, no position before its signal, returns finite, costs reducing performance, the independent equal-weight benchmark matching the engine's accounting (daily return correlation 1.0000, cumulative growth gap 0.0011), and the hand-checkable P&amp;L identity for a sampled execution day reproduced to machine precision. A negative control adds an independent leak check: shuffling the composite signal cross-sectionally across five independent draws and rerunning the full backtest yields a pooled mean rank IC of -0.0020 (t-statistic -1.24, not statistically distinguishable from zero), in clear contrast to the real signal's mean IC of 0.032. Because the placebo signal carries no information yet the engine still executes it under the identical timing and cost mechanics as the real signal, this is direct evidence that the real signal's performance comes from the deliberately embedded factor structure rather than from a timing or accounting leak in the simulation.</w:t>
      </w:r>
    </w:p>
    <w:p>
      <w:pPr>
        <w:pStyle w:val="Heading3"/>
      </w:pPr>
      <w:r>
        <w:t>6.5 Comparison to published factor evidence and an honest caveat about magnitude</w:t>
      </w:r>
    </w:p>
    <w:p>
      <w:pPr>
        <w:pStyle w:val="FirstParagraph"/>
      </w:pPr>
      <w:r>
        <w:t>The published empirical literature on 12-1 price momentum long-short portfolios in liquid, large-capitalization equity universes generally reports a gross Sharpe ratio in the rough range of 0.4 to 0.8, with net Sharpe lower once realistic trading costs and, on the short leg, borrow costs are applied. This project's demonstration run reports a materially higher figure: a gross long-short Sharpe of 1.72 and a net Sharpe of 1.57. That gap is real and is stated plainly rather than smoothed over: these synthetic-data results do not corroborate the published evidence, and they are not intended to.</w:t>
      </w:r>
    </w:p>
    <w:p>
      <w:pPr>
        <w:pStyle w:val="BodyText"/>
      </w:pPr>
      <w:r>
        <w:t>The gap is attributable to how the synthetic generator is built, not to a bug in the engine. Every runtime correctness check passes, the independent equal-weight benchmark reconciles to within 0.11% of cumulative growth, the hand-checked P&amp;L identity matches to machine precision, and the negative control shows a shuffled signal's predictive power collapses to statistical noise. What produces the unusually high Sharpe instead is that the synthetic momentum-drift trait driving expected returns is a smoothly, slowly mean-reverting process (daily autoregressive coefficient 0.98) that is shared consistently between the ranking date and the realized holding period, diversified across roughly fifty names on each leg of the long-short book. Real markets do not offer a signal this clean: factor regimes shift, crowding erodes edges over time, factor loadings decay unevenly across names, and idiosyncratic shocks are fat-tailed in ways this generator does not reproduce. The reader's takeaway should therefore be narrow and specific: this run demonstrates that the engine computes exactly what it claims to compute, under a synthetic data-generating process with a strong embedded signal. It does not demonstrate that a 12-1 momentum plus lagged earnings-yield composite would earn a Sharpe near 1.6 on real markets, and treating these headline numbers as market evidence would be a misreading of what the demonstration mode is for.</w:t>
      </w:r>
    </w:p>
    <w:bookmarkEnd w:id="38"/>
    <w:bookmarkEnd w:id="39"/>
    <w:bookmarkStart w:id="40" w:name="Xe3d2a84cf788e95321c79965ba5b1156a6bf81a"/>
    <w:p>
      <w:pPr>
        <w:pStyle w:val="Heading2"/>
      </w:pPr>
      <w:r>
        <w:t xml:space="preserve">7. Validation against underfitting and overfitting</w:t>
      </w:r>
    </w:p>
    <w:p>
      <w:pPr>
        <w:pStyle w:val="FirstParagraph"/>
      </w:pPr>
      <w:r>
        <w:t xml:space="preserve">Underfitting is guarded against by using economically motivated, standard</w:t>
      </w:r>
      <w:r>
        <w:t xml:space="preserve"> </w:t>
      </w:r>
      <w:r>
        <w:t xml:space="preserve">factor definitions rather than a specification tuned to the data, and by</w:t>
      </w:r>
      <w:r>
        <w:t xml:space="preserve"> </w:t>
      </w:r>
      <w:r>
        <w:t xml:space="preserve">confirming that the signal carries genuine cross-sectional information</w:t>
      </w:r>
      <w:r>
        <w:t xml:space="preserve"> </w:t>
      </w:r>
      <w:r>
        <w:t xml:space="preserve">(positive mean IC, broad decile ordering, low churn). Overfitting is</w:t>
      </w:r>
      <w:r>
        <w:t xml:space="preserve"> </w:t>
      </w:r>
      <w:r>
        <w:t xml:space="preserve">addressed on five fronts: formation-window perturbations show the result</w:t>
      </w:r>
      <w:r>
        <w:t xml:space="preserve"> </w:t>
      </w:r>
      <w:r>
        <w:t xml:space="preserve">is not knife-edged in parameter space; the validation and test split keeps</w:t>
      </w:r>
      <w:r>
        <w:t xml:space="preserve"> </w:t>
      </w:r>
      <w:r>
        <w:t xml:space="preserve">the second half of the sample untouched by any design choice; cost</w:t>
      </w:r>
      <w:r>
        <w:t xml:space="preserve"> </w:t>
      </w:r>
      <w:r>
        <w:t xml:space="preserve">sensitivity shows whether the edge survives realistic frictions; the</w:t>
      </w:r>
      <w:r>
        <w:t xml:space="preserve"> </w:t>
      </w:r>
      <w:r>
        <w:t xml:space="preserve">regime breakdown exposes any concentration of returns in one calendar</w:t>
      </w:r>
      <w:r>
        <w:t xml:space="preserve"> </w:t>
      </w:r>
      <w:r>
        <w:t xml:space="preserve">period; and the trial-count note keeps the multiple-testing burden</w:t>
      </w:r>
      <w:r>
        <w:t xml:space="preserve"> </w:t>
      </w:r>
      <w:r>
        <w:t xml:space="preserve">explicit. IC magnitudes are deliberately kept in the realistic 0.02 to</w:t>
      </w:r>
      <w:r>
        <w:t xml:space="preserve"> </w:t>
      </w:r>
      <w:r>
        <w:t xml:space="preserve">0.08 band in the demonstration generator, because synthetic demonstrations</w:t>
      </w:r>
      <w:r>
        <w:t xml:space="preserve"> </w:t>
      </w:r>
      <w:r>
        <w:t xml:space="preserve">that produce near-perfect ICs teach the wrong intuition about what real</w:t>
      </w:r>
      <w:r>
        <w:t xml:space="preserve"> </w:t>
      </w:r>
      <w:r>
        <w:t xml:space="preserve">factors look like.</w:t>
      </w:r>
    </w:p>
    <w:bookmarkEnd w:id="40"/>
    <w:bookmarkStart w:id="41" w:name="limitations"/>
    <w:p>
      <w:pPr>
        <w:pStyle w:val="Heading2"/>
      </w:pPr>
      <w:r>
        <w:t xml:space="preserve">8. Limitations</w:t>
      </w:r>
    </w:p>
    <w:p>
      <w:pPr>
        <w:numPr>
          <w:ilvl w:val="0"/>
          <w:numId w:val="1002"/>
        </w:numPr>
        <w:pStyle w:val="Compact"/>
      </w:pPr>
      <w:r>
        <w:t xml:space="preserve">The headline statistics quoted here come from synthetic data with an</w:t>
      </w:r>
      <w:r>
        <w:t xml:space="preserve"> </w:t>
      </w:r>
      <w:r>
        <w:t xml:space="preserve">embedded factor structure chosen by the author; they demonstrate</w:t>
      </w:r>
      <w:r>
        <w:t xml:space="preserve"> </w:t>
      </w:r>
      <w:r>
        <w:t xml:space="preserve">mechanics only.</w:t>
      </w:r>
    </w:p>
    <w:p>
      <w:pPr>
        <w:numPr>
          <w:ilvl w:val="0"/>
          <w:numId w:val="1002"/>
        </w:numPr>
        <w:pStyle w:val="Compact"/>
      </w:pPr>
      <w:r>
        <w:t xml:space="preserve">The risk-free rate is taken as zero in Sharpe calculations.</w:t>
      </w:r>
    </w:p>
    <w:p>
      <w:pPr>
        <w:numPr>
          <w:ilvl w:val="0"/>
          <w:numId w:val="1002"/>
        </w:numPr>
        <w:pStyle w:val="Compact"/>
      </w:pPr>
      <w:r>
        <w:t xml:space="preserve">The short side of the long-short book ignores borrow costs, short</w:t>
      </w:r>
      <w:r>
        <w:t xml:space="preserve"> </w:t>
      </w:r>
      <w:r>
        <w:t xml:space="preserve">availability, and margin requirements, all of which degrade real</w:t>
      </w:r>
      <w:r>
        <w:t xml:space="preserve"> </w:t>
      </w:r>
      <w:r>
        <w:t xml:space="preserve">net performance.</w:t>
      </w:r>
    </w:p>
    <w:p>
      <w:pPr>
        <w:numPr>
          <w:ilvl w:val="0"/>
          <w:numId w:val="1002"/>
        </w:numPr>
        <w:pStyle w:val="Compact"/>
      </w:pPr>
      <w:r>
        <w:t xml:space="preserve">Equal-weighted deciles ignore capacity; a real implementation should</w:t>
      </w:r>
      <w:r>
        <w:t xml:space="preserve"> </w:t>
      </w:r>
      <w:r>
        <w:t xml:space="preserve">study weighting by liquidity and market impact beyond the flat 10 bps</w:t>
      </w:r>
      <w:r>
        <w:t xml:space="preserve"> </w:t>
      </w:r>
      <w:r>
        <w:t xml:space="preserve">assumption.</w:t>
      </w:r>
    </w:p>
    <w:p>
      <w:pPr>
        <w:numPr>
          <w:ilvl w:val="0"/>
          <w:numId w:val="1002"/>
        </w:numPr>
        <w:pStyle w:val="Compact"/>
      </w:pPr>
      <w:r>
        <w:t xml:space="preserve">Stocks with missing daily returns are treated as flat for the day;</w:t>
      </w:r>
      <w:r>
        <w:t xml:space="preserve"> </w:t>
      </w:r>
      <w:r>
        <w:t xml:space="preserve">corporate actions and delistings in real data require dedicated</w:t>
      </w:r>
      <w:r>
        <w:t xml:space="preserve"> </w:t>
      </w:r>
      <w:r>
        <w:t xml:space="preserve">handling and a point-in-time vendor.</w:t>
      </w:r>
    </w:p>
    <w:p>
      <w:pPr>
        <w:numPr>
          <w:ilvl w:val="0"/>
          <w:numId w:val="1002"/>
        </w:numPr>
        <w:pStyle w:val="Compact"/>
      </w:pPr>
      <w:r>
        <w:t xml:space="preserve">Sector exposures are not neutralized; sector-tilted factor loads can</w:t>
      </w:r>
      <w:r>
        <w:t xml:space="preserve"> </w:t>
      </w:r>
      <w:r>
        <w:t xml:space="preserve">masquerade as stock-selection skill.</w:t>
      </w:r>
    </w:p>
    <w:p>
      <w:pPr>
        <w:numPr>
          <w:ilvl w:val="0"/>
          <w:numId w:val="1002"/>
        </w:numPr>
        <w:pStyle w:val="Compact"/>
      </w:pPr>
      <w:r>
        <w:t xml:space="preserve">The trial-count disclosure mitigates but does not formally correct for</w:t>
      </w:r>
      <w:r>
        <w:t xml:space="preserve"> </w:t>
      </w:r>
      <w:r>
        <w:t xml:space="preserve">multiple testing; a deflated Sharpe ratio or similar adjustment is a</w:t>
      </w:r>
      <w:r>
        <w:t xml:space="preserve"> </w:t>
      </w:r>
      <w:r>
        <w:t xml:space="preserve">natural extension.</w:t>
      </w:r>
    </w:p>
    <w:bookmarkEnd w:id="41"/>
    <w:bookmarkStart w:id="42" w:name="conclusion"/>
    <w:p>
      <w:pPr>
        <w:pStyle w:val="Heading2"/>
      </w:pPr>
      <w:r>
        <w:t xml:space="preserve">9. Conclusion</w:t>
      </w:r>
    </w:p>
    <w:p>
      <w:pPr>
        <w:pStyle w:val="FirstParagraph"/>
      </w:pPr>
      <w:r>
        <w:t xml:space="preserve">The project delivers a transparent, fully auditable cross-sectional factor</w:t>
      </w:r>
      <w:r>
        <w:t xml:space="preserve"> </w:t>
      </w:r>
      <w:r>
        <w:t xml:space="preserve">backtesting engine in which timing discipline, cost realism, and</w:t>
      </w:r>
      <w:r>
        <w:t xml:space="preserve"> </w:t>
      </w:r>
      <w:r>
        <w:t xml:space="preserve">correctness verification are first-class design features rather than</w:t>
      </w:r>
      <w:r>
        <w:t xml:space="preserve"> </w:t>
      </w:r>
      <w:r>
        <w:t xml:space="preserve">post-hoc checks. The demonstration run confirms that the machinery</w:t>
      </w:r>
      <w:r>
        <w:t xml:space="preserve"> </w:t>
      </w:r>
      <w:r>
        <w:t xml:space="preserve">produces internally consistent, hand-verifiable results: feasible weights,</w:t>
      </w:r>
      <w:r>
        <w:t xml:space="preserve"> </w:t>
      </w:r>
      <w:r>
        <w:t xml:space="preserve">no pre-signal positions, monotone cost impact, plausible information</w:t>
      </w:r>
      <w:r>
        <w:t xml:space="preserve"> </w:t>
      </w:r>
      <w:r>
        <w:t xml:space="preserve">coefficients, and stable performance under perturbation. The same code</w:t>
      </w:r>
      <w:r>
        <w:t xml:space="preserve"> </w:t>
      </w:r>
      <w:r>
        <w:t xml:space="preserve">accepts real adjusted OHLCV input with optional point-in-time</w:t>
      </w:r>
      <w:r>
        <w:t xml:space="preserve"> </w:t>
      </w:r>
      <w:r>
        <w:t xml:space="preserve">fundamentals, providing a direct path from offline demonstration to</w:t>
      </w:r>
      <w:r>
        <w:t xml:space="preserve"> </w:t>
      </w:r>
      <w:r>
        <w:t xml:space="preserve">genuine research. The natural next steps are sector-neutral scoring,</w:t>
      </w:r>
      <w:r>
        <w:t xml:space="preserve"> </w:t>
      </w:r>
      <w:r>
        <w:t xml:space="preserve">borrow and capacity modeling for the short book, and a formal</w:t>
      </w:r>
      <w:r>
        <w:t xml:space="preserve"> </w:t>
      </w:r>
      <w:r>
        <w:t xml:space="preserve">multiple-testing adjustment.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2026-08-12T00:20:11Z</dcterms:created>
  <dcterms:modified xsi:type="dcterms:W3CDTF">2026-08-12T00:20:11Z</dcterms:modified>
</cp:coreProperties>
</file>

<file path=docProps/custom.xml><?xml version="1.0" encoding="utf-8"?>
<Properties xmlns="http://schemas.openxmlformats.org/officeDocument/2006/custom-properties" xmlns:vt="http://schemas.openxmlformats.org/officeDocument/2006/docPropsVTypes"/>
</file>