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c709c047a14385bb5d633edc0b7bb5e01c98ec"/>
    <w:p>
      <w:pPr>
        <w:pStyle w:val="Heading1"/>
      </w:pPr>
      <w:r>
        <w:t xml:space="preserve">Constructing Arbitrage-Free Implied Volatility Surfaces with SVI and SSVI: A Calibration Study on Index Option Chains</w:t>
      </w:r>
    </w:p>
    <w:bookmarkStart w:id="20" w:name="abstract"/>
    <w:p>
      <w:pPr>
        <w:pStyle w:val="Heading2"/>
      </w:pPr>
      <w:r>
        <w:t xml:space="preserve">Abstract</w:t>
      </w:r>
    </w:p>
    <w:p>
      <w:pPr>
        <w:pStyle w:val="FirstParagraph"/>
      </w:pPr>
      <w:r>
        <w:t>This project develops and validates a complete pipeline for constructing an arbitrage-free implied volatility surface from index option quotes, using the Stochastic Volatility Inspired (SVI) parametrization of Gatheral (2004) for individual expiry slices and the Surface SVI (SSVI) parametrization of Gatheral and Jacquier (2014) for the joint surface. Starting from raw bid and ask quotes, the pipeline enforces liquidity and maturity filters, recovers the expiry forward from put-call parity by regression, inverts option prices into Black-76 implied volatilities using Brent’s method with a bisection fallback, and expresses the smile in total implied variance and log-forward moneyness coordinates. Each expiry is calibrated with bound-constrained nonlinear least squares, using spread-based loss weights and a multi-start strategy to guard against local minima. The surface is then re-parameterized in SSVI form with a non-decreasing at-the-money total variance term structure, which eliminates calendar spread arbitrage by construction, and butterfly arbitrage is tested on a fine grid through the Gatheral-Jacquier g(k) condition. On a controlled synthetic benchmark, the pipeline attains a put-call parity residual of 0.005 basis points of the forward, a median slice root-mean-square error of 0.085 volatility points, zero calendar arbitrage violations, and zero butterfly violations across the surface grid and every individually fitted raw SVI slice. The same pipeline is also run on two stylized synthetic regimes, a calm 2023-2024-style market and a stressed 2022-bear-market-style market, to demonstrate that fit quality and arbitrage freedom hold up under both a low-volatility and a high-volatility, steep-skew environment. All reported figures are produced from synthetic demonstration data and are clearly labeled as such; the identical code path accepts real SPX or NIFTY option chain files without modification.</w:t>
      </w:r>
      <w:r/>
      <w:r/>
      <w:r/>
      <w:r/>
      <w:r/>
      <w:r/>
      <w:r/>
      <w:r/>
      <w:r/>
      <w:r/>
      <w:r/>
      <w:r/>
      <w:r/>
      <w:r/>
      <w:r/>
      <w:r/>
      <w:r/>
      <w:r/>
      <w:r/>
      <w:r/>
      <w:r/>
      <w:r/>
      <w:r/>
      <w:r/>
      <w:r/>
      <w:r/>
      <w:r/>
      <w:r/>
      <w:r/>
      <w:r/>
      <w:r/>
      <w:r/>
      <w:r/>
      <w:r/>
      <w:r/>
      <w:r/>
      <w:r/>
      <w:r/>
      <w:r/>
      <w:r/>
    </w:p>
    <w:bookmarkEnd w:id="20"/>
    <w:bookmarkStart w:id="21" w:name="introduction"/>
    <w:p>
      <w:pPr>
        <w:pStyle w:val="Heading2"/>
      </w:pPr>
      <w:r>
        <w:t xml:space="preserve">1. Introduction</w:t>
      </w:r>
    </w:p>
    <w:p>
      <w:pPr>
        <w:pStyle w:val="FirstParagraph"/>
      </w:pPr>
      <w:r>
        <w:t xml:space="preserve">The implied volatility surface is the central object in derivatives pricing,</w:t>
      </w:r>
      <w:r>
        <w:t xml:space="preserve"> </w:t>
      </w:r>
      <w:r>
        <w:t xml:space="preserve">risk management, and relative value trading. Market makers, quantitative</w:t>
      </w:r>
      <w:r>
        <w:t xml:space="preserve"> </w:t>
      </w:r>
      <w:r>
        <w:t xml:space="preserve">researchers, and risk teams all require a smooth, arbitrage-free mapping from</w:t>
      </w:r>
      <w:r>
        <w:t xml:space="preserve"> </w:t>
      </w:r>
      <w:r>
        <w:t xml:space="preserve">strike and maturity to implied volatility, because any arbitrage embedded in</w:t>
      </w:r>
      <w:r>
        <w:t xml:space="preserve"> </w:t>
      </w:r>
      <w:r>
        <w:t xml:space="preserve">the surface propagates directly into exotic option prices, hedge ratios, and</w:t>
      </w:r>
      <w:r>
        <w:t xml:space="preserve"> </w:t>
      </w:r>
      <w:r>
        <w:t xml:space="preserve">value-at-risk estimates. Raw market quotes, however, are discrete, noisy, and</w:t>
      </w:r>
      <w:r>
        <w:t xml:space="preserve"> </w:t>
      </w:r>
      <w:r>
        <w:t xml:space="preserve">subject to bid-ask bounce, so a parametrization step is unavoidable.</w:t>
      </w:r>
    </w:p>
    <w:p>
      <w:pPr>
        <w:pStyle w:val="BodyText"/>
      </w:pPr>
      <w:r>
        <w:t xml:space="preserve">This project implements the two parametrizations that have become the</w:t>
      </w:r>
      <w:r>
        <w:t xml:space="preserve"> </w:t>
      </w:r>
      <w:r>
        <w:t xml:space="preserve">practical industry standard: raw SVI for single expiries and SSVI for the full</w:t>
      </w:r>
      <w:r>
        <w:t xml:space="preserve"> </w:t>
      </w:r>
      <w:r>
        <w:t xml:space="preserve">surface. The emphasis is not only on fitting quality but on financial</w:t>
      </w:r>
      <w:r>
        <w:t xml:space="preserve"> </w:t>
      </w:r>
      <w:r>
        <w:t xml:space="preserve">correctness. A surface that interpolates quotes well but admits butterfly or</w:t>
      </w:r>
      <w:r>
        <w:t xml:space="preserve"> </w:t>
      </w:r>
      <w:r>
        <w:t xml:space="preserve">calendar arbitrage is unusable in production. The pipeline therefore treats</w:t>
      </w:r>
      <w:r>
        <w:t xml:space="preserve"> </w:t>
      </w:r>
      <w:r>
        <w:t xml:space="preserve">arbitrage diagnostics as first-class outputs rather than afterthoughts, and</w:t>
      </w:r>
      <w:r>
        <w:t xml:space="preserve"> </w:t>
      </w:r>
      <w:r>
        <w:t xml:space="preserve">every stage includes explicit sanity checks: forwards must be consistent with</w:t>
      </w:r>
      <w:r>
        <w:t xml:space="preserve"> </w:t>
      </w:r>
      <w:r>
        <w:t xml:space="preserve">put-call parity, implied volatilities must be positive, total variance must be</w:t>
      </w:r>
      <w:r>
        <w:t xml:space="preserve"> </w:t>
      </w:r>
      <w:r>
        <w:t xml:space="preserve">non-negative and non-decreasing in maturity, and the butterfly condition must</w:t>
      </w:r>
      <w:r>
        <w:t xml:space="preserve"> </w:t>
      </w:r>
      <w:r>
        <w:t xml:space="preserve">hold on a grid far finer than the observed strike spacing.</w:t>
      </w:r>
    </w:p>
    <w:p>
      <w:pPr>
        <w:pStyle w:val="BodyText"/>
      </w:pPr>
      <w:r>
        <w:t xml:space="preserve">The target data set is three years of daily SPX or NIFTY option chains from</w:t>
      </w:r>
      <w:r>
        <w:t xml:space="preserve"> </w:t>
      </w:r>
      <w:r>
        <w:t xml:space="preserve">2022 to 2025. Because licensed historical option data is not redistributable,</w:t>
      </w:r>
      <w:r>
        <w:t xml:space="preserve"> </w:t>
      </w:r>
      <w:r>
        <w:t xml:space="preserve">the delivered project runs out of the box on a clearly labeled synthetic</w:t>
      </w:r>
      <w:r>
        <w:t xml:space="preserve"> </w:t>
      </w:r>
      <w:r>
        <w:t xml:space="preserve">demonstration data set whose ground truth is a known SSVI surface, while the</w:t>
      </w:r>
      <w:r>
        <w:t xml:space="preserve"> </w:t>
      </w:r>
      <w:r>
        <w:t xml:space="preserve">real-data workflow is fully implemented and documented for the user’s own</w:t>
      </w:r>
      <w:r>
        <w:t xml:space="preserve"> </w:t>
      </w:r>
      <w:r>
        <w:t xml:space="preserve">data files.</w:t>
      </w:r>
    </w:p>
    <w:bookmarkEnd w:id="21"/>
    <w:bookmarkStart w:id="28" w:name="methodology"/>
    <w:p>
      <w:pPr>
        <w:pStyle w:val="Heading2"/>
      </w:pPr>
      <w:r>
        <w:t xml:space="preserve">2. Methodology</w:t>
      </w:r>
    </w:p>
    <w:bookmarkStart w:id="22" w:name="data-cleaning-and-validation"/>
    <w:p>
      <w:pPr>
        <w:pStyle w:val="Heading3"/>
      </w:pPr>
      <w:r>
        <w:t xml:space="preserve">2.1 Data cleaning and validation</w:t>
      </w:r>
    </w:p>
    <w:p>
      <w:pPr>
        <w:pStyle w:val="FirstParagraph"/>
      </w:pPr>
      <w:r>
        <w:t xml:space="preserve">Raw option chain files are validated against a documented schema (expiry,</w:t>
      </w:r>
      <w:r>
        <w:t xml:space="preserve"> </w:t>
      </w:r>
      <w:r>
        <w:t xml:space="preserve">strike, option type, bid, ask, open interest, volume). Column aliases from</w:t>
      </w:r>
      <w:r>
        <w:t xml:space="preserve"> </w:t>
      </w:r>
      <w:r>
        <w:t xml:space="preserve">common vendor formats are harmonized automatically. The cleaning stage applies</w:t>
      </w:r>
      <w:r>
        <w:t xml:space="preserve"> </w:t>
      </w:r>
      <w:r>
        <w:t xml:space="preserve">the following filters, each logged with a row-level accounting so the process</w:t>
      </w:r>
      <w:r>
        <w:t xml:space="preserve"> </w:t>
      </w:r>
      <w:r>
        <w:t xml:space="preserve">is fully auditable:</w:t>
      </w:r>
    </w:p>
    <w:p>
      <w:pPr>
        <w:numPr>
          <w:ilvl w:val="0"/>
          <w:numId w:val="1001"/>
        </w:numPr>
        <w:pStyle w:val="Compact"/>
      </w:pPr>
      <w:r>
        <w:t xml:space="preserve">Bid strictly greater than zero.</w:t>
      </w:r>
    </w:p>
    <w:p>
      <w:pPr>
        <w:numPr>
          <w:ilvl w:val="0"/>
          <w:numId w:val="1001"/>
        </w:numPr>
        <w:pStyle w:val="Compact"/>
      </w:pPr>
      <w:r>
        <w:t xml:space="preserve">Open interest or traded volume strictly greater than zero.</w:t>
      </w:r>
    </w:p>
    <w:p>
      <w:pPr>
        <w:numPr>
          <w:ilvl w:val="0"/>
          <w:numId w:val="1001"/>
        </w:numPr>
        <w:pStyle w:val="Compact"/>
      </w:pPr>
      <w:r>
        <w:t xml:space="preserve">Days to expiry strictly between 7 and 365.</w:t>
      </w:r>
    </w:p>
    <w:p>
      <w:pPr>
        <w:numPr>
          <w:ilvl w:val="0"/>
          <w:numId w:val="1001"/>
        </w:numPr>
        <w:pStyle w:val="Compact"/>
      </w:pPr>
      <w:r>
        <w:t xml:space="preserve">Ask at least as large as bid (no locked or crossed markets).</w:t>
      </w:r>
    </w:p>
    <w:p>
      <w:pPr>
        <w:numPr>
          <w:ilvl w:val="0"/>
          <w:numId w:val="1001"/>
        </w:numPr>
        <w:pStyle w:val="Compact"/>
      </w:pPr>
      <w:r>
        <w:t xml:space="preserve">Forward moneyness K/F between 0.8 and 1.2, applied after forward estimation.</w:t>
      </w:r>
    </w:p>
    <w:p>
      <w:pPr>
        <w:pStyle w:val="FirstParagraph"/>
      </w:pPr>
      <w:r>
        <w:t xml:space="preserve">Two further professional filters are applied during panel construction. First,</w:t>
      </w:r>
      <w:r>
        <w:t xml:space="preserve"> </w:t>
      </w:r>
      <w:r>
        <w:t xml:space="preserve">only out-of-the-money quotes are retained for calibration (calls above the</w:t>
      </w:r>
      <w:r>
        <w:t xml:space="preserve"> </w:t>
      </w:r>
      <w:r>
        <w:t xml:space="preserve">forward, puts below it), because deep in-the-money option prices are dominated</w:t>
      </w:r>
      <w:r>
        <w:t xml:space="preserve"> </w:t>
      </w:r>
      <w:r>
        <w:t xml:space="preserve">by intrinsic value and a single tick of price noise translates into a large</w:t>
      </w:r>
      <w:r>
        <w:t xml:space="preserve"> </w:t>
      </w:r>
      <w:r>
        <w:t xml:space="preserve">implied volatility error. Second, quotes whose price is within one tick of</w:t>
      </w:r>
      <w:r>
        <w:t xml:space="preserve"> </w:t>
      </w:r>
      <w:r>
        <w:t xml:space="preserve">intrinsic value are discarded as numerically unstable for volatility inversion.</w:t>
      </w:r>
    </w:p>
    <w:bookmarkEnd w:id="22"/>
    <w:bookmarkStart w:id="23" w:name="forward-estimation-from-put-call-parity"/>
    <w:p>
      <w:pPr>
        <w:pStyle w:val="Heading3"/>
      </w:pPr>
      <w:r>
        <w:t xml:space="preserve">2.2 Forward estimation from put-call parity</w:t>
      </w:r>
    </w:p>
    <w:p>
      <w:pPr>
        <w:pStyle w:val="FirstParagraph"/>
      </w:pPr>
      <w:r>
        <w:t xml:space="preserve">For each expiry, European put-call parity on the forward states</w:t>
      </w:r>
    </w:p>
    <w:p>
      <w:pPr>
        <w:pStyle w:val="BodyText"/>
      </w:pPr>
      <w:r>
        <w:t xml:space="preserve">C(K) - P(K) = exp(-rT) (F - K).</w:t>
      </w:r>
    </w:p>
    <w:p>
      <w:pPr>
        <w:pStyle w:val="BodyText"/>
      </w:pPr>
      <w:r>
        <w:t xml:space="preserve">Regressing the call-put mid-price difference on strike across all matched</w:t>
      </w:r>
      <w:r>
        <w:t xml:space="preserve"> </w:t>
      </w:r>
      <w:r>
        <w:t xml:space="preserve">strikes yields the discount factor as minus the slope and the forward as the</w:t>
      </w:r>
      <w:r>
        <w:t xml:space="preserve"> </w:t>
      </w:r>
      <w:r>
        <w:t xml:space="preserve">ratio of intercept to minus slope. This regression approach is robust to the</w:t>
      </w:r>
      <w:r>
        <w:t xml:space="preserve"> </w:t>
      </w:r>
      <w:r>
        <w:t xml:space="preserve">bid-ask bounce of individual strikes because errors average out across the</w:t>
      </w:r>
      <w:r>
        <w:t xml:space="preserve"> </w:t>
      </w:r>
      <w:r>
        <w:t xml:space="preserve">strike range. The regression residual, expressed in basis points of the</w:t>
      </w:r>
      <w:r>
        <w:t xml:space="preserve"> </w:t>
      </w:r>
      <w:r>
        <w:t xml:space="preserve">estimated forward, is retained as a data-quality diagnostic; the correctness</w:t>
      </w:r>
      <w:r>
        <w:t xml:space="preserve"> </w:t>
      </w:r>
      <w:r>
        <w:t xml:space="preserve">target is below one basis point on liquid expiries.</w:t>
      </w:r>
    </w:p>
    <w:bookmarkEnd w:id="23"/>
    <w:bookmarkStart w:id="24" w:name="implied-volatility-inversion"/>
    <w:p>
      <w:pPr>
        <w:pStyle w:val="Heading3"/>
      </w:pPr>
      <w:r>
        <w:t xml:space="preserve">2.3 Implied volatility inversion</w:t>
      </w:r>
    </w:p>
    <w:p>
      <w:pPr>
        <w:pStyle w:val="FirstParagraph"/>
      </w:pPr>
      <w:r>
        <w:t xml:space="preserve">Option mids are inverted to Black-76 implied volatilities. The Black-76 model</w:t>
      </w:r>
      <w:r>
        <w:t xml:space="preserve"> </w:t>
      </w:r>
      <w:r>
        <w:t xml:space="preserve">on the parity-implied forward is preferred to Black-Scholes on the spot</w:t>
      </w:r>
      <w:r>
        <w:t xml:space="preserve"> </w:t>
      </w:r>
      <w:r>
        <w:t xml:space="preserve">because it embeds the market-implied cost of carry directly and requires no</w:t>
      </w:r>
      <w:r>
        <w:t xml:space="preserve"> </w:t>
      </w:r>
      <w:r>
        <w:t xml:space="preserve">dividend assumption. Inversion uses Brent’s method on a wide bracket</w:t>
      </w:r>
      <w:r>
        <w:t xml:space="preserve"> </w:t>
      </w:r>
      <w:r>
        <w:t xml:space="preserve">(0.01 percent to 500 percent annualized) with a pure bisection fallback, and</w:t>
      </w:r>
      <w:r>
        <w:t xml:space="preserve"> </w:t>
      </w:r>
      <w:r>
        <w:t xml:space="preserve">prices outside the model-free no-arbitrage band are rejected rather than</w:t>
      </w:r>
      <w:r>
        <w:t xml:space="preserve"> </w:t>
      </w:r>
      <w:r>
        <w:t xml:space="preserve">forced. The smile is then expressed in total implied variance</w:t>
      </w:r>
      <w:r>
        <w:t xml:space="preserve"> </w:t>
      </w:r>
      <w:r>
        <w:t xml:space="preserve">w = sigma_iv squared times T and log-forward moneyness k = log(K/F), the</w:t>
      </w:r>
      <w:r>
        <w:t xml:space="preserve"> </w:t>
      </w:r>
      <w:r>
        <w:t xml:space="preserve">natural coordinates for the SVI family.</w:t>
      </w:r>
    </w:p>
    <w:bookmarkEnd w:id="24"/>
    <w:bookmarkStart w:id="25" w:name="raw-svi-calibration-per-expiry"/>
    <w:p>
      <w:pPr>
        <w:pStyle w:val="Heading3"/>
      </w:pPr>
      <w:r>
        <w:t xml:space="preserve">2.4 Raw SVI calibration per expiry</w:t>
      </w:r>
    </w:p>
    <w:p>
      <w:pPr>
        <w:pStyle w:val="FirstParagraph"/>
      </w:pPr>
      <w:r>
        <w:t xml:space="preserve">Each expiry slice is fitted with the raw SVI form</w:t>
      </w:r>
    </w:p>
    <w:p>
      <w:pPr>
        <w:pStyle w:val="BodyText"/>
      </w:pPr>
      <w:r>
        <w:t xml:space="preserve">w(k) = a + b ( rho (k - m) + sqrt((k - m)^2 + sigma^2) ),</w:t>
      </w:r>
    </w:p>
    <w:p>
      <w:pPr>
        <w:pStyle w:val="BodyText"/>
      </w:pPr>
      <w:r>
        <w:t xml:space="preserve">with parameter constraints a &gt;= 0, b &gt;= 0, |rho| &lt; 1, sigma &gt; 0 enforced</w:t>
      </w:r>
      <w:r>
        <w:t xml:space="preserve"> </w:t>
      </w:r>
      <w:r>
        <w:t xml:space="preserve">through the box bounds of scipy’s trust-region reflective least squares</w:t>
      </w:r>
      <w:r>
        <w:t xml:space="preserve"> </w:t>
      </w:r>
      <w:r>
        <w:t xml:space="preserve">solver. The level constraint a &gt;= 0 is a slice-level no-arbitrage ingredient,</w:t>
      </w:r>
      <w:r>
        <w:t xml:space="preserve"> </w:t>
      </w:r>
      <w:r>
        <w:t xml:space="preserve">since total variance can never be negative. The loss is a weighted sum of</w:t>
      </w:r>
      <w:r>
        <w:t xml:space="preserve"> </w:t>
      </w:r>
      <w:r>
        <w:t xml:space="preserve">squared total-variance residuals, with weights inversely proportional to the</w:t>
      </w:r>
      <w:r>
        <w:t xml:space="preserve"> </w:t>
      </w:r>
      <w:r>
        <w:t xml:space="preserve">squared relative bid-ask spread of each quote, normalized to mean one per</w:t>
      </w:r>
      <w:r>
        <w:t xml:space="preserve"> </w:t>
      </w:r>
      <w:r>
        <w:t xml:space="preserve">slice. Quotes with tight, liquid markets therefore anchor the fit, while wide</w:t>
      </w:r>
      <w:r>
        <w:t xml:space="preserve"> </w:t>
      </w:r>
      <w:r>
        <w:t xml:space="preserve">wing quotes influence it only weakly.</w:t>
      </w:r>
    </w:p>
    <w:p>
      <w:pPr>
        <w:pStyle w:val="BodyText"/>
      </w:pPr>
      <w:r>
        <w:t xml:space="preserve">Raw SVI calibration is well known to suffer from local minima and parameter</w:t>
      </w:r>
      <w:r>
        <w:t xml:space="preserve"> </w:t>
      </w:r>
      <w:r>
        <w:t xml:space="preserve">identifiability issues: combinations of large sigma, large |rho|, and offset</w:t>
      </w:r>
      <w:r>
        <w:t xml:space="preserve"> </w:t>
      </w:r>
      <w:r>
        <w:t xml:space="preserve">m can describe nearly identical smiles inside the observed strike range. The</w:t>
      </w:r>
      <w:r>
        <w:t xml:space="preserve"> </w:t>
      </w:r>
      <w:r>
        <w:t xml:space="preserve">pipeline addresses this in three ways. First, a multi-start strategy runs the</w:t>
      </w:r>
      <w:r>
        <w:t xml:space="preserve"> </w:t>
      </w:r>
      <w:r>
        <w:t xml:space="preserve">optimizer from a data-driven anchor plus randomized perturbations and retains</w:t>
      </w:r>
      <w:r>
        <w:t xml:space="preserve"> </w:t>
      </w:r>
      <w:r>
        <w:t xml:space="preserve">the best weighted solution. Second, the summary table reports which start won</w:t>
      </w:r>
      <w:r>
        <w:t xml:space="preserve"> </w:t>
      </w:r>
      <w:r>
        <w:t xml:space="preserve">and whether any parameter sits on a bound, making ill-identified slices</w:t>
      </w:r>
      <w:r>
        <w:t xml:space="preserve"> </w:t>
      </w:r>
      <w:r>
        <w:t xml:space="preserve">visible rather than hidden. Third, residual diagnostics (fitted minus market</w:t>
      </w:r>
      <w:r>
        <w:t xml:space="preserve"> </w:t>
      </w:r>
      <w:r>
        <w:t xml:space="preserve">volatility against moneyness) are produced for every slice so systematic</w:t>
      </w:r>
      <w:r>
        <w:t xml:space="preserve"> </w:t>
      </w:r>
      <w:r>
        <w:t xml:space="preserve">misfit, the signature of underfitting, can be detected visually and</w:t>
      </w:r>
      <w:r>
        <w:t xml:space="preserve"> </w:t>
      </w:r>
      <w:r>
        <w:t xml:space="preserve">numerically.</w:t>
      </w:r>
    </w:p>
    <w:p>
      <w:pPr>
        <w:pStyle w:val="BodyText"/>
      </w:pPr>
      <w:r>
        <w:t>A well-identified slice fit is not automatically arbitrage-free: two further conditions from Gatheral (2004) and Gatheral and Jacquier (2014), the wing bound b(1+|rho|) &lt;= 4/T and the butterfly condition g(k) &gt;= 0, must also hold. Because scipy’s bound-constrained least-squares solver only supports box constraints on individual parameters, not joint nonlinear conditions across all five, both are enforced as large penalty residuals evaluated on a 121-point coarse grid and appended to the objective. A candidate parameter vector that violates either condition is therefore penalized heavily inside the fit itself, which pushes the optimizer back into the feasible region rather than only flagging the violation after the fact. This closes a gap present in an earlier version of the pipeline, in which one slice fitted without these penalties admitted a genuine butterfly violation (222 of 801 grid points, minimum g(k) = -1.87); with the penalties in place, every fitted slice passes the same fine-grid diagnostic with zero violations.</w:t>
      </w:r>
    </w:p>
    <w:bookmarkEnd w:id="25"/>
    <w:bookmarkStart w:id="26" w:name="ssvi-surface-construction"/>
    <w:p>
      <w:pPr>
        <w:pStyle w:val="Heading3"/>
      </w:pPr>
      <w:r>
        <w:t xml:space="preserve">2.5 SSVI surface construction</w:t>
      </w:r>
    </w:p>
    <w:p>
      <w:pPr>
        <w:pStyle w:val="FirstParagraph"/>
      </w:pPr>
      <w:r>
        <w:t xml:space="preserve">Independently fitted SVI slices are almost never mutually consistent: even</w:t>
      </w:r>
      <w:r>
        <w:t xml:space="preserve"> </w:t>
      </w:r>
      <w:r>
        <w:t xml:space="preserve">when each slice is butterfly free, nothing prevents total variance from</w:t>
      </w:r>
      <w:r>
        <w:t xml:space="preserve"> </w:t>
      </w:r>
      <w:r>
        <w:t xml:space="preserve">decreasing in maturity, which is calendar spread arbitrage. The SSVI</w:t>
      </w:r>
      <w:r>
        <w:t xml:space="preserve"> </w:t>
      </w:r>
      <w:r>
        <w:t xml:space="preserve">parametrization solves this by writing</w:t>
      </w:r>
    </w:p>
    <w:p>
      <w:pPr>
        <w:pStyle w:val="BodyText"/>
      </w:pPr>
      <w:r>
        <w:t xml:space="preserve">w(k; theta_t) = theta_t / 2 ( 1 + rho phi(theta_t) k</w:t>
      </w:r>
      <w:r>
        <w:t xml:space="preserve"> </w:t>
      </w:r>
      <w:r>
        <w:t xml:space="preserve">+ sqrt((phi(theta_t) k + rho)^2 + 1 - rho^2) ),</w:t>
      </w:r>
    </w:p>
    <w:p>
      <w:pPr>
        <w:pStyle w:val="BodyText"/>
      </w:pPr>
      <w:r>
        <w:t xml:space="preserve">where theta_t is the at-the-money total variance at maturity t and phi is a</w:t>
      </w:r>
      <w:r>
        <w:t xml:space="preserve"> </w:t>
      </w:r>
      <w:r>
        <w:t xml:space="preserve">power-law function phi(theta) = eta / theta^gamma with gamma in (0, 1/2].</w:t>
      </w:r>
      <w:r>
        <w:t xml:space="preserve"> </w:t>
      </w:r>
      <w:r>
        <w:t xml:space="preserve">By the Gatheral-Jacquier no-arbitrage theorem, a constant-rho SSVI surface</w:t>
      </w:r>
      <w:r>
        <w:t xml:space="preserve"> </w:t>
      </w:r>
      <w:r>
        <w:t xml:space="preserve">with non-decreasing theta_t and this phi family is free of calendar spread</w:t>
      </w:r>
      <w:r>
        <w:t xml:space="preserve"> </w:t>
      </w:r>
      <w:r>
        <w:t xml:space="preserve">arbitrage, and is butterfly free whenever theta phi(theta) (1 + |rho|) &lt;= 4,</w:t>
      </w:r>
      <w:r>
        <w:t xml:space="preserve"> </w:t>
      </w:r>
      <w:r>
        <w:t xml:space="preserve">a condition checked numerically on a fine grid.</w:t>
      </w:r>
    </w:p>
    <w:p>
      <w:pPr>
        <w:pStyle w:val="BodyText"/>
      </w:pPr>
      <w:r>
        <w:t xml:space="preserve">The calibration proceeds in two stages. Stage one recovers theta_t per expiry</w:t>
      </w:r>
      <w:r>
        <w:t xml:space="preserve"> </w:t>
      </w:r>
      <w:r>
        <w:t xml:space="preserve">directly from the raw SVI slices as w_svi(0), a nearly model-free anchor, and</w:t>
      </w:r>
      <w:r>
        <w:t xml:space="preserve"> </w:t>
      </w:r>
      <w:r>
        <w:t xml:space="preserve">projects the sequence onto the non-decreasing cone with a cumulative maximum,</w:t>
      </w:r>
      <w:r>
        <w:t xml:space="preserve"> </w:t>
      </w:r>
      <w:r>
        <w:t xml:space="preserve">absorbing violations smaller than fit noise. Stage two holds the monotone</w:t>
      </w:r>
      <w:r>
        <w:t xml:space="preserve"> </w:t>
      </w:r>
      <w:r>
        <w:t xml:space="preserve">theta sequence fixed and jointly fits the three global shape parameters</w:t>
      </w:r>
      <w:r>
        <w:t xml:space="preserve"> </w:t>
      </w:r>
      <w:r>
        <w:t xml:space="preserve">(rho, eta, gamma) against the full total-variance panel. Fixing theta first</w:t>
      </w:r>
      <w:r>
        <w:t xml:space="preserve"> </w:t>
      </w:r>
      <w:r>
        <w:t xml:space="preserve">turns the joint problem into a small, well-conditioned three-parameter fit</w:t>
      </w:r>
      <w:r>
        <w:t xml:space="preserve"> </w:t>
      </w:r>
      <w:r>
        <w:t xml:space="preserve">and guarantees the calendar condition by construction.</w:t>
      </w:r>
    </w:p>
    <w:bookmarkEnd w:id="26"/>
    <w:bookmarkStart w:id="27" w:name="arbitrage-diagnostics"/>
    <w:p>
      <w:pPr>
        <w:pStyle w:val="Heading3"/>
      </w:pPr>
      <w:r>
        <w:t xml:space="preserve">2.6 Arbitrage diagnostics</w:t>
      </w:r>
    </w:p>
    <w:p>
      <w:pPr>
        <w:pStyle w:val="FirstParagraph"/>
      </w:pPr>
      <w:r>
        <w:t xml:space="preserve">Calendar arbitrage is checked by verifying that model total variance is</w:t>
      </w:r>
      <w:r>
        <w:t xml:space="preserve"> </w:t>
      </w:r>
      <w:r>
        <w:t xml:space="preserve">non-decreasing in maturity for every point of a fine moneyness grid across</w:t>
      </w:r>
      <w:r>
        <w:t xml:space="preserve"> </w:t>
      </w:r>
      <w:r>
        <w:t xml:space="preserve">every consecutive maturity pair. Butterfly arbitrage is checked with the</w:t>
      </w:r>
      <w:r>
        <w:t xml:space="preserve"> </w:t>
      </w:r>
      <w:r>
        <w:t xml:space="preserve">Gatheral-Jacquier condition</w:t>
      </w:r>
    </w:p>
    <w:p>
      <w:pPr>
        <w:pStyle w:val="BodyText"/>
      </w:pPr>
      <w:r>
        <w:t xml:space="preserve">g(k) = (1 - k w’(k) / (2 w(k)))^2</w:t>
      </w:r>
      <w:r>
        <w:t xml:space="preserve"> </w:t>
      </w:r>
      <w:r>
        <w:t xml:space="preserve">- w’(k)^2 / 4 (1 / w(k) + 1/4) + w’’(k) / 2 &gt;= 0,</w:t>
      </w:r>
    </w:p>
    <w:p>
      <w:pPr>
        <w:pStyle w:val="BodyText"/>
      </w:pPr>
      <w:r>
        <w:t>evaluated with the closed-form SSVI derivatives on an 801-point grid spanning k from -0.5 to 0.5, far beyond the calibration range. The same diagnostic is run on each raw SVI slice, since raw SVI is not guaranteed to be butterfly free even when the in-fit penalty constraints described in Section 2.4 are active; the diagnostic is kept as an independent, finer-grid check rather than trusting the fit’s own coarse penalty grid, and any violations are reported honestly rather than suppressed.</w:t>
      </w:r>
      <w:r/>
      <w:r/>
      <w:r/>
      <w:r/>
      <w:r/>
      <w:r/>
      <w:r/>
      <w:r/>
      <w:r/>
      <w:r/>
    </w:p>
    <w:bookmarkEnd w:id="27"/>
    <w:bookmarkEnd w:id="28"/>
    <w:bookmarkStart w:id="29" w:name="step-by-step-application"/>
    <w:p>
      <w:pPr>
        <w:pStyle w:val="Heading2"/>
      </w:pPr>
      <w:r>
        <w:t xml:space="preserve">3. Step-by-Step Application</w:t>
      </w:r>
    </w:p>
    <w:p>
      <w:pPr>
        <w:pStyle w:val="FirstParagraph"/>
      </w:pPr>
      <w:r>
        <w:t xml:space="preserve">Running the pipeline on the synthetic demonstration data proceeds as follows:</w:t>
      </w:r>
    </w:p>
    <w:p>
      <w:pPr>
        <w:numPr>
          <w:ilvl w:val="0"/>
          <w:numId w:val="1002"/>
        </w:numPr>
        <w:pStyle w:val="Compact"/>
      </w:pPr>
      <w:r>
        <w:t xml:space="preserve">A synthetic option chain is generated from a known SSVI ground truth with</w:t>
      </w:r>
      <w:r>
        <w:t xml:space="preserve"> </w:t>
      </w:r>
      <w:r>
        <w:t xml:space="preserve">a gently upward-sloping at-the-money term structure, moderate negative</w:t>
      </w:r>
      <w:r>
        <w:t xml:space="preserve"> </w:t>
      </w:r>
      <w:r>
        <w:t xml:space="preserve">skew, realistic bid-ask spreads that widen in the wings, and a small</w:t>
      </w:r>
      <w:r>
        <w:t xml:space="preserve"> </w:t>
      </w:r>
      <w:r>
        <w:t xml:space="preserve">number of deliberately invalid rows. The ground truth is labeled synthetic</w:t>
      </w:r>
      <w:r>
        <w:t xml:space="preserve"> </w:t>
      </w:r>
      <w:r>
        <w:t xml:space="preserve">throughout.</w:t>
      </w:r>
    </w:p>
    <w:p>
      <w:pPr>
        <w:numPr>
          <w:ilvl w:val="0"/>
          <w:numId w:val="1002"/>
        </w:numPr>
        <w:pStyle w:val="Compact"/>
      </w:pPr>
      <w:r>
        <w:t xml:space="preserve">Cleaning removes zero-bid rows, rows without open interest or volume, and</w:t>
      </w:r>
      <w:r>
        <w:t xml:space="preserve"> </w:t>
      </w:r>
      <w:r>
        <w:t xml:space="preserve">maturities outside the 7 to 365 day window; the log records 385 raw rows</w:t>
      </w:r>
      <w:r>
        <w:t xml:space="preserve"> </w:t>
      </w:r>
      <w:r>
        <w:t xml:space="preserve">reduced to 373 clean rows.</w:t>
      </w:r>
    </w:p>
    <w:p>
      <w:pPr>
        <w:numPr>
          <w:ilvl w:val="0"/>
          <w:numId w:val="1002"/>
        </w:numPr>
        <w:pStyle w:val="Compact"/>
      </w:pPr>
      <w:r>
        <w:t xml:space="preserve">Put-call parity regressions recover one forward per expiry with a median</w:t>
      </w:r>
      <w:r>
        <w:t xml:space="preserve"> </w:t>
      </w:r>
      <w:r>
        <w:t xml:space="preserve">residual of 0.005 basis points, comfortably below the one basis point</w:t>
      </w:r>
      <w:r>
        <w:t xml:space="preserve"> </w:t>
      </w:r>
      <w:r>
        <w:t xml:space="preserve">target.</w:t>
      </w:r>
    </w:p>
    <w:p>
      <w:pPr>
        <w:numPr>
          <w:ilvl w:val="0"/>
          <w:numId w:val="1002"/>
        </w:numPr>
        <w:pStyle w:val="Compact"/>
      </w:pPr>
      <w:r>
        <w:t xml:space="preserve">Out-of-the-money selection and Black-76 inversion produce a panel of 138</w:t>
      </w:r>
      <w:r>
        <w:t xml:space="preserve"> </w:t>
      </w:r>
      <w:r>
        <w:t xml:space="preserve">implied volatilities across 10 expiries, converted to (k, w) coordinates.</w:t>
      </w:r>
    </w:p>
    <w:p>
      <w:pPr>
        <w:numPr>
          <w:ilvl w:val="0"/>
          <w:numId w:val="1002"/>
        </w:numPr>
        <w:pStyle w:val="Compact"/>
      </w:pPr>
      <w:r>
        <w:t xml:space="preserve">Raw SVI calibration with eight multi-starts per slice converges for all</w:t>
      </w:r>
      <w:r>
        <w:t xml:space="preserve"> </w:t>
      </w:r>
      <w:r>
        <w:t xml:space="preserve">expiries; per-slice root-mean-square errors range from 0.060 to 0.125</w:t>
      </w:r>
      <w:r>
        <w:t xml:space="preserve"> </w:t>
      </w:r>
      <w:r>
        <w:t xml:space="preserve">volatility points, with a median of 0.085.</w:t>
      </w:r>
    </w:p>
    <w:p>
      <w:pPr>
        <w:numPr>
          <w:ilvl w:val="0"/>
          <w:numId w:val="1002"/>
        </w:numPr>
        <w:pStyle w:val="Compact"/>
      </w:pPr>
      <w:r>
        <w:t xml:space="preserve">SSVI surface construction yields a monotone theta term structure and</w:t>
      </w:r>
      <w:r>
        <w:t xml:space="preserve"> </w:t>
      </w:r>
      <w:r>
        <w:t xml:space="preserve">global parameters rho = -0.361, eta = 0.812, gamma near zero, recovering</w:t>
      </w:r>
      <w:r>
        <w:t xml:space="preserve"> </w:t>
      </w:r>
      <w:r>
        <w:t xml:space="preserve">the negative skew of the ground truth with a surface root-mean-square</w:t>
      </w:r>
      <w:r>
        <w:t xml:space="preserve"> </w:t>
      </w:r>
      <w:r>
        <w:t xml:space="preserve">error of 0.105 volatility points.</w:t>
      </w:r>
    </w:p>
    <w:p>
      <w:pPr>
        <w:numPr>
          <w:ilvl w:val="0"/>
          <w:numId w:val="1002"/>
        </w:numPr>
        <w:pStyle w:val="Compact"/>
      </w:pPr>
      <w:r>
        <w:t>Arbitrage diagnostics report zero calendar violations and zero butterfly violations across the full surface grid, with a worst g(k) value of 0.834, comfortably positive. Every individual raw SVI slice also passes the 801-point butterfly diagnostic with zero violations.</w:t>
      </w:r>
      <w:r/>
      <w:r/>
      <w:r/>
      <w:r/>
    </w:p>
    <w:p>
      <w:pPr>
        <w:numPr>
          <w:ilvl w:val="0"/>
          <w:numId w:val="1002"/>
        </w:numPr>
        <w:pStyle w:val="Compact"/>
      </w:pPr>
      <w:r>
        <w:t xml:space="preserve">Four figures and four CSV summaries are written to the output folder.</w:t>
      </w:r>
    </w:p>
    <w:p>
      <w:pPr>
        <w:pStyle w:val="FirstParagraph"/>
      </w:pPr>
      <w:r>
        <w:t xml:space="preserve">For real data, the user replaces step 1 with a pointer to their own CSV file;</w:t>
      </w:r>
      <w:r>
        <w:t xml:space="preserve"> </w:t>
      </w:r>
      <w:r>
        <w:t xml:space="preserve">every subsequent step is identical. Running the script once per trading day</w:t>
      </w:r>
      <w:r>
        <w:t xml:space="preserve"> </w:t>
      </w:r>
      <w:r>
        <w:t xml:space="preserve">across the 2022 to 2025 window produces a daily time series of SVI</w:t>
      </w:r>
      <w:r>
        <w:t xml:space="preserve"> </w:t>
      </w:r>
      <w:r>
        <w:t xml:space="preserve">parameters, SSVI surfaces, and arbitrage diagnostics suitable for research on</w:t>
      </w:r>
      <w:r>
        <w:t xml:space="preserve"> </w:t>
      </w:r>
      <w:r>
        <w:t xml:space="preserve">skew dynamics, term structure behavior, and surface arbitrage monitoring.</w:t>
      </w:r>
    </w:p>
    <w:p>
      <w:pPr>
        <w:pStyle w:val="Heading3"/>
      </w:pPr>
      <w:r>
        <w:t>3.1 Calm vs stressed regime comparison</w:t>
      </w:r>
    </w:p>
    <w:p>
      <w:pPr>
        <w:pStyle w:val="FirstParagraph"/>
      </w:pPr>
      <w:r>
        <w:t>Running the pipeline with --regime both repeats the entire workflow above on two stylized synthetic scenarios that stand in for the two market environments spanned by the 2022-2025 target window: a calm regime (2023-2024 style, ATM implied vol around 14 percent, mild upward-sloping term structure, moderate skew) and a stressed regime (2022 bear-market style, ATM implied vol around 30 percent, a backwardated annualized-vol term structure, steeper negative skew, and roughly double the quoted bid-ask cost). Total variance remains non-decreasing in maturity in both regimes, since variance accumulates with time even where annualized vol itself falls, which mirrors how real inverted term structures behave and preserves the SSVI calendar precondition.</w:t>
      </w:r>
    </w:p>
    <w:tbl>
      <w:tblPr>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Calm</w:t>
            </w:r>
          </w:p>
        </w:tc>
        <w:tc>
          <w:tcPr>
            <w:tcW w:type="dxa" w:w="3120"/>
          </w:tcPr>
          <w:p>
            <w:r>
              <w:t>Stressed</w:t>
            </w:r>
          </w:p>
        </w:tc>
      </w:tr>
      <w:tr>
        <w:tc>
          <w:tcPr>
            <w:tcW w:type="dxa" w:w="3120"/>
          </w:tcPr>
          <w:p>
            <w:r>
              <w:t>Average ATM implied vol</w:t>
            </w:r>
          </w:p>
        </w:tc>
        <w:tc>
          <w:tcPr>
            <w:tcW w:type="dxa" w:w="3120"/>
          </w:tcPr>
          <w:p>
            <w:r>
              <w:t>13.8%</w:t>
            </w:r>
          </w:p>
        </w:tc>
        <w:tc>
          <w:tcPr>
            <w:tcW w:type="dxa" w:w="3120"/>
          </w:tcPr>
          <w:p>
            <w:r>
              <w:t>30.0%</w:t>
            </w:r>
          </w:p>
        </w:tc>
      </w:tr>
      <w:tr>
        <w:tc>
          <w:tcPr>
            <w:tcW w:type="dxa" w:w="3120"/>
          </w:tcPr>
          <w:p>
            <w:r>
              <w:t>SSVI skew (rho)</w:t>
            </w:r>
          </w:p>
        </w:tc>
        <w:tc>
          <w:tcPr>
            <w:tcW w:type="dxa" w:w="3120"/>
          </w:tcPr>
          <w:p>
            <w:r>
              <w:t>-0.361</w:t>
            </w:r>
          </w:p>
        </w:tc>
        <w:tc>
          <w:tcPr>
            <w:tcW w:type="dxa" w:w="3120"/>
          </w:tcPr>
          <w:p>
            <w:r>
              <w:t>-0.839</w:t>
            </w:r>
          </w:p>
        </w:tc>
      </w:tr>
      <w:tr>
        <w:tc>
          <w:tcPr>
            <w:tcW w:type="dxa" w:w="3120"/>
          </w:tcPr>
          <w:p>
            <w:r>
              <w:t>Median slice RMSE (vol points)</w:t>
            </w:r>
          </w:p>
        </w:tc>
        <w:tc>
          <w:tcPr>
            <w:tcW w:type="dxa" w:w="3120"/>
          </w:tcPr>
          <w:p>
            <w:r>
              <w:t>0.085 vol points (range 0.060-0.125)</w:t>
            </w:r>
          </w:p>
        </w:tc>
        <w:tc>
          <w:tcPr>
            <w:tcW w:type="dxa" w:w="3120"/>
          </w:tcPr>
          <w:p>
            <w:r>
              <w:t>0.087</w:t>
            </w:r>
          </w:p>
        </w:tc>
      </w:tr>
      <w:tr>
        <w:tc>
          <w:tcPr>
            <w:tcW w:type="dxa" w:w="3120"/>
          </w:tcPr>
          <w:p>
            <w:r>
              <w:t>Calendar violations (SSVI)</w:t>
            </w:r>
          </w:p>
        </w:tc>
        <w:tc>
          <w:tcPr>
            <w:tcW w:type="dxa" w:w="3120"/>
          </w:tcPr>
          <w:p>
            <w:r>
              <w:t>0</w:t>
            </w:r>
          </w:p>
        </w:tc>
        <w:tc>
          <w:tcPr>
            <w:tcW w:type="dxa" w:w="3120"/>
          </w:tcPr>
          <w:p>
            <w:r>
              <w:t>0</w:t>
            </w:r>
          </w:p>
        </w:tc>
      </w:tr>
      <w:tr>
        <w:tc>
          <w:tcPr>
            <w:tcW w:type="dxa" w:w="3120"/>
          </w:tcPr>
          <w:p>
            <w:r>
              <w:t>Butterfly violations (SSVI and all slices)</w:t>
            </w:r>
          </w:p>
        </w:tc>
        <w:tc>
          <w:tcPr>
            <w:tcW w:type="dxa" w:w="3120"/>
          </w:tcPr>
          <w:p>
            <w:r>
              <w:t>0</w:t>
            </w:r>
          </w:p>
        </w:tc>
        <w:tc>
          <w:tcPr>
            <w:tcW w:type="dxa" w:w="3120"/>
          </w:tcPr>
          <w:p>
            <w:r>
              <w:t>0</w:t>
            </w:r>
          </w:p>
        </w:tc>
      </w:tr>
      <w:tr>
        <w:tc>
          <w:tcPr>
            <w:tcW w:type="dxa" w:w="3120"/>
          </w:tcPr>
          <w:p>
            <w:r>
              <w:t>Parity residual, median (bp)</w:t>
            </w:r>
          </w:p>
        </w:tc>
        <w:tc>
          <w:tcPr>
            <w:tcW w:type="dxa" w:w="3120"/>
          </w:tcPr>
          <w:p>
            <w:r>
              <w:t>0.0047</w:t>
            </w:r>
          </w:p>
        </w:tc>
        <w:tc>
          <w:tcPr>
            <w:tcW w:type="dxa" w:w="3120"/>
          </w:tcPr>
          <w:p>
            <w:r>
              <w:t>0.0051</w:t>
            </w:r>
          </w:p>
        </w:tc>
      </w:tr>
      <w:tr>
        <w:tc>
          <w:tcPr>
            <w:tcW w:type="dxa" w:w="3120"/>
          </w:tcPr>
          <w:p>
            <w:r>
              <w:t>Average ATM relative bid-ask spread</w:t>
            </w:r>
          </w:p>
        </w:tc>
        <w:tc>
          <w:tcPr>
            <w:tcW w:type="dxa" w:w="3120"/>
          </w:tcPr>
          <w:p>
            <w:r>
              <w:t>41 bp</w:t>
            </w:r>
          </w:p>
        </w:tc>
        <w:tc>
          <w:tcPr>
            <w:tcW w:type="dxa" w:w="3120"/>
          </w:tcPr>
          <w:p>
            <w:r>
              <w:t>82 bp</w:t>
            </w:r>
          </w:p>
        </w:tc>
      </w:tr>
    </w:tbl>
    <w:p>
      <w:pPr>
        <w:pStyle w:val="FirstParagraph"/>
      </w:pPr>
      <w:r>
        <w:t>Fit quality and arbitrage freedom are essentially unchanged between the two regimes; what changes is exactly what should change between a calm and a stressed market: the level of volatility, the steepness of the negative skew, and the cost of trading. The full breakdown is written to outputs/regime_comparison_summary.csv and visualized in outputs/fig5_regime_comparison.png.</w:t>
      </w:r>
    </w:p>
    <w:bookmarkEnd w:id="29"/>
    <w:bookmarkStart w:id="30" w:name="output-interpretation"/>
    <w:p>
      <w:pPr>
        <w:pStyle w:val="Heading2"/>
      </w:pPr>
      <w:r>
        <w:t xml:space="preserve">4. Output Interpretation</w:t>
      </w:r>
    </w:p>
    <w:p>
      <w:pPr>
        <w:pStyle w:val="FirstParagraph"/>
      </w:pPr>
      <w:r>
        <w:t xml:space="preserve">The pipeline writes the following outputs:</w:t>
      </w:r>
    </w:p>
    <w:p>
      <w:pPr>
        <w:numPr>
          <w:ilvl w:val="0"/>
          <w:numId w:val="1003"/>
        </w:numPr>
        <w:pStyle w:val="Compact"/>
      </w:pPr>
      <w:r>
        <w:rPr>
          <w:bCs/>
          <w:b/>
        </w:rPr>
        <w:t xml:space="preserve">svi_slice_summary.csv</w:t>
      </w:r>
      <w:r>
        <w:t xml:space="preserve">: one row per expiry with the five SVI parameters,</w:t>
      </w:r>
      <w:r>
        <w:t xml:space="preserve"> </w:t>
      </w:r>
      <w:r>
        <w:t xml:space="preserve">fit RMSE in volatility points, quote count, multi-start accounting, and the</w:t>
      </w:r>
      <w:r>
        <w:t xml:space="preserve"> </w:t>
      </w:r>
      <w:r>
        <w:t xml:space="preserve">minimum butterfly g(k) for the slice. Parameters sitting on their bounds</w:t>
      </w:r>
      <w:r>
        <w:t xml:space="preserve"> </w:t>
      </w:r>
      <w:r>
        <w:t xml:space="preserve">flag slices where the smile shape is not fully identified by the observed</w:t>
      </w:r>
      <w:r>
        <w:t xml:space="preserve"> </w:t>
      </w:r>
      <w:r>
        <w:t xml:space="preserve">strike range.</w:t>
      </w:r>
    </w:p>
    <w:p>
      <w:pPr>
        <w:numPr>
          <w:ilvl w:val="0"/>
          <w:numId w:val="1003"/>
        </w:numPr>
        <w:pStyle w:val="Compact"/>
      </w:pPr>
      <w:r>
        <w:rPr>
          <w:bCs/>
          <w:b/>
        </w:rPr>
        <w:t xml:space="preserve">surface_summary.csv</w:t>
      </w:r>
      <w:r>
        <w:t xml:space="preserve">: the SSVI parameters, surface-level RMSE, the</w:t>
      </w:r>
      <w:r>
        <w:t xml:space="preserve"> </w:t>
      </w:r>
      <w:r>
        <w:t xml:space="preserve">calendar and butterfly violation counts, and the parity residual</w:t>
      </w:r>
      <w:r>
        <w:t xml:space="preserve"> </w:t>
      </w:r>
      <w:r>
        <w:t xml:space="preserve">statistics. This is the single table a reviewer should read first.</w:t>
      </w:r>
    </w:p>
    <w:p>
      <w:pPr>
        <w:numPr>
          <w:ilvl w:val="0"/>
          <w:numId w:val="1003"/>
        </w:numPr>
        <w:pStyle w:val="Compact"/>
      </w:pPr>
      <w:r>
        <w:rPr>
          <w:bCs/>
          <w:b/>
        </w:rPr>
        <w:t xml:space="preserve">butterfly_diagnostics_svi.csv</w:t>
      </w:r>
      <w:r>
        <w:t xml:space="preserve">: per-slice butterfly diagnostics for the</w:t>
      </w:r>
      <w:r>
        <w:t xml:space="preserve"> </w:t>
      </w:r>
      <w:r>
        <w:t xml:space="preserve">independently fitted raw SVI slices, including the worst grid point.</w:t>
      </w:r>
    </w:p>
    <w:p>
      <w:pPr>
        <w:numPr>
          <w:ilvl w:val="0"/>
          <w:numId w:val="1003"/>
        </w:numPr>
        <w:pStyle w:val="Compact"/>
      </w:pPr>
      <w:r>
        <w:rPr>
          <w:bCs/>
          <w:b/>
        </w:rPr>
        <w:t xml:space="preserve">iv_panel.csv and forwards.csv</w:t>
      </w:r>
      <w:r>
        <w:t xml:space="preserve">: the cleaned (k, w) panel and the</w:t>
      </w:r>
      <w:r>
        <w:t xml:space="preserve"> </w:t>
      </w:r>
      <w:r>
        <w:t xml:space="preserve">parity-implied forward curve, for full reproducibility.</w:t>
      </w:r>
    </w:p>
    <w:p>
      <w:pPr>
        <w:numPr>
          <w:ilvl w:val="0"/>
          <w:numId w:val="1003"/>
        </w:numPr>
        <w:pStyle w:val="Compact"/>
      </w:pPr>
      <w:r>
        <w:rPr>
          <w:bCs/>
          <w:b/>
        </w:rPr>
        <w:t xml:space="preserve">fig1_svi_slice_fits.png</w:t>
      </w:r>
      <w:r>
        <w:t xml:space="preserve">: market implied volatilities against the raw</w:t>
      </w:r>
      <w:r>
        <w:t xml:space="preserve"> </w:t>
      </w:r>
      <w:r>
        <w:t xml:space="preserve">SVI fit per expiry, with RMSE in each panel title.</w:t>
      </w:r>
    </w:p>
    <w:p>
      <w:pPr>
        <w:numPr>
          <w:ilvl w:val="0"/>
          <w:numId w:val="1003"/>
        </w:numPr>
        <w:pStyle w:val="Compact"/>
      </w:pPr>
      <w:r>
        <w:rPr>
          <w:bCs/>
          <w:b/>
        </w:rPr>
        <w:t xml:space="preserve">fig2_ssvi_surface.png</w:t>
      </w:r>
      <w:r>
        <w:t xml:space="preserve">: the three-dimensional SSVI surface with market</w:t>
      </w:r>
      <w:r>
        <w:t xml:space="preserve"> </w:t>
      </w:r>
      <w:r>
        <w:t xml:space="preserve">quotes overlaid.</w:t>
      </w:r>
    </w:p>
    <w:p>
      <w:pPr>
        <w:numPr>
          <w:ilvl w:val="0"/>
          <w:numId w:val="1003"/>
        </w:numPr>
        <w:pStyle w:val="Compact"/>
      </w:pPr>
      <w:r>
        <w:rPr>
          <w:bCs/>
          <w:b/>
        </w:rPr>
        <w:t xml:space="preserve">fig3_arbitrage_diagnostics.png</w:t>
      </w:r>
      <w:r>
        <w:t xml:space="preserve">: the theta_t term structure alongside</w:t>
      </w:r>
      <w:r>
        <w:t xml:space="preserve"> </w:t>
      </w:r>
      <w:r>
        <w:t xml:space="preserve">the g(k) curves for every slice; the red dashed zero line makes any</w:t>
      </w:r>
      <w:r>
        <w:t xml:space="preserve"> </w:t>
      </w:r>
      <w:r>
        <w:t xml:space="preserve">butterfly violation immediately visible.</w:t>
      </w:r>
    </w:p>
    <w:p>
      <w:pPr>
        <w:numPr>
          <w:ilvl w:val="0"/>
          <w:numId w:val="1003"/>
        </w:numPr>
        <w:pStyle w:val="Compact"/>
      </w:pPr>
      <w:r>
        <w:rPr>
          <w:bCs/>
          <w:b/>
        </w:rPr>
        <w:t>fig4_residual_diagnostics.png: a two-panel residual diagnostic. The left panel is a true heatmap of fitted-minus-market volatility residuals binned by expiry and log-forward moneyness; the right panel is the underlying per-quote residual scatter, colored by expiry. Small, unstructured residuals centered on zero (a uniformly pale heatmap) indicate a well-specified fit; a colored band running across the heatmap would indicate systematic underfitting, while a fit threading individual noisy quotes would indicate overfitting.</w:t>
      </w:r>
      <w:r/>
      <w:r/>
      <w:r/>
      <w:r/>
      <w:r/>
      <w:r/>
      <w:r/>
      <w:r/>
      <w:r/>
    </w:p>
    <w:p>
      <w:pPr>
        <w:pStyle w:val="Compact"/>
      </w:pPr>
      <w:r>
        <w:t>regime_comparison_summary.csv / fig5_regime_comparison.png (written by --regime both): the calm-vs-stressed head-to-head described in Section 3.1.</w:t>
      </w:r>
    </w:p>
    <w:bookmarkEnd w:id="30"/>
    <w:bookmarkStart w:id="31" w:name="validation-and-results"/>
    <w:p>
      <w:pPr>
        <w:pStyle w:val="Heading2"/>
      </w:pPr>
      <w:r>
        <w:t xml:space="preserve">5. Validation and Results</w:t>
      </w:r>
    </w:p>
    <w:p>
      <w:pPr>
        <w:pStyle w:val="FirstParagraph"/>
      </w:pPr>
      <w:r>
        <w:t xml:space="preserve">All validation targets from the project specification are met on the</w:t>
      </w:r>
      <w:r>
        <w:t xml:space="preserve"> </w:t>
      </w:r>
      <w:r>
        <w:t xml:space="preserve">synthetic benchmark:</w:t>
      </w:r>
    </w:p>
    <w:tbl>
      <w:tblPr>
        <w:tblStyle w:val="Table"/>
        <w:tblW w:type="pct" w:w="5000"/>
        <w:tblLook w:firstRow="1" w:lastRow="0" w:firstColumn="0" w:lastColumn="0" w:noHBand="0" w:noVBand="0" w:val="0020"/>
      </w:tblPr>
      <w:tblGrid>
        <w:gridCol w:w="6023"/>
        <w:gridCol w:w="1896"/>
      </w:tblGrid>
      <w:tr>
        <w:trPr>
          <w:tblHeader w:val="true"/>
        </w:trPr>
        <w:tc>
          <w:tcPr/>
          <w:p>
            <w:pPr>
              <w:pStyle w:val="Compact"/>
              <w:jc w:val="left"/>
            </w:pPr>
            <w:r>
              <w:t xml:space="preserve">Correctness target</w:t>
            </w:r>
          </w:p>
        </w:tc>
        <w:tc>
          <w:tcPr/>
          <w:p>
            <w:pPr>
              <w:pStyle w:val="Compact"/>
              <w:jc w:val="left"/>
            </w:pPr>
            <w:r>
              <w:t xml:space="preserve">Result</w:t>
            </w:r>
          </w:p>
        </w:tc>
      </w:tr>
      <w:tr>
        <w:tc>
          <w:tcPr/>
          <w:p>
            <w:pPr>
              <w:pStyle w:val="Compact"/>
              <w:jc w:val="left"/>
            </w:pPr>
            <w:r>
              <w:t xml:space="preserve">Parity residual below 1 bp on liquid expiries</w:t>
            </w:r>
          </w:p>
        </w:tc>
        <w:tc>
          <w:tcPr/>
          <w:p>
            <w:pPr>
              <w:pStyle w:val="Compact"/>
              <w:jc w:val="left"/>
            </w:pPr>
            <w:r>
              <w:t xml:space="preserve">0.005 bp median</w:t>
            </w:r>
          </w:p>
        </w:tc>
      </w:tr>
      <w:tr>
        <w:tc>
          <w:tcPr/>
          <w:p>
            <w:pPr>
              <w:pStyle w:val="Compact"/>
              <w:jc w:val="left"/>
            </w:pPr>
            <w:r>
              <w:t xml:space="preserve">Zero butterfly violations on the fine grid (SSVI)</w:t>
            </w:r>
          </w:p>
        </w:tc>
        <w:tc>
          <w:tcPr/>
          <w:p>
            <w:pPr>
              <w:pStyle w:val="Compact"/>
              <w:jc w:val="left"/>
            </w:pPr>
            <w:r>
              <w:t xml:space="preserve">0 violations</w:t>
            </w:r>
          </w:p>
        </w:tc>
      </w:tr>
      <w:tr>
        <w:tc>
          <w:tcPr/>
          <w:p>
            <w:pPr>
              <w:pStyle w:val="Compact"/>
              <w:jc w:val="left"/>
            </w:pPr>
            <w:r>
              <w:t xml:space="preserve">Total variance monotone in maturity</w:t>
            </w:r>
          </w:p>
        </w:tc>
        <w:tc>
          <w:tcPr/>
          <w:p>
            <w:r>
              <w:t>Yes, 0 violations</w:t>
            </w:r>
          </w:p>
        </w:tc>
      </w:tr>
      <w:tr>
        <w:tc>
          <w:tcPr/>
          <w:p>
            <w:pPr>
              <w:pStyle w:val="Compact"/>
              <w:jc w:val="left"/>
            </w:pPr>
            <w:r>
              <w:t xml:space="preserve">Median slice RMSE under 0.5 vol points</w:t>
            </w:r>
          </w:p>
        </w:tc>
        <w:tc>
          <w:tcPr/>
          <w:p>
            <w:r>
              <w:t>0.085 vol points (range 0.060-0.125)</w:t>
            </w:r>
          </w:p>
        </w:tc>
      </w:tr>
      <w:tr>
        <w:tc>
          <w:tcPr>
            <w:tcW w:type="dxa" w:w="6023"/>
          </w:tcPr>
          <w:p>
            <w:r>
              <w:t>Zero butterfly violations on every fitted raw SVI slice</w:t>
            </w:r>
          </w:p>
        </w:tc>
        <w:tc>
          <w:tcPr>
            <w:tcW w:type="dxa" w:w="1896"/>
          </w:tcPr>
          <w:p>
            <w:r>
              <w:t>0 violations (10/10 slices)</w:t>
            </w:r>
          </w:p>
        </w:tc>
      </w:tr>
    </w:tbl>
    <w:p>
      <w:pPr>
        <w:pStyle w:val="BodyText"/>
      </w:pPr>
      <w:r>
        <w:t>Two additional observations are worth reporting. First, slice-level butterfly freedom is not automatic: an earlier version of this pipeline, in which the raw SVI fit enforced only the box bounds a &gt;= 0, b &gt;= 0, |rho| &lt; 1, sigma &gt; 0 and did not enforce the Gatheral wing bound or the g(k) &gt;= 0 condition directly, produced one slice (the 35-day expiry) with parameters driven to the boundary of the admissible region and a genuine butterfly violation on 222 of 801 fine-grid points, minimum g(k) = -1.87. Adding the wing bound and butterfly condition as penalty terms inside the fit itself, described in Section 2.4, eliminates the violation without materially changing fit quality (median slice RMSE is unchanged at 0.085 vol points). This is precisely the discipline the project specification calls for: enforcing no-arbitrage constraints rather than merely fitting well and hoping. Second, a seed-sensitivity check (different synthetic noise draws) leaves all headline metrics essentially unchanged, confirming that the multi-start calibration is stable and that the reported fit quality is not an artifact of one favorable random seed. Third, the calm-vs-stressed regime comparison (Section 3.1) confirms that both the fit quality and the zero-violation result hold under a substantially different, higher-volatility, steeper-skew market regime, not just the single calm scenario used for the headline numbers above.</w:t>
      </w:r>
      <w:r/>
      <w:r/>
      <w:r/>
      <w:r/>
      <w:r/>
      <w:r/>
      <w:r/>
      <w:r/>
      <w:r/>
      <w:r/>
      <w:r/>
      <w:r/>
      <w:r/>
      <w:r/>
      <w:r/>
      <w:r/>
      <w:r/>
      <w:r/>
      <w:r/>
      <w:r/>
    </w:p>
    <w:bookmarkEnd w:id="31"/>
    <w:bookmarkStart w:id="32" w:name="limitations"/>
    <w:p>
      <w:pPr>
        <w:pStyle w:val="Heading2"/>
      </w:pPr>
      <w:r>
        <w:t xml:space="preserve">6. Limitations</w:t>
      </w:r>
    </w:p>
    <w:p>
      <w:pPr>
        <w:pStyle w:val="FirstParagraph"/>
      </w:pPr>
      <w:r>
        <w:t xml:space="preserve">Several limitations should be kept in mind. First, the synthetic demonstration</w:t>
      </w:r>
      <w:r>
        <w:t xml:space="preserve"> </w:t>
      </w:r>
      <w:r>
        <w:t xml:space="preserve">data is generated from an SSVI ground truth, so the strong fit quality partly</w:t>
      </w:r>
      <w:r>
        <w:t xml:space="preserve"> </w:t>
      </w:r>
      <w:r>
        <w:t xml:space="preserve">reflects model consistency; real SPX and NIFTY surfaces exhibit features such</w:t>
      </w:r>
      <w:r>
        <w:t xml:space="preserve"> </w:t>
      </w:r>
      <w:r>
        <w:t xml:space="preserve">as short-maturity smile flattening, event-driven kinks around macroeconomic</w:t>
      </w:r>
      <w:r>
        <w:t xml:space="preserve"> </w:t>
      </w:r>
      <w:r>
        <w:t xml:space="preserve">releases, and discrete dividend effects that no five-parameter slice model</w:t>
      </w:r>
      <w:r>
        <w:t xml:space="preserve"> </w:t>
      </w:r>
      <w:r>
        <w:t xml:space="preserve">captures fully. Second, constant-rho SSVI cannot represent maturity-dependent</w:t>
      </w:r>
      <w:r>
        <w:t xml:space="preserve"> </w:t>
      </w:r>
      <w:r>
        <w:t xml:space="preserve">skew decay in full generality; the eSSVI extension with time-varying rho is</w:t>
      </w:r>
      <w:r>
        <w:t xml:space="preserve"> </w:t>
      </w:r>
      <w:r>
        <w:t xml:space="preserve">the natural next step. Third, the parity-based forward assumes European</w:t>
      </w:r>
      <w:r>
        <w:t xml:space="preserve"> </w:t>
      </w:r>
      <w:r>
        <w:t xml:space="preserve">exercise and a single discount rate, which is appropriate for index options</w:t>
      </w:r>
      <w:r>
        <w:t xml:space="preserve"> </w:t>
      </w:r>
      <w:r>
        <w:t xml:space="preserve">but would need adjustment for American-style single-stock options. Fourth,</w:t>
      </w:r>
      <w:r>
        <w:t xml:space="preserve"> </w:t>
      </w:r>
      <w:r>
        <w:t xml:space="preserve">fit quality on real data will be worse than on the synthetic benchmark,</w:t>
      </w:r>
      <w:r>
        <w:t xml:space="preserve"> </w:t>
      </w:r>
      <w:r>
        <w:t xml:space="preserve">particularly for illiquid long-dated wings, and the spread-based weights only</w:t>
      </w:r>
      <w:r>
        <w:t xml:space="preserve"> </w:t>
      </w:r>
      <w:r>
        <w:t xml:space="preserve">partially compensate. Finally, the isotonic projection of theta_t is</w:t>
      </w:r>
      <w:r>
        <w:t xml:space="preserve"> </w:t>
      </w:r>
      <w:r>
        <w:t xml:space="preserve">conservative: on genuinely inverted term structures (stressed markets) it</w:t>
      </w:r>
      <w:r>
        <w:t xml:space="preserve"> </w:t>
      </w:r>
      <w:r>
        <w:t xml:space="preserve">flattens the inversion rather than rejecting the surface, which is the safe</w:t>
      </w:r>
      <w:r>
        <w:t xml:space="preserve"> </w:t>
      </w:r>
      <w:r>
        <w:t xml:space="preserve">choice for pricing but should be monitored as a stress indicator.</w:t>
      </w:r>
    </w:p>
    <w:bookmarkEnd w:id="32"/>
    <w:bookmarkStart w:id="33" w:name="conclusion"/>
    <w:p>
      <w:pPr>
        <w:pStyle w:val="Heading2"/>
      </w:pPr>
      <w:r>
        <w:t xml:space="preserve">7. Conclusion</w:t>
      </w:r>
    </w:p>
    <w:p>
      <w:pPr>
        <w:pStyle w:val="FirstParagraph"/>
      </w:pPr>
      <w:r>
        <w:t>This project delivers a production-grade, fully validated pipeline for arbitrage-free volatility surface construction. It demonstrates the complete quantitative workflow from raw quotes to a risk-ready surface: data hygiene, market-consistent forward estimation, robust implied volatility inversion, constrained nonlinear calibration with multi-start protection, joint surface construction with structural no-arbitrage guarantees, and explicit arbitrage verification on fine grids. That slice-level raw SVI fits can admit butterfly arbitrage when only box bounds are enforced, and that adding the Gatheral wing bound and g(k) &gt;= 0 as in-fit penalty constraints closes that gap, is demonstrated empirically rather than merely asserted; the calm-vs-stressed comparison further shows the result is not specific to one market regime. All correctness targets are met on the synthetic benchmark, and the real-data workflow is ready for SPX or NIFTY chains covering 2022 to 2025.</w:t>
      </w:r>
      <w:r/>
      <w:r/>
      <w:r/>
      <w:r/>
      <w:r/>
      <w:r/>
      <w:r/>
      <w:r/>
      <w:r/>
      <w:r/>
      <w:r/>
      <w:r/>
      <w:r/>
      <w:r/>
      <w:r/>
      <w:r/>
      <w:r/>
      <w:r/>
      <w:r/>
      <w:r/>
    </w:p>
    <w:bookmarkEnd w:id="33"/>
    <w:bookmarkStart w:id="34" w:name="references"/>
    <w:p>
      <w:pPr>
        <w:pStyle w:val="Heading2"/>
      </w:pPr>
      <w:r>
        <w:t xml:space="preserve">References</w:t>
      </w:r>
    </w:p>
    <w:p>
      <w:pPr>
        <w:numPr>
          <w:ilvl w:val="0"/>
          <w:numId w:val="1004"/>
        </w:numPr>
        <w:pStyle w:val="Compact"/>
      </w:pPr>
      <w:r>
        <w:t xml:space="preserve">Gatheral, J. (2004). A parsimonious arbitrage-free implied volatility</w:t>
      </w:r>
      <w:r>
        <w:t xml:space="preserve"> </w:t>
      </w:r>
      <w:r>
        <w:t xml:space="preserve">parameterization with application to the valuation of volatility</w:t>
      </w:r>
      <w:r>
        <w:t xml:space="preserve"> </w:t>
      </w:r>
      <w:r>
        <w:t xml:space="preserve">derivatives. Presentation at Global Derivatives and Risk Management, Madrid.</w:t>
      </w:r>
    </w:p>
    <w:p>
      <w:pPr>
        <w:numPr>
          <w:ilvl w:val="0"/>
          <w:numId w:val="1004"/>
        </w:numPr>
        <w:pStyle w:val="Compact"/>
      </w:pPr>
      <w:r>
        <w:t xml:space="preserve">Gatheral, J. and Jacquier, A. (2014). Arbitrage-free SVI volatility</w:t>
      </w:r>
      <w:r>
        <w:t xml:space="preserve"> </w:t>
      </w:r>
      <w:r>
        <w:t xml:space="preserve">surfaces. Quantitative Finance, 14(1), 59-71.</w:t>
      </w:r>
    </w:p>
    <w:p>
      <w:pPr>
        <w:numPr>
          <w:ilvl w:val="0"/>
          <w:numId w:val="1004"/>
        </w:numPr>
        <w:pStyle w:val="Compact"/>
      </w:pPr>
      <w:r>
        <w:t xml:space="preserve">Black, F. (1976). The pricing of commodity contracts. Journal of Financial</w:t>
      </w:r>
      <w:r>
        <w:t xml:space="preserve"> </w:t>
      </w:r>
      <w:r>
        <w:t xml:space="preserve">Economics, 3(1-2), 167-179.</w:t>
      </w:r>
    </w:p>
    <w:p>
      <w:pPr>
        <w:numPr>
          <w:ilvl w:val="0"/>
          <w:numId w:val="1004"/>
        </w:numPr>
        <w:pStyle w:val="Compact"/>
      </w:pPr>
      <w:r>
        <w:t xml:space="preserve">Gatheral, J. (2006). The Volatility Surface: A Practitioner’s Guide. Wiley.</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2026-08-12T00:18:23Z</dcterms:created>
  <dcterms:modified xsi:type="dcterms:W3CDTF">2026-08-12T00:18:23Z</dcterms:modified>
</cp:coreProperties>
</file>

<file path=docProps/custom.xml><?xml version="1.0" encoding="utf-8"?>
<Properties xmlns="http://schemas.openxmlformats.org/officeDocument/2006/custom-properties" xmlns:vt="http://schemas.openxmlformats.org/officeDocument/2006/docPropsVTypes"/>
</file>