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E44D" w14:textId="77777777" w:rsidR="00EE5011" w:rsidRPr="00EE5011" w:rsidRDefault="00EE5011" w:rsidP="00EE5011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EE5011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Problem Introduction</w:t>
      </w:r>
    </w:p>
    <w:p w14:paraId="089457D3" w14:textId="5A0405F8" w:rsidR="00EE5011" w:rsidRPr="00EE5011" w:rsidRDefault="00EE5011" w:rsidP="00EE5011">
      <w:r w:rsidRPr="00EE5011">
        <w:t xml:space="preserve">Two of India's biggest stock exchanges BSE and NSE, collectively clear trades combining to greater than 40,000 crores every day. As you might already be aware, a lot of trading happens </w:t>
      </w:r>
      <w:proofErr w:type="gramStart"/>
      <w:r w:rsidRPr="00EE5011">
        <w:t>on the basis of</w:t>
      </w:r>
      <w:proofErr w:type="gramEnd"/>
      <w:r w:rsidRPr="00EE5011">
        <w:t xml:space="preserve"> technical and fundamental analysis.</w:t>
      </w:r>
    </w:p>
    <w:p w14:paraId="3DF9ED5A" w14:textId="77777777" w:rsidR="00EE5011" w:rsidRPr="00EE5011" w:rsidRDefault="00EE5011" w:rsidP="00EE5011">
      <w:r w:rsidRPr="00EE5011">
        <w:t>One of the most basic technical analysis used by a lot of stock traders is the Moving Average Method. </w:t>
      </w:r>
    </w:p>
    <w:p w14:paraId="5E935674" w14:textId="49759D2F" w:rsidR="00EE5011" w:rsidRPr="00EE5011" w:rsidRDefault="00EE5011" w:rsidP="00EE5011">
      <w:r w:rsidRPr="00EE5011">
        <w:t xml:space="preserve">Consider the following price trend of a </w:t>
      </w:r>
      <w:proofErr w:type="gramStart"/>
      <w:r w:rsidRPr="00EE5011">
        <w:t>particular stock</w:t>
      </w:r>
      <w:proofErr w:type="gramEnd"/>
      <w:r w:rsidRPr="00EE5011">
        <w:t>.</w:t>
      </w:r>
    </w:p>
    <w:p w14:paraId="556895DA" w14:textId="77777777" w:rsidR="00EE5011" w:rsidRPr="00EE5011" w:rsidRDefault="00EE5011" w:rsidP="00EE5011">
      <w:r w:rsidRPr="00EE5011">
        <w:t>Week 1: 13,14,11,17,19</w:t>
      </w:r>
    </w:p>
    <w:p w14:paraId="2849B3BF" w14:textId="77777777" w:rsidR="00EE5011" w:rsidRPr="00EE5011" w:rsidRDefault="00EE5011" w:rsidP="00EE5011">
      <w:r w:rsidRPr="00EE5011">
        <w:t>Week 2: 26,23,22,22,14</w:t>
      </w:r>
    </w:p>
    <w:p w14:paraId="2E818147" w14:textId="77777777" w:rsidR="00EE5011" w:rsidRPr="00EE5011" w:rsidRDefault="00EE5011" w:rsidP="00EE5011">
      <w:r w:rsidRPr="00EE5011">
        <w:t>Week 3: 17,19,13,16,17</w:t>
      </w:r>
    </w:p>
    <w:p w14:paraId="394940EF" w14:textId="4D8E9EED" w:rsidR="00EE5011" w:rsidRPr="00EE5011" w:rsidRDefault="00EE5011" w:rsidP="00EE5011">
      <w:pPr>
        <w:jc w:val="center"/>
      </w:pPr>
      <w:r w:rsidRPr="00EE5011">
        <w:drawing>
          <wp:inline distT="0" distB="0" distL="0" distR="0" wp14:anchorId="13C3535C" wp14:editId="4A056F60">
            <wp:extent cx="504825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D6E2" w14:textId="77777777" w:rsidR="00EE5011" w:rsidRPr="00EE5011" w:rsidRDefault="00EE5011" w:rsidP="00EE5011">
      <w:pPr>
        <w:jc w:val="center"/>
        <w:rPr>
          <w:b/>
          <w:bCs/>
        </w:rPr>
      </w:pPr>
      <w:r w:rsidRPr="00EE5011">
        <w:rPr>
          <w:b/>
          <w:bCs/>
        </w:rPr>
        <w:t>Moving Average</w:t>
      </w:r>
    </w:p>
    <w:p w14:paraId="23B11B38" w14:textId="33AAF95F" w:rsidR="00EE5011" w:rsidRPr="00EE5011" w:rsidRDefault="00EE5011" w:rsidP="00EE5011">
      <w:r w:rsidRPr="00EE5011">
        <w:t xml:space="preserve">As you can see, </w:t>
      </w:r>
      <w:proofErr w:type="gramStart"/>
      <w:r w:rsidRPr="00EE5011">
        <w:t>Moving</w:t>
      </w:r>
      <w:proofErr w:type="gramEnd"/>
      <w:r w:rsidRPr="00EE5011">
        <w:t xml:space="preserve"> average use the past data to smoothen the price curve. For the purpose of this assignment, we will be using 20 Day and 50 Day moving averages.</w:t>
      </w:r>
    </w:p>
    <w:p w14:paraId="7FEC3B92" w14:textId="0C41E21F" w:rsidR="00EE5011" w:rsidRPr="00EE5011" w:rsidRDefault="00EE5011" w:rsidP="00EE5011">
      <w:r w:rsidRPr="00EE5011">
        <w:t>Now that you know about the concept of Moving average, you shall be wondering how to use it to determine whether to buy or sell a stock.</w:t>
      </w:r>
    </w:p>
    <w:p w14:paraId="0025D860" w14:textId="630C85FF" w:rsidR="00EE5011" w:rsidRPr="00EE5011" w:rsidRDefault="00EE5011" w:rsidP="00EE5011">
      <w:r w:rsidRPr="00EE5011">
        <w:t>When the shorter-term moving average crosses above the longer-term moving average, it is a signal to </w:t>
      </w:r>
      <w:r w:rsidRPr="00EE5011">
        <w:rPr>
          <w:b/>
          <w:bCs/>
        </w:rPr>
        <w:t>BUY</w:t>
      </w:r>
      <w:r w:rsidRPr="00EE5011">
        <w:t>, as it indicates that the trend is shifting up. This is known as a Golden Cross.</w:t>
      </w:r>
    </w:p>
    <w:p w14:paraId="315AEDBD" w14:textId="52C8CC2F" w:rsidR="00EE5011" w:rsidRPr="00EE5011" w:rsidRDefault="00EE5011" w:rsidP="00EE5011">
      <w:r w:rsidRPr="00EE5011">
        <w:t xml:space="preserve">On the opposite when the shorter term moving average crosses below the </w:t>
      </w:r>
      <w:proofErr w:type="gramStart"/>
      <w:r w:rsidRPr="00EE5011">
        <w:t>longer term</w:t>
      </w:r>
      <w:proofErr w:type="gramEnd"/>
      <w:r w:rsidRPr="00EE5011">
        <w:t xml:space="preserve"> moving average, it is a signal to </w:t>
      </w:r>
      <w:r w:rsidRPr="00EE5011">
        <w:rPr>
          <w:b/>
          <w:bCs/>
        </w:rPr>
        <w:t>SELL</w:t>
      </w:r>
      <w:r w:rsidRPr="00EE5011">
        <w:t>, as it indicates the trend is shifting down. It is sometimes referred to as the Death Cross.</w:t>
      </w:r>
    </w:p>
    <w:p w14:paraId="47790E03" w14:textId="0BF8AADF" w:rsidR="00EE5011" w:rsidRPr="00EE5011" w:rsidRDefault="00EE5011" w:rsidP="00EE5011">
      <w:r w:rsidRPr="00EE5011">
        <w:t xml:space="preserve">Please note that it is important that the Moving Averages Cross each other in order to generate a signal. Merely being above or below is not </w:t>
      </w:r>
      <w:proofErr w:type="gramStart"/>
      <w:r w:rsidRPr="00EE5011">
        <w:t>sufficient</w:t>
      </w:r>
      <w:proofErr w:type="gramEnd"/>
      <w:r w:rsidRPr="00EE5011">
        <w:t xml:space="preserve"> to generate a signal.</w:t>
      </w:r>
    </w:p>
    <w:p w14:paraId="0A1B60C2" w14:textId="77777777" w:rsidR="00EE5011" w:rsidRPr="00EE5011" w:rsidRDefault="00EE5011" w:rsidP="00EE5011">
      <w:r w:rsidRPr="00EE5011">
        <w:t xml:space="preserve">When the signal is neither buy nor sell, it is classified as hold. If you already own the stock, keep it and if you </w:t>
      </w:r>
      <w:proofErr w:type="gramStart"/>
      <w:r w:rsidRPr="00EE5011">
        <w:t>don't then don't</w:t>
      </w:r>
      <w:proofErr w:type="gramEnd"/>
      <w:r w:rsidRPr="00EE5011">
        <w:t xml:space="preserve"> buy it now.</w:t>
      </w:r>
    </w:p>
    <w:p w14:paraId="52A5DC60" w14:textId="32F6F82D" w:rsidR="00037997" w:rsidRDefault="00037997"/>
    <w:p w14:paraId="0B248C3A" w14:textId="77777777" w:rsidR="00C71CE8" w:rsidRDefault="00C71CE8" w:rsidP="00C71CE8">
      <w:pPr>
        <w:pStyle w:val="Heading2"/>
        <w:shd w:val="clear" w:color="auto" w:fill="F5F5F5"/>
        <w:spacing w:line="480" w:lineRule="atLeast"/>
        <w:rPr>
          <w:rFonts w:ascii="Arial" w:hAnsi="Arial"/>
          <w:color w:val="9B9B9B"/>
          <w:sz w:val="39"/>
          <w:szCs w:val="39"/>
        </w:rPr>
      </w:pPr>
      <w:r>
        <w:rPr>
          <w:rFonts w:ascii="Arial" w:hAnsi="Arial"/>
          <w:color w:val="9B9B9B"/>
          <w:sz w:val="39"/>
          <w:szCs w:val="39"/>
        </w:rPr>
        <w:lastRenderedPageBreak/>
        <w:t>Results Expected</w:t>
      </w:r>
    </w:p>
    <w:p w14:paraId="479BB79B" w14:textId="142450BC" w:rsidR="00C71CE8" w:rsidRDefault="00C71CE8"/>
    <w:p w14:paraId="53099ED3" w14:textId="77777777" w:rsidR="00C71CE8" w:rsidRPr="00C71CE8" w:rsidRDefault="00C71CE8" w:rsidP="00C71CE8">
      <w:r w:rsidRPr="00C71CE8">
        <w:t xml:space="preserve">1. Create a new table named 'bajaj1' containing the date, close price, 20 Day MA and 50 Day MA. (This </w:t>
      </w:r>
      <w:proofErr w:type="gramStart"/>
      <w:r w:rsidRPr="00C71CE8">
        <w:t>has to</w:t>
      </w:r>
      <w:proofErr w:type="gramEnd"/>
      <w:r w:rsidRPr="00C71CE8">
        <w:t xml:space="preserve"> be done for all 6 stocks)</w:t>
      </w:r>
    </w:p>
    <w:p w14:paraId="331ED7E7" w14:textId="77777777" w:rsidR="00C71CE8" w:rsidRPr="00C71CE8" w:rsidRDefault="00C71CE8" w:rsidP="00C71CE8">
      <w:r w:rsidRPr="00C71CE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8"/>
        <w:gridCol w:w="2366"/>
        <w:gridCol w:w="2372"/>
        <w:gridCol w:w="2521"/>
      </w:tblGrid>
      <w:tr w:rsidR="00C71CE8" w:rsidRPr="00C71CE8" w14:paraId="23B3BE2C" w14:textId="77777777" w:rsidTr="00C71C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D7BD4" w14:textId="77777777" w:rsidR="00C71CE8" w:rsidRPr="00C71CE8" w:rsidRDefault="00C71CE8" w:rsidP="00C71CE8">
            <w:r w:rsidRPr="00C71CE8">
              <w:t>             Date      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455B9" w14:textId="77777777" w:rsidR="00C71CE8" w:rsidRPr="00C71CE8" w:rsidRDefault="00C71CE8" w:rsidP="00C71CE8">
            <w:r w:rsidRPr="00C71CE8">
              <w:t>            Close Price      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96EA6" w14:textId="77777777" w:rsidR="00C71CE8" w:rsidRPr="00C71CE8" w:rsidRDefault="00C71CE8" w:rsidP="00C71CE8">
            <w:r w:rsidRPr="00C71CE8">
              <w:t>              20 Day MA    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6CB57" w14:textId="77777777" w:rsidR="00C71CE8" w:rsidRPr="00C71CE8" w:rsidRDefault="00C71CE8" w:rsidP="00C71CE8">
            <w:r w:rsidRPr="00C71CE8">
              <w:t>             50 Day MA               </w:t>
            </w:r>
          </w:p>
        </w:tc>
      </w:tr>
    </w:tbl>
    <w:p w14:paraId="4193513C" w14:textId="77777777" w:rsidR="00C71CE8" w:rsidRPr="00C71CE8" w:rsidRDefault="00C71CE8" w:rsidP="00C71CE8">
      <w:r w:rsidRPr="00C71CE8">
        <w:t> </w:t>
      </w:r>
    </w:p>
    <w:p w14:paraId="4BA04DED" w14:textId="77777777" w:rsidR="00C71CE8" w:rsidRPr="00C71CE8" w:rsidRDefault="00C71CE8" w:rsidP="00C71CE8">
      <w:r w:rsidRPr="00C71CE8">
        <w:t>2. Create a master table containing the date and close price of all the six stocks. (Column header for the price is the name of the stock)</w:t>
      </w:r>
    </w:p>
    <w:p w14:paraId="5FDA62D9" w14:textId="77777777" w:rsidR="00C71CE8" w:rsidRPr="00C71CE8" w:rsidRDefault="00C71CE8" w:rsidP="00C71CE8">
      <w:r w:rsidRPr="00C71CE8">
        <w:t> </w:t>
      </w:r>
    </w:p>
    <w:p w14:paraId="580F124C" w14:textId="77777777" w:rsidR="00C71CE8" w:rsidRPr="00C71CE8" w:rsidRDefault="00C71CE8" w:rsidP="00C71CE8">
      <w:r w:rsidRPr="00C71CE8">
        <w:t>The table header should appear as below:</w:t>
      </w:r>
    </w:p>
    <w:p w14:paraId="553DC3ED" w14:textId="77777777" w:rsidR="00C71CE8" w:rsidRPr="00C71CE8" w:rsidRDefault="00C71CE8" w:rsidP="00C71CE8">
      <w:r w:rsidRPr="00C71CE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9"/>
        <w:gridCol w:w="1283"/>
        <w:gridCol w:w="1123"/>
        <w:gridCol w:w="931"/>
        <w:gridCol w:w="1174"/>
        <w:gridCol w:w="1350"/>
        <w:gridCol w:w="1435"/>
      </w:tblGrid>
      <w:tr w:rsidR="00C71CE8" w:rsidRPr="00C71CE8" w14:paraId="751B0B3F" w14:textId="77777777" w:rsidTr="00C71C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23E87" w14:textId="77777777" w:rsidR="00C71CE8" w:rsidRPr="00C71CE8" w:rsidRDefault="00C71CE8" w:rsidP="00C71CE8">
            <w:r w:rsidRPr="00C71CE8">
              <w:t>          Date  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59C4F" w14:textId="77777777" w:rsidR="00C71CE8" w:rsidRPr="00C71CE8" w:rsidRDefault="00C71CE8" w:rsidP="00C71CE8">
            <w:r w:rsidRPr="00C71CE8">
              <w:t>      Bajaj  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A3F50" w14:textId="77777777" w:rsidR="00C71CE8" w:rsidRPr="00C71CE8" w:rsidRDefault="00C71CE8" w:rsidP="00C71CE8">
            <w:r w:rsidRPr="00C71CE8">
              <w:t>       TCS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BDE3E" w14:textId="77777777" w:rsidR="00C71CE8" w:rsidRPr="00C71CE8" w:rsidRDefault="00C71CE8" w:rsidP="00C71CE8">
            <w:r w:rsidRPr="00C71CE8">
              <w:t>   TVS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9C5DE" w14:textId="77777777" w:rsidR="00C71CE8" w:rsidRPr="00C71CE8" w:rsidRDefault="00C71CE8" w:rsidP="00C71CE8">
            <w:r w:rsidRPr="00C71CE8">
              <w:t>     Infosys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8AB37" w14:textId="77777777" w:rsidR="00C71CE8" w:rsidRPr="00C71CE8" w:rsidRDefault="00C71CE8" w:rsidP="00C71CE8">
            <w:r w:rsidRPr="00C71CE8">
              <w:t>      Eicher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D4774" w14:textId="77777777" w:rsidR="00C71CE8" w:rsidRPr="00C71CE8" w:rsidRDefault="00C71CE8" w:rsidP="00C71CE8">
            <w:r w:rsidRPr="00C71CE8">
              <w:t>        Hero         </w:t>
            </w:r>
          </w:p>
        </w:tc>
      </w:tr>
    </w:tbl>
    <w:p w14:paraId="298B757C" w14:textId="77777777" w:rsidR="00C71CE8" w:rsidRPr="00C71CE8" w:rsidRDefault="00C71CE8" w:rsidP="00C71CE8">
      <w:r w:rsidRPr="00C71CE8">
        <w:t> </w:t>
      </w:r>
    </w:p>
    <w:p w14:paraId="6626EACA" w14:textId="77777777" w:rsidR="00C71CE8" w:rsidRPr="00C71CE8" w:rsidRDefault="00C71CE8" w:rsidP="00C71CE8">
      <w:r w:rsidRPr="00C71CE8">
        <w:t xml:space="preserve">3. Use the table created in </w:t>
      </w:r>
      <w:proofErr w:type="gramStart"/>
      <w:r w:rsidRPr="00C71CE8">
        <w:t>Part(</w:t>
      </w:r>
      <w:proofErr w:type="gramEnd"/>
      <w:r w:rsidRPr="00C71CE8">
        <w:t>1) to generate buy and sell signal. Store this in another table named 'bajaj2'. Perform this operation for all stocks.</w:t>
      </w:r>
    </w:p>
    <w:p w14:paraId="7E0A31ED" w14:textId="77777777" w:rsidR="00C71CE8" w:rsidRPr="00C71CE8" w:rsidRDefault="00C71CE8" w:rsidP="00C71CE8">
      <w:r w:rsidRPr="00C71CE8"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1968"/>
        <w:gridCol w:w="1373"/>
      </w:tblGrid>
      <w:tr w:rsidR="00C71CE8" w:rsidRPr="00C71CE8" w14:paraId="69F96268" w14:textId="77777777" w:rsidTr="00C71CE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A5C89" w14:textId="77777777" w:rsidR="00C71CE8" w:rsidRPr="00C71CE8" w:rsidRDefault="00C71CE8" w:rsidP="00C71CE8">
            <w:r w:rsidRPr="00C71CE8">
              <w:t>        Date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CF552" w14:textId="77777777" w:rsidR="00C71CE8" w:rsidRPr="00C71CE8" w:rsidRDefault="00C71CE8" w:rsidP="00C71CE8">
            <w:r w:rsidRPr="00C71CE8">
              <w:t>          Close Price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C26CE" w14:textId="77777777" w:rsidR="00C71CE8" w:rsidRPr="00C71CE8" w:rsidRDefault="00C71CE8" w:rsidP="00C71CE8">
            <w:r w:rsidRPr="00C71CE8">
              <w:t>      Signal        </w:t>
            </w:r>
          </w:p>
        </w:tc>
      </w:tr>
    </w:tbl>
    <w:p w14:paraId="1F412B1E" w14:textId="77777777" w:rsidR="00C71CE8" w:rsidRPr="00C71CE8" w:rsidRDefault="00C71CE8" w:rsidP="00C71CE8">
      <w:r w:rsidRPr="00C71CE8">
        <w:t> </w:t>
      </w:r>
    </w:p>
    <w:p w14:paraId="221FD0A1" w14:textId="77777777" w:rsidR="00C71CE8" w:rsidRPr="00C71CE8" w:rsidRDefault="00C71CE8" w:rsidP="00C71CE8">
      <w:r w:rsidRPr="00C71CE8">
        <w:t xml:space="preserve">4. Create a User defined function, that takes the date as input and returns the signal for that </w:t>
      </w:r>
      <w:proofErr w:type="gramStart"/>
      <w:r w:rsidRPr="00C71CE8">
        <w:t>particular day</w:t>
      </w:r>
      <w:proofErr w:type="gramEnd"/>
      <w:r w:rsidRPr="00C71CE8">
        <w:t xml:space="preserve"> (Buy/Sell/Hold) for the Bajaj stock.</w:t>
      </w:r>
    </w:p>
    <w:p w14:paraId="399362D7" w14:textId="77777777" w:rsidR="00C71CE8" w:rsidRPr="00C71CE8" w:rsidRDefault="00C71CE8" w:rsidP="00C71CE8">
      <w:r w:rsidRPr="00C71CE8">
        <w:t> </w:t>
      </w:r>
    </w:p>
    <w:p w14:paraId="6643AE57" w14:textId="77777777" w:rsidR="00C71CE8" w:rsidRPr="00C71CE8" w:rsidRDefault="00C71CE8" w:rsidP="00C71CE8">
      <w:bookmarkStart w:id="0" w:name="_GoBack"/>
      <w:bookmarkEnd w:id="0"/>
      <w:r w:rsidRPr="00C71CE8">
        <w:t>5. Write a brief summary of the results obtained and what inferences you can draw from the analysis performed. (Less than 250 words to be submitted in a pdf file)</w:t>
      </w:r>
    </w:p>
    <w:p w14:paraId="5039F099" w14:textId="77777777" w:rsidR="00C71CE8" w:rsidRDefault="00C71CE8"/>
    <w:sectPr w:rsidR="00C71CE8" w:rsidSect="00EE5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97"/>
    <w:rsid w:val="00037997"/>
    <w:rsid w:val="00C71CE8"/>
    <w:rsid w:val="00E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15CC"/>
  <w15:chartTrackingRefBased/>
  <w15:docId w15:val="{69F29472-DB50-447A-9E4B-C8C6A57C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5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8084">
                              <w:marLeft w:val="0"/>
                              <w:marRight w:val="0"/>
                              <w:marTop w:val="288"/>
                              <w:marBottom w:val="14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9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Pali</dc:creator>
  <cp:keywords/>
  <dc:description/>
  <cp:lastModifiedBy>Shubham Pali</cp:lastModifiedBy>
  <cp:revision>3</cp:revision>
  <dcterms:created xsi:type="dcterms:W3CDTF">2019-10-24T06:14:00Z</dcterms:created>
  <dcterms:modified xsi:type="dcterms:W3CDTF">2019-10-24T06:16:00Z</dcterms:modified>
</cp:coreProperties>
</file>