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Dashboard Business Story Mapping - Customer Data Governance &amp; Validation Framework</w:t>
      </w:r>
    </w:p>
    <w:p>
      <w:r>
        <w:t>Purpose: Connect business observations to governance controls, KPIs, visuals, and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Observation</w:t>
            </w:r>
          </w:p>
        </w:tc>
        <w:tc>
          <w:tcPr>
            <w:tcW w:type="dxa" w:w="1234"/>
          </w:tcPr>
          <w:p>
            <w:r>
              <w:t>Business Understanding</w:t>
            </w:r>
          </w:p>
        </w:tc>
        <w:tc>
          <w:tcPr>
            <w:tcW w:type="dxa" w:w="1234"/>
          </w:tcPr>
          <w:p>
            <w:r>
              <w:t>CDE</w:t>
            </w:r>
          </w:p>
        </w:tc>
        <w:tc>
          <w:tcPr>
            <w:tcW w:type="dxa" w:w="1234"/>
          </w:tcPr>
          <w:p>
            <w:r>
              <w:t>DQ Rule</w:t>
            </w:r>
          </w:p>
        </w:tc>
        <w:tc>
          <w:tcPr>
            <w:tcW w:type="dxa" w:w="1234"/>
          </w:tcPr>
          <w:p>
            <w:r>
              <w:t>KPI</w:t>
            </w:r>
          </w:p>
        </w:tc>
        <w:tc>
          <w:tcPr>
            <w:tcW w:type="dxa" w:w="1234"/>
          </w:tcPr>
          <w:p>
            <w:r>
              <w:t>Dashboard Visual</w:t>
            </w:r>
          </w:p>
        </w:tc>
        <w:tc>
          <w:tcPr>
            <w:tcW w:type="dxa" w:w="1234"/>
          </w:tcPr>
          <w:p>
            <w:r>
              <w:t>Business Action</w:t>
            </w:r>
          </w:p>
        </w:tc>
      </w:tr>
      <w:tr>
        <w:tc>
          <w:tcPr>
            <w:tcW w:type="dxa" w:w="1234"/>
          </w:tcPr>
          <w:p>
            <w:r>
              <w:t>Invalid Email Patterns</w:t>
            </w:r>
          </w:p>
        </w:tc>
        <w:tc>
          <w:tcPr>
            <w:tcW w:type="dxa" w:w="1234"/>
          </w:tcPr>
          <w:p>
            <w:r>
              <w:t>Customer communication failure risk</w:t>
            </w:r>
          </w:p>
        </w:tc>
        <w:tc>
          <w:tcPr>
            <w:tcW w:type="dxa" w:w="1234"/>
          </w:tcPr>
          <w:p>
            <w:r>
              <w:t>Email</w:t>
            </w:r>
          </w:p>
        </w:tc>
        <w:tc>
          <w:tcPr>
            <w:tcW w:type="dxa" w:w="1234"/>
          </w:tcPr>
          <w:p>
            <w:r>
              <w:t>Email format validation</w:t>
            </w:r>
          </w:p>
        </w:tc>
        <w:tc>
          <w:tcPr>
            <w:tcW w:type="dxa" w:w="1234"/>
          </w:tcPr>
          <w:p>
            <w:r>
              <w:t>Email Failure %</w:t>
            </w:r>
          </w:p>
        </w:tc>
        <w:tc>
          <w:tcPr>
            <w:tcW w:type="dxa" w:w="1234"/>
          </w:tcPr>
          <w:p>
            <w:r>
              <w:t>Email KPI Card</w:t>
            </w:r>
          </w:p>
        </w:tc>
        <w:tc>
          <w:tcPr>
            <w:tcW w:type="dxa" w:w="1234"/>
          </w:tcPr>
          <w:p>
            <w:r>
              <w:t>Send records for remediation</w:t>
            </w:r>
          </w:p>
        </w:tc>
      </w:tr>
      <w:tr>
        <w:tc>
          <w:tcPr>
            <w:tcW w:type="dxa" w:w="1234"/>
          </w:tcPr>
          <w:p>
            <w:r>
              <w:t>Invalid Phone Numbers</w:t>
            </w:r>
          </w:p>
        </w:tc>
        <w:tc>
          <w:tcPr>
            <w:tcW w:type="dxa" w:w="1234"/>
          </w:tcPr>
          <w:p>
            <w:r>
              <w:t>Contact failure risk</w:t>
            </w:r>
          </w:p>
        </w:tc>
        <w:tc>
          <w:tcPr>
            <w:tcW w:type="dxa" w:w="1234"/>
          </w:tcPr>
          <w:p>
            <w:r>
              <w:t>Phone_Number</w:t>
            </w:r>
          </w:p>
        </w:tc>
        <w:tc>
          <w:tcPr>
            <w:tcW w:type="dxa" w:w="1234"/>
          </w:tcPr>
          <w:p>
            <w:r>
              <w:t>Phone validation rule</w:t>
            </w:r>
          </w:p>
        </w:tc>
        <w:tc>
          <w:tcPr>
            <w:tcW w:type="dxa" w:w="1234"/>
          </w:tcPr>
          <w:p>
            <w:r>
              <w:t>Phone Failure %</w:t>
            </w:r>
          </w:p>
        </w:tc>
        <w:tc>
          <w:tcPr>
            <w:tcW w:type="dxa" w:w="1234"/>
          </w:tcPr>
          <w:p>
            <w:r>
              <w:t>Phone KPI Card</w:t>
            </w:r>
          </w:p>
        </w:tc>
        <w:tc>
          <w:tcPr>
            <w:tcW w:type="dxa" w:w="1234"/>
          </w:tcPr>
          <w:p>
            <w:r>
              <w:t>Correct invalid phone records</w:t>
            </w:r>
          </w:p>
        </w:tc>
      </w:tr>
      <w:tr>
        <w:tc>
          <w:tcPr>
            <w:tcW w:type="dxa" w:w="1234"/>
          </w:tcPr>
          <w:p>
            <w:r>
              <w:t>Duplicate Customers</w:t>
            </w:r>
          </w:p>
        </w:tc>
        <w:tc>
          <w:tcPr>
            <w:tcW w:type="dxa" w:w="1234"/>
          </w:tcPr>
          <w:p>
            <w:r>
              <w:t>Duplicate customer profiles affect reporting</w:t>
            </w:r>
          </w:p>
        </w:tc>
        <w:tc>
          <w:tcPr>
            <w:tcW w:type="dxa" w:w="1234"/>
          </w:tcPr>
          <w:p>
            <w:r>
              <w:t>Customer_ID</w:t>
            </w:r>
          </w:p>
        </w:tc>
        <w:tc>
          <w:tcPr>
            <w:tcW w:type="dxa" w:w="1234"/>
          </w:tcPr>
          <w:p>
            <w:r>
              <w:t>Duplicate check rule</w:t>
            </w:r>
          </w:p>
        </w:tc>
        <w:tc>
          <w:tcPr>
            <w:tcW w:type="dxa" w:w="1234"/>
          </w:tcPr>
          <w:p>
            <w:r>
              <w:t>Duplicate %</w:t>
            </w:r>
          </w:p>
        </w:tc>
        <w:tc>
          <w:tcPr>
            <w:tcW w:type="dxa" w:w="1234"/>
          </w:tcPr>
          <w:p>
            <w:r>
              <w:t>Duplicate KPI Card</w:t>
            </w:r>
          </w:p>
        </w:tc>
        <w:tc>
          <w:tcPr>
            <w:tcW w:type="dxa" w:w="1234"/>
          </w:tcPr>
          <w:p>
            <w:r>
              <w:t>Merge or remove duplicates</w:t>
            </w:r>
          </w:p>
        </w:tc>
      </w:tr>
      <w:tr>
        <w:tc>
          <w:tcPr>
            <w:tcW w:type="dxa" w:w="1234"/>
          </w:tcPr>
          <w:p>
            <w:r>
              <w:t>Missing Mandatory Fields</w:t>
            </w:r>
          </w:p>
        </w:tc>
        <w:tc>
          <w:tcPr>
            <w:tcW w:type="dxa" w:w="1234"/>
          </w:tcPr>
          <w:p>
            <w:r>
              <w:t>Incomplete customer profile</w:t>
            </w:r>
          </w:p>
        </w:tc>
        <w:tc>
          <w:tcPr>
            <w:tcW w:type="dxa" w:w="1234"/>
          </w:tcPr>
          <w:p>
            <w:r>
              <w:t>Mandatory attributes</w:t>
            </w:r>
          </w:p>
        </w:tc>
        <w:tc>
          <w:tcPr>
            <w:tcW w:type="dxa" w:w="1234"/>
          </w:tcPr>
          <w:p>
            <w:r>
              <w:t>Completeness rule</w:t>
            </w:r>
          </w:p>
        </w:tc>
        <w:tc>
          <w:tcPr>
            <w:tcW w:type="dxa" w:w="1234"/>
          </w:tcPr>
          <w:p>
            <w:r>
              <w:t>Completeness %</w:t>
            </w:r>
          </w:p>
        </w:tc>
        <w:tc>
          <w:tcPr>
            <w:tcW w:type="dxa" w:w="1234"/>
          </w:tcPr>
          <w:p>
            <w:r>
              <w:t>Completeness KPI Card</w:t>
            </w:r>
          </w:p>
        </w:tc>
        <w:tc>
          <w:tcPr>
            <w:tcW w:type="dxa" w:w="1234"/>
          </w:tcPr>
          <w:p>
            <w:r>
              <w:t>Request missing values</w:t>
            </w:r>
          </w:p>
        </w:tc>
      </w:tr>
      <w:tr>
        <w:tc>
          <w:tcPr>
            <w:tcW w:type="dxa" w:w="1234"/>
          </w:tcPr>
          <w:p>
            <w:r>
              <w:t>Invalid Domain Values</w:t>
            </w:r>
          </w:p>
        </w:tc>
        <w:tc>
          <w:tcPr>
            <w:tcW w:type="dxa" w:w="1234"/>
          </w:tcPr>
          <w:p>
            <w:r>
              <w:t>Incorrect business values</w:t>
            </w:r>
          </w:p>
        </w:tc>
        <w:tc>
          <w:tcPr>
            <w:tcW w:type="dxa" w:w="1234"/>
          </w:tcPr>
          <w:p>
            <w:r>
              <w:t>Customer_Status / Customer_Type</w:t>
            </w:r>
          </w:p>
        </w:tc>
        <w:tc>
          <w:tcPr>
            <w:tcW w:type="dxa" w:w="1234"/>
          </w:tcPr>
          <w:p>
            <w:r>
              <w:t>Domain validation rule</w:t>
            </w:r>
          </w:p>
        </w:tc>
        <w:tc>
          <w:tcPr>
            <w:tcW w:type="dxa" w:w="1234"/>
          </w:tcPr>
          <w:p>
            <w:r>
              <w:t>Validity %</w:t>
            </w:r>
          </w:p>
        </w:tc>
        <w:tc>
          <w:tcPr>
            <w:tcW w:type="dxa" w:w="1234"/>
          </w:tcPr>
          <w:p>
            <w:r>
              <w:t>Validity KPI Card</w:t>
            </w:r>
          </w:p>
        </w:tc>
        <w:tc>
          <w:tcPr>
            <w:tcW w:type="dxa" w:w="1234"/>
          </w:tcPr>
          <w:p>
            <w:r>
              <w:t>Correct domain values</w:t>
            </w:r>
          </w:p>
        </w:tc>
      </w:tr>
      <w:tr>
        <w:tc>
          <w:tcPr>
            <w:tcW w:type="dxa" w:w="1234"/>
          </w:tcPr>
          <w:p>
            <w:r>
              <w:t>Governance Rule Violations</w:t>
            </w:r>
          </w:p>
        </w:tc>
        <w:tc>
          <w:tcPr>
            <w:tcW w:type="dxa" w:w="1234"/>
          </w:tcPr>
          <w:p>
            <w:r>
              <w:t>Control failures affect compliance</w:t>
            </w:r>
          </w:p>
        </w:tc>
        <w:tc>
          <w:tcPr>
            <w:tcW w:type="dxa" w:w="1234"/>
          </w:tcPr>
          <w:p>
            <w:r>
              <w:t>Customer_Status / Customer_Type</w:t>
            </w:r>
          </w:p>
        </w:tc>
        <w:tc>
          <w:tcPr>
            <w:tcW w:type="dxa" w:w="1234"/>
          </w:tcPr>
          <w:p>
            <w:r>
              <w:t>Governance rules</w:t>
            </w:r>
          </w:p>
        </w:tc>
        <w:tc>
          <w:tcPr>
            <w:tcW w:type="dxa" w:w="1234"/>
          </w:tcPr>
          <w:p>
            <w:r>
              <w:t>Customer_Status Failure %, Customer_Type Failure %</w:t>
            </w:r>
          </w:p>
        </w:tc>
        <w:tc>
          <w:tcPr>
            <w:tcW w:type="dxa" w:w="1234"/>
          </w:tcPr>
          <w:p>
            <w:r>
              <w:t>Governance KPI Page</w:t>
            </w:r>
          </w:p>
        </w:tc>
        <w:tc>
          <w:tcPr>
            <w:tcW w:type="dxa" w:w="1234"/>
          </w:tcPr>
          <w:p>
            <w:r>
              <w:t>Trigger stewardship review</w:t>
            </w:r>
          </w:p>
        </w:tc>
      </w:tr>
    </w:tbl>
    <w:p>
      <w:pPr>
        <w:pStyle w:val="Heading2"/>
      </w:pPr>
      <w:r>
        <w:t>Implementation Note</w:t>
      </w:r>
    </w:p>
    <w:p>
      <w:r>
        <w:t>Framework flow: Observations → Business Understanding → CDE → DQ Rules → KPI → Dashboard Visual → Business 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