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5EB3" w14:textId="0359C804" w:rsidR="00D228BD" w:rsidRPr="00977E89" w:rsidRDefault="009E13E0" w:rsidP="006F4B74">
      <w:pPr>
        <w:jc w:val="center"/>
        <w:rPr>
          <w:rFonts w:ascii="Century Gothic" w:hAnsi="Century Gothic" w:cs="Arial"/>
          <w:color w:val="808080" w:themeColor="background1" w:themeShade="80"/>
        </w:rPr>
      </w:pPr>
      <w:r w:rsidRPr="00977E89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PROJECT</w:t>
      </w:r>
      <w:r w:rsidR="00DB0DD5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PLAN</w:t>
      </w:r>
      <w:r w:rsidRPr="00977E89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SCOPE</w:t>
      </w:r>
    </w:p>
    <w:p w14:paraId="1180B38D" w14:textId="77777777" w:rsidR="00493A50" w:rsidRPr="00216F01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216F01" w14:paraId="24CDD52F" w14:textId="77777777" w:rsidTr="00216F01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14:paraId="1174D662" w14:textId="77777777" w:rsidR="00216F01" w:rsidRPr="00977E89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PROJECT NO.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14:paraId="4A511CE2" w14:textId="77777777" w:rsidR="00216F01" w:rsidRPr="00977E89" w:rsidRDefault="00216F01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DATE SUBMITTED</w:t>
            </w:r>
          </w:p>
        </w:tc>
      </w:tr>
      <w:tr w:rsidR="00216F01" w:rsidRPr="00493A50" w14:paraId="0A303F5E" w14:textId="77777777" w:rsidTr="00216F01">
        <w:trPr>
          <w:trHeight w:val="530"/>
        </w:trPr>
        <w:tc>
          <w:tcPr>
            <w:tcW w:w="5305" w:type="dxa"/>
            <w:vAlign w:val="center"/>
          </w:tcPr>
          <w:p w14:paraId="07781FB4" w14:textId="579DDEAF" w:rsidR="00216F01" w:rsidRPr="00493A50" w:rsidRDefault="00F6398F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497864-12</w:t>
            </w:r>
          </w:p>
        </w:tc>
        <w:tc>
          <w:tcPr>
            <w:tcW w:w="5305" w:type="dxa"/>
            <w:vAlign w:val="center"/>
          </w:tcPr>
          <w:p w14:paraId="2664F5A3" w14:textId="14996E32" w:rsidR="00216F01" w:rsidRPr="00493A50" w:rsidRDefault="00F6398F" w:rsidP="00977E8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01</w:t>
            </w:r>
            <w:r w:rsidR="005F5D1D">
              <w:rPr>
                <w:rFonts w:ascii="Century Gothic" w:hAnsi="Century Gothic"/>
                <w:sz w:val="20"/>
              </w:rPr>
              <w:t>/</w:t>
            </w:r>
            <w:r>
              <w:rPr>
                <w:rFonts w:ascii="Century Gothic" w:hAnsi="Century Gothic"/>
                <w:sz w:val="20"/>
              </w:rPr>
              <w:t>25</w:t>
            </w:r>
            <w:r w:rsidR="005F5D1D">
              <w:rPr>
                <w:rFonts w:ascii="Century Gothic" w:hAnsi="Century Gothic"/>
                <w:sz w:val="20"/>
              </w:rPr>
              <w:t>/</w:t>
            </w:r>
            <w:r>
              <w:rPr>
                <w:rFonts w:ascii="Century Gothic" w:hAnsi="Century Gothic"/>
                <w:sz w:val="20"/>
              </w:rPr>
              <w:t>2024</w:t>
            </w:r>
          </w:p>
        </w:tc>
      </w:tr>
      <w:tr w:rsidR="00216F01" w:rsidRPr="00977E89" w14:paraId="0B797A8D" w14:textId="77777777" w:rsidTr="00216F01">
        <w:trPr>
          <w:trHeight w:val="432"/>
        </w:trPr>
        <w:tc>
          <w:tcPr>
            <w:tcW w:w="10610" w:type="dxa"/>
            <w:gridSpan w:val="2"/>
            <w:shd w:val="clear" w:color="auto" w:fill="D5DCE4" w:themeFill="text2" w:themeFillTint="33"/>
            <w:vAlign w:val="center"/>
          </w:tcPr>
          <w:p w14:paraId="77FBA1C2" w14:textId="77777777" w:rsidR="00216F01" w:rsidRPr="00977E89" w:rsidRDefault="00216F01" w:rsidP="00333DA4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>PROJECT OBJECTIVES</w:t>
            </w: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 </w:t>
            </w:r>
          </w:p>
        </w:tc>
      </w:tr>
      <w:tr w:rsidR="00216F01" w:rsidRPr="00493A50" w14:paraId="369E0D32" w14:textId="77777777" w:rsidTr="00356C18">
        <w:trPr>
          <w:trHeight w:val="864"/>
        </w:trPr>
        <w:tc>
          <w:tcPr>
            <w:tcW w:w="10610" w:type="dxa"/>
            <w:gridSpan w:val="2"/>
            <w:vAlign w:val="center"/>
          </w:tcPr>
          <w:p w14:paraId="2435004D" w14:textId="77777777" w:rsidR="00095B18" w:rsidRDefault="00095B18" w:rsidP="00095B18">
            <w:pPr>
              <w:pStyle w:val="ListParagraph"/>
            </w:pPr>
          </w:p>
          <w:p w14:paraId="67946635" w14:textId="3E8234EB" w:rsidR="00216F01" w:rsidRPr="00F6398F" w:rsidRDefault="00F6398F" w:rsidP="00F6398F">
            <w:pPr>
              <w:pStyle w:val="ListParagraph"/>
              <w:numPr>
                <w:ilvl w:val="0"/>
                <w:numId w:val="7"/>
              </w:numPr>
            </w:pPr>
            <w:r>
              <w:t>Conduct a detailed examination of the Crown Bank of Canada's financial statements to evaluate profitability, liquidity, and financial health.</w:t>
            </w:r>
          </w:p>
          <w:p w14:paraId="621E5A19" w14:textId="20FEBAA8" w:rsidR="00F6398F" w:rsidRPr="00F6398F" w:rsidRDefault="00F6398F" w:rsidP="00F6398F">
            <w:pPr>
              <w:pStyle w:val="ListParagraph"/>
              <w:numPr>
                <w:ilvl w:val="0"/>
                <w:numId w:val="7"/>
              </w:numPr>
            </w:pPr>
            <w:r>
              <w:t>Conduct an in-depth review of CBC's IT and Operations infrastructure.</w:t>
            </w:r>
          </w:p>
          <w:p w14:paraId="7EC91CD0" w14:textId="387016A6" w:rsidR="00F6398F" w:rsidRDefault="00F6398F" w:rsidP="00F6398F">
            <w:pPr>
              <w:pStyle w:val="ListParagraph"/>
              <w:numPr>
                <w:ilvl w:val="0"/>
                <w:numId w:val="7"/>
              </w:numPr>
            </w:pPr>
            <w:r w:rsidRPr="00F6398F">
              <w:t xml:space="preserve">Implementation of new products for CBC’s line up </w:t>
            </w:r>
          </w:p>
          <w:p w14:paraId="3A9F3850" w14:textId="77777777" w:rsidR="00095B18" w:rsidRDefault="00095B18" w:rsidP="00095B18">
            <w:pPr>
              <w:pStyle w:val="ListParagraph"/>
              <w:numPr>
                <w:ilvl w:val="0"/>
                <w:numId w:val="7"/>
              </w:numPr>
            </w:pPr>
            <w:r>
              <w:t xml:space="preserve">Detailed view of balance scorecard </w:t>
            </w:r>
          </w:p>
          <w:p w14:paraId="4E5F3C6D" w14:textId="70D296F1" w:rsidR="00095B18" w:rsidRPr="00095B18" w:rsidRDefault="00095B18" w:rsidP="00095B18">
            <w:pPr>
              <w:pStyle w:val="ListParagraph"/>
              <w:rPr>
                <w:rStyle w:val="PlaceholderText"/>
                <w:rFonts w:cstheme="minorBidi"/>
                <w:color w:val="auto"/>
              </w:rPr>
            </w:pPr>
          </w:p>
        </w:tc>
      </w:tr>
    </w:tbl>
    <w:p w14:paraId="686D0AB5" w14:textId="77777777" w:rsidR="00493A50" w:rsidRPr="00493A50" w:rsidRDefault="00493A50" w:rsidP="00493A50">
      <w:pPr>
        <w:rPr>
          <w:rFonts w:ascii="Century Gothic" w:hAnsi="Century Gothic"/>
          <w:sz w:val="20"/>
        </w:rPr>
      </w:pPr>
    </w:p>
    <w:p w14:paraId="3A40AFE6" w14:textId="77777777" w:rsidR="00493A50" w:rsidRPr="00493A50" w:rsidRDefault="00493A50" w:rsidP="00493A50">
      <w:pPr>
        <w:pStyle w:val="Heading2"/>
        <w:rPr>
          <w:rFonts w:ascii="Century Gothic" w:hAnsi="Century Gothic"/>
          <w:sz w:val="22"/>
        </w:rPr>
      </w:pPr>
      <w:r w:rsidRPr="00493A50">
        <w:rPr>
          <w:rFonts w:ascii="Century Gothic" w:hAnsi="Century Gothic"/>
          <w:sz w:val="22"/>
        </w:rPr>
        <w:t>Step 1. Project Deliverables</w:t>
      </w:r>
    </w:p>
    <w:p w14:paraId="5EA8E4D7" w14:textId="77777777" w:rsidR="00493A50" w:rsidRPr="00216F01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8906"/>
      </w:tblGrid>
      <w:tr w:rsidR="00493A50" w:rsidRPr="00493A50" w14:paraId="30F17ACA" w14:textId="77777777" w:rsidTr="0026483D">
        <w:trPr>
          <w:trHeight w:val="43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14:paraId="10600797" w14:textId="77777777" w:rsidR="00493A50" w:rsidRPr="00977E89" w:rsidRDefault="00493A50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DELIVERABLE NO.</w:t>
            </w:r>
          </w:p>
        </w:tc>
        <w:tc>
          <w:tcPr>
            <w:tcW w:w="4197" w:type="pct"/>
            <w:shd w:val="clear" w:color="auto" w:fill="D5DCE4" w:themeFill="text2" w:themeFillTint="33"/>
            <w:vAlign w:val="center"/>
          </w:tcPr>
          <w:p w14:paraId="4F0FEC85" w14:textId="77777777" w:rsidR="00493A50" w:rsidRPr="00977E89" w:rsidRDefault="00493A50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493A50" w:rsidRPr="00493A50" w14:paraId="2AD8E70A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3B00745F" w14:textId="7F3BADA2" w:rsidR="00493A50" w:rsidRPr="008F24FA" w:rsidRDefault="00493A50" w:rsidP="00B54E0D">
            <w:pPr>
              <w:rPr>
                <w:rFonts w:ascii="Century Gothic" w:hAnsi="Century Gothic"/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1</w:t>
            </w:r>
            <w:r w:rsidR="00095B18" w:rsidRPr="008F24FA">
              <w:rPr>
                <w:rStyle w:val="PlaceholderText"/>
                <w:rFonts w:ascii="Century Gothic" w:hAnsi="Century Gothic"/>
                <w:sz w:val="22"/>
                <w:szCs w:val="22"/>
              </w:rPr>
              <w:t xml:space="preserve"> . </w:t>
            </w:r>
            <w:r w:rsidR="00B54E0D">
              <w:rPr>
                <w:rStyle w:val="PlaceholderText"/>
                <w:rFonts w:ascii="Century Gothic" w:hAnsi="Century Gothic"/>
                <w:sz w:val="22"/>
                <w:szCs w:val="22"/>
              </w:rPr>
              <w:t xml:space="preserve">  </w:t>
            </w:r>
            <w:r w:rsidR="00095B18" w:rsidRPr="008F24FA">
              <w:rPr>
                <w:sz w:val="22"/>
                <w:szCs w:val="22"/>
              </w:rPr>
              <w:t xml:space="preserve">SWOT </w:t>
            </w:r>
            <w:r w:rsidR="00B54E0D">
              <w:rPr>
                <w:sz w:val="22"/>
                <w:szCs w:val="22"/>
              </w:rPr>
              <w:t xml:space="preserve">    </w:t>
            </w:r>
            <w:r w:rsidR="00095B18" w:rsidRPr="008F24FA">
              <w:rPr>
                <w:sz w:val="22"/>
                <w:szCs w:val="22"/>
              </w:rPr>
              <w:t>Analysis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1B7D23F3" w14:textId="5A571894" w:rsidR="00493A50" w:rsidRPr="008F24FA" w:rsidRDefault="00095B18" w:rsidP="00977E89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strategic planning tool used by individuals and organizations to identify and assess their internal strengths and weaknesses, as well as external opportunities and threats.</w:t>
            </w:r>
          </w:p>
        </w:tc>
      </w:tr>
      <w:tr w:rsidR="0026483D" w:rsidRPr="00493A50" w14:paraId="1E6F9CD9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5E24223A" w14:textId="59A3DE24" w:rsidR="0026483D" w:rsidRPr="008F24FA" w:rsidRDefault="0026483D" w:rsidP="00B54E0D">
            <w:pPr>
              <w:rPr>
                <w:rStyle w:val="PlaceholderText"/>
                <w:rFonts w:ascii="Century Gothic" w:hAnsi="Century Gothic"/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2</w:t>
            </w:r>
            <w:r w:rsidR="00095B18" w:rsidRPr="008F24FA">
              <w:rPr>
                <w:sz w:val="22"/>
                <w:szCs w:val="22"/>
              </w:rPr>
              <w:t xml:space="preserve"> . RACI Chart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2B4202BB" w14:textId="587B631F" w:rsidR="0026483D" w:rsidRPr="008F24FA" w:rsidRDefault="00095B18" w:rsidP="0026483D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8F24FA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C</w:t>
            </w:r>
            <w:r w:rsidRPr="008F24FA">
              <w:rPr>
                <w:sz w:val="22"/>
                <w:szCs w:val="22"/>
              </w:rPr>
              <w:t>BC’s project management and organizational tool used to clarify and communicate the roles and responsibilities of team members in relation to specific tasks or activities.</w:t>
            </w:r>
          </w:p>
        </w:tc>
      </w:tr>
      <w:tr w:rsidR="0026483D" w:rsidRPr="00493A50" w14:paraId="2BE8C4C8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3AE0ED4D" w14:textId="1CF31839" w:rsidR="0026483D" w:rsidRPr="008F24FA" w:rsidRDefault="0026483D" w:rsidP="00B54E0D">
            <w:pPr>
              <w:rPr>
                <w:rStyle w:val="PlaceholderText"/>
                <w:rFonts w:ascii="Century Gothic" w:hAnsi="Century Gothic"/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3</w:t>
            </w:r>
            <w:r w:rsidR="00095B18" w:rsidRPr="008F24FA">
              <w:rPr>
                <w:sz w:val="22"/>
                <w:szCs w:val="22"/>
              </w:rPr>
              <w:t xml:space="preserve"> . Balance          scorecard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61FC6CDA" w14:textId="2CEB4F89" w:rsidR="00095B18" w:rsidRPr="008F24FA" w:rsidRDefault="00095B18" w:rsidP="0026483D">
            <w:pPr>
              <w:rPr>
                <w:rStyle w:val="PlaceholderText"/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strategic management framework that helps organizations translate their vision and strategy into a set of measurable objectives and key performance indicators (KPIs).</w:t>
            </w:r>
          </w:p>
        </w:tc>
      </w:tr>
      <w:tr w:rsidR="00095B18" w:rsidRPr="00493A50" w14:paraId="4F78B7A3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130A7F71" w14:textId="57CFFC4C" w:rsidR="00095B18" w:rsidRPr="008F24FA" w:rsidRDefault="00095B18" w:rsidP="00B54E0D">
            <w:pPr>
              <w:rPr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4. PESLTLE Analysis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14C7C90D" w14:textId="0D7DC495" w:rsidR="00095B18" w:rsidRPr="008F24FA" w:rsidRDefault="00095B18" w:rsidP="0026483D">
            <w:pPr>
              <w:rPr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strategic management tool used to assess and analyze the external macro-environmental factors that can impact an organization.</w:t>
            </w:r>
          </w:p>
        </w:tc>
      </w:tr>
      <w:tr w:rsidR="00095B18" w:rsidRPr="00493A50" w14:paraId="4FC549B0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4BCD6D41" w14:textId="4275D673" w:rsidR="00095B18" w:rsidRPr="008F24FA" w:rsidRDefault="00095B18" w:rsidP="00B54E0D">
            <w:pPr>
              <w:rPr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5.</w:t>
            </w:r>
            <w:r w:rsidR="008F24FA" w:rsidRPr="008F24FA">
              <w:rPr>
                <w:sz w:val="22"/>
                <w:szCs w:val="22"/>
              </w:rPr>
              <w:t>Team contract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22E53F97" w14:textId="61BAAAED" w:rsidR="00095B18" w:rsidRPr="008F24FA" w:rsidRDefault="008F24FA" w:rsidP="0026483D">
            <w:pPr>
              <w:rPr>
                <w:rStyle w:val="PlaceholderText"/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A team contract is a formal or informal agreement among team members that outlines the expectations, responsibilities, and norms governing their collaboration and behavior within the team.</w:t>
            </w:r>
          </w:p>
        </w:tc>
      </w:tr>
      <w:tr w:rsidR="008F24FA" w:rsidRPr="00493A50" w14:paraId="5DBECEEC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63D2FF31" w14:textId="04D4CCBC" w:rsidR="008F24FA" w:rsidRPr="008F24FA" w:rsidRDefault="008F24FA" w:rsidP="00B54E0D">
            <w:pPr>
              <w:rPr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6. Business Analysis Approach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3094F66F" w14:textId="1EDB73A3" w:rsidR="008F24FA" w:rsidRPr="008F24FA" w:rsidRDefault="008F24FA" w:rsidP="0026483D">
            <w:pPr>
              <w:rPr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outlines the strategy and methodologies that will be employed during the business analysis process</w:t>
            </w:r>
          </w:p>
        </w:tc>
      </w:tr>
      <w:tr w:rsidR="008F24FA" w:rsidRPr="00493A50" w14:paraId="4429FBD0" w14:textId="77777777" w:rsidTr="0026483D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14:paraId="1F3F5015" w14:textId="2E581971" w:rsidR="008F24FA" w:rsidRPr="008F24FA" w:rsidRDefault="008F24FA" w:rsidP="00B54E0D">
            <w:pPr>
              <w:rPr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7. Business stakeholder engagement plan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5AEFFF82" w14:textId="0B916013" w:rsidR="008F24FA" w:rsidRPr="008F24FA" w:rsidRDefault="008F24FA" w:rsidP="0026483D">
            <w:pPr>
              <w:rPr>
                <w:rStyle w:val="PlaceholderText"/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The Business Stakeholder Engagement Plan focuses specifically on how stakeholders will be involved throughout the project.</w:t>
            </w:r>
          </w:p>
        </w:tc>
      </w:tr>
      <w:tr w:rsidR="008F24FA" w:rsidRPr="00493A50" w14:paraId="5AEA2A10" w14:textId="77777777" w:rsidTr="008F24FA">
        <w:trPr>
          <w:trHeight w:val="536"/>
        </w:trPr>
        <w:tc>
          <w:tcPr>
            <w:tcW w:w="803" w:type="pct"/>
            <w:shd w:val="clear" w:color="auto" w:fill="auto"/>
            <w:vAlign w:val="center"/>
          </w:tcPr>
          <w:p w14:paraId="5BB70612" w14:textId="5907DD11" w:rsidR="008F24FA" w:rsidRPr="008F24FA" w:rsidRDefault="008F24FA" w:rsidP="00B54E0D">
            <w:pPr>
              <w:rPr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8. Written Status Report.</w:t>
            </w:r>
          </w:p>
        </w:tc>
        <w:tc>
          <w:tcPr>
            <w:tcW w:w="4197" w:type="pct"/>
            <w:shd w:val="clear" w:color="auto" w:fill="auto"/>
            <w:vAlign w:val="center"/>
          </w:tcPr>
          <w:p w14:paraId="1770BC08" w14:textId="47CD1F6D" w:rsidR="008F24FA" w:rsidRPr="008F24FA" w:rsidRDefault="008F24FA" w:rsidP="0026483D">
            <w:pPr>
              <w:rPr>
                <w:rStyle w:val="PlaceholderText"/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8F24FA">
              <w:rPr>
                <w:sz w:val="22"/>
                <w:szCs w:val="22"/>
              </w:rPr>
              <w:t>A Written Status Report is a document that provides an overview of the project's status.</w:t>
            </w:r>
          </w:p>
        </w:tc>
      </w:tr>
    </w:tbl>
    <w:p w14:paraId="1BD2017A" w14:textId="77777777" w:rsidR="00493A50" w:rsidRPr="00493A50" w:rsidRDefault="00493A50" w:rsidP="00493A50">
      <w:pPr>
        <w:rPr>
          <w:rFonts w:ascii="Century Gothic" w:hAnsi="Century Gothic"/>
        </w:rPr>
      </w:pPr>
    </w:p>
    <w:p w14:paraId="4EC450B6" w14:textId="4AE09759" w:rsidR="006F4B74" w:rsidRPr="006F4B74" w:rsidRDefault="00493A50" w:rsidP="00493A50">
      <w:pPr>
        <w:pStyle w:val="Heading2"/>
        <w:rPr>
          <w:rStyle w:val="PlaceholderText"/>
          <w:rFonts w:ascii="Century Gothic" w:hAnsi="Century Gothic"/>
          <w:color w:val="auto"/>
          <w:sz w:val="22"/>
        </w:rPr>
      </w:pPr>
      <w:r w:rsidRPr="00493A50">
        <w:rPr>
          <w:rFonts w:ascii="Century Gothic" w:hAnsi="Century Gothic"/>
          <w:sz w:val="22"/>
        </w:rPr>
        <w:t>Step 2. List of Project Tasks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4"/>
        <w:gridCol w:w="6572"/>
        <w:gridCol w:w="2334"/>
      </w:tblGrid>
      <w:tr w:rsidR="00BF6229" w:rsidRPr="00BF6229" w14:paraId="367AD292" w14:textId="77777777" w:rsidTr="00216F01">
        <w:trPr>
          <w:trHeight w:val="60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14:paraId="19C80865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TASK NO.</w:t>
            </w:r>
          </w:p>
        </w:tc>
        <w:tc>
          <w:tcPr>
            <w:tcW w:w="3097" w:type="pct"/>
            <w:shd w:val="clear" w:color="auto" w:fill="D5DCE4" w:themeFill="text2" w:themeFillTint="33"/>
            <w:vAlign w:val="center"/>
          </w:tcPr>
          <w:p w14:paraId="29F6C716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100" w:type="pct"/>
            <w:shd w:val="clear" w:color="auto" w:fill="D5DCE4" w:themeFill="text2" w:themeFillTint="33"/>
            <w:vAlign w:val="center"/>
          </w:tcPr>
          <w:p w14:paraId="7B4059E6" w14:textId="77777777" w:rsidR="00BF6229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FOR DELIVERABLE NO. …</w:t>
            </w:r>
          </w:p>
          <w:p w14:paraId="6EC5D49F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ENTER TASK #</w:t>
            </w:r>
          </w:p>
        </w:tc>
      </w:tr>
      <w:tr w:rsidR="00BF6229" w:rsidRPr="00BF6229" w14:paraId="4FF2BDFC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0ECF9CA" w14:textId="77777777" w:rsidR="00493A50" w:rsidRPr="00B54E0D" w:rsidRDefault="00493A50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3E37908D" w14:textId="454DC1AE" w:rsidR="00493A50" w:rsidRPr="00B54E0D" w:rsidRDefault="0026483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Planning</w:t>
            </w:r>
            <w:r w:rsidR="00B54E0D" w:rsidRPr="00B54E0D">
              <w:rPr>
                <w:sz w:val="22"/>
                <w:szCs w:val="22"/>
              </w:rPr>
              <w:t xml:space="preserve"> and Project Initiation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4B146B7" w14:textId="77777777" w:rsidR="00493A50" w:rsidRPr="0026483D" w:rsidRDefault="00493A50" w:rsidP="00977E8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F6229" w:rsidRPr="00BF6229" w14:paraId="46530A52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E6F4EC7" w14:textId="77777777" w:rsidR="00493A50" w:rsidRPr="00B54E0D" w:rsidRDefault="00493A50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7F2E0726" w14:textId="6D513FB2" w:rsidR="00493A50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Stakeholder Identification and Engagement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3D53B5C" w14:textId="77777777" w:rsidR="00493A50" w:rsidRPr="0026483D" w:rsidRDefault="0026483D" w:rsidP="00977E8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BF6229" w:rsidRPr="00BF6229" w14:paraId="69C8DF27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ABFB3B8" w14:textId="77777777" w:rsidR="00493A50" w:rsidRPr="00B54E0D" w:rsidRDefault="00493A50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275E8212" w14:textId="5C616272" w:rsidR="00493A50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Data Collection and Preparation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FB0B97D" w14:textId="77777777" w:rsidR="00493A50" w:rsidRPr="0026483D" w:rsidRDefault="0026483D" w:rsidP="00977E8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1, 2</w:t>
            </w:r>
          </w:p>
        </w:tc>
      </w:tr>
      <w:tr w:rsidR="00B54E0D" w:rsidRPr="00BF6229" w14:paraId="0D3C294A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785E7CD" w14:textId="1F0A9A0A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71AA4A6" w14:textId="77C95ACC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Comparative Analysis with Competitor Banks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2B53D8" w14:textId="2F812526" w:rsidR="00B54E0D" w:rsidRDefault="00B54E0D" w:rsidP="00977E8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</w:tr>
      <w:tr w:rsidR="00B54E0D" w:rsidRPr="00BF6229" w14:paraId="78A75A53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7585627" w14:textId="3BF5DF5D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62EDC599" w14:textId="5CDE09E3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Financial Performance Analysis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6C25799" w14:textId="06D3838E" w:rsidR="00B54E0D" w:rsidRDefault="00B54E0D" w:rsidP="00977E8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,4</w:t>
            </w:r>
          </w:p>
        </w:tc>
      </w:tr>
      <w:tr w:rsidR="00B54E0D" w:rsidRPr="00BF6229" w14:paraId="4F3A2662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DC714CD" w14:textId="6286D64A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4975C980" w14:textId="2E1673C9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Operational Efficiency Assessment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6C002D9" w14:textId="62874BEC" w:rsidR="00B54E0D" w:rsidRDefault="00B54E0D" w:rsidP="00977E8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,4,5</w:t>
            </w:r>
          </w:p>
        </w:tc>
      </w:tr>
      <w:tr w:rsidR="00B54E0D" w:rsidRPr="00BF6229" w14:paraId="5188C450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7299BA5" w14:textId="69D7B71D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7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1244F01F" w14:textId="2B0A10F7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Presentation and Reporting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9BC8D61" w14:textId="0F7CC2C3" w:rsidR="00B54E0D" w:rsidRDefault="00B54E0D" w:rsidP="00977E8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,2,3,4,5,6</w:t>
            </w:r>
          </w:p>
        </w:tc>
      </w:tr>
      <w:tr w:rsidR="00B54E0D" w:rsidRPr="00BF6229" w14:paraId="6433C29F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B8B8C2C" w14:textId="1398B266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8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338D7C48" w14:textId="14664B36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Stakeholder Feedback and Revision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5E59937" w14:textId="77777777" w:rsidR="00B54E0D" w:rsidRDefault="00B54E0D" w:rsidP="00977E8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54E0D" w:rsidRPr="00BF6229" w14:paraId="21950448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820B7D6" w14:textId="01C9FCCE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9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1A39824F" w14:textId="2B3094D2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Documentation of Methodology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B48C407" w14:textId="77777777" w:rsidR="00B54E0D" w:rsidRDefault="00B54E0D" w:rsidP="00977E8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B54E0D" w:rsidRPr="00BF6229" w14:paraId="11547398" w14:textId="77777777" w:rsidTr="00977E89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4EDC44B" w14:textId="5FEFA2B2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10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14:paraId="0090337D" w14:textId="2059ABAC" w:rsidR="00B54E0D" w:rsidRPr="00B54E0D" w:rsidRDefault="00B54E0D" w:rsidP="00977E89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>Project Closure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713E567" w14:textId="77777777" w:rsidR="00B54E0D" w:rsidRDefault="00B54E0D" w:rsidP="00977E8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A25C6FD" w14:textId="77777777" w:rsidR="00493A50" w:rsidRPr="00493A50" w:rsidRDefault="00493A50" w:rsidP="00493A50">
      <w:pPr>
        <w:rPr>
          <w:rStyle w:val="PlaceholderText"/>
          <w:rFonts w:ascii="Century Gothic" w:hAnsi="Century Gothic"/>
        </w:rPr>
      </w:pPr>
    </w:p>
    <w:p w14:paraId="764FC05B" w14:textId="77777777" w:rsidR="00BF6229" w:rsidRDefault="00493A50" w:rsidP="00BF6229">
      <w:pPr>
        <w:pStyle w:val="Heading2"/>
        <w:rPr>
          <w:rFonts w:ascii="Century Gothic" w:hAnsi="Century Gothic"/>
          <w:sz w:val="22"/>
        </w:rPr>
      </w:pPr>
      <w:r w:rsidRPr="00BF6229">
        <w:rPr>
          <w:rFonts w:ascii="Century Gothic" w:eastAsia="Calibri" w:hAnsi="Century Gothic"/>
          <w:sz w:val="22"/>
        </w:rPr>
        <w:t xml:space="preserve">Step 3. </w:t>
      </w:r>
      <w:r w:rsidRPr="00BF6229">
        <w:rPr>
          <w:rFonts w:ascii="Century Gothic" w:hAnsi="Century Gothic"/>
          <w:sz w:val="22"/>
        </w:rPr>
        <w:t>Out of Scope</w:t>
      </w:r>
    </w:p>
    <w:p w14:paraId="6C936B33" w14:textId="77777777" w:rsidR="00356C18" w:rsidRPr="0026483D" w:rsidRDefault="00356C18" w:rsidP="00356C18">
      <w:pPr>
        <w:spacing w:after="120"/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5"/>
        <w:gridCol w:w="8905"/>
      </w:tblGrid>
      <w:tr w:rsidR="00356C18" w:rsidRPr="00493A50" w14:paraId="5AB6033D" w14:textId="77777777" w:rsidTr="00356C18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6E848560" w14:textId="77777777" w:rsidR="00356C18" w:rsidRPr="00BF6229" w:rsidRDefault="00356C18" w:rsidP="00BF6229">
            <w:pPr>
              <w:rPr>
                <w:rFonts w:ascii="Century Gothic" w:hAnsi="Century Gothic"/>
                <w:sz w:val="18"/>
              </w:rPr>
            </w:pPr>
            <w:r w:rsidRPr="00BF6229">
              <w:rPr>
                <w:rFonts w:ascii="Century Gothic" w:hAnsi="Century Gothic"/>
                <w:sz w:val="18"/>
              </w:rPr>
              <w:t xml:space="preserve">This project </w:t>
            </w:r>
            <w:r w:rsidRPr="00BF6229">
              <w:rPr>
                <w:rFonts w:ascii="Century Gothic" w:hAnsi="Century Gothic"/>
                <w:b/>
                <w:sz w:val="18"/>
              </w:rPr>
              <w:t>will NOT accomplish or include</w:t>
            </w:r>
            <w:r w:rsidRPr="00BF6229">
              <w:rPr>
                <w:rFonts w:ascii="Century Gothic" w:hAnsi="Century Gothic"/>
                <w:sz w:val="18"/>
              </w:rPr>
              <w:t xml:space="preserve"> the following:</w:t>
            </w:r>
          </w:p>
        </w:tc>
        <w:tc>
          <w:tcPr>
            <w:tcW w:w="8905" w:type="dxa"/>
            <w:vAlign w:val="center"/>
          </w:tcPr>
          <w:p w14:paraId="07D59208" w14:textId="274FF568" w:rsidR="00356C18" w:rsidRPr="00E775BD" w:rsidRDefault="003C3C9F" w:rsidP="003C3C9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775BD">
              <w:rPr>
                <w:sz w:val="22"/>
                <w:szCs w:val="22"/>
              </w:rPr>
              <w:t>Individual Customer Financial Profiles</w:t>
            </w:r>
          </w:p>
          <w:p w14:paraId="71E44C38" w14:textId="77777777" w:rsidR="003C3C9F" w:rsidRPr="00E775BD" w:rsidRDefault="00E775BD" w:rsidP="003C3C9F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775BD">
              <w:rPr>
                <w:sz w:val="22"/>
                <w:szCs w:val="22"/>
              </w:rPr>
              <w:t>Predictive Modeling for Future Market Conditions</w:t>
            </w:r>
          </w:p>
          <w:p w14:paraId="6CFDABD5" w14:textId="1339484D" w:rsidR="00E775BD" w:rsidRPr="003C3C9F" w:rsidRDefault="00E775BD" w:rsidP="003C3C9F">
            <w:pPr>
              <w:pStyle w:val="ListParagraph"/>
              <w:numPr>
                <w:ilvl w:val="0"/>
                <w:numId w:val="8"/>
              </w:numPr>
              <w:rPr>
                <w:rFonts w:ascii="Century Gothic" w:hAnsi="Century Gothic"/>
                <w:color w:val="000000" w:themeColor="text1"/>
                <w:sz w:val="18"/>
              </w:rPr>
            </w:pPr>
            <w:r w:rsidRPr="00E775BD">
              <w:rPr>
                <w:sz w:val="22"/>
                <w:szCs w:val="22"/>
              </w:rPr>
              <w:t>Real-Time Market Monitoring</w:t>
            </w:r>
          </w:p>
        </w:tc>
      </w:tr>
    </w:tbl>
    <w:p w14:paraId="13A7148D" w14:textId="77777777" w:rsidR="00493A50" w:rsidRPr="00BF6229" w:rsidRDefault="00493A50" w:rsidP="00493A50">
      <w:pPr>
        <w:pStyle w:val="Heading2"/>
        <w:rPr>
          <w:rFonts w:ascii="Century Gothic" w:hAnsi="Century Gothic"/>
          <w:sz w:val="22"/>
        </w:rPr>
      </w:pPr>
      <w:r w:rsidRPr="00BF6229">
        <w:rPr>
          <w:rFonts w:ascii="Century Gothic" w:hAnsi="Century Gothic"/>
          <w:sz w:val="22"/>
        </w:rPr>
        <w:t>Step 4. Project Assumptions</w:t>
      </w:r>
    </w:p>
    <w:p w14:paraId="0BCC3374" w14:textId="77777777" w:rsidR="00493A50" w:rsidRPr="0048649F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1"/>
        <w:gridCol w:w="10059"/>
      </w:tblGrid>
      <w:tr w:rsidR="00493A50" w:rsidRPr="00493A50" w14:paraId="5D6A677B" w14:textId="77777777" w:rsidTr="00216F01">
        <w:trPr>
          <w:trHeight w:val="432"/>
        </w:trPr>
        <w:tc>
          <w:tcPr>
            <w:tcW w:w="212" w:type="pct"/>
            <w:shd w:val="clear" w:color="auto" w:fill="D5DCE4" w:themeFill="text2" w:themeFillTint="33"/>
            <w:vAlign w:val="center"/>
          </w:tcPr>
          <w:p w14:paraId="33DE8E88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NO.</w:t>
            </w:r>
          </w:p>
        </w:tc>
        <w:tc>
          <w:tcPr>
            <w:tcW w:w="4788" w:type="pct"/>
            <w:shd w:val="clear" w:color="auto" w:fill="D5DCE4" w:themeFill="text2" w:themeFillTint="33"/>
            <w:vAlign w:val="center"/>
          </w:tcPr>
          <w:p w14:paraId="7C0EC361" w14:textId="77777777" w:rsidR="00493A50" w:rsidRPr="00216F01" w:rsidRDefault="00BF6229" w:rsidP="00977E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ASSUMPTION</w:t>
            </w:r>
          </w:p>
        </w:tc>
      </w:tr>
      <w:tr w:rsidR="00493A50" w:rsidRPr="00493A50" w14:paraId="320842C2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5610D4A4" w14:textId="77777777" w:rsidR="00493A50" w:rsidRPr="00BF6229" w:rsidRDefault="00493A50" w:rsidP="00977E89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</w:rPr>
              <w:t>1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5EBA7430" w14:textId="0016D2CB" w:rsidR="00493A50" w:rsidRPr="0048649F" w:rsidRDefault="0058557B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58557B">
              <w:rPr>
                <w:sz w:val="22"/>
                <w:szCs w:val="22"/>
              </w:rPr>
              <w:t>Availability of Historical Financial Data</w:t>
            </w:r>
          </w:p>
        </w:tc>
      </w:tr>
      <w:tr w:rsidR="00493A50" w:rsidRPr="00493A50" w14:paraId="5A4C14B5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01F5E6D8" w14:textId="77777777" w:rsidR="00493A50" w:rsidRPr="00BF6229" w:rsidRDefault="00493A50" w:rsidP="00977E89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</w:rPr>
              <w:t>2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51A5A231" w14:textId="4AA84B4D" w:rsidR="00493A50" w:rsidRPr="0048649F" w:rsidRDefault="0058557B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58557B">
              <w:rPr>
                <w:sz w:val="22"/>
                <w:szCs w:val="22"/>
              </w:rPr>
              <w:t>Regulatory Compliance</w:t>
            </w:r>
          </w:p>
        </w:tc>
      </w:tr>
      <w:tr w:rsidR="00493A50" w:rsidRPr="00493A50" w14:paraId="18707AC6" w14:textId="77777777" w:rsidTr="00977E89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33C34B9B" w14:textId="77777777" w:rsidR="00493A50" w:rsidRPr="00BF6229" w:rsidRDefault="00493A50" w:rsidP="00977E89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</w:rPr>
              <w:t>3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663849B4" w14:textId="675CA7E6" w:rsidR="00493A50" w:rsidRPr="0048649F" w:rsidRDefault="0058557B" w:rsidP="00977E89">
            <w:pPr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58557B">
              <w:rPr>
                <w:sz w:val="22"/>
                <w:szCs w:val="22"/>
              </w:rPr>
              <w:t>Stability of Economic Conditions</w:t>
            </w:r>
          </w:p>
        </w:tc>
      </w:tr>
    </w:tbl>
    <w:p w14:paraId="2E22C57D" w14:textId="77777777" w:rsidR="00493A50" w:rsidRPr="00493A50" w:rsidRDefault="00493A50" w:rsidP="00493A50">
      <w:pPr>
        <w:rPr>
          <w:rFonts w:ascii="Century Gothic" w:hAnsi="Century Gothic"/>
        </w:rPr>
      </w:pPr>
    </w:p>
    <w:p w14:paraId="06FF11CC" w14:textId="77777777" w:rsidR="00493A50" w:rsidRPr="00BF6229" w:rsidRDefault="00493A50" w:rsidP="00493A50">
      <w:pPr>
        <w:pStyle w:val="Heading2"/>
        <w:rPr>
          <w:rFonts w:ascii="Century Gothic" w:hAnsi="Century Gothic"/>
          <w:sz w:val="22"/>
        </w:rPr>
      </w:pPr>
      <w:r w:rsidRPr="00BF6229">
        <w:rPr>
          <w:rFonts w:ascii="Century Gothic" w:hAnsi="Century Gothic"/>
          <w:sz w:val="22"/>
        </w:rPr>
        <w:t>Step 5. Project Constraints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BF6229" w:rsidRPr="00493A50" w14:paraId="5169737F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025A7A3B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PROJECT START DATE</w:t>
            </w:r>
          </w:p>
        </w:tc>
        <w:tc>
          <w:tcPr>
            <w:tcW w:w="8005" w:type="dxa"/>
            <w:vAlign w:val="center"/>
          </w:tcPr>
          <w:p w14:paraId="640FE8F9" w14:textId="0F028505" w:rsidR="00493A50" w:rsidRPr="00BF6229" w:rsidRDefault="001B4267" w:rsidP="00BF6229">
            <w:pPr>
              <w:rPr>
                <w:rFonts w:ascii="Century Gothic" w:hAnsi="Century Gothic"/>
                <w:sz w:val="18"/>
              </w:rPr>
            </w:pPr>
            <w:r w:rsidRPr="0058557B">
              <w:rPr>
                <w:sz w:val="22"/>
                <w:szCs w:val="22"/>
              </w:rPr>
              <w:t>1</w:t>
            </w:r>
            <w:r w:rsidR="0048649F" w:rsidRPr="0058557B">
              <w:rPr>
                <w:sz w:val="22"/>
                <w:szCs w:val="22"/>
              </w:rPr>
              <w:t>/</w:t>
            </w:r>
            <w:r w:rsidRPr="0058557B">
              <w:rPr>
                <w:sz w:val="22"/>
                <w:szCs w:val="22"/>
              </w:rPr>
              <w:t>09</w:t>
            </w:r>
            <w:r w:rsidR="0048649F" w:rsidRPr="0058557B">
              <w:rPr>
                <w:sz w:val="22"/>
                <w:szCs w:val="22"/>
              </w:rPr>
              <w:t>/</w:t>
            </w:r>
            <w:r w:rsidRPr="0058557B">
              <w:rPr>
                <w:sz w:val="22"/>
                <w:szCs w:val="22"/>
              </w:rPr>
              <w:t>2024</w:t>
            </w:r>
          </w:p>
        </w:tc>
      </w:tr>
      <w:tr w:rsidR="00BF6229" w:rsidRPr="00493A50" w14:paraId="4167307E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7278D6E5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PROJECT END DATE</w:t>
            </w:r>
          </w:p>
        </w:tc>
        <w:tc>
          <w:tcPr>
            <w:tcW w:w="8005" w:type="dxa"/>
            <w:vAlign w:val="center"/>
          </w:tcPr>
          <w:p w14:paraId="20D90A27" w14:textId="5C35BB22" w:rsidR="00493A50" w:rsidRPr="00BF6229" w:rsidRDefault="001B4267" w:rsidP="00BF6229">
            <w:pPr>
              <w:rPr>
                <w:rFonts w:ascii="Century Gothic" w:hAnsi="Century Gothic"/>
                <w:sz w:val="18"/>
              </w:rPr>
            </w:pPr>
            <w:r w:rsidRPr="0058557B">
              <w:rPr>
                <w:sz w:val="22"/>
                <w:szCs w:val="22"/>
              </w:rPr>
              <w:t>04</w:t>
            </w:r>
            <w:r w:rsidR="0048649F" w:rsidRPr="0058557B">
              <w:rPr>
                <w:sz w:val="22"/>
                <w:szCs w:val="22"/>
              </w:rPr>
              <w:t>/</w:t>
            </w:r>
            <w:r w:rsidRPr="0058557B">
              <w:rPr>
                <w:sz w:val="22"/>
                <w:szCs w:val="22"/>
              </w:rPr>
              <w:t>18</w:t>
            </w:r>
            <w:r w:rsidR="0048649F" w:rsidRPr="0058557B">
              <w:rPr>
                <w:sz w:val="22"/>
                <w:szCs w:val="22"/>
              </w:rPr>
              <w:t>/</w:t>
            </w:r>
            <w:r w:rsidRPr="0058557B">
              <w:rPr>
                <w:sz w:val="22"/>
                <w:szCs w:val="22"/>
              </w:rPr>
              <w:t>2024</w:t>
            </w:r>
          </w:p>
        </w:tc>
      </w:tr>
      <w:tr w:rsidR="00BF6229" w:rsidRPr="00493A50" w14:paraId="112CEF88" w14:textId="77777777" w:rsidTr="00216F01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14:paraId="2EBC1FB3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LIST ANY HARD DEADLINE(S)</w:t>
            </w:r>
          </w:p>
        </w:tc>
        <w:tc>
          <w:tcPr>
            <w:tcW w:w="8005" w:type="dxa"/>
            <w:vAlign w:val="center"/>
          </w:tcPr>
          <w:p w14:paraId="0218EC46" w14:textId="2A5E2EE0" w:rsidR="00493A50" w:rsidRPr="00BF6229" w:rsidRDefault="001B4267" w:rsidP="00BF6229">
            <w:pPr>
              <w:rPr>
                <w:rFonts w:ascii="Century Gothic" w:hAnsi="Century Gothic"/>
                <w:sz w:val="18"/>
              </w:rPr>
            </w:pPr>
            <w:r w:rsidRPr="0058557B">
              <w:rPr>
                <w:sz w:val="22"/>
                <w:szCs w:val="22"/>
              </w:rPr>
              <w:t>No hard deadlines</w:t>
            </w:r>
          </w:p>
        </w:tc>
      </w:tr>
    </w:tbl>
    <w:p w14:paraId="5C07B2F9" w14:textId="77777777" w:rsidR="00B54E0D" w:rsidRDefault="00B54E0D" w:rsidP="00BF6229">
      <w:pPr>
        <w:rPr>
          <w:rFonts w:ascii="Century Gothic" w:hAnsi="Century Gothic"/>
          <w:b/>
          <w:color w:val="000000" w:themeColor="text1"/>
          <w:sz w:val="18"/>
        </w:rPr>
        <w:sectPr w:rsidR="00B54E0D" w:rsidSect="00237B70">
          <w:footerReference w:type="even" r:id="rId8"/>
          <w:footerReference w:type="default" r:id="rId9"/>
          <w:pgSz w:w="12240" w:h="15840"/>
          <w:pgMar w:top="801" w:right="810" w:bottom="1071" w:left="810" w:header="720" w:footer="720" w:gutter="0"/>
          <w:cols w:space="720"/>
          <w:docGrid w:linePitch="360"/>
        </w:sectPr>
      </w:pPr>
    </w:p>
    <w:tbl>
      <w:tblPr>
        <w:tblStyle w:val="TableGrid"/>
        <w:tblW w:w="10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6"/>
        <w:gridCol w:w="8921"/>
      </w:tblGrid>
      <w:tr w:rsidR="00BF6229" w:rsidRPr="00493A50" w14:paraId="14F33698" w14:textId="77777777" w:rsidTr="00B54E0D">
        <w:trPr>
          <w:cantSplit/>
          <w:trHeight w:val="1728"/>
        </w:trPr>
        <w:tc>
          <w:tcPr>
            <w:tcW w:w="1706" w:type="dxa"/>
            <w:shd w:val="clear" w:color="auto" w:fill="EAEEF3"/>
            <w:vAlign w:val="center"/>
          </w:tcPr>
          <w:p w14:paraId="30C17E74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BUDGET CONSTRAINTS</w:t>
            </w:r>
          </w:p>
        </w:tc>
        <w:tc>
          <w:tcPr>
            <w:tcW w:w="8921" w:type="dxa"/>
            <w:vAlign w:val="center"/>
          </w:tcPr>
          <w:p w14:paraId="389AEE5B" w14:textId="218E47D0" w:rsidR="00B54E0D" w:rsidRPr="00B54E0D" w:rsidRDefault="00B54E0D" w:rsidP="00B54E0D">
            <w:pPr>
              <w:rPr>
                <w:sz w:val="22"/>
                <w:szCs w:val="22"/>
              </w:rPr>
            </w:pPr>
            <w:r w:rsidRPr="00B54E0D">
              <w:rPr>
                <w:sz w:val="22"/>
                <w:szCs w:val="22"/>
              </w:rPr>
              <w:t xml:space="preserve">The budget constraints will be covered by </w:t>
            </w:r>
          </w:p>
          <w:p w14:paraId="0A1CFBC4" w14:textId="54963579" w:rsidR="00493A50" w:rsidRPr="00B54E0D" w:rsidRDefault="0058557B" w:rsidP="00B54E0D">
            <w:pPr>
              <w:rPr>
                <w:rFonts w:ascii="Century Gothic" w:hAnsi="Century Gothic"/>
                <w:sz w:val="20"/>
                <w:szCs w:val="28"/>
              </w:rPr>
            </w:pPr>
            <w:r w:rsidRPr="00B54E0D">
              <w:rPr>
                <w:sz w:val="22"/>
                <w:szCs w:val="22"/>
              </w:rPr>
              <w:t>Resource Costs, Data Acquisition Costs, Technology and Software Costs, Travel Expenses, Training and Development,</w:t>
            </w:r>
            <w:r w:rsidR="00B54E0D" w:rsidRPr="00B54E0D">
              <w:rPr>
                <w:sz w:val="22"/>
                <w:szCs w:val="22"/>
              </w:rPr>
              <w:t xml:space="preserve"> Documentation and Reporting, Market Research Costs</w:t>
            </w:r>
            <w:r w:rsidR="00B54E0D">
              <w:rPr>
                <w:sz w:val="22"/>
                <w:szCs w:val="22"/>
              </w:rPr>
              <w:t>.</w:t>
            </w:r>
          </w:p>
        </w:tc>
      </w:tr>
    </w:tbl>
    <w:p w14:paraId="2E69D964" w14:textId="77777777" w:rsidR="00B54E0D" w:rsidRDefault="00B54E0D" w:rsidP="00BF6229">
      <w:pPr>
        <w:rPr>
          <w:rFonts w:ascii="Century Gothic" w:hAnsi="Century Gothic"/>
          <w:b/>
          <w:color w:val="000000" w:themeColor="text1"/>
          <w:sz w:val="18"/>
        </w:rPr>
        <w:sectPr w:rsidR="00B54E0D" w:rsidSect="00237B70">
          <w:type w:val="continuous"/>
          <w:pgSz w:w="12240" w:h="15840"/>
          <w:pgMar w:top="801" w:right="810" w:bottom="1071" w:left="81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="00BF6229" w:rsidRPr="00493A50" w14:paraId="2C8915FE" w14:textId="7777777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51821506" w14:textId="77777777" w:rsidR="00493A50" w:rsidRPr="00216F01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lastRenderedPageBreak/>
              <w:t>QUALITY OR PERFORMANCE CONSTRAINTS</w:t>
            </w:r>
          </w:p>
        </w:tc>
        <w:tc>
          <w:tcPr>
            <w:tcW w:w="8005" w:type="dxa"/>
            <w:vAlign w:val="center"/>
          </w:tcPr>
          <w:p w14:paraId="6E03FA18" w14:textId="5E5FAAFA" w:rsidR="001B4267" w:rsidRPr="001B4267" w:rsidRDefault="001B4267" w:rsidP="001B426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1B4267">
              <w:rPr>
                <w:sz w:val="22"/>
                <w:szCs w:val="22"/>
              </w:rPr>
              <w:t xml:space="preserve">User-Friendly Documentation and Reporting has been done. </w:t>
            </w:r>
          </w:p>
          <w:p w14:paraId="066D5CAD" w14:textId="299E4D53" w:rsidR="00493A50" w:rsidRPr="001B4267" w:rsidRDefault="001B4267" w:rsidP="001B4267">
            <w:pPr>
              <w:pStyle w:val="ListParagraph"/>
              <w:numPr>
                <w:ilvl w:val="0"/>
                <w:numId w:val="9"/>
              </w:num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 w:rsidRPr="001B4267">
              <w:rPr>
                <w:sz w:val="22"/>
                <w:szCs w:val="22"/>
              </w:rPr>
              <w:t xml:space="preserve">Cross-Verification of Findings </w:t>
            </w:r>
          </w:p>
        </w:tc>
      </w:tr>
      <w:tr w:rsidR="00BF6229" w:rsidRPr="00493A50" w14:paraId="6FCC8059" w14:textId="77777777" w:rsidTr="00356C18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73194A0F" w14:textId="77777777" w:rsidR="00493A50" w:rsidRPr="0048649F" w:rsidRDefault="00BF6229" w:rsidP="00BF622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REGULATORY CONSTRAINTS</w:t>
            </w:r>
          </w:p>
        </w:tc>
        <w:tc>
          <w:tcPr>
            <w:tcW w:w="8005" w:type="dxa"/>
            <w:vAlign w:val="center"/>
          </w:tcPr>
          <w:p w14:paraId="0D7B3750" w14:textId="77777777" w:rsidR="00493A50" w:rsidRPr="001B4267" w:rsidRDefault="001B4267" w:rsidP="001B426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 w:cs="Times New Roman"/>
                <w:color w:val="808080"/>
                <w:sz w:val="20"/>
                <w:szCs w:val="28"/>
              </w:rPr>
            </w:pPr>
            <w:r w:rsidRPr="001B4267">
              <w:rPr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>d</w:t>
            </w:r>
            <w:r w:rsidRPr="001B4267">
              <w:rPr>
                <w:sz w:val="22"/>
                <w:szCs w:val="22"/>
              </w:rPr>
              <w:t xml:space="preserve"> that the analysis adheres to privacy regulations, such as the Personal Information Protection and Electronic Documents Act (PIPEDA) in Canada</w:t>
            </w:r>
            <w:r>
              <w:rPr>
                <w:sz w:val="22"/>
                <w:szCs w:val="22"/>
              </w:rPr>
              <w:t>.</w:t>
            </w:r>
          </w:p>
          <w:p w14:paraId="31FDCAA8" w14:textId="77777777" w:rsidR="001B4267" w:rsidRPr="001B4267" w:rsidRDefault="001B4267" w:rsidP="001B426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 w:cs="Times New Roman"/>
                <w:color w:val="808080"/>
                <w:sz w:val="20"/>
                <w:szCs w:val="28"/>
              </w:rPr>
            </w:pPr>
            <w:r>
              <w:rPr>
                <w:sz w:val="22"/>
                <w:szCs w:val="22"/>
              </w:rPr>
              <w:t xml:space="preserve">Also contains </w:t>
            </w:r>
            <w:r w:rsidRPr="001B4267">
              <w:rPr>
                <w:sz w:val="22"/>
                <w:szCs w:val="22"/>
              </w:rPr>
              <w:t>Banking Regulations</w:t>
            </w:r>
            <w:r>
              <w:rPr>
                <w:sz w:val="22"/>
                <w:szCs w:val="22"/>
              </w:rPr>
              <w:t xml:space="preserve"> like </w:t>
            </w:r>
            <w:r w:rsidRPr="001B4267">
              <w:rPr>
                <w:sz w:val="22"/>
                <w:szCs w:val="22"/>
              </w:rPr>
              <w:t>Office of the Superintendent of Financial Institutions (OSFI) in Canada</w:t>
            </w:r>
          </w:p>
          <w:p w14:paraId="75ADC234" w14:textId="77777777" w:rsidR="001B4267" w:rsidRPr="00F611AD" w:rsidRDefault="00F611AD" w:rsidP="001B426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 w:cs="Times New Roman"/>
                <w:color w:val="808080"/>
                <w:sz w:val="20"/>
                <w:szCs w:val="28"/>
              </w:rPr>
            </w:pPr>
            <w:r w:rsidRPr="00F611AD">
              <w:rPr>
                <w:sz w:val="22"/>
                <w:szCs w:val="22"/>
              </w:rPr>
              <w:t>Anti-Money Laundering (AML) and Counter-Terrorism Financing (CTF) Laws</w:t>
            </w:r>
          </w:p>
          <w:p w14:paraId="58B3F27B" w14:textId="77777777" w:rsidR="00F611AD" w:rsidRPr="00F611AD" w:rsidRDefault="00F611AD" w:rsidP="001B4267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 w:cs="Times New Roman"/>
                <w:color w:val="808080"/>
                <w:sz w:val="20"/>
                <w:szCs w:val="28"/>
              </w:rPr>
            </w:pPr>
            <w:r w:rsidRPr="00F611AD">
              <w:rPr>
                <w:sz w:val="22"/>
                <w:szCs w:val="22"/>
              </w:rPr>
              <w:t>Consumer Protection Laws</w:t>
            </w:r>
          </w:p>
          <w:p w14:paraId="2C3B08C7" w14:textId="6CCEB06C" w:rsidR="00F611AD" w:rsidRPr="001B4267" w:rsidRDefault="00F611AD" w:rsidP="001B4267">
            <w:pPr>
              <w:pStyle w:val="ListParagraph"/>
              <w:numPr>
                <w:ilvl w:val="0"/>
                <w:numId w:val="9"/>
              </w:num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 w:rsidRPr="00F611AD">
              <w:rPr>
                <w:sz w:val="22"/>
                <w:szCs w:val="22"/>
              </w:rPr>
              <w:t>Data Protection Laws</w:t>
            </w:r>
          </w:p>
        </w:tc>
      </w:tr>
    </w:tbl>
    <w:p w14:paraId="1364D02B" w14:textId="77777777" w:rsidR="00493A50" w:rsidRPr="00493A50" w:rsidRDefault="00493A50" w:rsidP="00493A50">
      <w:pPr>
        <w:rPr>
          <w:rFonts w:ascii="Century Gothic" w:hAnsi="Century Gothic"/>
        </w:rPr>
      </w:pPr>
    </w:p>
    <w:p w14:paraId="1D92C296" w14:textId="77777777" w:rsidR="00493A50" w:rsidRPr="00E1125D" w:rsidRDefault="00493A50" w:rsidP="00AD4E53">
      <w:pPr>
        <w:pStyle w:val="Heading2"/>
        <w:rPr>
          <w:rFonts w:ascii="Century Gothic" w:hAnsi="Century Gothic"/>
        </w:rPr>
      </w:pPr>
      <w:r w:rsidRPr="00E1125D">
        <w:rPr>
          <w:rFonts w:ascii="Century Gothic" w:hAnsi="Century Gothic"/>
          <w:sz w:val="22"/>
        </w:rPr>
        <w:t>Step 6. Updated Estimates</w:t>
      </w:r>
    </w:p>
    <w:tbl>
      <w:tblPr>
        <w:tblStyle w:val="TableGrid"/>
        <w:tblW w:w="106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25"/>
        <w:gridCol w:w="6465"/>
      </w:tblGrid>
      <w:tr w:rsidR="00493A50" w:rsidRPr="00493A50" w14:paraId="48C9B196" w14:textId="77777777" w:rsidTr="00356C18">
        <w:trPr>
          <w:trHeight w:val="673"/>
        </w:trPr>
        <w:tc>
          <w:tcPr>
            <w:tcW w:w="4225" w:type="dxa"/>
            <w:shd w:val="clear" w:color="auto" w:fill="EAEEF3"/>
            <w:vAlign w:val="center"/>
          </w:tcPr>
          <w:p w14:paraId="223FBA7A" w14:textId="77777777" w:rsidR="00216F01" w:rsidRPr="00216F01" w:rsidRDefault="00493A50" w:rsidP="00356C1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Estimate </w:t>
            </w:r>
            <w:r w:rsidR="001E0D3A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the </w:t>
            </w: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hours required to complete</w:t>
            </w:r>
            <w:r w:rsidR="001E0D3A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the</w:t>
            </w: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project.</w:t>
            </w:r>
            <w:r w:rsidR="00356C1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 </w:t>
            </w:r>
          </w:p>
        </w:tc>
        <w:tc>
          <w:tcPr>
            <w:tcW w:w="6465" w:type="dxa"/>
            <w:vAlign w:val="center"/>
          </w:tcPr>
          <w:p w14:paraId="01E1A6D4" w14:textId="06C69F3F" w:rsidR="00493A50" w:rsidRPr="0048649F" w:rsidRDefault="00F611AD" w:rsidP="00BF6229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8"/>
              </w:rPr>
              <w:t>E</w:t>
            </w:r>
            <w:r>
              <w:t>stimat</w:t>
            </w:r>
            <w:r w:rsidR="0058557B">
              <w:t xml:space="preserve">ion of more than </w:t>
            </w:r>
            <w:r>
              <w:t xml:space="preserve"> </w:t>
            </w:r>
            <w:r w:rsidR="0058557B">
              <w:t>300</w:t>
            </w:r>
            <w:r>
              <w:t xml:space="preserve"> Hours </w:t>
            </w:r>
          </w:p>
        </w:tc>
      </w:tr>
    </w:tbl>
    <w:p w14:paraId="7CAEA587" w14:textId="77777777" w:rsidR="00493A50" w:rsidRPr="00493A50" w:rsidRDefault="00493A50" w:rsidP="00493A50">
      <w:pPr>
        <w:rPr>
          <w:rFonts w:ascii="Century Gothic" w:hAnsi="Century Gothic"/>
        </w:rPr>
      </w:pPr>
    </w:p>
    <w:p w14:paraId="53111B50" w14:textId="77777777" w:rsidR="00493A50" w:rsidRPr="00E1125D" w:rsidRDefault="00493A50" w:rsidP="00493A50">
      <w:pPr>
        <w:pStyle w:val="Heading2"/>
        <w:rPr>
          <w:rFonts w:ascii="Century Gothic" w:hAnsi="Century Gothic"/>
          <w:sz w:val="22"/>
        </w:rPr>
      </w:pPr>
      <w:r w:rsidRPr="00E1125D">
        <w:rPr>
          <w:rFonts w:ascii="Century Gothic" w:hAnsi="Century Gothic"/>
          <w:sz w:val="22"/>
        </w:rPr>
        <w:t>Step</w:t>
      </w:r>
      <w:r w:rsidR="00643828">
        <w:rPr>
          <w:rFonts w:ascii="Century Gothic" w:hAnsi="Century Gothic"/>
          <w:sz w:val="22"/>
        </w:rPr>
        <w:t xml:space="preserve"> </w:t>
      </w:r>
      <w:r w:rsidRPr="00E1125D">
        <w:rPr>
          <w:rFonts w:ascii="Century Gothic" w:hAnsi="Century Gothic"/>
          <w:sz w:val="22"/>
        </w:rPr>
        <w:t>7. Approvals</w:t>
      </w:r>
    </w:p>
    <w:tbl>
      <w:tblPr>
        <w:tblStyle w:val="TableGrid"/>
        <w:tblW w:w="106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65"/>
        <w:gridCol w:w="4230"/>
        <w:gridCol w:w="1736"/>
        <w:gridCol w:w="1736"/>
      </w:tblGrid>
      <w:tr w:rsidR="00E1125D" w:rsidRPr="00493A50" w14:paraId="0EEBF5D8" w14:textId="77777777" w:rsidTr="00216F01">
        <w:trPr>
          <w:trHeight w:val="596"/>
        </w:trPr>
        <w:tc>
          <w:tcPr>
            <w:tcW w:w="2965" w:type="dxa"/>
            <w:shd w:val="clear" w:color="auto" w:fill="D5DCE4" w:themeFill="text2" w:themeFillTint="33"/>
            <w:vAlign w:val="center"/>
          </w:tcPr>
          <w:p w14:paraId="52519BDC" w14:textId="77777777" w:rsidR="00493A50" w:rsidRPr="00216F01" w:rsidRDefault="00E1125D" w:rsidP="00216F01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STAKEHOLDER NAME &amp; TITLE</w:t>
            </w:r>
          </w:p>
        </w:tc>
        <w:tc>
          <w:tcPr>
            <w:tcW w:w="4230" w:type="dxa"/>
            <w:shd w:val="clear" w:color="auto" w:fill="D5DCE4" w:themeFill="text2" w:themeFillTint="33"/>
            <w:vAlign w:val="center"/>
          </w:tcPr>
          <w:p w14:paraId="1FD531EC" w14:textId="77777777" w:rsidR="00493A50" w:rsidRPr="00216F01" w:rsidRDefault="00E1125D" w:rsidP="00216F01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ROLE OF STAKEHOLDER / APPROVER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14:paraId="50E8ECE5" w14:textId="77777777" w:rsidR="00493A50" w:rsidRPr="00216F01" w:rsidRDefault="00E1125D" w:rsidP="00E1125D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DATE SUBMITTED FOR APPROVAL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14:paraId="12D4F5F2" w14:textId="77777777" w:rsidR="00493A50" w:rsidRPr="00216F01" w:rsidRDefault="00E1125D" w:rsidP="00E1125D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</w:rPr>
              <w:t>DATE APPROVAL RECEIVED</w:t>
            </w:r>
          </w:p>
        </w:tc>
      </w:tr>
      <w:tr w:rsidR="00E1125D" w:rsidRPr="00493A50" w14:paraId="129D76D8" w14:textId="77777777" w:rsidTr="00356C18">
        <w:trPr>
          <w:trHeight w:val="864"/>
        </w:trPr>
        <w:tc>
          <w:tcPr>
            <w:tcW w:w="2965" w:type="dxa"/>
            <w:vAlign w:val="center"/>
          </w:tcPr>
          <w:p w14:paraId="0D432A67" w14:textId="3FC25B8E" w:rsidR="00493A50" w:rsidRPr="00E1125D" w:rsidRDefault="00F611AD" w:rsidP="00F611AD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sz w:val="18"/>
              </w:rPr>
            </w:pPr>
            <w:r w:rsidRPr="00F611AD">
              <w:rPr>
                <w:sz w:val="22"/>
                <w:szCs w:val="22"/>
              </w:rPr>
              <w:t>Project Sponsor</w:t>
            </w:r>
          </w:p>
        </w:tc>
        <w:tc>
          <w:tcPr>
            <w:tcW w:w="4230" w:type="dxa"/>
            <w:vAlign w:val="center"/>
          </w:tcPr>
          <w:p w14:paraId="64BE571B" w14:textId="1824C767" w:rsidR="00493A50" w:rsidRPr="00B80971" w:rsidRDefault="00B80971" w:rsidP="00B80971">
            <w:pPr>
              <w:ind w:left="360"/>
              <w:rPr>
                <w:rFonts w:ascii="Century Gothic" w:hAnsi="Century Gothic"/>
                <w:sz w:val="18"/>
              </w:rPr>
            </w:pPr>
            <w:r w:rsidRPr="00B80971">
              <w:rPr>
                <w:sz w:val="22"/>
                <w:szCs w:val="22"/>
              </w:rPr>
              <w:t>project sponsor involves providing leadership, guidance, and support throughout the project lifecycle</w:t>
            </w:r>
          </w:p>
        </w:tc>
        <w:tc>
          <w:tcPr>
            <w:tcW w:w="1736" w:type="dxa"/>
            <w:vAlign w:val="center"/>
          </w:tcPr>
          <w:p w14:paraId="75208EA8" w14:textId="0A92AF6D" w:rsidR="00493A50" w:rsidRPr="00E1125D" w:rsidRDefault="004C5DDE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4C5DDE">
              <w:rPr>
                <w:sz w:val="22"/>
                <w:szCs w:val="22"/>
              </w:rPr>
              <w:t>8th Jan 2024</w:t>
            </w:r>
          </w:p>
        </w:tc>
        <w:tc>
          <w:tcPr>
            <w:tcW w:w="1736" w:type="dxa"/>
            <w:vAlign w:val="center"/>
          </w:tcPr>
          <w:p w14:paraId="7D0DB9CA" w14:textId="134F9905" w:rsidR="00493A50" w:rsidRPr="00E1125D" w:rsidRDefault="004C5DDE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4C5DDE">
              <w:rPr>
                <w:sz w:val="22"/>
                <w:szCs w:val="22"/>
              </w:rPr>
              <w:t>Within 24 hours</w:t>
            </w:r>
          </w:p>
        </w:tc>
      </w:tr>
      <w:tr w:rsidR="00E1125D" w:rsidRPr="00493A50" w14:paraId="09C85FEC" w14:textId="77777777" w:rsidTr="00356C18">
        <w:trPr>
          <w:trHeight w:val="864"/>
        </w:trPr>
        <w:tc>
          <w:tcPr>
            <w:tcW w:w="2965" w:type="dxa"/>
            <w:vAlign w:val="center"/>
          </w:tcPr>
          <w:p w14:paraId="3DE4E4B5" w14:textId="38B4389D" w:rsidR="00493A50" w:rsidRPr="00E1125D" w:rsidRDefault="00B80971" w:rsidP="00B80971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sz w:val="18"/>
              </w:rPr>
            </w:pPr>
            <w:r w:rsidRPr="00B80971">
              <w:rPr>
                <w:sz w:val="22"/>
                <w:szCs w:val="22"/>
              </w:rPr>
              <w:t>Project Manager</w:t>
            </w:r>
          </w:p>
        </w:tc>
        <w:tc>
          <w:tcPr>
            <w:tcW w:w="4230" w:type="dxa"/>
            <w:vAlign w:val="center"/>
          </w:tcPr>
          <w:p w14:paraId="1126BBFD" w14:textId="19F51340" w:rsidR="00493A50" w:rsidRPr="00B80971" w:rsidRDefault="00B80971" w:rsidP="00B80971">
            <w:pPr>
              <w:ind w:left="360"/>
              <w:rPr>
                <w:rFonts w:ascii="Century Gothic" w:hAnsi="Century Gothic"/>
                <w:sz w:val="18"/>
              </w:rPr>
            </w:pPr>
            <w:r w:rsidRPr="00B80971">
              <w:rPr>
                <w:sz w:val="22"/>
                <w:szCs w:val="22"/>
              </w:rPr>
              <w:t>Overall management of project</w:t>
            </w:r>
            <w:r w:rsidRPr="00B80971">
              <w:rPr>
                <w:rFonts w:ascii="Century Gothic" w:hAnsi="Century Gothic"/>
                <w:sz w:val="18"/>
              </w:rPr>
              <w:t xml:space="preserve"> </w:t>
            </w:r>
          </w:p>
        </w:tc>
        <w:tc>
          <w:tcPr>
            <w:tcW w:w="1736" w:type="dxa"/>
            <w:vAlign w:val="center"/>
          </w:tcPr>
          <w:p w14:paraId="16069049" w14:textId="5118AD77" w:rsidR="00493A50" w:rsidRPr="004C5DDE" w:rsidRDefault="004C5DDE" w:rsidP="00E112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4C5DDE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Jan 2024</w:t>
            </w:r>
          </w:p>
        </w:tc>
        <w:tc>
          <w:tcPr>
            <w:tcW w:w="1736" w:type="dxa"/>
            <w:vAlign w:val="center"/>
          </w:tcPr>
          <w:p w14:paraId="14D9FCEA" w14:textId="52357A32" w:rsidR="00493A50" w:rsidRPr="00E1125D" w:rsidRDefault="004C5DDE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4C5DDE">
              <w:rPr>
                <w:sz w:val="22"/>
                <w:szCs w:val="22"/>
              </w:rPr>
              <w:t>Within 24 hours</w:t>
            </w:r>
            <w:r>
              <w:rPr>
                <w:rFonts w:ascii="Century Gothic" w:hAnsi="Century Gothic"/>
                <w:sz w:val="18"/>
              </w:rPr>
              <w:t xml:space="preserve"> </w:t>
            </w:r>
          </w:p>
        </w:tc>
      </w:tr>
      <w:tr w:rsidR="00E1125D" w:rsidRPr="00493A50" w14:paraId="797B5E86" w14:textId="77777777" w:rsidTr="00356C18">
        <w:trPr>
          <w:trHeight w:val="864"/>
        </w:trPr>
        <w:tc>
          <w:tcPr>
            <w:tcW w:w="2965" w:type="dxa"/>
            <w:vAlign w:val="center"/>
          </w:tcPr>
          <w:p w14:paraId="67149C13" w14:textId="39312EF2" w:rsidR="00493A50" w:rsidRPr="00E1125D" w:rsidRDefault="00B80971" w:rsidP="00B80971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sz w:val="18"/>
              </w:rPr>
            </w:pPr>
            <w:r w:rsidRPr="00B80971">
              <w:rPr>
                <w:sz w:val="22"/>
                <w:szCs w:val="22"/>
              </w:rPr>
              <w:t>Business analyst</w:t>
            </w:r>
            <w:r>
              <w:rPr>
                <w:rFonts w:ascii="Century Gothic" w:hAnsi="Century Gothic"/>
                <w:sz w:val="18"/>
              </w:rPr>
              <w:t xml:space="preserve"> </w:t>
            </w:r>
          </w:p>
        </w:tc>
        <w:tc>
          <w:tcPr>
            <w:tcW w:w="4230" w:type="dxa"/>
            <w:vAlign w:val="center"/>
          </w:tcPr>
          <w:p w14:paraId="1CB47FB6" w14:textId="550805EA" w:rsidR="00493A50" w:rsidRPr="00B80971" w:rsidRDefault="00B80971" w:rsidP="00B80971">
            <w:pPr>
              <w:ind w:left="360"/>
              <w:rPr>
                <w:rFonts w:ascii="Century Gothic" w:hAnsi="Century Gothic"/>
                <w:sz w:val="18"/>
              </w:rPr>
            </w:pPr>
            <w:r w:rsidRPr="00B80971">
              <w:rPr>
                <w:sz w:val="22"/>
                <w:szCs w:val="22"/>
              </w:rPr>
              <w:t>Bring out Business Solution for organizations</w:t>
            </w:r>
          </w:p>
        </w:tc>
        <w:tc>
          <w:tcPr>
            <w:tcW w:w="1736" w:type="dxa"/>
            <w:vAlign w:val="center"/>
          </w:tcPr>
          <w:p w14:paraId="539437CB" w14:textId="3C95B42C" w:rsidR="00493A50" w:rsidRPr="00E1125D" w:rsidRDefault="004C5DDE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4C5DDE">
              <w:rPr>
                <w:sz w:val="22"/>
                <w:szCs w:val="22"/>
              </w:rPr>
              <w:t>9th Jan 2024</w:t>
            </w:r>
          </w:p>
        </w:tc>
        <w:tc>
          <w:tcPr>
            <w:tcW w:w="1736" w:type="dxa"/>
            <w:vAlign w:val="center"/>
          </w:tcPr>
          <w:p w14:paraId="782D35F1" w14:textId="7397D556" w:rsidR="00493A50" w:rsidRPr="00E1125D" w:rsidRDefault="004C5DDE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4C5DDE">
              <w:rPr>
                <w:sz w:val="22"/>
                <w:szCs w:val="22"/>
              </w:rPr>
              <w:t>Within 2 days</w:t>
            </w:r>
            <w:r>
              <w:rPr>
                <w:rFonts w:ascii="Century Gothic" w:hAnsi="Century Gothic"/>
                <w:sz w:val="18"/>
              </w:rPr>
              <w:t xml:space="preserve"> </w:t>
            </w:r>
          </w:p>
        </w:tc>
      </w:tr>
      <w:tr w:rsidR="00E1125D" w:rsidRPr="00493A50" w14:paraId="0075B0E9" w14:textId="77777777" w:rsidTr="00356C18">
        <w:trPr>
          <w:trHeight w:val="864"/>
        </w:trPr>
        <w:tc>
          <w:tcPr>
            <w:tcW w:w="2965" w:type="dxa"/>
            <w:vAlign w:val="center"/>
          </w:tcPr>
          <w:p w14:paraId="0CE6442D" w14:textId="36D49C06" w:rsidR="00493A50" w:rsidRPr="00B80971" w:rsidRDefault="00B80971" w:rsidP="00B80971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B80971">
              <w:rPr>
                <w:sz w:val="22"/>
                <w:szCs w:val="22"/>
              </w:rPr>
              <w:t xml:space="preserve">Financial &amp; Data analyst </w:t>
            </w:r>
          </w:p>
        </w:tc>
        <w:tc>
          <w:tcPr>
            <w:tcW w:w="4230" w:type="dxa"/>
            <w:vAlign w:val="center"/>
          </w:tcPr>
          <w:p w14:paraId="78D231CF" w14:textId="258A63A7" w:rsidR="00493A50" w:rsidRPr="00B80971" w:rsidRDefault="00B80971" w:rsidP="00B80971">
            <w:pPr>
              <w:ind w:left="360"/>
              <w:rPr>
                <w:sz w:val="22"/>
                <w:szCs w:val="22"/>
              </w:rPr>
            </w:pPr>
            <w:r w:rsidRPr="00B80971">
              <w:rPr>
                <w:sz w:val="22"/>
                <w:szCs w:val="22"/>
              </w:rPr>
              <w:t>providing insights into the financial performance and operational efficiency of the organization</w:t>
            </w:r>
          </w:p>
        </w:tc>
        <w:tc>
          <w:tcPr>
            <w:tcW w:w="1736" w:type="dxa"/>
            <w:vAlign w:val="center"/>
          </w:tcPr>
          <w:p w14:paraId="32CDCCA2" w14:textId="27798D04" w:rsidR="00493A50" w:rsidRPr="00E1125D" w:rsidRDefault="004C5DDE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4C5DDE">
              <w:rPr>
                <w:sz w:val="22"/>
                <w:szCs w:val="22"/>
              </w:rPr>
              <w:t>12th Jan 2024</w:t>
            </w:r>
          </w:p>
        </w:tc>
        <w:tc>
          <w:tcPr>
            <w:tcW w:w="1736" w:type="dxa"/>
            <w:vAlign w:val="center"/>
          </w:tcPr>
          <w:p w14:paraId="1C303533" w14:textId="5113F811" w:rsidR="00493A50" w:rsidRPr="00E1125D" w:rsidRDefault="004C5DDE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4C5DDE">
              <w:rPr>
                <w:sz w:val="22"/>
                <w:szCs w:val="22"/>
              </w:rPr>
              <w:t>14th Jan 2024</w:t>
            </w:r>
          </w:p>
        </w:tc>
      </w:tr>
      <w:tr w:rsidR="00E1125D" w:rsidRPr="00493A50" w14:paraId="05C7FF6F" w14:textId="77777777" w:rsidTr="00356C18">
        <w:trPr>
          <w:trHeight w:val="864"/>
        </w:trPr>
        <w:tc>
          <w:tcPr>
            <w:tcW w:w="2965" w:type="dxa"/>
            <w:vAlign w:val="center"/>
          </w:tcPr>
          <w:p w14:paraId="3E1083C8" w14:textId="0481289B" w:rsidR="00493A50" w:rsidRPr="00E1125D" w:rsidRDefault="00B80971" w:rsidP="00B80971">
            <w:pPr>
              <w:pStyle w:val="ListParagraph"/>
              <w:numPr>
                <w:ilvl w:val="0"/>
                <w:numId w:val="9"/>
              </w:numPr>
              <w:rPr>
                <w:rFonts w:ascii="Century Gothic" w:hAnsi="Century Gothic"/>
                <w:sz w:val="18"/>
              </w:rPr>
            </w:pPr>
            <w:r w:rsidRPr="00B80971">
              <w:rPr>
                <w:sz w:val="22"/>
                <w:szCs w:val="22"/>
              </w:rPr>
              <w:t>Risk Assessment Manager</w:t>
            </w:r>
          </w:p>
        </w:tc>
        <w:tc>
          <w:tcPr>
            <w:tcW w:w="4230" w:type="dxa"/>
            <w:vAlign w:val="center"/>
          </w:tcPr>
          <w:p w14:paraId="1A9C5EC9" w14:textId="1488A4FC" w:rsidR="00493A50" w:rsidRPr="00E1125D" w:rsidRDefault="004C5DDE" w:rsidP="004C5DDE">
            <w:pPr>
              <w:ind w:left="360"/>
              <w:rPr>
                <w:rFonts w:ascii="Century Gothic" w:hAnsi="Century Gothic"/>
                <w:sz w:val="18"/>
              </w:rPr>
            </w:pPr>
            <w:r w:rsidRPr="004C5DDE">
              <w:rPr>
                <w:sz w:val="22"/>
                <w:szCs w:val="22"/>
              </w:rPr>
              <w:t>Risk Assessment Manager is critical in identifying, evaluating, and managing potential risks that may impact the project's success.</w:t>
            </w:r>
          </w:p>
        </w:tc>
        <w:tc>
          <w:tcPr>
            <w:tcW w:w="1736" w:type="dxa"/>
            <w:vAlign w:val="center"/>
          </w:tcPr>
          <w:p w14:paraId="7BECFCC3" w14:textId="60137025" w:rsidR="00493A50" w:rsidRPr="00E1125D" w:rsidRDefault="004C5DDE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4C5DDE">
              <w:rPr>
                <w:sz w:val="22"/>
                <w:szCs w:val="22"/>
              </w:rPr>
              <w:t>12th Jan 2024</w:t>
            </w:r>
          </w:p>
        </w:tc>
        <w:tc>
          <w:tcPr>
            <w:tcW w:w="1736" w:type="dxa"/>
            <w:vAlign w:val="center"/>
          </w:tcPr>
          <w:p w14:paraId="4DA9CA70" w14:textId="04B21E7F" w:rsidR="00493A50" w:rsidRPr="00E1125D" w:rsidRDefault="004C5DDE" w:rsidP="00E1125D">
            <w:pPr>
              <w:jc w:val="center"/>
              <w:rPr>
                <w:rFonts w:ascii="Century Gothic" w:hAnsi="Century Gothic"/>
                <w:sz w:val="18"/>
              </w:rPr>
            </w:pPr>
            <w:r w:rsidRPr="004C5DDE">
              <w:rPr>
                <w:sz w:val="22"/>
                <w:szCs w:val="22"/>
              </w:rPr>
              <w:t>16th Jan 2024</w:t>
            </w:r>
          </w:p>
        </w:tc>
      </w:tr>
    </w:tbl>
    <w:p w14:paraId="649F0982" w14:textId="77777777" w:rsidR="00D228BD" w:rsidRPr="005938A1" w:rsidRDefault="00D228BD" w:rsidP="00D228BD">
      <w:pPr>
        <w:rPr>
          <w:rFonts w:ascii="Century Gothic" w:hAnsi="Century Gothic" w:cs="Arial"/>
        </w:rPr>
      </w:pPr>
    </w:p>
    <w:p w14:paraId="443CA54E" w14:textId="77777777" w:rsidR="00C741E8" w:rsidRDefault="00C741E8">
      <w:pPr>
        <w:rPr>
          <w:rFonts w:ascii="Century Gothic" w:hAnsi="Century Gothic"/>
        </w:rPr>
      </w:pPr>
    </w:p>
    <w:p w14:paraId="113B113C" w14:textId="1769E0C4" w:rsidR="00C741E8" w:rsidRPr="00F6398F" w:rsidRDefault="00C741E8" w:rsidP="00F6398F">
      <w:pPr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sectPr w:rsidR="00C741E8" w:rsidRPr="00F6398F" w:rsidSect="00237B70">
      <w:type w:val="continuous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3F6EC" w14:textId="77777777" w:rsidR="00237B70" w:rsidRDefault="00237B70" w:rsidP="005D354E">
      <w:r>
        <w:separator/>
      </w:r>
    </w:p>
  </w:endnote>
  <w:endnote w:type="continuationSeparator" w:id="0">
    <w:p w14:paraId="2639CFA8" w14:textId="77777777" w:rsidR="00237B70" w:rsidRDefault="00237B70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13B6" w14:textId="77777777" w:rsidR="00856830" w:rsidRDefault="00856830" w:rsidP="00004F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C9364F" w14:textId="77777777"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2F02" w14:textId="77777777" w:rsidR="00856830" w:rsidRDefault="00856830" w:rsidP="008568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0EC2" w14:textId="77777777" w:rsidR="00237B70" w:rsidRDefault="00237B70" w:rsidP="005D354E">
      <w:r>
        <w:separator/>
      </w:r>
    </w:p>
  </w:footnote>
  <w:footnote w:type="continuationSeparator" w:id="0">
    <w:p w14:paraId="383815C0" w14:textId="77777777" w:rsidR="00237B70" w:rsidRDefault="00237B70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ADA0810"/>
    <w:multiLevelType w:val="hybridMultilevel"/>
    <w:tmpl w:val="F4E6D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65A71"/>
    <w:multiLevelType w:val="hybridMultilevel"/>
    <w:tmpl w:val="87C2AF1E"/>
    <w:lvl w:ilvl="0" w:tplc="9E6A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85D6573"/>
    <w:multiLevelType w:val="hybridMultilevel"/>
    <w:tmpl w:val="23A4C66A"/>
    <w:lvl w:ilvl="0" w:tplc="BC72DD0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A7666"/>
    <w:multiLevelType w:val="hybridMultilevel"/>
    <w:tmpl w:val="FEF6D4F6"/>
    <w:lvl w:ilvl="0" w:tplc="7402D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 w16cid:durableId="1064329525">
    <w:abstractNumId w:val="0"/>
  </w:num>
  <w:num w:numId="2" w16cid:durableId="235634261">
    <w:abstractNumId w:val="4"/>
  </w:num>
  <w:num w:numId="3" w16cid:durableId="1145048489">
    <w:abstractNumId w:val="8"/>
  </w:num>
  <w:num w:numId="4" w16cid:durableId="401871309">
    <w:abstractNumId w:val="7"/>
  </w:num>
  <w:num w:numId="5" w16cid:durableId="1597443061">
    <w:abstractNumId w:val="9"/>
  </w:num>
  <w:num w:numId="6" w16cid:durableId="994797787">
    <w:abstractNumId w:val="2"/>
  </w:num>
  <w:num w:numId="7" w16cid:durableId="1564829025">
    <w:abstractNumId w:val="1"/>
  </w:num>
  <w:num w:numId="8" w16cid:durableId="1532953902">
    <w:abstractNumId w:val="5"/>
  </w:num>
  <w:num w:numId="9" w16cid:durableId="428697507">
    <w:abstractNumId w:val="3"/>
  </w:num>
  <w:num w:numId="10" w16cid:durableId="81151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F"/>
    <w:rsid w:val="00023194"/>
    <w:rsid w:val="00095B18"/>
    <w:rsid w:val="000A6C53"/>
    <w:rsid w:val="000D7C65"/>
    <w:rsid w:val="000E4EEC"/>
    <w:rsid w:val="000E7964"/>
    <w:rsid w:val="000F2A72"/>
    <w:rsid w:val="000F3F3A"/>
    <w:rsid w:val="00107576"/>
    <w:rsid w:val="00131CA2"/>
    <w:rsid w:val="00133620"/>
    <w:rsid w:val="00141D30"/>
    <w:rsid w:val="001740D8"/>
    <w:rsid w:val="001B4267"/>
    <w:rsid w:val="001E0D3A"/>
    <w:rsid w:val="00216F01"/>
    <w:rsid w:val="00224CAD"/>
    <w:rsid w:val="00237B70"/>
    <w:rsid w:val="0026483D"/>
    <w:rsid w:val="002F1B4E"/>
    <w:rsid w:val="00315337"/>
    <w:rsid w:val="0032070E"/>
    <w:rsid w:val="00330152"/>
    <w:rsid w:val="00356C18"/>
    <w:rsid w:val="003910D4"/>
    <w:rsid w:val="003C3C9F"/>
    <w:rsid w:val="0041265B"/>
    <w:rsid w:val="00430FAF"/>
    <w:rsid w:val="00472089"/>
    <w:rsid w:val="0048649F"/>
    <w:rsid w:val="00493A50"/>
    <w:rsid w:val="004B3008"/>
    <w:rsid w:val="004C5DDE"/>
    <w:rsid w:val="00561AA8"/>
    <w:rsid w:val="0058557B"/>
    <w:rsid w:val="005938A1"/>
    <w:rsid w:val="005B54C8"/>
    <w:rsid w:val="005C5EF8"/>
    <w:rsid w:val="005D354E"/>
    <w:rsid w:val="005F5D1D"/>
    <w:rsid w:val="00622572"/>
    <w:rsid w:val="00643828"/>
    <w:rsid w:val="00645871"/>
    <w:rsid w:val="006505F7"/>
    <w:rsid w:val="006B39BC"/>
    <w:rsid w:val="006D0069"/>
    <w:rsid w:val="006F4B74"/>
    <w:rsid w:val="00711857"/>
    <w:rsid w:val="00784AF2"/>
    <w:rsid w:val="00784F6A"/>
    <w:rsid w:val="00824AA2"/>
    <w:rsid w:val="008367E7"/>
    <w:rsid w:val="00856830"/>
    <w:rsid w:val="00874884"/>
    <w:rsid w:val="008F24FA"/>
    <w:rsid w:val="00910A1F"/>
    <w:rsid w:val="00945F8D"/>
    <w:rsid w:val="00963C93"/>
    <w:rsid w:val="00977E89"/>
    <w:rsid w:val="0099725F"/>
    <w:rsid w:val="009E0257"/>
    <w:rsid w:val="009E13E0"/>
    <w:rsid w:val="00A14ABE"/>
    <w:rsid w:val="00A25FD5"/>
    <w:rsid w:val="00A37D6F"/>
    <w:rsid w:val="00A8470F"/>
    <w:rsid w:val="00A94C66"/>
    <w:rsid w:val="00AE6DEA"/>
    <w:rsid w:val="00B24297"/>
    <w:rsid w:val="00B40985"/>
    <w:rsid w:val="00B54E0D"/>
    <w:rsid w:val="00B80971"/>
    <w:rsid w:val="00BD568E"/>
    <w:rsid w:val="00BD7713"/>
    <w:rsid w:val="00BF6229"/>
    <w:rsid w:val="00C741E8"/>
    <w:rsid w:val="00CC174F"/>
    <w:rsid w:val="00D00EE1"/>
    <w:rsid w:val="00D16014"/>
    <w:rsid w:val="00D228BD"/>
    <w:rsid w:val="00D92A67"/>
    <w:rsid w:val="00DB0DD5"/>
    <w:rsid w:val="00DE0678"/>
    <w:rsid w:val="00DE48AE"/>
    <w:rsid w:val="00E05DE7"/>
    <w:rsid w:val="00E1125D"/>
    <w:rsid w:val="00E64C6D"/>
    <w:rsid w:val="00E775BD"/>
    <w:rsid w:val="00E90D2A"/>
    <w:rsid w:val="00E91061"/>
    <w:rsid w:val="00EA68A7"/>
    <w:rsid w:val="00ED6B01"/>
    <w:rsid w:val="00F611AD"/>
    <w:rsid w:val="00F6398F"/>
    <w:rsid w:val="00F868B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4D5B4"/>
  <w14:defaultImageDpi w14:val="32767"/>
  <w15:docId w15:val="{57F89FFC-2D80-4204-B17A-D7A172C1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PlaceholderText">
    <w:name w:val="Placeholder Text"/>
    <w:basedOn w:val="DefaultParagraphFont"/>
    <w:uiPriority w:val="99"/>
    <w:semiHidden/>
    <w:rsid w:val="00493A5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1F"/>
    <w:rPr>
      <w:rFonts w:ascii="Times New Roman" w:hAnsi="Times New Roman" w:cs="Times New Roman"/>
      <w:sz w:val="18"/>
      <w:szCs w:val="18"/>
    </w:rPr>
  </w:style>
  <w:style w:type="table" w:styleId="PlainTable1">
    <w:name w:val="Plain Table 1"/>
    <w:basedOn w:val="TableNormal"/>
    <w:uiPriority w:val="41"/>
    <w:rsid w:val="00F639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6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NESTOGA%20ACADEMIC\SEM%20~%204\IT%20CAPSTONE%20PROJECT\Project-Plan-Scope-Exampl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D9AD85-3563-43CB-A54D-7E282C73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Project-Plan-Scope-Example-WORD.dotx</Template>
  <TotalTime>156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Shubham Kiritkumar Thanki</cp:lastModifiedBy>
  <cp:revision>4</cp:revision>
  <dcterms:created xsi:type="dcterms:W3CDTF">2024-01-23T18:07:00Z</dcterms:created>
  <dcterms:modified xsi:type="dcterms:W3CDTF">2024-01-24T18:02:00Z</dcterms:modified>
</cp:coreProperties>
</file>