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1E458" w14:textId="4568AD4D" w:rsidR="001513AD" w:rsidRDefault="001513AD" w:rsidP="00150F53">
      <w:pPr>
        <w:spacing w:line="360" w:lineRule="auto"/>
        <w:jc w:val="both"/>
      </w:pPr>
      <w:r w:rsidRPr="001513AD">
        <w:t xml:space="preserve">Our team analyzed each of the suggested solution possibilities for </w:t>
      </w:r>
      <w:r w:rsidRPr="009621CB">
        <w:rPr>
          <w:b/>
          <w:bCs/>
        </w:rPr>
        <w:t>Crown Bank of Canada</w:t>
      </w:r>
      <w:r w:rsidRPr="001513AD">
        <w:t xml:space="preserve"> in alignment with assessment criteria </w:t>
      </w:r>
      <w:r w:rsidRPr="001513AD">
        <w:t>to</w:t>
      </w:r>
      <w:r w:rsidRPr="001513AD">
        <w:t xml:space="preserve"> identify the best path of action. Impact on customer happiness, potential for revenue development, cost-effectiveness, long-term strategic objectives.  After giving time, we have decided that the best course of action is to develop Flexible Loan Repayment Options.</w:t>
      </w:r>
    </w:p>
    <w:p w14:paraId="36151231" w14:textId="799F74D4" w:rsidR="00150F53" w:rsidRDefault="00065FF0" w:rsidP="00150F53">
      <w:pPr>
        <w:spacing w:line="360" w:lineRule="auto"/>
        <w:jc w:val="both"/>
        <w:rPr>
          <w:b/>
          <w:bCs/>
        </w:rPr>
      </w:pPr>
      <w:r w:rsidRPr="00150F53">
        <w:rPr>
          <w:b/>
          <w:bCs/>
        </w:rPr>
        <w:t>Initial Investment</w:t>
      </w:r>
    </w:p>
    <w:p w14:paraId="52EDDA29" w14:textId="24549762" w:rsidR="001513AD" w:rsidRDefault="001513AD" w:rsidP="001513AD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$20 million is the projected cost of creating and executing the new loan repayment system, which includes software development, </w:t>
      </w:r>
      <w:r>
        <w:t>customization</w:t>
      </w:r>
      <w:r>
        <w:t>, and interaction with the current banking infrastructure.</w:t>
      </w:r>
    </w:p>
    <w:p w14:paraId="09D733BC" w14:textId="4CFD8569" w:rsidR="001513AD" w:rsidRDefault="001513AD" w:rsidP="001513AD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 $10 million budget </w:t>
      </w:r>
      <w:r>
        <w:t>is set</w:t>
      </w:r>
      <w:r>
        <w:t xml:space="preserve"> for training initiatives that will inform employees and clients about the new alternatives for repayment. For the new system </w:t>
      </w:r>
      <w:r>
        <w:t>to run</w:t>
      </w:r>
      <w:r>
        <w:t xml:space="preserve"> smoothly, these training programs are essential.</w:t>
      </w:r>
    </w:p>
    <w:p w14:paraId="604BACF0" w14:textId="63DBB7BA" w:rsidR="001513AD" w:rsidRDefault="001513AD" w:rsidP="001513AD">
      <w:pPr>
        <w:pStyle w:val="ListParagraph"/>
        <w:numPr>
          <w:ilvl w:val="0"/>
          <w:numId w:val="6"/>
        </w:numPr>
        <w:spacing w:line="360" w:lineRule="auto"/>
        <w:jc w:val="both"/>
      </w:pPr>
      <w:r>
        <w:t>A budget of $5 million has been set for marketing and communication initiatives aimed at informing the bank's</w:t>
      </w:r>
      <w:r>
        <w:t xml:space="preserve"> </w:t>
      </w:r>
      <w:r>
        <w:t>advantages of the flexible repayment plans. This covers marketing efforts, collateral, and outreach programs for customers.</w:t>
      </w:r>
    </w:p>
    <w:p w14:paraId="5022BF8C" w14:textId="158F6867" w:rsidR="00065FF0" w:rsidRPr="00AA26C6" w:rsidRDefault="00065FF0" w:rsidP="00065FF0">
      <w:pPr>
        <w:spacing w:line="360" w:lineRule="auto"/>
        <w:jc w:val="both"/>
        <w:rPr>
          <w:b/>
          <w:bCs/>
        </w:rPr>
      </w:pPr>
      <w:r w:rsidRPr="00AA26C6">
        <w:rPr>
          <w:b/>
          <w:bCs/>
        </w:rPr>
        <w:t>Total Initial Investment: $35 million.</w:t>
      </w:r>
    </w:p>
    <w:p w14:paraId="0FD2B897" w14:textId="09BFCA32" w:rsidR="00065FF0" w:rsidRDefault="00065FF0" w:rsidP="00065FF0">
      <w:pPr>
        <w:spacing w:line="360" w:lineRule="auto"/>
        <w:jc w:val="both"/>
        <w:rPr>
          <w:b/>
          <w:bCs/>
        </w:rPr>
      </w:pPr>
      <w:r w:rsidRPr="00AA26C6">
        <w:rPr>
          <w:b/>
          <w:bCs/>
        </w:rPr>
        <w:t>Ongoing Costs (Per Year)</w:t>
      </w:r>
    </w:p>
    <w:p w14:paraId="290F0636" w14:textId="5EA3F4CE" w:rsidR="001513AD" w:rsidRPr="001513AD" w:rsidRDefault="001513AD" w:rsidP="001513AD">
      <w:pPr>
        <w:pStyle w:val="ListParagraph"/>
        <w:numPr>
          <w:ilvl w:val="0"/>
          <w:numId w:val="7"/>
        </w:numPr>
        <w:spacing w:line="360" w:lineRule="auto"/>
        <w:jc w:val="both"/>
      </w:pPr>
      <w:r w:rsidRPr="001513AD">
        <w:t xml:space="preserve">Every year, about $1 million is set for maintenance </w:t>
      </w:r>
      <w:r w:rsidRPr="001513AD">
        <w:t>to</w:t>
      </w:r>
      <w:r w:rsidRPr="001513AD">
        <w:t xml:space="preserve"> guarantee the loan payback system's continuous dependability and effectiveness. This covers bug fixes, routine updates, and technical support.</w:t>
      </w:r>
    </w:p>
    <w:p w14:paraId="406E1BC9" w14:textId="5F7610A7" w:rsidR="001513AD" w:rsidRPr="001513AD" w:rsidRDefault="001513AD" w:rsidP="001513AD">
      <w:pPr>
        <w:pStyle w:val="ListParagraph"/>
        <w:numPr>
          <w:ilvl w:val="0"/>
          <w:numId w:val="7"/>
        </w:numPr>
        <w:spacing w:line="360" w:lineRule="auto"/>
        <w:jc w:val="both"/>
      </w:pPr>
      <w:r w:rsidRPr="001513AD">
        <w:t>A $500,000 yearly budget is allocated for software upgrades, which includes the cost of adding new features, fixing issues</w:t>
      </w:r>
      <w:r>
        <w:t>.</w:t>
      </w:r>
    </w:p>
    <w:p w14:paraId="634125E8" w14:textId="4010B274" w:rsidR="001513AD" w:rsidRPr="001513AD" w:rsidRDefault="001513AD" w:rsidP="001513AD">
      <w:pPr>
        <w:pStyle w:val="ListParagraph"/>
        <w:numPr>
          <w:ilvl w:val="0"/>
          <w:numId w:val="7"/>
        </w:numPr>
        <w:spacing w:line="360" w:lineRule="auto"/>
        <w:jc w:val="both"/>
      </w:pPr>
      <w:r w:rsidRPr="001513AD">
        <w:t>A $750,000 yearly budget is set  for monitoring efforts, which include real-time performance analysis and monitoring to spot and resolve any problems early.</w:t>
      </w:r>
    </w:p>
    <w:p w14:paraId="2B4AB1FB" w14:textId="0915069B" w:rsidR="00065FF0" w:rsidRPr="001717BA" w:rsidRDefault="00065FF0" w:rsidP="00065FF0">
      <w:pPr>
        <w:spacing w:line="360" w:lineRule="auto"/>
        <w:jc w:val="both"/>
        <w:rPr>
          <w:b/>
          <w:bCs/>
        </w:rPr>
      </w:pPr>
      <w:r w:rsidRPr="005F423C">
        <w:rPr>
          <w:b/>
          <w:bCs/>
        </w:rPr>
        <w:t>Total Ongoing Costs (Per Year): $2.25 million.</w:t>
      </w:r>
    </w:p>
    <w:p w14:paraId="6B9AC3CC" w14:textId="271C062A" w:rsidR="00065FF0" w:rsidRDefault="00065FF0" w:rsidP="00065FF0">
      <w:pPr>
        <w:spacing w:line="360" w:lineRule="auto"/>
        <w:jc w:val="both"/>
        <w:rPr>
          <w:b/>
          <w:bCs/>
        </w:rPr>
      </w:pPr>
      <w:r w:rsidRPr="001717BA">
        <w:rPr>
          <w:b/>
          <w:bCs/>
        </w:rPr>
        <w:t>Benefits (Per Year)</w:t>
      </w:r>
    </w:p>
    <w:p w14:paraId="3279855D" w14:textId="77777777" w:rsidR="001513AD" w:rsidRPr="001513AD" w:rsidRDefault="001513AD" w:rsidP="001513AD">
      <w:pPr>
        <w:pStyle w:val="ListParagraph"/>
        <w:numPr>
          <w:ilvl w:val="0"/>
          <w:numId w:val="8"/>
        </w:numPr>
        <w:spacing w:line="360" w:lineRule="auto"/>
        <w:jc w:val="both"/>
      </w:pPr>
      <w:r w:rsidRPr="001513AD">
        <w:lastRenderedPageBreak/>
        <w:t>Enhancing client satisfaction through flexible loan repayment choices might result in higher retention rates and loyalty for the bank.</w:t>
      </w:r>
    </w:p>
    <w:p w14:paraId="7AFE00B2" w14:textId="77777777" w:rsidR="001513AD" w:rsidRPr="001513AD" w:rsidRDefault="001513AD" w:rsidP="001513AD">
      <w:pPr>
        <w:pStyle w:val="ListParagraph"/>
        <w:numPr>
          <w:ilvl w:val="0"/>
          <w:numId w:val="8"/>
        </w:numPr>
        <w:spacing w:line="360" w:lineRule="auto"/>
        <w:jc w:val="both"/>
      </w:pPr>
      <w:r w:rsidRPr="001513AD">
        <w:t>Giving borrowers alternative periods for repayment might enable them to handle their money better, which would lower the chance of defaults and the bank's ensuing losses.</w:t>
      </w:r>
    </w:p>
    <w:p w14:paraId="7D6DAA8A" w14:textId="77777777" w:rsidR="001513AD" w:rsidRPr="001513AD" w:rsidRDefault="001513AD" w:rsidP="001513AD">
      <w:pPr>
        <w:pStyle w:val="ListParagraph"/>
        <w:numPr>
          <w:ilvl w:val="0"/>
          <w:numId w:val="8"/>
        </w:numPr>
        <w:spacing w:line="360" w:lineRule="auto"/>
        <w:jc w:val="both"/>
      </w:pPr>
      <w:r w:rsidRPr="001513AD">
        <w:t>Crown Bank can increase its market share and attract new clients by offering innovative lending products and customer-centric services that set it apart from competitors.</w:t>
      </w:r>
    </w:p>
    <w:p w14:paraId="0CAFDA85" w14:textId="73347654" w:rsidR="001513AD" w:rsidRPr="001513AD" w:rsidRDefault="001513AD" w:rsidP="001513AD">
      <w:pPr>
        <w:pStyle w:val="ListParagraph"/>
        <w:numPr>
          <w:ilvl w:val="0"/>
          <w:numId w:val="8"/>
        </w:numPr>
        <w:spacing w:line="360" w:lineRule="auto"/>
        <w:jc w:val="both"/>
      </w:pPr>
      <w:r w:rsidRPr="001513AD">
        <w:t>These numbers give an in-depth overview of the upfront expenses, recurring expenses, and expected returns related to the adoption of Flexible Loan Repayment Options at Crown Bank of Canada.</w:t>
      </w:r>
    </w:p>
    <w:p w14:paraId="56B2E758" w14:textId="7C766580" w:rsidR="006D7BC0" w:rsidRPr="006D7BC0" w:rsidRDefault="006D7BC0" w:rsidP="006D7BC0">
      <w:pPr>
        <w:spacing w:line="360" w:lineRule="auto"/>
        <w:jc w:val="both"/>
        <w:rPr>
          <w:b/>
          <w:bCs/>
        </w:rPr>
      </w:pPr>
      <w:r w:rsidRPr="006D7BC0">
        <w:rPr>
          <w:b/>
          <w:bCs/>
        </w:rPr>
        <w:t>Initial Investment:</w:t>
      </w:r>
    </w:p>
    <w:p w14:paraId="28620B70" w14:textId="77777777" w:rsidR="006D7BC0" w:rsidRDefault="006D7BC0" w:rsidP="006D7BC0">
      <w:pPr>
        <w:spacing w:line="360" w:lineRule="auto"/>
        <w:jc w:val="both"/>
      </w:pPr>
      <w:r>
        <w:t>$20 million for development and implementation</w:t>
      </w:r>
    </w:p>
    <w:p w14:paraId="24FC8162" w14:textId="6520E266" w:rsidR="006D7BC0" w:rsidRDefault="006D7BC0" w:rsidP="006D7BC0">
      <w:pPr>
        <w:spacing w:line="360" w:lineRule="auto"/>
        <w:jc w:val="both"/>
      </w:pPr>
      <w:r>
        <w:t>$10 million for training initiatives</w:t>
      </w:r>
    </w:p>
    <w:p w14:paraId="05FC58E2" w14:textId="77777777" w:rsidR="006D7BC0" w:rsidRDefault="006D7BC0" w:rsidP="006D7BC0">
      <w:pPr>
        <w:spacing w:line="360" w:lineRule="auto"/>
        <w:jc w:val="both"/>
      </w:pPr>
      <w:r>
        <w:t>$5 million for marketing and communications</w:t>
      </w:r>
    </w:p>
    <w:p w14:paraId="3CEA8622" w14:textId="77777777" w:rsidR="006D7BC0" w:rsidRDefault="006D7BC0" w:rsidP="006D7BC0">
      <w:pPr>
        <w:spacing w:line="360" w:lineRule="auto"/>
        <w:jc w:val="both"/>
      </w:pPr>
      <w:r>
        <w:t>$35 million was the total initial investment.</w:t>
      </w:r>
    </w:p>
    <w:p w14:paraId="0A51CF1C" w14:textId="399A497B" w:rsidR="006D7BC0" w:rsidRPr="006D7BC0" w:rsidRDefault="006D7BC0" w:rsidP="006D7BC0">
      <w:pPr>
        <w:spacing w:line="360" w:lineRule="auto"/>
        <w:jc w:val="both"/>
        <w:rPr>
          <w:b/>
          <w:bCs/>
        </w:rPr>
      </w:pPr>
      <w:r w:rsidRPr="006D7BC0">
        <w:rPr>
          <w:b/>
          <w:bCs/>
        </w:rPr>
        <w:t>Ongoing Costs (Per Year):</w:t>
      </w:r>
    </w:p>
    <w:p w14:paraId="7F832229" w14:textId="77777777" w:rsidR="006D7BC0" w:rsidRDefault="006D7BC0" w:rsidP="006D7BC0">
      <w:pPr>
        <w:spacing w:line="360" w:lineRule="auto"/>
        <w:jc w:val="both"/>
      </w:pPr>
      <w:r>
        <w:t>$1 million for upkeep</w:t>
      </w:r>
    </w:p>
    <w:p w14:paraId="64C2798D" w14:textId="77777777" w:rsidR="006D7BC0" w:rsidRDefault="006D7BC0" w:rsidP="006D7BC0">
      <w:pPr>
        <w:spacing w:line="360" w:lineRule="auto"/>
        <w:jc w:val="both"/>
      </w:pPr>
      <w:r>
        <w:t>$500,000 in software updates</w:t>
      </w:r>
    </w:p>
    <w:p w14:paraId="13BDFD67" w14:textId="77777777" w:rsidR="006D7BC0" w:rsidRDefault="006D7BC0" w:rsidP="006D7BC0">
      <w:pPr>
        <w:spacing w:line="360" w:lineRule="auto"/>
        <w:jc w:val="both"/>
      </w:pPr>
      <w:r>
        <w:t>$750,000 in monitoring activities</w:t>
      </w:r>
    </w:p>
    <w:p w14:paraId="274CE81E" w14:textId="0B1E677D" w:rsidR="00065FF0" w:rsidRDefault="00065FF0" w:rsidP="00065FF0">
      <w:pPr>
        <w:spacing w:line="360" w:lineRule="auto"/>
        <w:jc w:val="both"/>
        <w:rPr>
          <w:b/>
          <w:bCs/>
        </w:rPr>
      </w:pPr>
      <w:r w:rsidRPr="000A0620">
        <w:rPr>
          <w:b/>
          <w:bCs/>
        </w:rPr>
        <w:t>Yearly ROI Calculation</w:t>
      </w:r>
    </w:p>
    <w:p w14:paraId="51347AE5" w14:textId="78A0741B" w:rsidR="001513AD" w:rsidRPr="001513AD" w:rsidRDefault="001513AD" w:rsidP="00065FF0">
      <w:pPr>
        <w:spacing w:line="360" w:lineRule="auto"/>
        <w:jc w:val="both"/>
      </w:pPr>
      <w:r w:rsidRPr="001513AD">
        <w:t>We will deduct all ongoing expenditures from all benefits to determine the annual return on investment. Then, we will divide the figure by the initial investment.</w:t>
      </w:r>
    </w:p>
    <w:p w14:paraId="6A3D6865" w14:textId="43411770" w:rsidR="00065FF0" w:rsidRPr="006C3D53" w:rsidRDefault="00065FF0" w:rsidP="00065FF0">
      <w:pPr>
        <w:spacing w:line="360" w:lineRule="auto"/>
        <w:jc w:val="both"/>
        <w:rPr>
          <w:b/>
          <w:bCs/>
        </w:rPr>
      </w:pPr>
      <w:r w:rsidRPr="006C3D53">
        <w:rPr>
          <w:b/>
          <w:bCs/>
        </w:rPr>
        <w:t>Yearly ROI = ((Total Benefits - Total Ongoing Costs) / Total Initial Investment) * 100</w:t>
      </w:r>
    </w:p>
    <w:p w14:paraId="771C3FC3" w14:textId="5EAD356A" w:rsidR="00065FF0" w:rsidRDefault="00065FF0" w:rsidP="00065FF0">
      <w:pPr>
        <w:spacing w:line="360" w:lineRule="auto"/>
        <w:jc w:val="both"/>
      </w:pPr>
      <w:r>
        <w:t>Substituting the values:</w:t>
      </w:r>
    </w:p>
    <w:p w14:paraId="11C7026B" w14:textId="77777777" w:rsidR="00065FF0" w:rsidRDefault="00065FF0" w:rsidP="00065FF0">
      <w:pPr>
        <w:spacing w:line="360" w:lineRule="auto"/>
        <w:jc w:val="both"/>
      </w:pPr>
      <w:r>
        <w:lastRenderedPageBreak/>
        <w:t>Yearly ROI = (($30 million - $2.25 million) / $35 million) * 100</w:t>
      </w:r>
    </w:p>
    <w:p w14:paraId="1AB48FFA" w14:textId="77777777" w:rsidR="00065FF0" w:rsidRDefault="00065FF0" w:rsidP="00065FF0">
      <w:pPr>
        <w:spacing w:line="360" w:lineRule="auto"/>
        <w:jc w:val="both"/>
      </w:pPr>
      <w:r>
        <w:t>Yearly ROI ≈ (27.75 / 35) * 100</w:t>
      </w:r>
    </w:p>
    <w:p w14:paraId="6F7C8444" w14:textId="77777777" w:rsidR="006C3D53" w:rsidRPr="006C3D53" w:rsidRDefault="00065FF0" w:rsidP="00065FF0">
      <w:pPr>
        <w:spacing w:line="360" w:lineRule="auto"/>
        <w:jc w:val="both"/>
        <w:rPr>
          <w:b/>
          <w:bCs/>
        </w:rPr>
      </w:pPr>
      <w:r w:rsidRPr="006C3D53">
        <w:rPr>
          <w:b/>
          <w:bCs/>
        </w:rPr>
        <w:t>Yearly ROI ≈ 79.29%</w:t>
      </w:r>
    </w:p>
    <w:p w14:paraId="777738AE" w14:textId="16EB15C6" w:rsidR="00065FF0" w:rsidRPr="006C3D53" w:rsidRDefault="00065FF0" w:rsidP="00065FF0">
      <w:pPr>
        <w:spacing w:line="360" w:lineRule="auto"/>
        <w:jc w:val="both"/>
        <w:rPr>
          <w:b/>
          <w:bCs/>
        </w:rPr>
      </w:pPr>
      <w:r w:rsidRPr="006C3D53">
        <w:rPr>
          <w:b/>
          <w:bCs/>
        </w:rPr>
        <w:t>ROI over 3 Years</w:t>
      </w:r>
    </w:p>
    <w:p w14:paraId="5F72437A" w14:textId="54508D74" w:rsidR="00065FF0" w:rsidRDefault="001513AD" w:rsidP="00065FF0">
      <w:pPr>
        <w:spacing w:line="360" w:lineRule="auto"/>
        <w:jc w:val="both"/>
      </w:pPr>
      <w:r w:rsidRPr="001513AD">
        <w:t xml:space="preserve">We will first multiply the yearly net benefit by 3 to get the overall net benefit spread over 3 years, which will be used to calculate the ROI over a </w:t>
      </w:r>
      <w:r w:rsidRPr="001513AD">
        <w:t>3-year</w:t>
      </w:r>
      <w:r w:rsidRPr="001513AD">
        <w:t> period. The ROI % over a three-year period will then be calculated by dividing the entire net benefit by the initial investment</w:t>
      </w:r>
      <w:r w:rsidR="00065FF0">
        <w:t>.</w:t>
      </w:r>
    </w:p>
    <w:p w14:paraId="5DFAC74C" w14:textId="1B9B3080" w:rsidR="00065FF0" w:rsidRDefault="00065FF0" w:rsidP="00065FF0">
      <w:pPr>
        <w:spacing w:line="360" w:lineRule="auto"/>
        <w:jc w:val="both"/>
      </w:pPr>
      <w:r>
        <w:t>Total Net Benefit (3 Years) = Yearly Net Benefit * 3</w:t>
      </w:r>
    </w:p>
    <w:p w14:paraId="78BC9974" w14:textId="77777777" w:rsidR="00065FF0" w:rsidRDefault="00065FF0" w:rsidP="00065FF0">
      <w:pPr>
        <w:spacing w:line="360" w:lineRule="auto"/>
        <w:jc w:val="both"/>
      </w:pPr>
      <w:r>
        <w:t>Substituting the values:</w:t>
      </w:r>
    </w:p>
    <w:p w14:paraId="7657F817" w14:textId="77777777" w:rsidR="00065FF0" w:rsidRDefault="00065FF0" w:rsidP="00065FF0">
      <w:pPr>
        <w:spacing w:line="360" w:lineRule="auto"/>
        <w:jc w:val="both"/>
      </w:pPr>
      <w:r>
        <w:t>Total Net Benefit (3 Years) = $27.75 million * 3</w:t>
      </w:r>
    </w:p>
    <w:p w14:paraId="43ECBBD2" w14:textId="7E24EAA0" w:rsidR="00065FF0" w:rsidRPr="006C3D53" w:rsidRDefault="00065FF0" w:rsidP="00065FF0">
      <w:pPr>
        <w:spacing w:line="360" w:lineRule="auto"/>
        <w:jc w:val="both"/>
        <w:rPr>
          <w:b/>
          <w:bCs/>
        </w:rPr>
      </w:pPr>
      <w:r w:rsidRPr="006C3D53">
        <w:rPr>
          <w:b/>
          <w:bCs/>
        </w:rPr>
        <w:t>Total Net Benefit (3 Years) = $83.25 million</w:t>
      </w:r>
    </w:p>
    <w:p w14:paraId="6BEE3C1B" w14:textId="77777777" w:rsidR="00065FF0" w:rsidRDefault="00065FF0" w:rsidP="00065FF0">
      <w:pPr>
        <w:spacing w:line="360" w:lineRule="auto"/>
        <w:jc w:val="both"/>
      </w:pPr>
      <w:r>
        <w:t>ROI over 3 Years = ((Total Net Benefit (3 Years) - Total Initial Investment) / Total Initial Investment) * 100</w:t>
      </w:r>
    </w:p>
    <w:p w14:paraId="2D84C954" w14:textId="77777777" w:rsidR="00065FF0" w:rsidRDefault="00065FF0" w:rsidP="00065FF0">
      <w:pPr>
        <w:spacing w:line="360" w:lineRule="auto"/>
        <w:jc w:val="both"/>
      </w:pPr>
      <w:r>
        <w:t>ROI over 3 Years = (($83.25 million - $35 million) / $35 million) * 100</w:t>
      </w:r>
    </w:p>
    <w:p w14:paraId="5A2C562F" w14:textId="77777777" w:rsidR="00065FF0" w:rsidRPr="006C3D53" w:rsidRDefault="00065FF0" w:rsidP="00065FF0">
      <w:pPr>
        <w:spacing w:line="360" w:lineRule="auto"/>
        <w:jc w:val="both"/>
        <w:rPr>
          <w:b/>
          <w:bCs/>
        </w:rPr>
      </w:pPr>
      <w:r w:rsidRPr="006C3D53">
        <w:rPr>
          <w:b/>
          <w:bCs/>
        </w:rPr>
        <w:t>ROI over 3 Years ≈ (137.86%)</w:t>
      </w:r>
    </w:p>
    <w:p w14:paraId="18D9CDCF" w14:textId="2CFE5F70" w:rsidR="00065FF0" w:rsidRPr="00963C95" w:rsidRDefault="00065FF0" w:rsidP="00065FF0">
      <w:pPr>
        <w:spacing w:line="360" w:lineRule="auto"/>
        <w:jc w:val="both"/>
        <w:rPr>
          <w:b/>
          <w:bCs/>
        </w:rPr>
      </w:pPr>
      <w:r w:rsidRPr="00963C95">
        <w:rPr>
          <w:b/>
          <w:bCs/>
        </w:rPr>
        <w:t>ROI over 5 Years</w:t>
      </w:r>
    </w:p>
    <w:p w14:paraId="175F7E15" w14:textId="3BE272FB" w:rsidR="00065FF0" w:rsidRDefault="00065FF0" w:rsidP="00065FF0">
      <w:pPr>
        <w:spacing w:line="360" w:lineRule="auto"/>
        <w:jc w:val="both"/>
      </w:pPr>
      <w:r>
        <w:t>Total Net Benefit (5 Years) = Yearly Net Benefit * 5</w:t>
      </w:r>
    </w:p>
    <w:p w14:paraId="4574BA3B" w14:textId="77777777" w:rsidR="00065FF0" w:rsidRDefault="00065FF0" w:rsidP="00065FF0">
      <w:pPr>
        <w:spacing w:line="360" w:lineRule="auto"/>
        <w:jc w:val="both"/>
      </w:pPr>
      <w:r>
        <w:t>Substituting the values:</w:t>
      </w:r>
    </w:p>
    <w:p w14:paraId="2A1931AB" w14:textId="77777777" w:rsidR="00065FF0" w:rsidRDefault="00065FF0" w:rsidP="00065FF0">
      <w:pPr>
        <w:spacing w:line="360" w:lineRule="auto"/>
        <w:jc w:val="both"/>
      </w:pPr>
      <w:r>
        <w:t>Total Net Benefit (5 Years) = $27.75 million * 5</w:t>
      </w:r>
    </w:p>
    <w:p w14:paraId="5EEBD887" w14:textId="649AFDA3" w:rsidR="00065FF0" w:rsidRDefault="00065FF0" w:rsidP="00065FF0">
      <w:pPr>
        <w:spacing w:line="360" w:lineRule="auto"/>
        <w:jc w:val="both"/>
      </w:pPr>
      <w:r>
        <w:t>Total Net Benefit (5 Years) = $138.75 million</w:t>
      </w:r>
    </w:p>
    <w:p w14:paraId="18DE9C52" w14:textId="77777777" w:rsidR="00065FF0" w:rsidRDefault="00065FF0" w:rsidP="00065FF0">
      <w:pPr>
        <w:spacing w:line="360" w:lineRule="auto"/>
        <w:jc w:val="both"/>
      </w:pPr>
      <w:r>
        <w:t>ROI over 5 Years = ((Total Net Benefit (5 Years) - Total Initial Investment) / Total Initial Investment) * 100</w:t>
      </w:r>
    </w:p>
    <w:p w14:paraId="2F1FB122" w14:textId="77777777" w:rsidR="00065FF0" w:rsidRDefault="00065FF0" w:rsidP="00065FF0">
      <w:pPr>
        <w:spacing w:line="360" w:lineRule="auto"/>
        <w:jc w:val="both"/>
      </w:pPr>
      <w:r>
        <w:t>ROI over 5 Years = (($138.75 million - $35 million) / $35 million) * 100</w:t>
      </w:r>
    </w:p>
    <w:p w14:paraId="6DDB39CB" w14:textId="77777777" w:rsidR="00065FF0" w:rsidRPr="001A3DF0" w:rsidRDefault="00065FF0" w:rsidP="00065FF0">
      <w:pPr>
        <w:spacing w:line="360" w:lineRule="auto"/>
        <w:jc w:val="both"/>
        <w:rPr>
          <w:b/>
          <w:bCs/>
        </w:rPr>
      </w:pPr>
      <w:r w:rsidRPr="001A3DF0">
        <w:rPr>
          <w:b/>
          <w:bCs/>
        </w:rPr>
        <w:lastRenderedPageBreak/>
        <w:t>ROI over 5 Years ≈ (295.71%)</w:t>
      </w:r>
    </w:p>
    <w:p w14:paraId="38C5F0B3" w14:textId="113F1C7E" w:rsidR="00065FF0" w:rsidRDefault="001513AD" w:rsidP="00065FF0">
      <w:pPr>
        <w:spacing w:line="360" w:lineRule="auto"/>
        <w:jc w:val="both"/>
      </w:pPr>
      <w:r w:rsidRPr="001513AD">
        <w:t>Thus, the return on investment (ROI) for Crown Bank of Canada's implementation of flexible loan repayment options is around 79.29% each year, 137.86% over three years, and 295.71% over five years.</w:t>
      </w:r>
    </w:p>
    <w:p w14:paraId="21E14083" w14:textId="3729D600" w:rsidR="00065FF0" w:rsidRDefault="009621CB" w:rsidP="00065FF0">
      <w:pPr>
        <w:spacing w:line="360" w:lineRule="auto"/>
        <w:jc w:val="both"/>
      </w:pPr>
      <w:r w:rsidRPr="009621CB">
        <w:t xml:space="preserve">In fact, the estimated return on investment (ROI) for the use of flexible loan repayment options is a key factor in supporting our choice of solution and assessing its efficacy </w:t>
      </w:r>
      <w:r w:rsidRPr="009621CB">
        <w:t>considering</w:t>
      </w:r>
      <w:r w:rsidRPr="009621CB">
        <w:t xml:space="preserve"> predetermined assessment </w:t>
      </w:r>
      <w:r w:rsidRPr="009621CB">
        <w:t>standards.</w:t>
      </w:r>
    </w:p>
    <w:p w14:paraId="79A4DCDB" w14:textId="3F97BA47" w:rsidR="009621CB" w:rsidRDefault="009621CB" w:rsidP="00065FF0">
      <w:pPr>
        <w:spacing w:line="360" w:lineRule="auto"/>
        <w:jc w:val="both"/>
      </w:pPr>
      <w:r w:rsidRPr="009621CB">
        <w:t>By using this solution, Crown Bank of Canada may expect a remarkable annual return on investment, as seen by the high yearly ROI of around 79.29%. The three-year ROI of around 137.86% demonstrates the solution's continued value and profitability. Additionally, the ROI of about 295.71% over a five-year period emphasizes the chosen strategy's long-term durability and financial benefits.</w:t>
      </w:r>
    </w:p>
    <w:p w14:paraId="25FD4DC3" w14:textId="0E2EDF0B" w:rsidR="00776BAF" w:rsidRDefault="009621CB" w:rsidP="00065FF0">
      <w:pPr>
        <w:spacing w:line="360" w:lineRule="auto"/>
        <w:jc w:val="both"/>
      </w:pPr>
      <w:r w:rsidRPr="009621CB">
        <w:t>This strong return on investment (ROI) illustrates the observable advantages of the flexible loan repayment options, such as higher customer satisfaction, fewer defaults, and a competitive edge. We can successfully illustrate the value proposition of the solution and its compatibility with the bank's strategic objectives by measuring its financial impact.</w:t>
      </w:r>
    </w:p>
    <w:p w14:paraId="528CD99D" w14:textId="3E432300" w:rsidR="00065FF0" w:rsidRPr="00776BAF" w:rsidRDefault="00376481" w:rsidP="00065FF0">
      <w:pPr>
        <w:spacing w:line="360" w:lineRule="auto"/>
        <w:jc w:val="both"/>
        <w:rPr>
          <w:b/>
          <w:bCs/>
        </w:rPr>
      </w:pPr>
      <w:r w:rsidRPr="00376481">
        <w:rPr>
          <w:b/>
          <w:bCs/>
        </w:rPr>
        <w:t>Benefits of Implementing Flexible Loan Repayment Options</w:t>
      </w:r>
    </w:p>
    <w:p w14:paraId="42022E90" w14:textId="09298262" w:rsidR="009621CB" w:rsidRDefault="009621CB" w:rsidP="00065FF0">
      <w:pPr>
        <w:pStyle w:val="ListParagraph"/>
        <w:numPr>
          <w:ilvl w:val="0"/>
          <w:numId w:val="4"/>
        </w:numPr>
        <w:spacing w:line="360" w:lineRule="auto"/>
        <w:jc w:val="both"/>
      </w:pPr>
      <w:r w:rsidRPr="009621CB">
        <w:t>By providing multiple loan repayment choices, the bank shows that it is dedicated to fulfilling the various demands of its clients, which boosts client happiness and loyalty.</w:t>
      </w:r>
    </w:p>
    <w:p w14:paraId="5DB7926C" w14:textId="05D1D499" w:rsidR="009621CB" w:rsidRDefault="009621CB" w:rsidP="00065FF0">
      <w:pPr>
        <w:pStyle w:val="ListParagraph"/>
        <w:numPr>
          <w:ilvl w:val="0"/>
          <w:numId w:val="4"/>
        </w:numPr>
        <w:spacing w:line="360" w:lineRule="auto"/>
        <w:jc w:val="both"/>
      </w:pPr>
      <w:r w:rsidRPr="009621CB">
        <w:t>Giving borrowers flexible periods for repayment can enable them to better manage their money, which lowers the chance of defaults and the bank's ensuing losses.</w:t>
      </w:r>
    </w:p>
    <w:p w14:paraId="39304515" w14:textId="6031A37B" w:rsidR="009621CB" w:rsidRDefault="009621CB" w:rsidP="00065FF0">
      <w:pPr>
        <w:pStyle w:val="ListParagraph"/>
        <w:numPr>
          <w:ilvl w:val="0"/>
          <w:numId w:val="4"/>
        </w:numPr>
        <w:spacing w:line="360" w:lineRule="auto"/>
        <w:jc w:val="both"/>
      </w:pPr>
      <w:r w:rsidRPr="009621CB">
        <w:t>By setting Crown Bank apart from other banks, the introduction of Flexible Loan Repayment Options can enhance the bank's market standing and draw in new clients.</w:t>
      </w:r>
    </w:p>
    <w:p w14:paraId="06F9114F" w14:textId="194D8C5C" w:rsidR="009621CB" w:rsidRDefault="009621CB" w:rsidP="00065FF0">
      <w:pPr>
        <w:pStyle w:val="ListParagraph"/>
        <w:numPr>
          <w:ilvl w:val="0"/>
          <w:numId w:val="4"/>
        </w:numPr>
        <w:spacing w:line="360" w:lineRule="auto"/>
        <w:jc w:val="both"/>
      </w:pPr>
      <w:r w:rsidRPr="009621CB">
        <w:t>Over time, the bank can achieve revenue growth and long-term financial sustainability by decreasing defaults and keeping a larger client base.</w:t>
      </w:r>
    </w:p>
    <w:p w14:paraId="1F5E77A9" w14:textId="4FF14908" w:rsidR="00065FF0" w:rsidRPr="006B0893" w:rsidRDefault="006B0893" w:rsidP="00065FF0">
      <w:pPr>
        <w:spacing w:line="360" w:lineRule="auto"/>
        <w:jc w:val="both"/>
        <w:rPr>
          <w:b/>
          <w:bCs/>
        </w:rPr>
      </w:pPr>
      <w:r w:rsidRPr="006B0893">
        <w:rPr>
          <w:b/>
          <w:bCs/>
        </w:rPr>
        <w:lastRenderedPageBreak/>
        <w:t>Considerations and Challenges</w:t>
      </w:r>
    </w:p>
    <w:p w14:paraId="37582165" w14:textId="4D40633E" w:rsidR="009621CB" w:rsidRDefault="009621CB" w:rsidP="00065FF0">
      <w:pPr>
        <w:pStyle w:val="ListParagraph"/>
        <w:numPr>
          <w:ilvl w:val="0"/>
          <w:numId w:val="5"/>
        </w:numPr>
        <w:spacing w:line="360" w:lineRule="auto"/>
        <w:jc w:val="both"/>
      </w:pPr>
      <w:r w:rsidRPr="009621CB">
        <w:t>The bank's financial resources may be challenged in the short term due to the significant initial expenditure needed to create and operate the new loan repayment process.</w:t>
      </w:r>
    </w:p>
    <w:p w14:paraId="726C04B9" w14:textId="61A4440D" w:rsidR="009621CB" w:rsidRDefault="009621CB" w:rsidP="00065FF0">
      <w:pPr>
        <w:pStyle w:val="ListParagraph"/>
        <w:numPr>
          <w:ilvl w:val="0"/>
          <w:numId w:val="5"/>
        </w:numPr>
        <w:spacing w:line="360" w:lineRule="auto"/>
        <w:jc w:val="both"/>
      </w:pPr>
      <w:r w:rsidRPr="009621CB">
        <w:t>It takes time and money to educate employees and clients about the new repayment choices, and there may be difficulties in smoothly handling the shift.</w:t>
      </w:r>
    </w:p>
    <w:p w14:paraId="29F64593" w14:textId="3AAA5C69" w:rsidR="009621CB" w:rsidRDefault="009621CB" w:rsidP="00065FF0">
      <w:pPr>
        <w:pStyle w:val="ListParagraph"/>
        <w:numPr>
          <w:ilvl w:val="0"/>
          <w:numId w:val="5"/>
        </w:numPr>
        <w:spacing w:line="360" w:lineRule="auto"/>
        <w:jc w:val="both"/>
      </w:pPr>
      <w:r w:rsidRPr="009621CB">
        <w:t>Robust risk management measures are required since providing various repayment alternatives may raise the likelihood of borrowers misusing the system or failing to meet their obligations to the system.</w:t>
      </w:r>
    </w:p>
    <w:p w14:paraId="2A738E50" w14:textId="73FB6A07" w:rsidR="009621CB" w:rsidRDefault="009621CB" w:rsidP="00065FF0">
      <w:pPr>
        <w:pStyle w:val="ListParagraph"/>
        <w:numPr>
          <w:ilvl w:val="0"/>
          <w:numId w:val="5"/>
        </w:numPr>
        <w:spacing w:line="360" w:lineRule="auto"/>
        <w:jc w:val="both"/>
      </w:pPr>
      <w:r w:rsidRPr="009621CB">
        <w:t>In response to Crown Bank's offering, other banks could launch more alluring or comparable loan packages, which might eventually reduce the bank's competitive edge.</w:t>
      </w:r>
    </w:p>
    <w:p w14:paraId="4D289FF5" w14:textId="3245FA01" w:rsidR="009621CB" w:rsidRDefault="009621CB" w:rsidP="00065FF0">
      <w:pPr>
        <w:pStyle w:val="ListParagraph"/>
        <w:numPr>
          <w:ilvl w:val="0"/>
          <w:numId w:val="5"/>
        </w:numPr>
        <w:spacing w:line="360" w:lineRule="auto"/>
        <w:jc w:val="both"/>
      </w:pPr>
      <w:r w:rsidRPr="009621CB">
        <w:t>It is imperative to guarantee adherence to regulatory mandates that dictate loan products and payback schedules, which may need continuous supervision and modification to maintain compliance.</w:t>
      </w:r>
    </w:p>
    <w:p w14:paraId="1AB66D05" w14:textId="24AB9D3F" w:rsidR="00065FF0" w:rsidRDefault="009621CB" w:rsidP="00065FF0">
      <w:pPr>
        <w:spacing w:line="360" w:lineRule="auto"/>
        <w:jc w:val="both"/>
      </w:pPr>
      <w:r w:rsidRPr="009621CB">
        <w:t>By assessing these variables, the bank may minimize risks and make well-informed decisions that optimize the advantages of the selected course of action.</w:t>
      </w:r>
    </w:p>
    <w:sectPr w:rsidR="0006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20D7"/>
    <w:multiLevelType w:val="hybridMultilevel"/>
    <w:tmpl w:val="FF620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D67ED"/>
    <w:multiLevelType w:val="hybridMultilevel"/>
    <w:tmpl w:val="78C0D7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40287"/>
    <w:multiLevelType w:val="hybridMultilevel"/>
    <w:tmpl w:val="3536E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664A7"/>
    <w:multiLevelType w:val="hybridMultilevel"/>
    <w:tmpl w:val="2C74E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8337D"/>
    <w:multiLevelType w:val="hybridMultilevel"/>
    <w:tmpl w:val="24CE6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33562"/>
    <w:multiLevelType w:val="hybridMultilevel"/>
    <w:tmpl w:val="5FB8B2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86674"/>
    <w:multiLevelType w:val="hybridMultilevel"/>
    <w:tmpl w:val="5F663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E5D8F"/>
    <w:multiLevelType w:val="hybridMultilevel"/>
    <w:tmpl w:val="FB36D0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701713">
    <w:abstractNumId w:val="0"/>
  </w:num>
  <w:num w:numId="2" w16cid:durableId="583414939">
    <w:abstractNumId w:val="4"/>
  </w:num>
  <w:num w:numId="3" w16cid:durableId="1850752159">
    <w:abstractNumId w:val="6"/>
  </w:num>
  <w:num w:numId="4" w16cid:durableId="1558399309">
    <w:abstractNumId w:val="3"/>
  </w:num>
  <w:num w:numId="5" w16cid:durableId="294338261">
    <w:abstractNumId w:val="2"/>
  </w:num>
  <w:num w:numId="6" w16cid:durableId="466824215">
    <w:abstractNumId w:val="1"/>
  </w:num>
  <w:num w:numId="7" w16cid:durableId="1789663225">
    <w:abstractNumId w:val="5"/>
  </w:num>
  <w:num w:numId="8" w16cid:durableId="1621301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F0"/>
    <w:rsid w:val="00006ADB"/>
    <w:rsid w:val="00031989"/>
    <w:rsid w:val="00065FF0"/>
    <w:rsid w:val="000A0620"/>
    <w:rsid w:val="00150F53"/>
    <w:rsid w:val="001513AD"/>
    <w:rsid w:val="001717BA"/>
    <w:rsid w:val="001A3DF0"/>
    <w:rsid w:val="00376481"/>
    <w:rsid w:val="005370A5"/>
    <w:rsid w:val="00547E2E"/>
    <w:rsid w:val="005F423C"/>
    <w:rsid w:val="006B0893"/>
    <w:rsid w:val="006C3D53"/>
    <w:rsid w:val="006D7BC0"/>
    <w:rsid w:val="00776BAF"/>
    <w:rsid w:val="009621CB"/>
    <w:rsid w:val="00963C95"/>
    <w:rsid w:val="00AA26C6"/>
    <w:rsid w:val="00E970B5"/>
    <w:rsid w:val="00F006C8"/>
    <w:rsid w:val="00F0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B5AB"/>
  <w15:chartTrackingRefBased/>
  <w15:docId w15:val="{B2A06E8F-AC0D-4B7C-8CB6-3B8966D3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Krishnasamy</dc:creator>
  <cp:keywords/>
  <dc:description/>
  <cp:lastModifiedBy>Shubham Kiritkumar Thanki</cp:lastModifiedBy>
  <cp:revision>21</cp:revision>
  <dcterms:created xsi:type="dcterms:W3CDTF">2024-04-01T21:51:00Z</dcterms:created>
  <dcterms:modified xsi:type="dcterms:W3CDTF">2024-04-04T02:41:00Z</dcterms:modified>
</cp:coreProperties>
</file>