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952500" cy="952500"/>
            <wp:effectExtent t="0" r="0" b="0" l="0"/>
            <wp:docPr id="1" name="logo" descr="Wolf AI logo" title="Wolf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60" w:before="160"/>
      </w:pPr>
      <w:r>
        <w:rPr>
          <w:rFonts w:ascii="Arial" w:cs="Arial" w:eastAsia="Arial" w:hAnsi="Arial"/>
          <w:b/>
          <w:bCs/>
          <w:color w:val="0A0807"/>
          <w:sz w:val="64"/>
          <w:szCs w:val="64"/>
        </w:rPr>
        <w:t xml:space="preserve">AI Quote Engine</w:t>
      </w:r>
    </w:p>
    <w:p>
      <w:pPr>
        <w:spacing w:after="280"/>
      </w:pPr>
      <w:r>
        <w:rPr>
          <w:rFonts w:ascii="Arial" w:cs="Arial" w:eastAsia="Arial" w:hAnsi="Arial"/>
          <w:b w:val="false"/>
          <w:bCs w:val="false"/>
          <w:color w:val="0A0807"/>
          <w:sz w:val="28"/>
          <w:szCs w:val="28"/>
        </w:rPr>
        <w:t xml:space="preserve">Every enquiry returns a drafted quote within minutes of arrival.</w:t>
      </w:r>
    </w:p>
    <w:p>
      <w:pPr>
        <w:pBdr>
          <w:bottom w:val="single" w:color="F0883B" w:sz="8" w:space="1"/>
        </w:pBdr>
        <w:spacing w:after="280" w:before="80"/>
      </w:pPr>
    </w:p>
    <w:p>
      <w:pPr>
        <w:tabs>
          <w:tab w:val="right" w:pos="9026"/>
        </w:tabs>
        <w:spacing w:after="120"/>
      </w:pPr>
      <w:r>
        <w:rPr>
          <w:rFonts w:ascii="Arial" w:cs="Arial" w:eastAsia="Arial" w:hAnsi="Arial"/>
          <w:color w:val="6B6B6B"/>
          <w:sz w:val="22"/>
          <w:szCs w:val="22"/>
        </w:rPr>
        <w:t xml:space="preserve">Prepared for: </w:t>
      </w:r>
      <w:r>
        <w:rPr>
          <w:rFonts w:ascii="Arial" w:cs="Arial" w:eastAsia="Arial" w:hAnsi="Arial"/>
          <w:b/>
          <w:bCs/>
          <w:color w:val="F0883B"/>
          <w:sz w:val="22"/>
          <w:szCs w:val="22"/>
        </w:rPr>
        <w:t xml:space="preserve">[ Business name ]</w:t>
      </w:r>
      <w:r>
        <w:rPr>
          <w:rFonts w:ascii="Arial" w:cs="Arial" w:eastAsia="Arial" w:hAnsi="Arial"/>
          <w:color w:val="6B6B6B"/>
          <w:sz w:val="22"/>
          <w:szCs w:val="22"/>
        </w:rPr>
        <w:t xml:space="preserve">	Date: </w:t>
      </w:r>
      <w:r>
        <w:rPr>
          <w:rFonts w:ascii="Arial" w:cs="Arial" w:eastAsia="Arial" w:hAnsi="Arial"/>
          <w:b/>
          <w:bCs/>
          <w:color w:val="F0883B"/>
          <w:sz w:val="22"/>
          <w:szCs w:val="22"/>
        </w:rPr>
        <w:t xml:space="preserve">[ DD Month YYYY ]</w:t>
      </w:r>
    </w:p>
    <w:p>
      <w:pPr>
        <w:pStyle w:val="Heading1"/>
        <w:spacing w:after="200" w:before="480"/>
      </w:pPr>
      <w:r>
        <w:rPr>
          <w:rFonts w:ascii="Arial" w:cs="Arial" w:eastAsia="Arial" w:hAnsi="Arial"/>
          <w:b/>
          <w:bCs/>
          <w:color w:val="0A0807"/>
          <w:sz w:val="36"/>
          <w:szCs w:val="36"/>
        </w:rPr>
        <w:t xml:space="preserve">Why this exists</w:t>
      </w:r>
    </w:p>
    <w:p>
      <w:pPr>
        <w:spacing w:after="140"/>
      </w:pPr>
      <w:r>
        <w:rPr>
          <w:rFonts w:ascii="Arial" w:cs="Arial" w:eastAsia="Arial" w:hAnsi="Arial"/>
          <w:color w:val="0A0807"/>
          <w:sz w:val="22"/>
          <w:szCs w:val="22"/>
        </w:rPr>
        <w:t xml:space="preserve">In service work, the operator who responds in two minutes wins the enquiry. The operator who responds in four days loses it. Response speed is the actual competition, and it has been for years.</w:t>
      </w:r>
    </w:p>
    <w:p>
      <w:pPr>
        <w:spacing w:after="140"/>
      </w:pPr>
      <w:r>
        <w:rPr>
          <w:rFonts w:ascii="Arial" w:cs="Arial" w:eastAsia="Arial" w:hAnsi="Arial"/>
          <w:color w:val="0A0807"/>
          <w:sz w:val="22"/>
          <w:szCs w:val="22"/>
        </w:rPr>
        <w:t xml:space="preserve">Closing the response-speed gap has historically required one of two things: more staff, or longer operating hours. Neither suits the operators Wolf AI works with. Hiring is expensive. Longer hours come out of the operator's life.</w:t>
      </w:r>
    </w:p>
    <w:p>
      <w:pPr>
        <w:spacing w:after="80"/>
      </w:pPr>
      <w:r>
        <w:rPr>
          <w:rFonts w:ascii="Arial" w:cs="Arial" w:eastAsia="Arial" w:hAnsi="Arial"/>
        </w:rPr>
        <w:t xml:space="preserve"/>
      </w:r>
    </w:p>
    <w:p>
      <w:pPr>
        <w:spacing w:after="140"/>
      </w:pPr>
      <w:r>
        <w:rPr>
          <w:rFonts w:ascii="Arial" w:cs="Arial" w:eastAsia="Arial" w:hAnsi="Arial"/>
          <w:b/>
          <w:bCs/>
          <w:color w:val="0A0807"/>
          <w:sz w:val="22"/>
          <w:szCs w:val="22"/>
        </w:rPr>
        <w:t xml:space="preserve">Wolf AI builds systems that make response speed automatic. The AI Quote Engine is the first of them.</w:t>
      </w:r>
    </w:p>
    <w:p>
      <w:pPr>
        <w:spacing w:after="80"/>
      </w:pPr>
      <w:r>
        <w:rPr>
          <w:rFonts w:ascii="Arial" w:cs="Arial" w:eastAsia="Arial" w:hAnsi="Arial"/>
        </w:rPr>
        <w:t xml:space="preserve"/>
      </w:r>
    </w:p>
    <w:p>
      <w:pPr>
        <w:spacing w:after="140"/>
      </w:pPr>
      <w:r>
        <w:rPr>
          <w:rFonts w:ascii="Arial" w:cs="Arial" w:eastAsia="Arial" w:hAnsi="Arial"/>
          <w:color w:val="0A0807"/>
          <w:sz w:val="22"/>
          <w:szCs w:val="22"/>
        </w:rPr>
        <w:t xml:space="preserve">An inbound enquiry returns a drafted quote on the operator's phone within minutes of arrival. The operator approves with a single action. The customer receives a branded PDF and booking link before any competitor has opened the same enquiry.</w:t>
      </w:r>
    </w:p>
    <w:p>
      <w:pPr>
        <w:spacing w:after="80"/>
      </w:pPr>
      <w:r>
        <w:rPr>
          <w:rFonts w:ascii="Arial" w:cs="Arial" w:eastAsia="Arial" w:hAnsi="Arial"/>
        </w:rPr>
        <w:t xml:space="preserve"/>
      </w:r>
    </w:p>
    <w:p>
      <w:pPr>
        <w:spacing w:after="140"/>
      </w:pPr>
      <w:r>
        <w:rPr>
          <w:rFonts w:ascii="Arial" w:cs="Arial" w:eastAsia="Arial" w:hAnsi="Arial"/>
          <w:i/>
          <w:iCs/>
          <w:color w:val="0A0807"/>
          <w:sz w:val="22"/>
          <w:szCs w:val="22"/>
        </w:rPr>
        <w:t xml:space="preserve">What we believe: a good operator should not lose work to a faster admin team. The system removes the admin from the equation.</w:t>
      </w:r>
    </w:p>
    <w:p>
      <w:pPr>
        <w:pStyle w:val="Heading1"/>
        <w:spacing w:after="200" w:before="480"/>
      </w:pPr>
      <w:r>
        <w:rPr>
          <w:rFonts w:ascii="Arial" w:cs="Arial" w:eastAsia="Arial" w:hAnsi="Arial"/>
          <w:b/>
          <w:bCs/>
          <w:color w:val="0A0807"/>
          <w:sz w:val="36"/>
          <w:szCs w:val="36"/>
        </w:rPr>
        <w:t xml:space="preserve">What you get</w:t>
      </w:r>
    </w:p>
    <w:p>
      <w:pPr>
        <w:spacing w:after="140"/>
      </w:pPr>
      <w:r>
        <w:rPr>
          <w:rFonts w:ascii="Arial" w:cs="Arial" w:eastAsia="Arial" w:hAnsi="Arial"/>
          <w:color w:val="0A0807"/>
          <w:sz w:val="22"/>
          <w:szCs w:val="22"/>
        </w:rPr>
        <w:t xml:space="preserve">The AI Quote Engine produces finished, branded quotes from photographs and addresses. Every tier includes the complete feature set. Tier selection is based on monthly quote capacity only.</w:t>
      </w:r>
    </w:p>
    <w:p>
      <w:pPr>
        <w:spacing w:after="80"/>
      </w:pPr>
      <w:r>
        <w:rPr>
          <w:rFonts w:ascii="Arial" w:cs="Arial" w:eastAsia="Arial" w:hAnsi="Arial"/>
        </w:rPr>
        <w:t xml:space="preserve"/>
      </w:r>
    </w:p>
    <w:p>
      <w:pPr>
        <w:spacing w:after="140"/>
      </w:pPr>
      <w:r>
        <w:rPr>
          <w:rFonts w:ascii="Arial" w:cs="Arial" w:eastAsia="Arial" w:hAnsi="Arial"/>
          <w:b/>
          <w:bCs/>
          <w:color w:val="0A0807"/>
          <w:sz w:val="22"/>
          <w:szCs w:val="22"/>
        </w:rPr>
        <w:t xml:space="preserve">Every package includes:</w:t>
      </w:r>
    </w:p>
    <w:p>
      <w:pPr>
        <w:pStyle w:val="ListParagraph"/>
        <w:numPr>
          <w:ilvl w:val="0"/>
          <w:numId w:val="2"/>
        </w:numPr>
        <w:spacing w:after="70"/>
      </w:pPr>
      <w:r>
        <w:rPr>
          <w:rFonts w:ascii="Arial" w:cs="Arial" w:eastAsia="Arial" w:hAnsi="Arial"/>
          <w:color w:val="0A0807"/>
          <w:sz w:val="22"/>
          <w:szCs w:val="22"/>
        </w:rPr>
        <w:t xml:space="preserve">Quotes drafted in your pricing. Trained on 20 of your historical jobs. Accuracy held within ±10%.</w:t>
      </w:r>
    </w:p>
    <w:p>
      <w:pPr>
        <w:pStyle w:val="ListParagraph"/>
        <w:numPr>
          <w:ilvl w:val="0"/>
          <w:numId w:val="2"/>
        </w:numPr>
        <w:spacing w:after="70"/>
      </w:pPr>
      <w:r>
        <w:rPr>
          <w:rFonts w:ascii="Arial" w:cs="Arial" w:eastAsia="Arial" w:hAnsi="Arial"/>
          <w:color w:val="0A0807"/>
          <w:sz w:val="22"/>
          <w:szCs w:val="22"/>
        </w:rPr>
        <w:t xml:space="preserve">Operator approval workflow on every quote. Send, Edit, or Schedule site visit. Nothing leaves without your action.</w:t>
      </w:r>
    </w:p>
    <w:p>
      <w:pPr>
        <w:pStyle w:val="ListParagraph"/>
        <w:numPr>
          <w:ilvl w:val="0"/>
          <w:numId w:val="2"/>
        </w:numPr>
        <w:spacing w:after="70"/>
      </w:pPr>
      <w:r>
        <w:rPr>
          <w:rFonts w:ascii="Arial" w:cs="Arial" w:eastAsia="Arial" w:hAnsi="Arial"/>
          <w:color w:val="0A0807"/>
          <w:sz w:val="22"/>
          <w:szCs w:val="22"/>
        </w:rPr>
        <w:t xml:space="preserve">Branded PDF in your logo, colours, terms, and contact details.</w:t>
      </w:r>
    </w:p>
    <w:p>
      <w:pPr>
        <w:pStyle w:val="ListParagraph"/>
        <w:numPr>
          <w:ilvl w:val="0"/>
          <w:numId w:val="2"/>
        </w:numPr>
        <w:spacing w:after="70"/>
      </w:pPr>
      <w:r>
        <w:rPr>
          <w:rFonts w:ascii="Arial" w:cs="Arial" w:eastAsia="Arial" w:hAnsi="Arial"/>
          <w:color w:val="0A0807"/>
          <w:sz w:val="22"/>
          <w:szCs w:val="22"/>
        </w:rPr>
        <w:t xml:space="preserve">Dedicated Australian quoting number. All inbound enquiries route through it.</w:t>
      </w:r>
    </w:p>
    <w:p>
      <w:pPr>
        <w:pStyle w:val="ListParagraph"/>
        <w:numPr>
          <w:ilvl w:val="0"/>
          <w:numId w:val="2"/>
        </w:numPr>
        <w:spacing w:after="70"/>
      </w:pPr>
      <w:r>
        <w:rPr>
          <w:rFonts w:ascii="Arial" w:cs="Arial" w:eastAsia="Arial" w:hAnsi="Arial"/>
          <w:color w:val="0A0807"/>
          <w:sz w:val="22"/>
          <w:szCs w:val="22"/>
        </w:rPr>
        <w:t xml:space="preserve">Outbound coverage of your service area. Properties identified, decision-maker contacts attached.</w:t>
      </w:r>
    </w:p>
    <w:p>
      <w:pPr>
        <w:pStyle w:val="ListParagraph"/>
        <w:numPr>
          <w:ilvl w:val="0"/>
          <w:numId w:val="2"/>
        </w:numPr>
        <w:spacing w:after="70"/>
      </w:pPr>
      <w:r>
        <w:rPr>
          <w:rFonts w:ascii="Arial" w:cs="Arial" w:eastAsia="Arial" w:hAnsi="Arial"/>
          <w:color w:val="0A0807"/>
          <w:sz w:val="22"/>
          <w:szCs w:val="22"/>
        </w:rPr>
        <w:t xml:space="preserve">Email and SMS delivery to every customer, with a booking link inside the quote.</w:t>
      </w:r>
    </w:p>
    <w:p>
      <w:pPr>
        <w:pStyle w:val="ListParagraph"/>
        <w:numPr>
          <w:ilvl w:val="0"/>
          <w:numId w:val="2"/>
        </w:numPr>
        <w:spacing w:after="70"/>
      </w:pPr>
      <w:r>
        <w:rPr>
          <w:rFonts w:ascii="Arial" w:cs="Arial" w:eastAsia="Arial" w:hAnsi="Arial"/>
          <w:color w:val="0A0807"/>
          <w:sz w:val="22"/>
          <w:szCs w:val="22"/>
        </w:rPr>
        <w:t xml:space="preserve">Conversion dashboard. Status tracked per quote: opened, viewed, accepted, cold.</w:t>
      </w:r>
    </w:p>
    <w:p>
      <w:pPr>
        <w:pStyle w:val="ListParagraph"/>
        <w:numPr>
          <w:ilvl w:val="0"/>
          <w:numId w:val="2"/>
        </w:numPr>
        <w:spacing w:after="70"/>
      </w:pPr>
      <w:r>
        <w:rPr>
          <w:rFonts w:ascii="Arial" w:cs="Arial" w:eastAsia="Arial" w:hAnsi="Arial"/>
          <w:color w:val="0A0807"/>
          <w:sz w:val="22"/>
          <w:szCs w:val="22"/>
        </w:rPr>
        <w:t xml:space="preserve">Unlimited template, pricing, and service updates throughout the engagement.</w:t>
      </w:r>
    </w:p>
    <w:p>
      <w:pPr>
        <w:pStyle w:val="ListParagraph"/>
        <w:numPr>
          <w:ilvl w:val="0"/>
          <w:numId w:val="2"/>
        </w:numPr>
        <w:spacing w:after="70"/>
      </w:pPr>
      <w:r>
        <w:rPr>
          <w:rFonts w:ascii="Arial" w:cs="Arial" w:eastAsia="Arial" w:hAnsi="Arial"/>
          <w:color w:val="0A0807"/>
          <w:sz w:val="22"/>
          <w:szCs w:val="22"/>
        </w:rPr>
        <w:t xml:space="preserve">30 days of post-launch tuning to stabilise performance against real quote data.</w:t>
      </w:r>
    </w:p>
    <w:p>
      <w:pPr>
        <w:spacing w:after="80"/>
      </w:pPr>
      <w:r>
        <w:rPr>
          <w:rFonts w:ascii="Arial" w:cs="Arial" w:eastAsia="Arial" w:hAnsi="Arial"/>
        </w:rPr>
        <w:t xml:space="preserve"/>
      </w:r>
    </w:p>
    <w:p>
      <w:pPr>
        <w:spacing w:after="140"/>
      </w:pPr>
      <w:r>
        <w:rPr>
          <w:rFonts w:ascii="Arial" w:cs="Arial" w:eastAsia="Arial" w:hAnsi="Arial"/>
          <w:b/>
          <w:bCs/>
          <w:color w:val="0A0807"/>
          <w:sz w:val="22"/>
          <w:szCs w:val="22"/>
        </w:rPr>
        <w:t xml:space="preserve">Select your package by monthly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
            </w:r>
          </w:p>
        </w:tc>
        <w:tc>
          <w:tcPr>
            <w:tcW w:type="dxa" w:w="234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Starter</w:t>
            </w:r>
          </w:p>
        </w:tc>
        <w:tc>
          <w:tcPr>
            <w:tcW w:type="dxa" w:w="234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Growth</w:t>
            </w:r>
          </w:p>
        </w:tc>
        <w:tc>
          <w:tcPr>
            <w:tcW w:type="dxa" w:w="234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Scale</w:t>
            </w:r>
          </w:p>
        </w:tc>
      </w:tr>
      <w:tr>
        <w:tc>
          <w:tcPr>
            <w:tcW w:type="dxa" w:w="234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Quotes per month</w:t>
            </w:r>
          </w:p>
        </w:tc>
        <w:tc>
          <w:tcPr>
            <w:tcW w:type="dxa" w:w="234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Up to 50</w:t>
            </w:r>
          </w:p>
        </w:tc>
        <w:tc>
          <w:tcPr>
            <w:tcW w:type="dxa" w:w="234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Up to 200</w:t>
            </w:r>
          </w:p>
        </w:tc>
        <w:tc>
          <w:tcPr>
            <w:tcW w:type="dxa" w:w="234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Up to 500</w:t>
            </w:r>
          </w:p>
        </w:tc>
      </w:tr>
      <w:tr>
        <w:tc>
          <w:tcPr>
            <w:tcW w:type="dxa" w:w="234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Operator profile</w:t>
            </w:r>
          </w:p>
        </w:tc>
        <w:tc>
          <w:tcPr>
            <w:tcW w:type="dxa" w:w="234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Solo or two-crew</w:t>
            </w:r>
          </w:p>
        </w:tc>
        <w:tc>
          <w:tcPr>
            <w:tcW w:type="dxa" w:w="234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Established, peak season</w:t>
            </w:r>
          </w:p>
        </w:tc>
        <w:tc>
          <w:tcPr>
            <w:tcW w:type="dxa" w:w="234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Multi-crew, multi-region</w:t>
            </w:r>
          </w:p>
        </w:tc>
      </w:tr>
      <w:tr>
        <w:tc>
          <w:tcPr>
            <w:tcW w:type="dxa" w:w="2340"/>
            <w:tcBorders>
              <w:top w:val="single" w:color="D9D9D9" w:sz="4"/>
              <w:left w:val="single" w:color="D9D9D9" w:sz="4"/>
              <w:bottom w:val="single" w:color="D9D9D9" w:sz="4"/>
              <w:right w:val="single" w:color="D9D9D9" w:sz="4"/>
            </w:tcBorders>
            <w:shd w:fill="FFF3E0"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Setup (one-off)</w:t>
            </w:r>
          </w:p>
        </w:tc>
        <w:tc>
          <w:tcPr>
            <w:tcW w:type="dxa" w:w="2340"/>
            <w:tcBorders>
              <w:top w:val="single" w:color="D9D9D9" w:sz="4"/>
              <w:left w:val="single" w:color="D9D9D9" w:sz="4"/>
              <w:bottom w:val="single" w:color="D9D9D9" w:sz="4"/>
              <w:right w:val="single" w:color="D9D9D9" w:sz="4"/>
            </w:tcBorders>
            <w:shd w:fill="FFF3E0"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$1,299</w:t>
            </w:r>
          </w:p>
        </w:tc>
        <w:tc>
          <w:tcPr>
            <w:tcW w:type="dxa" w:w="2340"/>
            <w:tcBorders>
              <w:top w:val="single" w:color="D9D9D9" w:sz="4"/>
              <w:left w:val="single" w:color="D9D9D9" w:sz="4"/>
              <w:bottom w:val="single" w:color="D9D9D9" w:sz="4"/>
              <w:right w:val="single" w:color="D9D9D9" w:sz="4"/>
            </w:tcBorders>
            <w:shd w:fill="FFF3E0"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$1,499</w:t>
            </w:r>
          </w:p>
        </w:tc>
        <w:tc>
          <w:tcPr>
            <w:tcW w:type="dxa" w:w="2340"/>
            <w:tcBorders>
              <w:top w:val="single" w:color="D9D9D9" w:sz="4"/>
              <w:left w:val="single" w:color="D9D9D9" w:sz="4"/>
              <w:bottom w:val="single" w:color="D9D9D9" w:sz="4"/>
              <w:right w:val="single" w:color="D9D9D9" w:sz="4"/>
            </w:tcBorders>
            <w:shd w:fill="FFF3E0"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$1,699</w:t>
            </w:r>
          </w:p>
        </w:tc>
      </w:tr>
      <w:tr>
        <w:tc>
          <w:tcPr>
            <w:tcW w:type="dxa" w:w="2340"/>
            <w:tcBorders>
              <w:top w:val="single" w:color="D9D9D9" w:sz="4"/>
              <w:left w:val="single" w:color="D9D9D9" w:sz="4"/>
              <w:bottom w:val="single" w:color="D9D9D9" w:sz="4"/>
              <w:right w:val="single" w:color="D9D9D9" w:sz="4"/>
            </w:tcBorders>
            <w:shd w:fill="FFD54F"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Monthly</w:t>
            </w:r>
          </w:p>
        </w:tc>
        <w:tc>
          <w:tcPr>
            <w:tcW w:type="dxa" w:w="2340"/>
            <w:tcBorders>
              <w:top w:val="single" w:color="D9D9D9" w:sz="4"/>
              <w:left w:val="single" w:color="D9D9D9" w:sz="4"/>
              <w:bottom w:val="single" w:color="D9D9D9" w:sz="4"/>
              <w:right w:val="single" w:color="D9D9D9" w:sz="4"/>
            </w:tcBorders>
            <w:shd w:fill="FFD54F"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$199</w:t>
            </w:r>
          </w:p>
        </w:tc>
        <w:tc>
          <w:tcPr>
            <w:tcW w:type="dxa" w:w="2340"/>
            <w:tcBorders>
              <w:top w:val="single" w:color="D9D9D9" w:sz="4"/>
              <w:left w:val="single" w:color="D9D9D9" w:sz="4"/>
              <w:bottom w:val="single" w:color="D9D9D9" w:sz="4"/>
              <w:right w:val="single" w:color="D9D9D9" w:sz="4"/>
            </w:tcBorders>
            <w:shd w:fill="FFD54F"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$299</w:t>
            </w:r>
          </w:p>
        </w:tc>
        <w:tc>
          <w:tcPr>
            <w:tcW w:type="dxa" w:w="2340"/>
            <w:tcBorders>
              <w:top w:val="single" w:color="D9D9D9" w:sz="4"/>
              <w:left w:val="single" w:color="D9D9D9" w:sz="4"/>
              <w:bottom w:val="single" w:color="D9D9D9" w:sz="4"/>
              <w:right w:val="single" w:color="D9D9D9" w:sz="4"/>
            </w:tcBorders>
            <w:shd w:fill="FFD54F"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$499</w:t>
            </w:r>
          </w:p>
        </w:tc>
      </w:tr>
    </w:tbl>
    <w:p>
      <w:pPr>
        <w:spacing w:after="80"/>
      </w:pPr>
      <w:r>
        <w:rPr>
          <w:rFonts w:ascii="Arial" w:cs="Arial" w:eastAsia="Arial" w:hAnsi="Arial"/>
        </w:rPr>
        <w:t xml:space="preserve"/>
      </w:r>
    </w:p>
    <w:p>
      <w:pPr>
        <w:spacing w:after="120"/>
      </w:pPr>
      <w:r>
        <w:rPr>
          <w:rFonts w:ascii="Arial" w:cs="Arial" w:eastAsia="Arial" w:hAnsi="Arial"/>
          <w:i/>
          <w:iCs/>
          <w:color w:val="6B6B6B"/>
          <w:sz w:val="20"/>
          <w:szCs w:val="20"/>
        </w:rPr>
        <w:t xml:space="preserve">All prices AUD, exclude GST. Setup fee split 50% on signing, 50% on go-live. Month-to-month after the first 30 days. No lock-in, no exit fee.</w:t>
      </w:r>
    </w:p>
    <w:p>
      <w:pPr>
        <w:pStyle w:val="Heading1"/>
        <w:spacing w:after="200" w:before="480"/>
      </w:pPr>
      <w:r>
        <w:rPr>
          <w:rFonts w:ascii="Arial" w:cs="Arial" w:eastAsia="Arial" w:hAnsi="Arial"/>
          <w:b/>
          <w:bCs/>
          <w:color w:val="0A0807"/>
          <w:sz w:val="36"/>
          <w:szCs w:val="36"/>
        </w:rPr>
        <w:t xml:space="preserve">What we need from you</w:t>
      </w:r>
    </w:p>
    <w:p>
      <w:pPr>
        <w:spacing w:after="140"/>
      </w:pPr>
      <w:r>
        <w:rPr>
          <w:rFonts w:ascii="Arial" w:cs="Arial" w:eastAsia="Arial" w:hAnsi="Arial"/>
          <w:color w:val="0A0807"/>
          <w:sz w:val="22"/>
          <w:szCs w:val="22"/>
        </w:rPr>
        <w:t xml:space="preserve">All operator inputs are collected on Day 1. The build clock starts when these inputs are received.</w:t>
      </w:r>
    </w:p>
    <w:p>
      <w:pPr>
        <w:pStyle w:val="ListParagraph"/>
        <w:numPr>
          <w:ilvl w:val="0"/>
          <w:numId w:val="2"/>
        </w:numPr>
        <w:spacing w:after="70"/>
      </w:pPr>
      <w:r>
        <w:rPr>
          <w:rFonts w:ascii="Arial" w:cs="Arial" w:eastAsia="Arial" w:hAnsi="Arial"/>
          <w:color w:val="0A0807"/>
          <w:sz w:val="22"/>
          <w:szCs w:val="22"/>
        </w:rPr>
        <w:t xml:space="preserve">20 of your past quotes. PDF, photo, spreadsheet, or screenshot. Any format accepted.</w:t>
      </w:r>
    </w:p>
    <w:p>
      <w:pPr>
        <w:pStyle w:val="ListParagraph"/>
        <w:numPr>
          <w:ilvl w:val="0"/>
          <w:numId w:val="2"/>
        </w:numPr>
        <w:spacing w:after="70"/>
      </w:pPr>
      <w:r>
        <w:rPr>
          <w:rFonts w:ascii="Arial" w:cs="Arial" w:eastAsia="Arial" w:hAnsi="Arial"/>
          <w:color w:val="0A0807"/>
          <w:sz w:val="22"/>
          <w:szCs w:val="22"/>
        </w:rPr>
        <w:t xml:space="preserve">Services list and pricing rules. Base rates, minimums, surcharges, and discount conditions.</w:t>
      </w:r>
    </w:p>
    <w:p>
      <w:pPr>
        <w:pStyle w:val="ListParagraph"/>
        <w:numPr>
          <w:ilvl w:val="0"/>
          <w:numId w:val="2"/>
        </w:numPr>
        <w:spacing w:after="70"/>
      </w:pPr>
      <w:r>
        <w:rPr>
          <w:rFonts w:ascii="Arial" w:cs="Arial" w:eastAsia="Arial" w:hAnsi="Arial"/>
          <w:color w:val="0A0807"/>
          <w:sz w:val="22"/>
          <w:szCs w:val="22"/>
        </w:rPr>
        <w:t xml:space="preserve">Brand assets. Logo, colours, ABN, and any standard terms required on quotes.</w:t>
      </w:r>
    </w:p>
    <w:p>
      <w:pPr>
        <w:pStyle w:val="ListParagraph"/>
        <w:numPr>
          <w:ilvl w:val="0"/>
          <w:numId w:val="2"/>
        </w:numPr>
        <w:spacing w:after="70"/>
      </w:pPr>
      <w:r>
        <w:rPr>
          <w:rFonts w:ascii="Arial" w:cs="Arial" w:eastAsia="Arial" w:hAnsi="Arial"/>
          <w:color w:val="0A0807"/>
          <w:sz w:val="22"/>
          <w:szCs w:val="22"/>
        </w:rPr>
        <w:t xml:space="preserve">Operator phone number. Approval cards deliver to this number.</w:t>
      </w:r>
    </w:p>
    <w:p>
      <w:pPr>
        <w:pStyle w:val="ListParagraph"/>
        <w:numPr>
          <w:ilvl w:val="0"/>
          <w:numId w:val="2"/>
        </w:numPr>
        <w:spacing w:after="70"/>
      </w:pPr>
      <w:r>
        <w:rPr>
          <w:rFonts w:ascii="Arial" w:cs="Arial" w:eastAsia="Arial" w:hAnsi="Arial"/>
          <w:color w:val="0A0807"/>
          <w:sz w:val="22"/>
          <w:szCs w:val="22"/>
        </w:rPr>
        <w:t xml:space="preserve">Customer reply email address. Inbound replies from customers route to this inbox.</w:t>
      </w:r>
    </w:p>
    <w:p>
      <w:pPr>
        <w:pStyle w:val="ListParagraph"/>
        <w:numPr>
          <w:ilvl w:val="0"/>
          <w:numId w:val="2"/>
        </w:numPr>
        <w:spacing w:after="70"/>
      </w:pPr>
      <w:r>
        <w:rPr>
          <w:rFonts w:ascii="Arial" w:cs="Arial" w:eastAsia="Arial" w:hAnsi="Arial"/>
          <w:color w:val="0A0807"/>
          <w:sz w:val="22"/>
          <w:szCs w:val="22"/>
        </w:rPr>
        <w:t xml:space="preserve">30 minutes on Day 6. Walkthrough call and template sign-off before go-live.</w:t>
      </w:r>
    </w:p>
    <w:p>
      <w:pPr>
        <w:spacing w:after="80"/>
      </w:pPr>
      <w:r>
        <w:rPr>
          <w:rFonts w:ascii="Arial" w:cs="Arial" w:eastAsia="Arial" w:hAnsi="Arial"/>
        </w:rPr>
        <w:t xml:space="preserve"/>
      </w:r>
    </w:p>
    <w:p>
      <w:pPr>
        <w:spacing w:after="140"/>
      </w:pPr>
      <w:r>
        <w:rPr>
          <w:rFonts w:ascii="Arial" w:cs="Arial" w:eastAsia="Arial" w:hAnsi="Arial"/>
          <w:color w:val="0A0807"/>
          <w:sz w:val="22"/>
          <w:szCs w:val="22"/>
        </w:rPr>
        <w:t xml:space="preserve">No accounting system access required. No internal team onboarding. No additional software for the operator to install or learn.</w:t>
      </w:r>
    </w:p>
    <w:p>
      <w:pPr>
        <w:pStyle w:val="Heading1"/>
        <w:spacing w:after="200" w:before="480"/>
      </w:pPr>
      <w:r>
        <w:rPr>
          <w:rFonts w:ascii="Arial" w:cs="Arial" w:eastAsia="Arial" w:hAnsi="Arial"/>
          <w:b/>
          <w:bCs/>
          <w:color w:val="0A0807"/>
          <w:sz w:val="36"/>
          <w:szCs w:val="36"/>
        </w:rPr>
        <w:t xml:space="preserve">What we'll do</w:t>
      </w:r>
    </w:p>
    <w:p>
      <w:pPr>
        <w:spacing w:after="140"/>
      </w:pPr>
      <w:r>
        <w:rPr>
          <w:rFonts w:ascii="Arial" w:cs="Arial" w:eastAsia="Arial" w:hAnsi="Arial"/>
          <w:color w:val="0A0807"/>
          <w:sz w:val="22"/>
          <w:szCs w:val="22"/>
        </w:rPr>
        <w:t xml:space="preserve">The build, deployment, and ongoing operation are delivered end to end.</w:t>
      </w:r>
    </w:p>
    <w:p>
      <w:pPr>
        <w:spacing w:after="80"/>
      </w:pPr>
      <w:r>
        <w:rPr>
          <w:rFonts w:ascii="Arial" w:cs="Arial" w:eastAsia="Arial" w:hAnsi="Arial"/>
        </w:rPr>
        <w:t xml:space="preserve"/>
      </w:r>
    </w:p>
    <w:p>
      <w:pPr>
        <w:pStyle w:val="ListParagraph"/>
        <w:numPr>
          <w:ilvl w:val="0"/>
          <w:numId w:val="2"/>
        </w:numPr>
        <w:spacing w:after="70"/>
      </w:pPr>
      <w:r>
        <w:rPr>
          <w:rFonts w:ascii="Arial" w:cs="Arial" w:eastAsia="Arial" w:hAnsi="Arial"/>
          <w:color w:val="0A0807"/>
          <w:sz w:val="22"/>
          <w:szCs w:val="22"/>
        </w:rPr>
        <w:t xml:space="preserve">Engine build tailored to your industry, service area, and historical pricing.</w:t>
      </w:r>
    </w:p>
    <w:p>
      <w:pPr>
        <w:pStyle w:val="ListParagraph"/>
        <w:numPr>
          <w:ilvl w:val="0"/>
          <w:numId w:val="2"/>
        </w:numPr>
        <w:spacing w:after="70"/>
      </w:pPr>
      <w:r>
        <w:rPr>
          <w:rFonts w:ascii="Arial" w:cs="Arial" w:eastAsia="Arial" w:hAnsi="Arial"/>
          <w:color w:val="0A0807"/>
          <w:sz w:val="22"/>
          <w:szCs w:val="22"/>
        </w:rPr>
        <w:t xml:space="preserve">Pricing logic calibration, back-tested against your historical data until accuracy lands inside ±10%.</w:t>
      </w:r>
    </w:p>
    <w:p>
      <w:pPr>
        <w:pStyle w:val="ListParagraph"/>
        <w:numPr>
          <w:ilvl w:val="0"/>
          <w:numId w:val="2"/>
        </w:numPr>
        <w:spacing w:after="70"/>
      </w:pPr>
      <w:r>
        <w:rPr>
          <w:rFonts w:ascii="Arial" w:cs="Arial" w:eastAsia="Arial" w:hAnsi="Arial"/>
          <w:color w:val="0A0807"/>
          <w:sz w:val="22"/>
          <w:szCs w:val="22"/>
        </w:rPr>
        <w:t xml:space="preserve">Dedicated Australian quoting number provisioned and connected.</w:t>
      </w:r>
    </w:p>
    <w:p>
      <w:pPr>
        <w:pStyle w:val="ListParagraph"/>
        <w:numPr>
          <w:ilvl w:val="0"/>
          <w:numId w:val="2"/>
        </w:numPr>
        <w:spacing w:after="70"/>
      </w:pPr>
      <w:r>
        <w:rPr>
          <w:rFonts w:ascii="Arial" w:cs="Arial" w:eastAsia="Arial" w:hAnsi="Arial"/>
          <w:color w:val="0A0807"/>
          <w:sz w:val="22"/>
          <w:szCs w:val="22"/>
        </w:rPr>
        <w:t xml:space="preserve">Pre-launch testing. Ten dummy enquiries processed end-to-end. Edge cases handled before customer-facing deployment.</w:t>
      </w:r>
    </w:p>
    <w:p>
      <w:pPr>
        <w:pStyle w:val="ListParagraph"/>
        <w:numPr>
          <w:ilvl w:val="0"/>
          <w:numId w:val="2"/>
        </w:numPr>
        <w:spacing w:after="70"/>
      </w:pPr>
      <w:r>
        <w:rPr>
          <w:rFonts w:ascii="Arial" w:cs="Arial" w:eastAsia="Arial" w:hAnsi="Arial"/>
          <w:color w:val="0A0807"/>
          <w:sz w:val="22"/>
          <w:szCs w:val="22"/>
        </w:rPr>
        <w:t xml:space="preserve">Operator handover on Day 7. Dashboard walkthrough, approval-card demonstration, override controls.</w:t>
      </w:r>
    </w:p>
    <w:p>
      <w:pPr>
        <w:pStyle w:val="ListParagraph"/>
        <w:numPr>
          <w:ilvl w:val="0"/>
          <w:numId w:val="2"/>
        </w:numPr>
        <w:spacing w:after="70"/>
      </w:pPr>
      <w:r>
        <w:rPr>
          <w:rFonts w:ascii="Arial" w:cs="Arial" w:eastAsia="Arial" w:hAnsi="Arial"/>
          <w:color w:val="0A0807"/>
          <w:sz w:val="22"/>
          <w:szCs w:val="22"/>
        </w:rPr>
        <w:t xml:space="preserve">Ongoing operation and maintenance. No additional fees for tuning, template updates, or pricing changes.</w:t>
      </w:r>
    </w:p>
    <w:p>
      <w:pPr>
        <w:pStyle w:val="ListParagraph"/>
        <w:numPr>
          <w:ilvl w:val="0"/>
          <w:numId w:val="2"/>
        </w:numPr>
        <w:spacing w:after="70"/>
      </w:pPr>
      <w:r>
        <w:rPr>
          <w:rFonts w:ascii="Arial" w:cs="Arial" w:eastAsia="Arial" w:hAnsi="Arial"/>
          <w:color w:val="0A0807"/>
          <w:sz w:val="22"/>
          <w:szCs w:val="22"/>
        </w:rPr>
        <w:t xml:space="preserve">Active monitoring. Issues detected and resolved without operator intervention.</w:t>
      </w:r>
    </w:p>
    <w:p>
      <w:pPr>
        <w:pStyle w:val="Heading1"/>
        <w:spacing w:after="200" w:before="480"/>
      </w:pPr>
      <w:r>
        <w:rPr>
          <w:rFonts w:ascii="Arial" w:cs="Arial" w:eastAsia="Arial" w:hAnsi="Arial"/>
          <w:b/>
          <w:bCs/>
          <w:color w:val="0A0807"/>
          <w:sz w:val="36"/>
          <w:szCs w:val="36"/>
        </w:rPr>
        <w:t xml:space="preserve">Timeframe for setup</w:t>
      </w:r>
    </w:p>
    <w:p>
      <w:pPr>
        <w:spacing w:after="140"/>
      </w:pPr>
      <w:r>
        <w:rPr>
          <w:rFonts w:ascii="Arial" w:cs="Arial" w:eastAsia="Arial" w:hAnsi="Arial"/>
          <w:color w:val="0A0807"/>
          <w:sz w:val="22"/>
          <w:szCs w:val="22"/>
        </w:rPr>
        <w:t xml:space="preserve">Seven days from the moment inputs are received to the first live quote going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Day</w:t>
            </w:r>
          </w:p>
        </w:tc>
        <w:tc>
          <w:tcPr>
            <w:tcW w:type="dxa" w:w="786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Activity</w:t>
            </w:r>
          </w:p>
        </w:tc>
      </w:tr>
      <w:tr>
        <w:tc>
          <w:tcPr>
            <w:tcW w:type="dxa" w:w="15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Day 1</w:t>
            </w:r>
          </w:p>
        </w:tc>
        <w:tc>
          <w:tcPr>
            <w:tcW w:type="dxa" w:w="78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Kickoff call. Past quotes, brand assets, and pricing rules received. Dedicated quoting number provisioned.</w:t>
            </w:r>
          </w:p>
        </w:tc>
      </w:tr>
      <w:tr>
        <w:tc>
          <w:tcPr>
            <w:tcW w:type="dxa" w:w="15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Day 2</w:t>
            </w:r>
          </w:p>
        </w:tc>
        <w:tc>
          <w:tcPr>
            <w:tcW w:type="dxa" w:w="78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Vision model tuned to your specific industry and property types.</w:t>
            </w:r>
          </w:p>
        </w:tc>
      </w:tr>
      <w:tr>
        <w:tc>
          <w:tcPr>
            <w:tcW w:type="dxa" w:w="15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Day 3</w:t>
            </w:r>
          </w:p>
        </w:tc>
        <w:tc>
          <w:tcPr>
            <w:tcW w:type="dxa" w:w="78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Pricing logic built and back-tested. Accuracy validated within ±10% of your historical pricing.</w:t>
            </w:r>
          </w:p>
        </w:tc>
      </w:tr>
      <w:tr>
        <w:tc>
          <w:tcPr>
            <w:tcW w:type="dxa" w:w="15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Day 4</w:t>
            </w:r>
          </w:p>
        </w:tc>
        <w:tc>
          <w:tcPr>
            <w:tcW w:type="dxa" w:w="78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Branded quote template completed. Approval-card workflow wired. Booking link embedded. Conversion dashboard configured.</w:t>
            </w:r>
          </w:p>
        </w:tc>
      </w:tr>
      <w:tr>
        <w:tc>
          <w:tcPr>
            <w:tcW w:type="dxa" w:w="15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Day 5</w:t>
            </w:r>
          </w:p>
        </w:tc>
        <w:tc>
          <w:tcPr>
            <w:tcW w:type="dxa" w:w="78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End-to-end testing. Ten dummy enquiries processed through the full flow. Edge cases handled.</w:t>
            </w:r>
          </w:p>
        </w:tc>
      </w:tr>
      <w:tr>
        <w:tc>
          <w:tcPr>
            <w:tcW w:type="dxa" w:w="15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Day 6</w:t>
            </w:r>
          </w:p>
        </w:tc>
        <w:tc>
          <w:tcPr>
            <w:tcW w:type="dxa" w:w="78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Operator walkthrough. Dashboard, approval card, and override controls demonstrated. Quote template signed off.</w:t>
            </w:r>
          </w:p>
        </w:tc>
      </w:tr>
      <w:tr>
        <w:tc>
          <w:tcPr>
            <w:tcW w:type="dxa" w:w="15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Day 7</w:t>
            </w:r>
          </w:p>
        </w:tc>
        <w:tc>
          <w:tcPr>
            <w:tcW w:type="dxa" w:w="78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Go-live. First live quote sends. 50% balance invoiced. 30 days of post-launch tuning begins.</w:t>
            </w:r>
          </w:p>
        </w:tc>
      </w:tr>
    </w:tbl>
    <w:p>
      <w:pPr>
        <w:pStyle w:val="Heading1"/>
        <w:spacing w:after="200" w:before="480"/>
      </w:pPr>
      <w:r>
        <w:rPr>
          <w:rFonts w:ascii="Arial" w:cs="Arial" w:eastAsia="Arial" w:hAnsi="Arial"/>
          <w:b/>
          <w:bCs/>
          <w:color w:val="0A0807"/>
          <w:sz w:val="36"/>
          <w:szCs w:val="36"/>
        </w:rPr>
        <w:t xml:space="preserve">Ongoing monthly cost</w:t>
      </w:r>
    </w:p>
    <w:p>
      <w:pPr>
        <w:spacing w:after="140"/>
      </w:pPr>
      <w:r>
        <w:rPr>
          <w:rFonts w:ascii="Arial" w:cs="Arial" w:eastAsia="Arial" w:hAnsi="Arial"/>
          <w:color w:val="0A0807"/>
          <w:sz w:val="22"/>
          <w:szCs w:val="22"/>
        </w:rPr>
        <w:t xml:space="preserve">Single flat fee per tier. All operating costs are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Package</w:t>
            </w:r>
          </w:p>
        </w:tc>
        <w:tc>
          <w:tcPr>
            <w:tcW w:type="dxa" w:w="280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Monthly</w:t>
            </w:r>
          </w:p>
        </w:tc>
        <w:tc>
          <w:tcPr>
            <w:tcW w:type="dxa" w:w="3760"/>
            <w:tcBorders>
              <w:top w:val="single" w:color="D9D9D9" w:sz="4"/>
              <w:left w:val="single" w:color="D9D9D9" w:sz="4"/>
              <w:bottom w:val="single" w:color="D9D9D9" w:sz="4"/>
              <w:right w:val="single" w:color="D9D9D9" w:sz="4"/>
            </w:tcBorders>
            <w:shd w:fill="1F3A2E" w:val="clear"/>
            <w:tcMar>
              <w:top w:type="dxa" w:w="140"/>
              <w:left w:type="dxa" w:w="180"/>
              <w:bottom w:type="dxa" w:w="140"/>
              <w:right w:type="dxa" w:w="180"/>
            </w:tcMar>
          </w:tcPr>
          <w:p>
            <w:pPr>
              <w:jc w:val="left"/>
            </w:pPr>
            <w:r>
              <w:rPr>
                <w:rFonts w:ascii="Arial" w:cs="Arial" w:eastAsia="Arial" w:hAnsi="Arial"/>
                <w:b/>
                <w:bCs/>
                <w:color w:val="FFFFFF"/>
                <w:sz w:val="22"/>
                <w:szCs w:val="22"/>
              </w:rPr>
              <w:t xml:space="preserve">Capacity included</w:t>
            </w:r>
          </w:p>
        </w:tc>
      </w:tr>
      <w:tr>
        <w:tc>
          <w:tcPr>
            <w:tcW w:type="dxa" w:w="28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Starter</w:t>
            </w:r>
          </w:p>
        </w:tc>
        <w:tc>
          <w:tcPr>
            <w:tcW w:type="dxa" w:w="2800"/>
            <w:tcBorders>
              <w:top w:val="single" w:color="D9D9D9" w:sz="4"/>
              <w:left w:val="single" w:color="D9D9D9" w:sz="4"/>
              <w:bottom w:val="single" w:color="D9D9D9" w:sz="4"/>
              <w:right w:val="single" w:color="D9D9D9" w:sz="4"/>
            </w:tcBorders>
            <w:shd w:fill="FFD54F"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$199 / mo</w:t>
            </w:r>
          </w:p>
        </w:tc>
        <w:tc>
          <w:tcPr>
            <w:tcW w:type="dxa" w:w="37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Up to 50 quotes per month, fully managed</w:t>
            </w:r>
          </w:p>
        </w:tc>
      </w:tr>
      <w:tr>
        <w:tc>
          <w:tcPr>
            <w:tcW w:type="dxa" w:w="28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Growth</w:t>
            </w:r>
          </w:p>
        </w:tc>
        <w:tc>
          <w:tcPr>
            <w:tcW w:type="dxa" w:w="2800"/>
            <w:tcBorders>
              <w:top w:val="single" w:color="D9D9D9" w:sz="4"/>
              <w:left w:val="single" w:color="D9D9D9" w:sz="4"/>
              <w:bottom w:val="single" w:color="D9D9D9" w:sz="4"/>
              <w:right w:val="single" w:color="D9D9D9" w:sz="4"/>
            </w:tcBorders>
            <w:shd w:fill="FFD54F"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$299 / mo</w:t>
            </w:r>
          </w:p>
        </w:tc>
        <w:tc>
          <w:tcPr>
            <w:tcW w:type="dxa" w:w="37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Up to 200 quotes per month, fully managed</w:t>
            </w:r>
          </w:p>
        </w:tc>
      </w:tr>
      <w:tr>
        <w:tc>
          <w:tcPr>
            <w:tcW w:type="dxa" w:w="280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b/>
                <w:bCs/>
                <w:color w:val="0A0807"/>
                <w:sz w:val="22"/>
                <w:szCs w:val="22"/>
              </w:rPr>
              <w:t xml:space="preserve">Scale</w:t>
            </w:r>
          </w:p>
        </w:tc>
        <w:tc>
          <w:tcPr>
            <w:tcW w:type="dxa" w:w="2800"/>
            <w:tcBorders>
              <w:top w:val="single" w:color="D9D9D9" w:sz="4"/>
              <w:left w:val="single" w:color="D9D9D9" w:sz="4"/>
              <w:bottom w:val="single" w:color="D9D9D9" w:sz="4"/>
              <w:right w:val="single" w:color="D9D9D9" w:sz="4"/>
            </w:tcBorders>
            <w:shd w:fill="FFD54F" w:val="clear"/>
            <w:tcMar>
              <w:top w:type="dxa" w:w="140"/>
              <w:left w:type="dxa" w:w="180"/>
              <w:bottom w:type="dxa" w:w="140"/>
              <w:right w:type="dxa" w:w="180"/>
            </w:tcMar>
          </w:tcPr>
          <w:p>
            <w:pPr>
              <w:jc w:val="left"/>
            </w:pPr>
            <w:r>
              <w:rPr>
                <w:rFonts w:ascii="Arial" w:cs="Arial" w:eastAsia="Arial" w:hAnsi="Arial"/>
                <w:b/>
                <w:bCs/>
                <w:color w:val="0A0807"/>
                <w:sz w:val="22"/>
                <w:szCs w:val="22"/>
              </w:rPr>
              <w:t xml:space="preserve">$499 / mo</w:t>
            </w:r>
          </w:p>
        </w:tc>
        <w:tc>
          <w:tcPr>
            <w:tcW w:type="dxa" w:w="3760"/>
            <w:tcBorders>
              <w:top w:val="single" w:color="D9D9D9" w:sz="4"/>
              <w:left w:val="single" w:color="D9D9D9" w:sz="4"/>
              <w:bottom w:val="single" w:color="D9D9D9" w:sz="4"/>
              <w:right w:val="single" w:color="D9D9D9" w:sz="4"/>
            </w:tcBorders>
            <w:tcMar>
              <w:top w:type="dxa" w:w="140"/>
              <w:left w:type="dxa" w:w="180"/>
              <w:bottom w:type="dxa" w:w="140"/>
              <w:right w:type="dxa" w:w="180"/>
            </w:tcMar>
          </w:tcPr>
          <w:p>
            <w:pPr>
              <w:jc w:val="left"/>
            </w:pPr>
            <w:r>
              <w:rPr>
                <w:rFonts w:ascii="Arial" w:cs="Arial" w:eastAsia="Arial" w:hAnsi="Arial"/>
                <w:color w:val="0A0807"/>
                <w:sz w:val="22"/>
                <w:szCs w:val="22"/>
              </w:rPr>
              <w:t xml:space="preserve">Up to 500 quotes per month, fully managed</w:t>
            </w:r>
          </w:p>
        </w:tc>
      </w:tr>
    </w:tbl>
    <w:p>
      <w:pPr>
        <w:spacing w:after="80"/>
      </w:pPr>
      <w:r>
        <w:rPr>
          <w:rFonts w:ascii="Arial" w:cs="Arial" w:eastAsia="Arial" w:hAnsi="Arial"/>
        </w:rPr>
        <w:t xml:space="preserve"/>
      </w:r>
    </w:p>
    <w:p>
      <w:pPr>
        <w:pStyle w:val="ListParagraph"/>
        <w:numPr>
          <w:ilvl w:val="0"/>
          <w:numId w:val="2"/>
        </w:numPr>
        <w:spacing w:after="70"/>
      </w:pPr>
      <w:r>
        <w:rPr>
          <w:rFonts w:ascii="Arial" w:cs="Arial" w:eastAsia="Arial" w:hAnsi="Arial"/>
          <w:color w:val="0A0807"/>
          <w:sz w:val="22"/>
          <w:szCs w:val="22"/>
        </w:rPr>
        <w:t xml:space="preserve">No per-quote charges. The monthly fee is the only invoiced amount.</w:t>
      </w:r>
    </w:p>
    <w:p>
      <w:pPr>
        <w:pStyle w:val="ListParagraph"/>
        <w:numPr>
          <w:ilvl w:val="0"/>
          <w:numId w:val="2"/>
        </w:numPr>
        <w:spacing w:after="70"/>
      </w:pPr>
      <w:r>
        <w:rPr>
          <w:rFonts w:ascii="Arial" w:cs="Arial" w:eastAsia="Arial" w:hAnsi="Arial"/>
          <w:color w:val="0A0807"/>
          <w:sz w:val="22"/>
          <w:szCs w:val="22"/>
        </w:rPr>
        <w:t xml:space="preserve">No usage fees. All SMS, email, scans, drafts, and dashboard operations are included.</w:t>
      </w:r>
    </w:p>
    <w:p>
      <w:pPr>
        <w:pStyle w:val="ListParagraph"/>
        <w:numPr>
          <w:ilvl w:val="0"/>
          <w:numId w:val="2"/>
        </w:numPr>
        <w:spacing w:after="70"/>
      </w:pPr>
      <w:r>
        <w:rPr>
          <w:rFonts w:ascii="Arial" w:cs="Arial" w:eastAsia="Arial" w:hAnsi="Arial"/>
          <w:color w:val="0A0807"/>
          <w:sz w:val="22"/>
          <w:szCs w:val="22"/>
        </w:rPr>
        <w:t xml:space="preserve">Unlimited template and pricing updates throughout the engagement.</w:t>
      </w:r>
    </w:p>
    <w:p>
      <w:pPr>
        <w:pStyle w:val="ListParagraph"/>
        <w:numPr>
          <w:ilvl w:val="0"/>
          <w:numId w:val="2"/>
        </w:numPr>
        <w:spacing w:after="70"/>
      </w:pPr>
      <w:r>
        <w:rPr>
          <w:rFonts w:ascii="Arial" w:cs="Arial" w:eastAsia="Arial" w:hAnsi="Arial"/>
          <w:color w:val="0A0807"/>
          <w:sz w:val="22"/>
          <w:szCs w:val="22"/>
        </w:rPr>
        <w:t xml:space="preserve">Overflow rolls forward. Capacity exceeded in one month rolls to the next.</w:t>
      </w:r>
    </w:p>
    <w:p>
      <w:pPr>
        <w:pStyle w:val="ListParagraph"/>
        <w:numPr>
          <w:ilvl w:val="0"/>
          <w:numId w:val="2"/>
        </w:numPr>
        <w:spacing w:after="70"/>
      </w:pPr>
      <w:r>
        <w:rPr>
          <w:rFonts w:ascii="Arial" w:cs="Arial" w:eastAsia="Arial" w:hAnsi="Arial"/>
          <w:color w:val="0A0807"/>
          <w:sz w:val="22"/>
          <w:szCs w:val="22"/>
        </w:rPr>
        <w:t xml:space="preserve">Month-to-month terms. One month's notice to cancel. No lock-in, no exit fee.</w:t>
      </w:r>
    </w:p>
    <w:p>
      <w:pPr>
        <w:pStyle w:val="Heading1"/>
        <w:spacing w:after="200" w:before="480"/>
      </w:pPr>
      <w:r>
        <w:rPr>
          <w:rFonts w:ascii="Arial" w:cs="Arial" w:eastAsia="Arial" w:hAnsi="Arial"/>
          <w:b/>
          <w:bCs/>
          <w:color w:val="0A0807"/>
          <w:sz w:val="36"/>
          <w:szCs w:val="36"/>
        </w:rPr>
        <w:t xml:space="preserve">Next step</w:t>
      </w:r>
    </w:p>
    <w:p>
      <w:pPr>
        <w:spacing w:after="140"/>
      </w:pPr>
      <w:r>
        <w:rPr>
          <w:rFonts w:ascii="Arial" w:cs="Arial" w:eastAsia="Arial" w:hAnsi="Arial"/>
          <w:color w:val="0A0807"/>
          <w:sz w:val="22"/>
          <w:szCs w:val="22"/>
        </w:rPr>
        <w:t xml:space="preserve">Confirm the selected tier via wolf-ai.com.au. A 30-minute scope call can be booked through the same address if preferred.</w:t>
      </w:r>
    </w:p>
    <w:p>
      <w:pPr>
        <w:spacing w:after="80"/>
      </w:pPr>
      <w:r>
        <w:rPr>
          <w:rFonts w:ascii="Arial" w:cs="Arial" w:eastAsia="Arial" w:hAnsi="Arial"/>
        </w:rPr>
        <w:t xml:space="preserve"/>
      </w:r>
    </w:p>
    <w:p>
      <w:pPr>
        <w:spacing w:after="140"/>
      </w:pPr>
      <w:r>
        <w:rPr>
          <w:rFonts w:ascii="Arial" w:cs="Arial" w:eastAsia="Arial" w:hAnsi="Arial"/>
          <w:b/>
          <w:bCs/>
          <w:color w:val="0A0807"/>
          <w:sz w:val="22"/>
          <w:szCs w:val="22"/>
        </w:rPr>
        <w:t xml:space="preserve">Within seven days of inputs being received, the first live quote sends.</w:t>
      </w:r>
    </w:p>
    <w:p>
      <w:pPr>
        <w:spacing w:after="80"/>
      </w:pPr>
      <w:r>
        <w:rPr>
          <w:rFonts w:ascii="Arial" w:cs="Arial" w:eastAsia="Arial" w:hAnsi="Arial"/>
        </w:rPr>
        <w:t xml:space="preserve"/>
      </w:r>
    </w:p>
    <w:p>
      <w:pPr>
        <w:spacing w:after="140"/>
      </w:pPr>
      <w:r>
        <w:rPr>
          <w:rFonts w:ascii="Arial" w:cs="Arial" w:eastAsia="Arial" w:hAnsi="Arial"/>
          <w:b/>
          <w:bCs/>
          <w:color w:val="0A0807"/>
          <w:sz w:val="22"/>
          <w:szCs w:val="22"/>
        </w:rPr>
        <w:t xml:space="preserve">Wolf AI</w:t>
      </w:r>
    </w:p>
    <w:p>
      <w:pPr>
        <w:spacing w:after="140"/>
      </w:pPr>
      <w:r>
        <w:rPr>
          <w:rFonts w:ascii="Arial" w:cs="Arial" w:eastAsia="Arial" w:hAnsi="Arial"/>
          <w:color w:val="0A0807"/>
          <w:sz w:val="22"/>
          <w:szCs w:val="22"/>
        </w:rPr>
        <w:t xml:space="preserve">wolf-ai.com.au</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i/>
        <w:iCs/>
        <w:color w:val="6B6B6B"/>
        <w:sz w:val="16"/>
        <w:szCs w:val="16"/>
      </w:rPr>
      <w:t xml:space="preserve">AI Quote Engine proposal</w:t>
    </w:r>
    <w:r>
      <w:rPr>
        <w:rFonts w:ascii="Arial" w:cs="Arial" w:eastAsia="Arial" w:hAnsi="Arial"/>
      </w:rPr>
      <w:t xml:space="preserve">	</w:t>
    </w:r>
    <w:r>
      <w:rPr>
        <w:rFonts w:ascii="Arial" w:cs="Arial" w:eastAsia="Arial" w:hAnsi="Arial"/>
        <w:color w:val="6B6B6B"/>
        <w:sz w:val="16"/>
        <w:szCs w:val="16"/>
      </w:rPr>
      <w:t xml:space="preserve">Page </w:t>
    </w:r>
    <w:r>
      <w:rPr>
        <w:rFonts w:ascii="Arial" w:cs="Arial" w:eastAsia="Arial" w:hAnsi="Arial"/>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tabs>
        <w:tab w:val="right" w:pos="9026"/>
      </w:tabs>
    </w:pPr>
    <w:r>
      <w:rPr>
        <w:rFonts w:ascii="Arial" w:cs="Arial" w:eastAsia="Arial" w:hAnsi="Arial"/>
        <w:i/>
        <w:iCs/>
        <w:color w:val="6B6B6B"/>
        <w:sz w:val="18"/>
        <w:szCs w:val="18"/>
      </w:rPr>
      <w:t xml:space="preserve">Wolf AI</w:t>
    </w:r>
    <w:r>
      <w:rPr>
        <w:rFonts w:ascii="Arial" w:cs="Arial" w:eastAsia="Arial" w:hAnsi="Arial"/>
      </w:rPr>
      <w:t xml:space="preserve">	</w:t>
    </w:r>
    <w:r>
      <w:rPr>
        <w:rFonts w:ascii="Arial" w:cs="Arial" w:eastAsia="Arial" w:hAnsi="Arial"/>
        <w:i/>
        <w:iCs/>
        <w:color w:val="6B6B6B"/>
        <w:sz w:val="18"/>
        <w:szCs w:val="18"/>
      </w:rPr>
      <w:t xml:space="preserve">wolf-ai.com.au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A0807"/>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5f639b74478582630a84609533a9de5713687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2026-05-16T19:03:16.605Z</dcterms:created>
  <dcterms:modified xsi:type="dcterms:W3CDTF">2026-05-16T19:03:16.605Z</dcterms:modified>
</cp:coreProperties>
</file>

<file path=docProps/custom.xml><?xml version="1.0" encoding="utf-8"?>
<Properties xmlns="http://schemas.openxmlformats.org/officeDocument/2006/custom-properties" xmlns:vt="http://schemas.openxmlformats.org/officeDocument/2006/docPropsVTypes"/>
</file>