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2 Report – Data Preprocessing for Fraud Detection System</w:t>
      </w:r>
    </w:p>
    <w:p>
      <w:pPr>
        <w:pStyle w:val="Heading2"/>
      </w:pPr>
      <w:r>
        <w:t>1. Introduction</w:t>
      </w:r>
    </w:p>
    <w:p>
      <w:r>
        <w:t>This document summarizes Phase 2 of the fraud detection project, which focuses on data preprocessing. The objective of this phase is to convert the cleaned dataset obtained after EDA into a machine-learning-ready format while preserving fraud-related patterns and avoiding data leakage.</w:t>
      </w:r>
    </w:p>
    <w:p>
      <w:pPr>
        <w:pStyle w:val="Heading2"/>
      </w:pPr>
      <w:r>
        <w:t>2. Inputs from Exploratory Data Analysis (EDA)</w:t>
      </w:r>
    </w:p>
    <w:p>
      <w:r>
        <w:t>EDA confirmed that the dataset is clean, realistic, and highly imbalanced. Key fraud indicators identified include transaction amount, time-based behavior, device and network usage, transaction types, and sender–receiver characteristics.</w:t>
      </w:r>
    </w:p>
    <w:p>
      <w:pPr>
        <w:pStyle w:val="Heading2"/>
      </w:pPr>
      <w:r>
        <w:t>3. Column Selection and Structural Cleanup</w:t>
      </w:r>
    </w:p>
    <w:p>
      <w:r>
        <w:t>A separate preprocessing copy of the dataset was created to protect the raw data. The following columns were removed:</w:t>
        <w:br/>
        <w:br/>
        <w:t>- transaction id: unique identifier with no predictive value</w:t>
        <w:br/>
        <w:t>- timestamp: redundant since engineered time features were already available</w:t>
        <w:br/>
        <w:br/>
        <w:t>After removal, the dataset contained 15 relevant columns including the target variable.</w:t>
      </w:r>
    </w:p>
    <w:p>
      <w:pPr>
        <w:pStyle w:val="Heading2"/>
      </w:pPr>
      <w:r>
        <w:t>4. Encoding of Categorical Variables</w:t>
      </w:r>
    </w:p>
    <w:p>
      <w:r>
        <w:t>The dataset contained multiple categorical features such as transaction type, merchant category, age groups, bank details, device type, network type, and day of week. One-hot encoding was applied to all categorical variables to convert them into numerical form suitable for machine learning.</w:t>
        <w:br/>
        <w:br/>
        <w:t>Label encoding was avoided to prevent introducing artificial ordinal relationships. As a result of one-hot encoding, the feature count increased from 15 to 59, which is expected for fraud detection datasets.</w:t>
      </w:r>
    </w:p>
    <w:p>
      <w:pPr>
        <w:pStyle w:val="Heading2"/>
      </w:pPr>
      <w:r>
        <w:t>5. Feature Scaling</w:t>
      </w:r>
    </w:p>
    <w:p>
      <w:r>
        <w:t>Transaction amount showed a wide numeric range and strong skewness. Standard scaling was applied exclusively to the amount feature to ensure it did not dominate model learning. Binary and categorical features were not scaled.</w:t>
      </w:r>
    </w:p>
    <w:p>
      <w:pPr>
        <w:pStyle w:val="Heading2"/>
      </w:pPr>
      <w:r>
        <w:t>6. Train–Test Split Strategy</w:t>
      </w:r>
    </w:p>
    <w:p>
      <w:r>
        <w:t>The dataset was split into training and testing sets using an 80:20 ratio. Stratified sampling based on the fraud_flag variable was used to preserve the original fraud distribution in both training and testing datasets.</w:t>
      </w:r>
    </w:p>
    <w:p>
      <w:pPr>
        <w:pStyle w:val="Heading2"/>
      </w:pPr>
      <w:r>
        <w:t>7. Handling Class Imbalance</w:t>
      </w:r>
    </w:p>
    <w:p>
      <w:r>
        <w:t>Fraud cases accounted for only 0.192% of the dataset, making imbalance handling critical. SMOTE (Synthetic Minority Over-sampling Technique) was applied only on the training data to balance class distribution. The test dataset was left untouched to ensure realistic performance evaluation and prevent data leakage.</w:t>
      </w:r>
    </w:p>
    <w:p>
      <w:pPr>
        <w:pStyle w:val="Heading2"/>
      </w:pPr>
      <w:r>
        <w:t>8. Final Preprocessed Dataset Summary</w:t>
      </w:r>
    </w:p>
    <w:p>
      <w:r>
        <w:t>The final preprocessed dataset has the following characteristics:</w:t>
        <w:br/>
        <w:br/>
        <w:t>- Total records: 250,000</w:t>
        <w:br/>
        <w:t>- Total features: 59 (after encoding and scaling)</w:t>
        <w:br/>
        <w:t>- Balanced training dataset (post-SMOTE)</w:t>
        <w:br/>
        <w:t>- Original class imbalance preserved in test dataset</w:t>
        <w:br/>
        <w:br/>
        <w:t>The dataset is now fully prepared for machine learning model development.</w:t>
      </w:r>
    </w:p>
    <w:p>
      <w:pPr>
        <w:pStyle w:val="Heading2"/>
      </w:pPr>
      <w:r>
        <w:t>9. Conclusion</w:t>
      </w:r>
    </w:p>
    <w:p>
      <w:r>
        <w:t>Phase 2 successfully transformed the dataset into a machine-learning-ready format. All preprocessing steps were carefully designed to maintain fraud-related signals, prevent data leakage, and address extreme class imbalance. This phase establishes a strong and reliable foundation for model training, evaluation, and deployment in subsequent phases.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